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F07FA" w14:textId="77777777" w:rsidR="00022B6D" w:rsidRPr="006B4639" w:rsidRDefault="00022B6D" w:rsidP="00022B6D">
      <w:pPr>
        <w:spacing w:after="400"/>
      </w:pPr>
      <w:bookmarkStart w:id="0" w:name="_GoBack"/>
      <w:bookmarkEnd w:id="0"/>
    </w:p>
    <w:p w14:paraId="49E1E2A1" w14:textId="77777777" w:rsidR="00022B6D" w:rsidRPr="006B4639" w:rsidRDefault="00022B6D" w:rsidP="00022B6D">
      <w:pPr>
        <w:spacing w:after="400"/>
      </w:pPr>
    </w:p>
    <w:p w14:paraId="79C00809" w14:textId="77777777" w:rsidR="00022B6D" w:rsidRPr="006B4639" w:rsidRDefault="00022B6D" w:rsidP="00022B6D">
      <w:pPr>
        <w:spacing w:after="400"/>
      </w:pPr>
    </w:p>
    <w:p w14:paraId="57014165" w14:textId="77777777" w:rsidR="00022B6D" w:rsidRPr="006B4639" w:rsidRDefault="00022B6D" w:rsidP="00022B6D">
      <w:pPr>
        <w:spacing w:after="400"/>
      </w:pPr>
    </w:p>
    <w:p w14:paraId="6636B0E8" w14:textId="77777777" w:rsidR="00022B6D" w:rsidRPr="006B4639" w:rsidRDefault="00022B6D" w:rsidP="00844DE2">
      <w:pPr>
        <w:tabs>
          <w:tab w:val="left" w:pos="5034"/>
        </w:tabs>
        <w:spacing w:after="400"/>
      </w:pPr>
    </w:p>
    <w:p w14:paraId="5B2D9FBA" w14:textId="77777777" w:rsidR="00022B6D" w:rsidRPr="006B4639" w:rsidRDefault="00022B6D" w:rsidP="00022B6D">
      <w:pPr>
        <w:spacing w:after="400"/>
      </w:pPr>
    </w:p>
    <w:p w14:paraId="00558E8C" w14:textId="77777777" w:rsidR="00022B6D" w:rsidRPr="006B4639" w:rsidRDefault="00022B6D" w:rsidP="00022B6D"/>
    <w:p w14:paraId="6D4A3A84" w14:textId="77777777" w:rsidR="00D91DDA" w:rsidRPr="006B4639" w:rsidRDefault="00D91DDA" w:rsidP="00D91DDA">
      <w:pPr>
        <w:spacing w:after="400"/>
        <w:ind w:left="-142" w:right="-1"/>
        <w:rPr>
          <w:rFonts w:eastAsia="Arial" w:cs="Arial"/>
          <w:b/>
          <w:color w:val="002060"/>
          <w:sz w:val="48"/>
          <w:szCs w:val="48"/>
        </w:rPr>
      </w:pPr>
      <w:r w:rsidRPr="006B4639">
        <w:rPr>
          <w:rFonts w:eastAsia="Arial" w:cs="Arial"/>
          <w:b/>
          <w:color w:val="002060"/>
          <w:sz w:val="48"/>
          <w:szCs w:val="48"/>
        </w:rPr>
        <w:t>Options to improve gas pipeline regulation</w:t>
      </w:r>
    </w:p>
    <w:p w14:paraId="53B3D9DB" w14:textId="77777777" w:rsidR="00D91DDA" w:rsidRPr="006B4639" w:rsidRDefault="00D91DDA" w:rsidP="00D91DDA">
      <w:pPr>
        <w:spacing w:after="400"/>
        <w:ind w:left="-142" w:right="-1"/>
        <w:rPr>
          <w:rFonts w:asciiTheme="majorHAnsi" w:hAnsiTheme="majorHAnsi" w:cstheme="majorBidi"/>
          <w:b/>
          <w:bCs/>
          <w:color w:val="002060"/>
          <w:sz w:val="40"/>
          <w:szCs w:val="40"/>
        </w:rPr>
      </w:pPr>
      <w:bookmarkStart w:id="1" w:name="_Hlk487713733"/>
      <w:r w:rsidRPr="006B4639">
        <w:rPr>
          <w:rFonts w:eastAsia="Arial" w:cs="Arial"/>
          <w:b/>
          <w:color w:val="002060"/>
          <w:sz w:val="40"/>
          <w:szCs w:val="40"/>
        </w:rPr>
        <w:t xml:space="preserve">Regulation Impact Statement for </w:t>
      </w:r>
      <w:r w:rsidR="00314344">
        <w:rPr>
          <w:rFonts w:eastAsia="Arial" w:cs="Arial"/>
          <w:b/>
          <w:color w:val="002060"/>
          <w:sz w:val="40"/>
          <w:szCs w:val="40"/>
        </w:rPr>
        <w:t>Decision</w:t>
      </w:r>
    </w:p>
    <w:p w14:paraId="35B9912F" w14:textId="77777777" w:rsidR="00D91DDA" w:rsidRPr="006B4639" w:rsidRDefault="00DF14DB" w:rsidP="00D91DDA">
      <w:pPr>
        <w:tabs>
          <w:tab w:val="left" w:pos="5295"/>
        </w:tabs>
        <w:spacing w:after="400"/>
        <w:ind w:left="-142" w:right="-1"/>
        <w:rPr>
          <w:sz w:val="320"/>
          <w:szCs w:val="320"/>
        </w:rPr>
      </w:pPr>
      <w:r>
        <w:rPr>
          <w:rFonts w:eastAsia="Arial" w:cs="Arial"/>
          <w:sz w:val="36"/>
          <w:szCs w:val="36"/>
        </w:rPr>
        <w:t>January</w:t>
      </w:r>
      <w:r w:rsidR="00D91DDA" w:rsidRPr="006B4639">
        <w:rPr>
          <w:rFonts w:eastAsia="Arial" w:cs="Arial"/>
          <w:sz w:val="36"/>
          <w:szCs w:val="36"/>
        </w:rPr>
        <w:t xml:space="preserve"> </w:t>
      </w:r>
      <w:r w:rsidR="00B6730A">
        <w:rPr>
          <w:rFonts w:eastAsia="Arial" w:cs="Arial"/>
          <w:sz w:val="36"/>
          <w:szCs w:val="36"/>
        </w:rPr>
        <w:t>202</w:t>
      </w:r>
      <w:r>
        <w:rPr>
          <w:rFonts w:eastAsia="Arial" w:cs="Arial"/>
          <w:sz w:val="36"/>
          <w:szCs w:val="36"/>
        </w:rPr>
        <w:t>1</w:t>
      </w:r>
      <w:r w:rsidR="00D91DDA" w:rsidRPr="006B4639">
        <w:rPr>
          <w:rFonts w:eastAsia="Arial" w:cs="Arial"/>
          <w:sz w:val="36"/>
          <w:szCs w:val="36"/>
        </w:rPr>
        <w:tab/>
      </w:r>
      <w:bookmarkEnd w:id="1"/>
    </w:p>
    <w:p w14:paraId="2B037DC2" w14:textId="77777777" w:rsidR="00493401" w:rsidRPr="006B4639" w:rsidRDefault="00493401" w:rsidP="00493401"/>
    <w:p w14:paraId="3FFC5278" w14:textId="77777777" w:rsidR="006E75F9" w:rsidRPr="006B4639" w:rsidRDefault="006E75F9" w:rsidP="00493401"/>
    <w:p w14:paraId="3BEB9EA0" w14:textId="77777777" w:rsidR="006E75F9" w:rsidRPr="006B4639" w:rsidRDefault="006E75F9" w:rsidP="00493401"/>
    <w:p w14:paraId="5931467A" w14:textId="77777777" w:rsidR="00493401" w:rsidRPr="006B4639" w:rsidRDefault="00493401" w:rsidP="00493401"/>
    <w:p w14:paraId="526994CE" w14:textId="77777777" w:rsidR="00055169" w:rsidRDefault="00055169" w:rsidP="00493401"/>
    <w:p w14:paraId="377E7E8D" w14:textId="77777777" w:rsidR="00ED32D1" w:rsidRDefault="00ED32D1" w:rsidP="00493401"/>
    <w:p w14:paraId="0AC9A74A" w14:textId="77777777" w:rsidR="00ED32D1" w:rsidRDefault="00ED32D1" w:rsidP="00493401"/>
    <w:p w14:paraId="752380F8" w14:textId="77777777" w:rsidR="00ED32D1" w:rsidRDefault="00ED32D1" w:rsidP="00493401"/>
    <w:p w14:paraId="6E17A80C" w14:textId="77777777" w:rsidR="00055169" w:rsidRPr="006B4639" w:rsidRDefault="00055169" w:rsidP="00493401"/>
    <w:p w14:paraId="1C96BB3D" w14:textId="77777777" w:rsidR="00493401" w:rsidRPr="006B4639" w:rsidRDefault="00493401" w:rsidP="00493401"/>
    <w:p w14:paraId="5D99D5C5" w14:textId="77777777" w:rsidR="00570893" w:rsidRPr="006B4639" w:rsidRDefault="00570893">
      <w:pPr>
        <w:rPr>
          <w:rFonts w:eastAsiaTheme="minorEastAsia"/>
        </w:rPr>
        <w:sectPr w:rsidR="00570893" w:rsidRPr="006B4639" w:rsidSect="00795317">
          <w:headerReference w:type="default" r:id="rId8"/>
          <w:footerReference w:type="even" r:id="rId9"/>
          <w:headerReference w:type="first" r:id="rId10"/>
          <w:footerReference w:type="first" r:id="rId11"/>
          <w:type w:val="continuous"/>
          <w:pgSz w:w="11907" w:h="16840" w:code="9"/>
          <w:pgMar w:top="1361" w:right="1418" w:bottom="992" w:left="1701" w:header="567" w:footer="397" w:gutter="0"/>
          <w:pgNumType w:fmt="lowerRoman"/>
          <w:cols w:space="708"/>
          <w:titlePg/>
          <w:docGrid w:linePitch="360"/>
        </w:sectPr>
      </w:pPr>
    </w:p>
    <w:p w14:paraId="71AAD2C3" w14:textId="77777777" w:rsidR="00AA3026" w:rsidRPr="006B4639" w:rsidRDefault="00AA3026" w:rsidP="00383609">
      <w:pPr>
        <w:pStyle w:val="TOCHeading"/>
        <w:spacing w:after="80"/>
        <w:rPr>
          <w:color w:val="002060"/>
        </w:rPr>
      </w:pPr>
      <w:r w:rsidRPr="006B4639">
        <w:rPr>
          <w:color w:val="002060"/>
        </w:rPr>
        <w:lastRenderedPageBreak/>
        <w:t>Contents</w:t>
      </w:r>
    </w:p>
    <w:p w14:paraId="15414D20" w14:textId="22D4DA0C" w:rsidR="00036405" w:rsidRDefault="00515B6F">
      <w:pPr>
        <w:pStyle w:val="TOC1"/>
        <w:rPr>
          <w:rFonts w:asciiTheme="minorHAnsi" w:eastAsiaTheme="minorEastAsia" w:hAnsiTheme="minorHAnsi"/>
          <w:b w:val="0"/>
          <w:lang w:eastAsia="en-AU"/>
        </w:rPr>
      </w:pPr>
      <w:r>
        <w:rPr>
          <w:rFonts w:eastAsiaTheme="minorEastAsia"/>
          <w:b w:val="0"/>
        </w:rPr>
        <w:fldChar w:fldCharType="begin"/>
      </w:r>
      <w:r>
        <w:rPr>
          <w:rFonts w:eastAsiaTheme="minorEastAsia"/>
          <w:b w:val="0"/>
        </w:rPr>
        <w:instrText xml:space="preserve"> TOC \o "1-1" \h \z \t "Heading 2,2,Heading 9,1,Numbered 1.1,2,Numbered 1.1.1,3,Heading 2 - numbered,2" </w:instrText>
      </w:r>
      <w:r>
        <w:rPr>
          <w:rFonts w:eastAsiaTheme="minorEastAsia"/>
          <w:b w:val="0"/>
        </w:rPr>
        <w:fldChar w:fldCharType="separate"/>
      </w:r>
      <w:hyperlink w:anchor="_Toc62219393" w:history="1">
        <w:r w:rsidR="00036405" w:rsidRPr="006927FF">
          <w:rPr>
            <w:rStyle w:val="Hyperlink"/>
          </w:rPr>
          <w:t>Abbreviations</w:t>
        </w:r>
        <w:r w:rsidR="00036405">
          <w:rPr>
            <w:webHidden/>
          </w:rPr>
          <w:tab/>
        </w:r>
        <w:r w:rsidR="00036405">
          <w:rPr>
            <w:webHidden/>
          </w:rPr>
          <w:fldChar w:fldCharType="begin"/>
        </w:r>
        <w:r w:rsidR="00036405">
          <w:rPr>
            <w:webHidden/>
          </w:rPr>
          <w:instrText xml:space="preserve"> PAGEREF _Toc62219393 \h </w:instrText>
        </w:r>
        <w:r w:rsidR="00036405">
          <w:rPr>
            <w:webHidden/>
          </w:rPr>
        </w:r>
        <w:r w:rsidR="00036405">
          <w:rPr>
            <w:webHidden/>
          </w:rPr>
          <w:fldChar w:fldCharType="separate"/>
        </w:r>
        <w:r w:rsidR="004031E8">
          <w:rPr>
            <w:webHidden/>
          </w:rPr>
          <w:t>iii</w:t>
        </w:r>
        <w:r w:rsidR="00036405">
          <w:rPr>
            <w:webHidden/>
          </w:rPr>
          <w:fldChar w:fldCharType="end"/>
        </w:r>
      </w:hyperlink>
    </w:p>
    <w:p w14:paraId="05387136" w14:textId="7D2DA306" w:rsidR="00036405" w:rsidRDefault="0075305C">
      <w:pPr>
        <w:pStyle w:val="TOC1"/>
        <w:rPr>
          <w:rFonts w:asciiTheme="minorHAnsi" w:eastAsiaTheme="minorEastAsia" w:hAnsiTheme="minorHAnsi"/>
          <w:b w:val="0"/>
          <w:lang w:eastAsia="en-AU"/>
        </w:rPr>
      </w:pPr>
      <w:hyperlink w:anchor="_Toc62219394" w:history="1">
        <w:r w:rsidR="00036405" w:rsidRPr="006927FF">
          <w:rPr>
            <w:rStyle w:val="Hyperlink"/>
          </w:rPr>
          <w:t>Executive Summary</w:t>
        </w:r>
        <w:r w:rsidR="00036405">
          <w:rPr>
            <w:webHidden/>
          </w:rPr>
          <w:tab/>
        </w:r>
        <w:r w:rsidR="00036405">
          <w:rPr>
            <w:webHidden/>
          </w:rPr>
          <w:fldChar w:fldCharType="begin"/>
        </w:r>
        <w:r w:rsidR="00036405">
          <w:rPr>
            <w:webHidden/>
          </w:rPr>
          <w:instrText xml:space="preserve"> PAGEREF _Toc62219394 \h </w:instrText>
        </w:r>
        <w:r w:rsidR="00036405">
          <w:rPr>
            <w:webHidden/>
          </w:rPr>
        </w:r>
        <w:r w:rsidR="00036405">
          <w:rPr>
            <w:webHidden/>
          </w:rPr>
          <w:fldChar w:fldCharType="separate"/>
        </w:r>
        <w:r w:rsidR="004031E8">
          <w:rPr>
            <w:webHidden/>
          </w:rPr>
          <w:t>iv</w:t>
        </w:r>
        <w:r w:rsidR="00036405">
          <w:rPr>
            <w:webHidden/>
          </w:rPr>
          <w:fldChar w:fldCharType="end"/>
        </w:r>
      </w:hyperlink>
    </w:p>
    <w:p w14:paraId="615BDB03" w14:textId="16A60848" w:rsidR="00036405" w:rsidRDefault="0075305C">
      <w:pPr>
        <w:pStyle w:val="TOC1"/>
        <w:rPr>
          <w:rFonts w:asciiTheme="minorHAnsi" w:eastAsiaTheme="minorEastAsia" w:hAnsiTheme="minorHAnsi"/>
          <w:b w:val="0"/>
          <w:lang w:eastAsia="en-AU"/>
        </w:rPr>
      </w:pPr>
      <w:hyperlink w:anchor="_Toc62219395" w:history="1">
        <w:r w:rsidR="00036405" w:rsidRPr="006927FF">
          <w:rPr>
            <w:rStyle w:val="Hyperlink"/>
          </w:rPr>
          <w:t>1.</w:t>
        </w:r>
        <w:r w:rsidR="00036405">
          <w:rPr>
            <w:rFonts w:asciiTheme="minorHAnsi" w:eastAsiaTheme="minorEastAsia" w:hAnsiTheme="minorHAnsi"/>
            <w:b w:val="0"/>
            <w:lang w:eastAsia="en-AU"/>
          </w:rPr>
          <w:tab/>
        </w:r>
        <w:r w:rsidR="00036405" w:rsidRPr="006927FF">
          <w:rPr>
            <w:rStyle w:val="Hyperlink"/>
          </w:rPr>
          <w:t>Introduction</w:t>
        </w:r>
        <w:r w:rsidR="00036405">
          <w:rPr>
            <w:webHidden/>
          </w:rPr>
          <w:tab/>
        </w:r>
        <w:r w:rsidR="00036405">
          <w:rPr>
            <w:webHidden/>
          </w:rPr>
          <w:fldChar w:fldCharType="begin"/>
        </w:r>
        <w:r w:rsidR="00036405">
          <w:rPr>
            <w:webHidden/>
          </w:rPr>
          <w:instrText xml:space="preserve"> PAGEREF _Toc62219395 \h </w:instrText>
        </w:r>
        <w:r w:rsidR="00036405">
          <w:rPr>
            <w:webHidden/>
          </w:rPr>
        </w:r>
        <w:r w:rsidR="00036405">
          <w:rPr>
            <w:webHidden/>
          </w:rPr>
          <w:fldChar w:fldCharType="separate"/>
        </w:r>
        <w:r w:rsidR="004031E8">
          <w:rPr>
            <w:webHidden/>
          </w:rPr>
          <w:t>1</w:t>
        </w:r>
        <w:r w:rsidR="00036405">
          <w:rPr>
            <w:webHidden/>
          </w:rPr>
          <w:fldChar w:fldCharType="end"/>
        </w:r>
      </w:hyperlink>
    </w:p>
    <w:p w14:paraId="1BEDFD59" w14:textId="4617CBA6" w:rsidR="00036405" w:rsidRDefault="0075305C">
      <w:pPr>
        <w:pStyle w:val="TOC1"/>
        <w:rPr>
          <w:rFonts w:asciiTheme="minorHAnsi" w:eastAsiaTheme="minorEastAsia" w:hAnsiTheme="minorHAnsi"/>
          <w:b w:val="0"/>
          <w:lang w:eastAsia="en-AU"/>
        </w:rPr>
      </w:pPr>
      <w:hyperlink w:anchor="_Toc62219396" w:history="1">
        <w:r w:rsidR="00036405" w:rsidRPr="006927FF">
          <w:rPr>
            <w:rStyle w:val="Hyperlink"/>
          </w:rPr>
          <w:t>2.</w:t>
        </w:r>
        <w:r w:rsidR="00036405">
          <w:rPr>
            <w:rFonts w:asciiTheme="minorHAnsi" w:eastAsiaTheme="minorEastAsia" w:hAnsiTheme="minorHAnsi"/>
            <w:b w:val="0"/>
            <w:lang w:eastAsia="en-AU"/>
          </w:rPr>
          <w:tab/>
        </w:r>
        <w:r w:rsidR="00036405" w:rsidRPr="006927FF">
          <w:rPr>
            <w:rStyle w:val="Hyperlink"/>
          </w:rPr>
          <w:t>Rationale for regulating gas pipelines and how pipelines are currently regulated</w:t>
        </w:r>
        <w:r w:rsidR="00036405">
          <w:rPr>
            <w:webHidden/>
          </w:rPr>
          <w:tab/>
        </w:r>
        <w:r w:rsidR="00036405">
          <w:rPr>
            <w:webHidden/>
          </w:rPr>
          <w:fldChar w:fldCharType="begin"/>
        </w:r>
        <w:r w:rsidR="00036405">
          <w:rPr>
            <w:webHidden/>
          </w:rPr>
          <w:instrText xml:space="preserve"> PAGEREF _Toc62219396 \h </w:instrText>
        </w:r>
        <w:r w:rsidR="00036405">
          <w:rPr>
            <w:webHidden/>
          </w:rPr>
        </w:r>
        <w:r w:rsidR="00036405">
          <w:rPr>
            <w:webHidden/>
          </w:rPr>
          <w:fldChar w:fldCharType="separate"/>
        </w:r>
        <w:r w:rsidR="004031E8">
          <w:rPr>
            <w:webHidden/>
          </w:rPr>
          <w:t>4</w:t>
        </w:r>
        <w:r w:rsidR="00036405">
          <w:rPr>
            <w:webHidden/>
          </w:rPr>
          <w:fldChar w:fldCharType="end"/>
        </w:r>
      </w:hyperlink>
    </w:p>
    <w:p w14:paraId="141D1175" w14:textId="20F3067A" w:rsidR="00036405" w:rsidRDefault="0075305C">
      <w:pPr>
        <w:pStyle w:val="TOC2"/>
        <w:rPr>
          <w:rFonts w:asciiTheme="minorHAnsi" w:eastAsiaTheme="minorEastAsia" w:hAnsiTheme="minorHAnsi"/>
          <w:lang w:eastAsia="en-AU"/>
        </w:rPr>
      </w:pPr>
      <w:hyperlink w:anchor="_Toc62219397" w:history="1">
        <w:r w:rsidR="00036405" w:rsidRPr="006927FF">
          <w:rPr>
            <w:rStyle w:val="Hyperlink"/>
          </w:rPr>
          <w:t>2.1</w:t>
        </w:r>
        <w:r w:rsidR="00036405">
          <w:rPr>
            <w:rFonts w:asciiTheme="minorHAnsi" w:eastAsiaTheme="minorEastAsia" w:hAnsiTheme="minorHAnsi"/>
            <w:lang w:eastAsia="en-AU"/>
          </w:rPr>
          <w:tab/>
        </w:r>
        <w:r w:rsidR="00036405" w:rsidRPr="006927FF">
          <w:rPr>
            <w:rStyle w:val="Hyperlink"/>
          </w:rPr>
          <w:t>What is the rationale for regulating gas pipelines?</w:t>
        </w:r>
        <w:r w:rsidR="00036405">
          <w:rPr>
            <w:webHidden/>
          </w:rPr>
          <w:tab/>
        </w:r>
        <w:r w:rsidR="00036405">
          <w:rPr>
            <w:webHidden/>
          </w:rPr>
          <w:fldChar w:fldCharType="begin"/>
        </w:r>
        <w:r w:rsidR="00036405">
          <w:rPr>
            <w:webHidden/>
          </w:rPr>
          <w:instrText xml:space="preserve"> PAGEREF _Toc62219397 \h </w:instrText>
        </w:r>
        <w:r w:rsidR="00036405">
          <w:rPr>
            <w:webHidden/>
          </w:rPr>
        </w:r>
        <w:r w:rsidR="00036405">
          <w:rPr>
            <w:webHidden/>
          </w:rPr>
          <w:fldChar w:fldCharType="separate"/>
        </w:r>
        <w:r w:rsidR="004031E8">
          <w:rPr>
            <w:webHidden/>
          </w:rPr>
          <w:t>4</w:t>
        </w:r>
        <w:r w:rsidR="00036405">
          <w:rPr>
            <w:webHidden/>
          </w:rPr>
          <w:fldChar w:fldCharType="end"/>
        </w:r>
      </w:hyperlink>
    </w:p>
    <w:p w14:paraId="3A336BFA" w14:textId="54C3B392" w:rsidR="00036405" w:rsidRDefault="0075305C">
      <w:pPr>
        <w:pStyle w:val="TOC2"/>
        <w:rPr>
          <w:rFonts w:asciiTheme="minorHAnsi" w:eastAsiaTheme="minorEastAsia" w:hAnsiTheme="minorHAnsi"/>
          <w:lang w:eastAsia="en-AU"/>
        </w:rPr>
      </w:pPr>
      <w:hyperlink w:anchor="_Toc62219398" w:history="1">
        <w:r w:rsidR="00036405" w:rsidRPr="006927FF">
          <w:rPr>
            <w:rStyle w:val="Hyperlink"/>
          </w:rPr>
          <w:t>2.2</w:t>
        </w:r>
        <w:r w:rsidR="00036405">
          <w:rPr>
            <w:rFonts w:asciiTheme="minorHAnsi" w:eastAsiaTheme="minorEastAsia" w:hAnsiTheme="minorHAnsi"/>
            <w:lang w:eastAsia="en-AU"/>
          </w:rPr>
          <w:tab/>
        </w:r>
        <w:r w:rsidR="00036405" w:rsidRPr="006927FF">
          <w:rPr>
            <w:rStyle w:val="Hyperlink"/>
          </w:rPr>
          <w:t>How are gas pipelines regulated in Australia?</w:t>
        </w:r>
        <w:r w:rsidR="00036405">
          <w:rPr>
            <w:webHidden/>
          </w:rPr>
          <w:tab/>
        </w:r>
        <w:r w:rsidR="00036405">
          <w:rPr>
            <w:webHidden/>
          </w:rPr>
          <w:fldChar w:fldCharType="begin"/>
        </w:r>
        <w:r w:rsidR="00036405">
          <w:rPr>
            <w:webHidden/>
          </w:rPr>
          <w:instrText xml:space="preserve"> PAGEREF _Toc62219398 \h </w:instrText>
        </w:r>
        <w:r w:rsidR="00036405">
          <w:rPr>
            <w:webHidden/>
          </w:rPr>
        </w:r>
        <w:r w:rsidR="00036405">
          <w:rPr>
            <w:webHidden/>
          </w:rPr>
          <w:fldChar w:fldCharType="separate"/>
        </w:r>
        <w:r w:rsidR="004031E8">
          <w:rPr>
            <w:webHidden/>
          </w:rPr>
          <w:t>8</w:t>
        </w:r>
        <w:r w:rsidR="00036405">
          <w:rPr>
            <w:webHidden/>
          </w:rPr>
          <w:fldChar w:fldCharType="end"/>
        </w:r>
      </w:hyperlink>
    </w:p>
    <w:p w14:paraId="61C231AE" w14:textId="3658CDD7" w:rsidR="00036405" w:rsidRDefault="0075305C">
      <w:pPr>
        <w:pStyle w:val="TOC2"/>
        <w:rPr>
          <w:rFonts w:asciiTheme="minorHAnsi" w:eastAsiaTheme="minorEastAsia" w:hAnsiTheme="minorHAnsi"/>
          <w:lang w:eastAsia="en-AU"/>
        </w:rPr>
      </w:pPr>
      <w:hyperlink w:anchor="_Toc62219399" w:history="1">
        <w:r w:rsidR="00036405" w:rsidRPr="006927FF">
          <w:rPr>
            <w:rStyle w:val="Hyperlink"/>
          </w:rPr>
          <w:t>2.3</w:t>
        </w:r>
        <w:r w:rsidR="00036405">
          <w:rPr>
            <w:rFonts w:asciiTheme="minorHAnsi" w:eastAsiaTheme="minorEastAsia" w:hAnsiTheme="minorHAnsi"/>
            <w:lang w:eastAsia="en-AU"/>
          </w:rPr>
          <w:tab/>
        </w:r>
        <w:r w:rsidR="00036405" w:rsidRPr="006927FF">
          <w:rPr>
            <w:rStyle w:val="Hyperlink"/>
          </w:rPr>
          <w:t>How are gas pipelines regulated in other jurisdictions?</w:t>
        </w:r>
        <w:r w:rsidR="00036405">
          <w:rPr>
            <w:webHidden/>
          </w:rPr>
          <w:tab/>
        </w:r>
        <w:r w:rsidR="00036405">
          <w:rPr>
            <w:webHidden/>
          </w:rPr>
          <w:fldChar w:fldCharType="begin"/>
        </w:r>
        <w:r w:rsidR="00036405">
          <w:rPr>
            <w:webHidden/>
          </w:rPr>
          <w:instrText xml:space="preserve"> PAGEREF _Toc62219399 \h </w:instrText>
        </w:r>
        <w:r w:rsidR="00036405">
          <w:rPr>
            <w:webHidden/>
          </w:rPr>
        </w:r>
        <w:r w:rsidR="00036405">
          <w:rPr>
            <w:webHidden/>
          </w:rPr>
          <w:fldChar w:fldCharType="separate"/>
        </w:r>
        <w:r w:rsidR="004031E8">
          <w:rPr>
            <w:webHidden/>
          </w:rPr>
          <w:t>17</w:t>
        </w:r>
        <w:r w:rsidR="00036405">
          <w:rPr>
            <w:webHidden/>
          </w:rPr>
          <w:fldChar w:fldCharType="end"/>
        </w:r>
      </w:hyperlink>
    </w:p>
    <w:p w14:paraId="71F8D492" w14:textId="56BB5385" w:rsidR="00036405" w:rsidRDefault="0075305C">
      <w:pPr>
        <w:pStyle w:val="TOC1"/>
        <w:rPr>
          <w:rFonts w:asciiTheme="minorHAnsi" w:eastAsiaTheme="minorEastAsia" w:hAnsiTheme="minorHAnsi"/>
          <w:b w:val="0"/>
          <w:lang w:eastAsia="en-AU"/>
        </w:rPr>
      </w:pPr>
      <w:hyperlink w:anchor="_Toc62219400" w:history="1">
        <w:r w:rsidR="00036405" w:rsidRPr="006927FF">
          <w:rPr>
            <w:rStyle w:val="Hyperlink"/>
          </w:rPr>
          <w:t>3.</w:t>
        </w:r>
        <w:r w:rsidR="00036405">
          <w:rPr>
            <w:rFonts w:asciiTheme="minorHAnsi" w:eastAsiaTheme="minorEastAsia" w:hAnsiTheme="minorHAnsi"/>
            <w:b w:val="0"/>
            <w:lang w:eastAsia="en-AU"/>
          </w:rPr>
          <w:tab/>
        </w:r>
        <w:r w:rsidR="00036405" w:rsidRPr="006927FF">
          <w:rPr>
            <w:rStyle w:val="Hyperlink"/>
          </w:rPr>
          <w:t>Problems with the regulatory framework and the objectives of action to address the problems</w:t>
        </w:r>
        <w:r w:rsidR="00036405">
          <w:rPr>
            <w:webHidden/>
          </w:rPr>
          <w:tab/>
        </w:r>
        <w:r w:rsidR="00036405">
          <w:rPr>
            <w:webHidden/>
          </w:rPr>
          <w:fldChar w:fldCharType="begin"/>
        </w:r>
        <w:r w:rsidR="00036405">
          <w:rPr>
            <w:webHidden/>
          </w:rPr>
          <w:instrText xml:space="preserve"> PAGEREF _Toc62219400 \h </w:instrText>
        </w:r>
        <w:r w:rsidR="00036405">
          <w:rPr>
            <w:webHidden/>
          </w:rPr>
        </w:r>
        <w:r w:rsidR="00036405">
          <w:rPr>
            <w:webHidden/>
          </w:rPr>
          <w:fldChar w:fldCharType="separate"/>
        </w:r>
        <w:r w:rsidR="004031E8">
          <w:rPr>
            <w:webHidden/>
          </w:rPr>
          <w:t>22</w:t>
        </w:r>
        <w:r w:rsidR="00036405">
          <w:rPr>
            <w:webHidden/>
          </w:rPr>
          <w:fldChar w:fldCharType="end"/>
        </w:r>
      </w:hyperlink>
    </w:p>
    <w:p w14:paraId="71FFE89C" w14:textId="27205688" w:rsidR="00036405" w:rsidRDefault="0075305C">
      <w:pPr>
        <w:pStyle w:val="TOC2"/>
        <w:rPr>
          <w:rFonts w:asciiTheme="minorHAnsi" w:eastAsiaTheme="minorEastAsia" w:hAnsiTheme="minorHAnsi"/>
          <w:lang w:eastAsia="en-AU"/>
        </w:rPr>
      </w:pPr>
      <w:hyperlink w:anchor="_Toc62219401" w:history="1">
        <w:r w:rsidR="00036405" w:rsidRPr="006927FF">
          <w:rPr>
            <w:rStyle w:val="Hyperlink"/>
          </w:rPr>
          <w:t>3.1</w:t>
        </w:r>
        <w:r w:rsidR="00036405">
          <w:rPr>
            <w:rFonts w:asciiTheme="minorHAnsi" w:eastAsiaTheme="minorEastAsia" w:hAnsiTheme="minorHAnsi"/>
            <w:lang w:eastAsia="en-AU"/>
          </w:rPr>
          <w:tab/>
        </w:r>
        <w:r w:rsidR="00036405" w:rsidRPr="006927FF">
          <w:rPr>
            <w:rStyle w:val="Hyperlink"/>
          </w:rPr>
          <w:t>What are the problems with the current regulatory framework?</w:t>
        </w:r>
        <w:r w:rsidR="00036405">
          <w:rPr>
            <w:webHidden/>
          </w:rPr>
          <w:tab/>
        </w:r>
        <w:r w:rsidR="00036405">
          <w:rPr>
            <w:webHidden/>
          </w:rPr>
          <w:fldChar w:fldCharType="begin"/>
        </w:r>
        <w:r w:rsidR="00036405">
          <w:rPr>
            <w:webHidden/>
          </w:rPr>
          <w:instrText xml:space="preserve"> PAGEREF _Toc62219401 \h </w:instrText>
        </w:r>
        <w:r w:rsidR="00036405">
          <w:rPr>
            <w:webHidden/>
          </w:rPr>
        </w:r>
        <w:r w:rsidR="00036405">
          <w:rPr>
            <w:webHidden/>
          </w:rPr>
          <w:fldChar w:fldCharType="separate"/>
        </w:r>
        <w:r w:rsidR="004031E8">
          <w:rPr>
            <w:webHidden/>
          </w:rPr>
          <w:t>22</w:t>
        </w:r>
        <w:r w:rsidR="00036405">
          <w:rPr>
            <w:webHidden/>
          </w:rPr>
          <w:fldChar w:fldCharType="end"/>
        </w:r>
      </w:hyperlink>
    </w:p>
    <w:p w14:paraId="018BA761" w14:textId="23B2DB41" w:rsidR="00036405" w:rsidRDefault="0075305C">
      <w:pPr>
        <w:pStyle w:val="TOC2"/>
        <w:rPr>
          <w:rFonts w:asciiTheme="minorHAnsi" w:eastAsiaTheme="minorEastAsia" w:hAnsiTheme="minorHAnsi"/>
          <w:lang w:eastAsia="en-AU"/>
        </w:rPr>
      </w:pPr>
      <w:hyperlink w:anchor="_Toc62219402" w:history="1">
        <w:r w:rsidR="00036405" w:rsidRPr="006927FF">
          <w:rPr>
            <w:rStyle w:val="Hyperlink"/>
          </w:rPr>
          <w:t>3.2</w:t>
        </w:r>
        <w:r w:rsidR="00036405">
          <w:rPr>
            <w:rFonts w:asciiTheme="minorHAnsi" w:eastAsiaTheme="minorEastAsia" w:hAnsiTheme="minorHAnsi"/>
            <w:lang w:eastAsia="en-AU"/>
          </w:rPr>
          <w:tab/>
        </w:r>
        <w:r w:rsidR="00036405" w:rsidRPr="006927FF">
          <w:rPr>
            <w:rStyle w:val="Hyperlink"/>
          </w:rPr>
          <w:t>What are the objectives of Energy National Cabinet Reform Committee action?</w:t>
        </w:r>
        <w:r w:rsidR="00036405">
          <w:rPr>
            <w:webHidden/>
          </w:rPr>
          <w:tab/>
        </w:r>
        <w:r w:rsidR="00036405">
          <w:rPr>
            <w:webHidden/>
          </w:rPr>
          <w:fldChar w:fldCharType="begin"/>
        </w:r>
        <w:r w:rsidR="00036405">
          <w:rPr>
            <w:webHidden/>
          </w:rPr>
          <w:instrText xml:space="preserve"> PAGEREF _Toc62219402 \h </w:instrText>
        </w:r>
        <w:r w:rsidR="00036405">
          <w:rPr>
            <w:webHidden/>
          </w:rPr>
        </w:r>
        <w:r w:rsidR="00036405">
          <w:rPr>
            <w:webHidden/>
          </w:rPr>
          <w:fldChar w:fldCharType="separate"/>
        </w:r>
        <w:r w:rsidR="004031E8">
          <w:rPr>
            <w:webHidden/>
          </w:rPr>
          <w:t>25</w:t>
        </w:r>
        <w:r w:rsidR="00036405">
          <w:rPr>
            <w:webHidden/>
          </w:rPr>
          <w:fldChar w:fldCharType="end"/>
        </w:r>
      </w:hyperlink>
    </w:p>
    <w:p w14:paraId="65A0EDB5" w14:textId="42C359DE" w:rsidR="00036405" w:rsidRDefault="0075305C">
      <w:pPr>
        <w:pStyle w:val="TOC1"/>
        <w:rPr>
          <w:rFonts w:asciiTheme="minorHAnsi" w:eastAsiaTheme="minorEastAsia" w:hAnsiTheme="minorHAnsi"/>
          <w:b w:val="0"/>
          <w:lang w:eastAsia="en-AU"/>
        </w:rPr>
      </w:pPr>
      <w:hyperlink w:anchor="_Toc62219403" w:history="1">
        <w:r w:rsidR="00036405" w:rsidRPr="006927FF">
          <w:rPr>
            <w:rStyle w:val="Hyperlink"/>
          </w:rPr>
          <w:t>4.</w:t>
        </w:r>
        <w:r w:rsidR="00036405">
          <w:rPr>
            <w:rFonts w:asciiTheme="minorHAnsi" w:eastAsiaTheme="minorEastAsia" w:hAnsiTheme="minorHAnsi"/>
            <w:b w:val="0"/>
            <w:lang w:eastAsia="en-AU"/>
          </w:rPr>
          <w:tab/>
        </w:r>
        <w:r w:rsidR="00036405" w:rsidRPr="006927FF">
          <w:rPr>
            <w:rStyle w:val="Hyperlink"/>
          </w:rPr>
          <w:t>Reform focus 1: When a pipeline should be regulated and governance arrangements for when and how to regulate decisions</w:t>
        </w:r>
        <w:r w:rsidR="00036405">
          <w:rPr>
            <w:webHidden/>
          </w:rPr>
          <w:tab/>
        </w:r>
        <w:r w:rsidR="00036405">
          <w:rPr>
            <w:webHidden/>
          </w:rPr>
          <w:fldChar w:fldCharType="begin"/>
        </w:r>
        <w:r w:rsidR="00036405">
          <w:rPr>
            <w:webHidden/>
          </w:rPr>
          <w:instrText xml:space="preserve"> PAGEREF _Toc62219403 \h </w:instrText>
        </w:r>
        <w:r w:rsidR="00036405">
          <w:rPr>
            <w:webHidden/>
          </w:rPr>
        </w:r>
        <w:r w:rsidR="00036405">
          <w:rPr>
            <w:webHidden/>
          </w:rPr>
          <w:fldChar w:fldCharType="separate"/>
        </w:r>
        <w:r w:rsidR="004031E8">
          <w:rPr>
            <w:webHidden/>
          </w:rPr>
          <w:t>28</w:t>
        </w:r>
        <w:r w:rsidR="00036405">
          <w:rPr>
            <w:webHidden/>
          </w:rPr>
          <w:fldChar w:fldCharType="end"/>
        </w:r>
      </w:hyperlink>
    </w:p>
    <w:p w14:paraId="69CC1ECE" w14:textId="5E3C5626" w:rsidR="00036405" w:rsidRDefault="0075305C">
      <w:pPr>
        <w:pStyle w:val="TOC2"/>
        <w:rPr>
          <w:rFonts w:asciiTheme="minorHAnsi" w:eastAsiaTheme="minorEastAsia" w:hAnsiTheme="minorHAnsi"/>
          <w:lang w:eastAsia="en-AU"/>
        </w:rPr>
      </w:pPr>
      <w:hyperlink w:anchor="_Toc62219404" w:history="1">
        <w:r w:rsidR="00036405" w:rsidRPr="006927FF">
          <w:rPr>
            <w:rStyle w:val="Hyperlink"/>
          </w:rPr>
          <w:t>4.1</w:t>
        </w:r>
        <w:r w:rsidR="00036405">
          <w:rPr>
            <w:rFonts w:asciiTheme="minorHAnsi" w:eastAsiaTheme="minorEastAsia" w:hAnsiTheme="minorHAnsi"/>
            <w:lang w:eastAsia="en-AU"/>
          </w:rPr>
          <w:tab/>
        </w:r>
        <w:r w:rsidR="00036405" w:rsidRPr="006927FF">
          <w:rPr>
            <w:rStyle w:val="Hyperlink"/>
          </w:rPr>
          <w:t>What is the current situation?</w:t>
        </w:r>
        <w:r w:rsidR="00036405">
          <w:rPr>
            <w:webHidden/>
          </w:rPr>
          <w:tab/>
        </w:r>
        <w:r w:rsidR="00036405">
          <w:rPr>
            <w:webHidden/>
          </w:rPr>
          <w:fldChar w:fldCharType="begin"/>
        </w:r>
        <w:r w:rsidR="00036405">
          <w:rPr>
            <w:webHidden/>
          </w:rPr>
          <w:instrText xml:space="preserve"> PAGEREF _Toc62219404 \h </w:instrText>
        </w:r>
        <w:r w:rsidR="00036405">
          <w:rPr>
            <w:webHidden/>
          </w:rPr>
        </w:r>
        <w:r w:rsidR="00036405">
          <w:rPr>
            <w:webHidden/>
          </w:rPr>
          <w:fldChar w:fldCharType="separate"/>
        </w:r>
        <w:r w:rsidR="004031E8">
          <w:rPr>
            <w:webHidden/>
          </w:rPr>
          <w:t>29</w:t>
        </w:r>
        <w:r w:rsidR="00036405">
          <w:rPr>
            <w:webHidden/>
          </w:rPr>
          <w:fldChar w:fldCharType="end"/>
        </w:r>
      </w:hyperlink>
    </w:p>
    <w:p w14:paraId="56C6B946" w14:textId="687221CC" w:rsidR="00036405" w:rsidRDefault="0075305C">
      <w:pPr>
        <w:pStyle w:val="TOC2"/>
        <w:rPr>
          <w:rFonts w:asciiTheme="minorHAnsi" w:eastAsiaTheme="minorEastAsia" w:hAnsiTheme="minorHAnsi"/>
          <w:lang w:eastAsia="en-AU"/>
        </w:rPr>
      </w:pPr>
      <w:hyperlink w:anchor="_Toc62219405" w:history="1">
        <w:r w:rsidR="00036405" w:rsidRPr="006927FF">
          <w:rPr>
            <w:rStyle w:val="Hyperlink"/>
          </w:rPr>
          <w:t>4.2</w:t>
        </w:r>
        <w:r w:rsidR="00036405">
          <w:rPr>
            <w:rFonts w:asciiTheme="minorHAnsi" w:eastAsiaTheme="minorEastAsia" w:hAnsiTheme="minorHAnsi"/>
            <w:lang w:eastAsia="en-AU"/>
          </w:rPr>
          <w:tab/>
        </w:r>
        <w:r w:rsidR="00036405" w:rsidRPr="006927FF">
          <w:rPr>
            <w:rStyle w:val="Hyperlink"/>
          </w:rPr>
          <w:t>What problems have been identified with this aspect of the regulatory framework?</w:t>
        </w:r>
        <w:r w:rsidR="00036405">
          <w:rPr>
            <w:webHidden/>
          </w:rPr>
          <w:tab/>
        </w:r>
        <w:r w:rsidR="00036405">
          <w:rPr>
            <w:webHidden/>
          </w:rPr>
          <w:fldChar w:fldCharType="begin"/>
        </w:r>
        <w:r w:rsidR="00036405">
          <w:rPr>
            <w:webHidden/>
          </w:rPr>
          <w:instrText xml:space="preserve"> PAGEREF _Toc62219405 \h </w:instrText>
        </w:r>
        <w:r w:rsidR="00036405">
          <w:rPr>
            <w:webHidden/>
          </w:rPr>
        </w:r>
        <w:r w:rsidR="00036405">
          <w:rPr>
            <w:webHidden/>
          </w:rPr>
          <w:fldChar w:fldCharType="separate"/>
        </w:r>
        <w:r w:rsidR="004031E8">
          <w:rPr>
            <w:webHidden/>
          </w:rPr>
          <w:t>29</w:t>
        </w:r>
        <w:r w:rsidR="00036405">
          <w:rPr>
            <w:webHidden/>
          </w:rPr>
          <w:fldChar w:fldCharType="end"/>
        </w:r>
      </w:hyperlink>
    </w:p>
    <w:p w14:paraId="20BE969C" w14:textId="4F677D39" w:rsidR="00036405" w:rsidRDefault="0075305C">
      <w:pPr>
        <w:pStyle w:val="TOC2"/>
        <w:rPr>
          <w:rFonts w:asciiTheme="minorHAnsi" w:eastAsiaTheme="minorEastAsia" w:hAnsiTheme="minorHAnsi"/>
          <w:lang w:eastAsia="en-AU"/>
        </w:rPr>
      </w:pPr>
      <w:hyperlink w:anchor="_Toc62219406" w:history="1">
        <w:r w:rsidR="00036405" w:rsidRPr="006927FF">
          <w:rPr>
            <w:rStyle w:val="Hyperlink"/>
          </w:rPr>
          <w:t>4.3</w:t>
        </w:r>
        <w:r w:rsidR="00036405">
          <w:rPr>
            <w:rFonts w:asciiTheme="minorHAnsi" w:eastAsiaTheme="minorEastAsia" w:hAnsiTheme="minorHAnsi"/>
            <w:lang w:eastAsia="en-AU"/>
          </w:rPr>
          <w:tab/>
        </w:r>
        <w:r w:rsidR="00036405" w:rsidRPr="006927FF">
          <w:rPr>
            <w:rStyle w:val="Hyperlink"/>
          </w:rPr>
          <w:t>What options were identified in the Consultation RIS to address the problems and what feedback was provided?</w:t>
        </w:r>
        <w:r w:rsidR="00036405">
          <w:rPr>
            <w:webHidden/>
          </w:rPr>
          <w:tab/>
        </w:r>
        <w:r w:rsidR="00036405">
          <w:rPr>
            <w:webHidden/>
          </w:rPr>
          <w:fldChar w:fldCharType="begin"/>
        </w:r>
        <w:r w:rsidR="00036405">
          <w:rPr>
            <w:webHidden/>
          </w:rPr>
          <w:instrText xml:space="preserve"> PAGEREF _Toc62219406 \h </w:instrText>
        </w:r>
        <w:r w:rsidR="00036405">
          <w:rPr>
            <w:webHidden/>
          </w:rPr>
        </w:r>
        <w:r w:rsidR="00036405">
          <w:rPr>
            <w:webHidden/>
          </w:rPr>
          <w:fldChar w:fldCharType="separate"/>
        </w:r>
        <w:r w:rsidR="004031E8">
          <w:rPr>
            <w:webHidden/>
          </w:rPr>
          <w:t>35</w:t>
        </w:r>
        <w:r w:rsidR="00036405">
          <w:rPr>
            <w:webHidden/>
          </w:rPr>
          <w:fldChar w:fldCharType="end"/>
        </w:r>
      </w:hyperlink>
    </w:p>
    <w:p w14:paraId="4AA4B2E4" w14:textId="239F2AA2" w:rsidR="00036405" w:rsidRDefault="0075305C">
      <w:pPr>
        <w:pStyle w:val="TOC2"/>
        <w:rPr>
          <w:rFonts w:asciiTheme="minorHAnsi" w:eastAsiaTheme="minorEastAsia" w:hAnsiTheme="minorHAnsi"/>
          <w:lang w:eastAsia="en-AU"/>
        </w:rPr>
      </w:pPr>
      <w:hyperlink w:anchor="_Toc62219407" w:history="1">
        <w:r w:rsidR="00036405" w:rsidRPr="006927FF">
          <w:rPr>
            <w:rStyle w:val="Hyperlink"/>
          </w:rPr>
          <w:t>4.4</w:t>
        </w:r>
        <w:r w:rsidR="00036405">
          <w:rPr>
            <w:rFonts w:asciiTheme="minorHAnsi" w:eastAsiaTheme="minorEastAsia" w:hAnsiTheme="minorHAnsi"/>
            <w:lang w:eastAsia="en-AU"/>
          </w:rPr>
          <w:tab/>
        </w:r>
        <w:r w:rsidR="00036405" w:rsidRPr="006927FF">
          <w:rPr>
            <w:rStyle w:val="Hyperlink"/>
          </w:rPr>
          <w:t>Summary of policy options for when a pipeline should be regulated</w:t>
        </w:r>
        <w:r w:rsidR="00036405">
          <w:rPr>
            <w:webHidden/>
          </w:rPr>
          <w:tab/>
        </w:r>
        <w:r w:rsidR="00036405">
          <w:rPr>
            <w:webHidden/>
          </w:rPr>
          <w:fldChar w:fldCharType="begin"/>
        </w:r>
        <w:r w:rsidR="00036405">
          <w:rPr>
            <w:webHidden/>
          </w:rPr>
          <w:instrText xml:space="preserve"> PAGEREF _Toc62219407 \h </w:instrText>
        </w:r>
        <w:r w:rsidR="00036405">
          <w:rPr>
            <w:webHidden/>
          </w:rPr>
        </w:r>
        <w:r w:rsidR="00036405">
          <w:rPr>
            <w:webHidden/>
          </w:rPr>
          <w:fldChar w:fldCharType="separate"/>
        </w:r>
        <w:r w:rsidR="004031E8">
          <w:rPr>
            <w:webHidden/>
          </w:rPr>
          <w:t>46</w:t>
        </w:r>
        <w:r w:rsidR="00036405">
          <w:rPr>
            <w:webHidden/>
          </w:rPr>
          <w:fldChar w:fldCharType="end"/>
        </w:r>
      </w:hyperlink>
    </w:p>
    <w:p w14:paraId="2B6FB4F6" w14:textId="4852C982" w:rsidR="00036405" w:rsidRDefault="0075305C">
      <w:pPr>
        <w:pStyle w:val="TOC1"/>
        <w:rPr>
          <w:rFonts w:asciiTheme="minorHAnsi" w:eastAsiaTheme="minorEastAsia" w:hAnsiTheme="minorHAnsi"/>
          <w:b w:val="0"/>
          <w:lang w:eastAsia="en-AU"/>
        </w:rPr>
      </w:pPr>
      <w:hyperlink w:anchor="_Toc62219408" w:history="1">
        <w:r w:rsidR="00036405" w:rsidRPr="006927FF">
          <w:rPr>
            <w:rStyle w:val="Hyperlink"/>
          </w:rPr>
          <w:t>5.</w:t>
        </w:r>
        <w:r w:rsidR="00036405">
          <w:rPr>
            <w:rFonts w:asciiTheme="minorHAnsi" w:eastAsiaTheme="minorEastAsia" w:hAnsiTheme="minorHAnsi"/>
            <w:b w:val="0"/>
            <w:lang w:eastAsia="en-AU"/>
          </w:rPr>
          <w:tab/>
        </w:r>
        <w:r w:rsidR="00036405" w:rsidRPr="006927FF">
          <w:rPr>
            <w:rStyle w:val="Hyperlink"/>
          </w:rPr>
          <w:t>Reform focus 2: Forms of regulation and movements between the alternative forms of regulation</w:t>
        </w:r>
        <w:r w:rsidR="00036405">
          <w:rPr>
            <w:webHidden/>
          </w:rPr>
          <w:tab/>
        </w:r>
        <w:r w:rsidR="00036405">
          <w:rPr>
            <w:webHidden/>
          </w:rPr>
          <w:fldChar w:fldCharType="begin"/>
        </w:r>
        <w:r w:rsidR="00036405">
          <w:rPr>
            <w:webHidden/>
          </w:rPr>
          <w:instrText xml:space="preserve"> PAGEREF _Toc62219408 \h </w:instrText>
        </w:r>
        <w:r w:rsidR="00036405">
          <w:rPr>
            <w:webHidden/>
          </w:rPr>
        </w:r>
        <w:r w:rsidR="00036405">
          <w:rPr>
            <w:webHidden/>
          </w:rPr>
          <w:fldChar w:fldCharType="separate"/>
        </w:r>
        <w:r w:rsidR="004031E8">
          <w:rPr>
            <w:webHidden/>
          </w:rPr>
          <w:t>47</w:t>
        </w:r>
        <w:r w:rsidR="00036405">
          <w:rPr>
            <w:webHidden/>
          </w:rPr>
          <w:fldChar w:fldCharType="end"/>
        </w:r>
      </w:hyperlink>
    </w:p>
    <w:p w14:paraId="777E1CED" w14:textId="23EA6C28" w:rsidR="00036405" w:rsidRDefault="0075305C">
      <w:pPr>
        <w:pStyle w:val="TOC2"/>
        <w:rPr>
          <w:rFonts w:asciiTheme="minorHAnsi" w:eastAsiaTheme="minorEastAsia" w:hAnsiTheme="minorHAnsi"/>
          <w:lang w:eastAsia="en-AU"/>
        </w:rPr>
      </w:pPr>
      <w:hyperlink w:anchor="_Toc62219409" w:history="1">
        <w:r w:rsidR="00036405" w:rsidRPr="006927FF">
          <w:rPr>
            <w:rStyle w:val="Hyperlink"/>
          </w:rPr>
          <w:t>5.1</w:t>
        </w:r>
        <w:r w:rsidR="00036405">
          <w:rPr>
            <w:rFonts w:asciiTheme="minorHAnsi" w:eastAsiaTheme="minorEastAsia" w:hAnsiTheme="minorHAnsi"/>
            <w:lang w:eastAsia="en-AU"/>
          </w:rPr>
          <w:tab/>
        </w:r>
        <w:r w:rsidR="00036405" w:rsidRPr="006927FF">
          <w:rPr>
            <w:rStyle w:val="Hyperlink"/>
          </w:rPr>
          <w:t>What is the current situation?</w:t>
        </w:r>
        <w:r w:rsidR="00036405">
          <w:rPr>
            <w:webHidden/>
          </w:rPr>
          <w:tab/>
        </w:r>
        <w:r w:rsidR="00036405">
          <w:rPr>
            <w:webHidden/>
          </w:rPr>
          <w:fldChar w:fldCharType="begin"/>
        </w:r>
        <w:r w:rsidR="00036405">
          <w:rPr>
            <w:webHidden/>
          </w:rPr>
          <w:instrText xml:space="preserve"> PAGEREF _Toc62219409 \h </w:instrText>
        </w:r>
        <w:r w:rsidR="00036405">
          <w:rPr>
            <w:webHidden/>
          </w:rPr>
        </w:r>
        <w:r w:rsidR="00036405">
          <w:rPr>
            <w:webHidden/>
          </w:rPr>
          <w:fldChar w:fldCharType="separate"/>
        </w:r>
        <w:r w:rsidR="004031E8">
          <w:rPr>
            <w:webHidden/>
          </w:rPr>
          <w:t>48</w:t>
        </w:r>
        <w:r w:rsidR="00036405">
          <w:rPr>
            <w:webHidden/>
          </w:rPr>
          <w:fldChar w:fldCharType="end"/>
        </w:r>
      </w:hyperlink>
    </w:p>
    <w:p w14:paraId="3C28AEF4" w14:textId="1202BDE6" w:rsidR="00036405" w:rsidRDefault="0075305C">
      <w:pPr>
        <w:pStyle w:val="TOC2"/>
        <w:rPr>
          <w:rFonts w:asciiTheme="minorHAnsi" w:eastAsiaTheme="minorEastAsia" w:hAnsiTheme="minorHAnsi"/>
          <w:lang w:eastAsia="en-AU"/>
        </w:rPr>
      </w:pPr>
      <w:hyperlink w:anchor="_Toc62219410" w:history="1">
        <w:r w:rsidR="00036405" w:rsidRPr="006927FF">
          <w:rPr>
            <w:rStyle w:val="Hyperlink"/>
          </w:rPr>
          <w:t>5.2</w:t>
        </w:r>
        <w:r w:rsidR="00036405">
          <w:rPr>
            <w:rFonts w:asciiTheme="minorHAnsi" w:eastAsiaTheme="minorEastAsia" w:hAnsiTheme="minorHAnsi"/>
            <w:lang w:eastAsia="en-AU"/>
          </w:rPr>
          <w:tab/>
        </w:r>
        <w:r w:rsidR="00036405" w:rsidRPr="006927FF">
          <w:rPr>
            <w:rStyle w:val="Hyperlink"/>
          </w:rPr>
          <w:t>What problems have been identified with this aspect of the regulatory framework?</w:t>
        </w:r>
        <w:r w:rsidR="00036405">
          <w:rPr>
            <w:webHidden/>
          </w:rPr>
          <w:tab/>
        </w:r>
        <w:r w:rsidR="00036405">
          <w:rPr>
            <w:webHidden/>
          </w:rPr>
          <w:fldChar w:fldCharType="begin"/>
        </w:r>
        <w:r w:rsidR="00036405">
          <w:rPr>
            <w:webHidden/>
          </w:rPr>
          <w:instrText xml:space="preserve"> PAGEREF _Toc62219410 \h </w:instrText>
        </w:r>
        <w:r w:rsidR="00036405">
          <w:rPr>
            <w:webHidden/>
          </w:rPr>
        </w:r>
        <w:r w:rsidR="00036405">
          <w:rPr>
            <w:webHidden/>
          </w:rPr>
          <w:fldChar w:fldCharType="separate"/>
        </w:r>
        <w:r w:rsidR="004031E8">
          <w:rPr>
            <w:webHidden/>
          </w:rPr>
          <w:t>52</w:t>
        </w:r>
        <w:r w:rsidR="00036405">
          <w:rPr>
            <w:webHidden/>
          </w:rPr>
          <w:fldChar w:fldCharType="end"/>
        </w:r>
      </w:hyperlink>
    </w:p>
    <w:p w14:paraId="7FCC8E0B" w14:textId="29F6F4EC" w:rsidR="00036405" w:rsidRDefault="0075305C">
      <w:pPr>
        <w:pStyle w:val="TOC2"/>
        <w:rPr>
          <w:rFonts w:asciiTheme="minorHAnsi" w:eastAsiaTheme="minorEastAsia" w:hAnsiTheme="minorHAnsi"/>
          <w:lang w:eastAsia="en-AU"/>
        </w:rPr>
      </w:pPr>
      <w:hyperlink w:anchor="_Toc62219411" w:history="1">
        <w:r w:rsidR="00036405" w:rsidRPr="006927FF">
          <w:rPr>
            <w:rStyle w:val="Hyperlink"/>
          </w:rPr>
          <w:t>5.3</w:t>
        </w:r>
        <w:r w:rsidR="00036405">
          <w:rPr>
            <w:rFonts w:asciiTheme="minorHAnsi" w:eastAsiaTheme="minorEastAsia" w:hAnsiTheme="minorHAnsi"/>
            <w:lang w:eastAsia="en-AU"/>
          </w:rPr>
          <w:tab/>
        </w:r>
        <w:r w:rsidR="00036405" w:rsidRPr="006927FF">
          <w:rPr>
            <w:rStyle w:val="Hyperlink"/>
          </w:rPr>
          <w:t>What options were identified in the Consultation RIS to address the problems and what feedback was provided?</w:t>
        </w:r>
        <w:r w:rsidR="00036405">
          <w:rPr>
            <w:webHidden/>
          </w:rPr>
          <w:tab/>
        </w:r>
        <w:r w:rsidR="00036405">
          <w:rPr>
            <w:webHidden/>
          </w:rPr>
          <w:fldChar w:fldCharType="begin"/>
        </w:r>
        <w:r w:rsidR="00036405">
          <w:rPr>
            <w:webHidden/>
          </w:rPr>
          <w:instrText xml:space="preserve"> PAGEREF _Toc62219411 \h </w:instrText>
        </w:r>
        <w:r w:rsidR="00036405">
          <w:rPr>
            <w:webHidden/>
          </w:rPr>
        </w:r>
        <w:r w:rsidR="00036405">
          <w:rPr>
            <w:webHidden/>
          </w:rPr>
          <w:fldChar w:fldCharType="separate"/>
        </w:r>
        <w:r w:rsidR="004031E8">
          <w:rPr>
            <w:webHidden/>
          </w:rPr>
          <w:t>57</w:t>
        </w:r>
        <w:r w:rsidR="00036405">
          <w:rPr>
            <w:webHidden/>
          </w:rPr>
          <w:fldChar w:fldCharType="end"/>
        </w:r>
      </w:hyperlink>
    </w:p>
    <w:p w14:paraId="6572402B" w14:textId="72E63E93" w:rsidR="00036405" w:rsidRDefault="0075305C">
      <w:pPr>
        <w:pStyle w:val="TOC2"/>
        <w:rPr>
          <w:rFonts w:asciiTheme="minorHAnsi" w:eastAsiaTheme="minorEastAsia" w:hAnsiTheme="minorHAnsi"/>
          <w:lang w:eastAsia="en-AU"/>
        </w:rPr>
      </w:pPr>
      <w:hyperlink w:anchor="_Toc62219412" w:history="1">
        <w:r w:rsidR="00036405" w:rsidRPr="006927FF">
          <w:rPr>
            <w:rStyle w:val="Hyperlink"/>
          </w:rPr>
          <w:t>5.4</w:t>
        </w:r>
        <w:r w:rsidR="00036405">
          <w:rPr>
            <w:rFonts w:asciiTheme="minorHAnsi" w:eastAsiaTheme="minorEastAsia" w:hAnsiTheme="minorHAnsi"/>
            <w:lang w:eastAsia="en-AU"/>
          </w:rPr>
          <w:tab/>
        </w:r>
        <w:r w:rsidR="00036405" w:rsidRPr="006927FF">
          <w:rPr>
            <w:rStyle w:val="Hyperlink"/>
          </w:rPr>
          <w:t>Summary of policy options for forms of regulation</w:t>
        </w:r>
        <w:r w:rsidR="00036405">
          <w:rPr>
            <w:webHidden/>
          </w:rPr>
          <w:tab/>
        </w:r>
        <w:r w:rsidR="00036405">
          <w:rPr>
            <w:webHidden/>
          </w:rPr>
          <w:fldChar w:fldCharType="begin"/>
        </w:r>
        <w:r w:rsidR="00036405">
          <w:rPr>
            <w:webHidden/>
          </w:rPr>
          <w:instrText xml:space="preserve"> PAGEREF _Toc62219412 \h </w:instrText>
        </w:r>
        <w:r w:rsidR="00036405">
          <w:rPr>
            <w:webHidden/>
          </w:rPr>
        </w:r>
        <w:r w:rsidR="00036405">
          <w:rPr>
            <w:webHidden/>
          </w:rPr>
          <w:fldChar w:fldCharType="separate"/>
        </w:r>
        <w:r w:rsidR="004031E8">
          <w:rPr>
            <w:webHidden/>
          </w:rPr>
          <w:t>66</w:t>
        </w:r>
        <w:r w:rsidR="00036405">
          <w:rPr>
            <w:webHidden/>
          </w:rPr>
          <w:fldChar w:fldCharType="end"/>
        </w:r>
      </w:hyperlink>
    </w:p>
    <w:p w14:paraId="6B149B58" w14:textId="1C9CF132" w:rsidR="00036405" w:rsidRDefault="0075305C">
      <w:pPr>
        <w:pStyle w:val="TOC1"/>
        <w:rPr>
          <w:rFonts w:asciiTheme="minorHAnsi" w:eastAsiaTheme="minorEastAsia" w:hAnsiTheme="minorHAnsi"/>
          <w:b w:val="0"/>
          <w:lang w:eastAsia="en-AU"/>
        </w:rPr>
      </w:pPr>
      <w:hyperlink w:anchor="_Toc62219413" w:history="1">
        <w:r w:rsidR="00036405" w:rsidRPr="006927FF">
          <w:rPr>
            <w:rStyle w:val="Hyperlink"/>
          </w:rPr>
          <w:t>6.</w:t>
        </w:r>
        <w:r w:rsidR="00036405">
          <w:rPr>
            <w:rFonts w:asciiTheme="minorHAnsi" w:eastAsiaTheme="minorEastAsia" w:hAnsiTheme="minorHAnsi"/>
            <w:b w:val="0"/>
            <w:lang w:eastAsia="en-AU"/>
          </w:rPr>
          <w:tab/>
        </w:r>
        <w:r w:rsidR="00036405" w:rsidRPr="006927FF">
          <w:rPr>
            <w:rStyle w:val="Hyperlink"/>
          </w:rPr>
          <w:t>Reform focus 3: Information disclosure requirements</w:t>
        </w:r>
        <w:r w:rsidR="00036405">
          <w:rPr>
            <w:webHidden/>
          </w:rPr>
          <w:tab/>
        </w:r>
        <w:r w:rsidR="00036405">
          <w:rPr>
            <w:webHidden/>
          </w:rPr>
          <w:fldChar w:fldCharType="begin"/>
        </w:r>
        <w:r w:rsidR="00036405">
          <w:rPr>
            <w:webHidden/>
          </w:rPr>
          <w:instrText xml:space="preserve"> PAGEREF _Toc62219413 \h </w:instrText>
        </w:r>
        <w:r w:rsidR="00036405">
          <w:rPr>
            <w:webHidden/>
          </w:rPr>
        </w:r>
        <w:r w:rsidR="00036405">
          <w:rPr>
            <w:webHidden/>
          </w:rPr>
          <w:fldChar w:fldCharType="separate"/>
        </w:r>
        <w:r w:rsidR="004031E8">
          <w:rPr>
            <w:webHidden/>
          </w:rPr>
          <w:t>67</w:t>
        </w:r>
        <w:r w:rsidR="00036405">
          <w:rPr>
            <w:webHidden/>
          </w:rPr>
          <w:fldChar w:fldCharType="end"/>
        </w:r>
      </w:hyperlink>
    </w:p>
    <w:p w14:paraId="10986420" w14:textId="1706B2CF" w:rsidR="00036405" w:rsidRDefault="0075305C">
      <w:pPr>
        <w:pStyle w:val="TOC2"/>
        <w:rPr>
          <w:rFonts w:asciiTheme="minorHAnsi" w:eastAsiaTheme="minorEastAsia" w:hAnsiTheme="minorHAnsi"/>
          <w:lang w:eastAsia="en-AU"/>
        </w:rPr>
      </w:pPr>
      <w:hyperlink w:anchor="_Toc62219414" w:history="1">
        <w:r w:rsidR="00036405" w:rsidRPr="006927FF">
          <w:rPr>
            <w:rStyle w:val="Hyperlink"/>
          </w:rPr>
          <w:t>6.1</w:t>
        </w:r>
        <w:r w:rsidR="00036405">
          <w:rPr>
            <w:rFonts w:asciiTheme="minorHAnsi" w:eastAsiaTheme="minorEastAsia" w:hAnsiTheme="minorHAnsi"/>
            <w:lang w:eastAsia="en-AU"/>
          </w:rPr>
          <w:tab/>
        </w:r>
        <w:r w:rsidR="00036405" w:rsidRPr="006927FF">
          <w:rPr>
            <w:rStyle w:val="Hyperlink"/>
          </w:rPr>
          <w:t>What is the current situation?</w:t>
        </w:r>
        <w:r w:rsidR="00036405">
          <w:rPr>
            <w:webHidden/>
          </w:rPr>
          <w:tab/>
        </w:r>
        <w:r w:rsidR="00036405">
          <w:rPr>
            <w:webHidden/>
          </w:rPr>
          <w:fldChar w:fldCharType="begin"/>
        </w:r>
        <w:r w:rsidR="00036405">
          <w:rPr>
            <w:webHidden/>
          </w:rPr>
          <w:instrText xml:space="preserve"> PAGEREF _Toc62219414 \h </w:instrText>
        </w:r>
        <w:r w:rsidR="00036405">
          <w:rPr>
            <w:webHidden/>
          </w:rPr>
        </w:r>
        <w:r w:rsidR="00036405">
          <w:rPr>
            <w:webHidden/>
          </w:rPr>
          <w:fldChar w:fldCharType="separate"/>
        </w:r>
        <w:r w:rsidR="004031E8">
          <w:rPr>
            <w:webHidden/>
          </w:rPr>
          <w:t>67</w:t>
        </w:r>
        <w:r w:rsidR="00036405">
          <w:rPr>
            <w:webHidden/>
          </w:rPr>
          <w:fldChar w:fldCharType="end"/>
        </w:r>
      </w:hyperlink>
    </w:p>
    <w:p w14:paraId="4145DB7E" w14:textId="4EF54B20" w:rsidR="00036405" w:rsidRDefault="0075305C">
      <w:pPr>
        <w:pStyle w:val="TOC2"/>
        <w:rPr>
          <w:rFonts w:asciiTheme="minorHAnsi" w:eastAsiaTheme="minorEastAsia" w:hAnsiTheme="minorHAnsi"/>
          <w:lang w:eastAsia="en-AU"/>
        </w:rPr>
      </w:pPr>
      <w:hyperlink w:anchor="_Toc62219415" w:history="1">
        <w:r w:rsidR="00036405" w:rsidRPr="006927FF">
          <w:rPr>
            <w:rStyle w:val="Hyperlink"/>
          </w:rPr>
          <w:t>6.2</w:t>
        </w:r>
        <w:r w:rsidR="00036405">
          <w:rPr>
            <w:rFonts w:asciiTheme="minorHAnsi" w:eastAsiaTheme="minorEastAsia" w:hAnsiTheme="minorHAnsi"/>
            <w:lang w:eastAsia="en-AU"/>
          </w:rPr>
          <w:tab/>
        </w:r>
        <w:r w:rsidR="00036405" w:rsidRPr="006927FF">
          <w:rPr>
            <w:rStyle w:val="Hyperlink"/>
          </w:rPr>
          <w:t>What problems have been identified with this aspect of the regulatory framework and what feedback was provided?</w:t>
        </w:r>
        <w:r w:rsidR="00036405">
          <w:rPr>
            <w:webHidden/>
          </w:rPr>
          <w:tab/>
        </w:r>
        <w:r w:rsidR="00036405">
          <w:rPr>
            <w:webHidden/>
          </w:rPr>
          <w:fldChar w:fldCharType="begin"/>
        </w:r>
        <w:r w:rsidR="00036405">
          <w:rPr>
            <w:webHidden/>
          </w:rPr>
          <w:instrText xml:space="preserve"> PAGEREF _Toc62219415 \h </w:instrText>
        </w:r>
        <w:r w:rsidR="00036405">
          <w:rPr>
            <w:webHidden/>
          </w:rPr>
        </w:r>
        <w:r w:rsidR="00036405">
          <w:rPr>
            <w:webHidden/>
          </w:rPr>
          <w:fldChar w:fldCharType="separate"/>
        </w:r>
        <w:r w:rsidR="004031E8">
          <w:rPr>
            <w:webHidden/>
          </w:rPr>
          <w:t>70</w:t>
        </w:r>
        <w:r w:rsidR="00036405">
          <w:rPr>
            <w:webHidden/>
          </w:rPr>
          <w:fldChar w:fldCharType="end"/>
        </w:r>
      </w:hyperlink>
    </w:p>
    <w:p w14:paraId="30024FA2" w14:textId="1CA02806" w:rsidR="00036405" w:rsidRDefault="0075305C">
      <w:pPr>
        <w:pStyle w:val="TOC2"/>
        <w:rPr>
          <w:rFonts w:asciiTheme="minorHAnsi" w:eastAsiaTheme="minorEastAsia" w:hAnsiTheme="minorHAnsi"/>
          <w:lang w:eastAsia="en-AU"/>
        </w:rPr>
      </w:pPr>
      <w:hyperlink w:anchor="_Toc62219416" w:history="1">
        <w:r w:rsidR="00036405" w:rsidRPr="006927FF">
          <w:rPr>
            <w:rStyle w:val="Hyperlink"/>
          </w:rPr>
          <w:t>6.3</w:t>
        </w:r>
        <w:r w:rsidR="00036405">
          <w:rPr>
            <w:rFonts w:asciiTheme="minorHAnsi" w:eastAsiaTheme="minorEastAsia" w:hAnsiTheme="minorHAnsi"/>
            <w:lang w:eastAsia="en-AU"/>
          </w:rPr>
          <w:tab/>
        </w:r>
        <w:r w:rsidR="00036405" w:rsidRPr="006927FF">
          <w:rPr>
            <w:rStyle w:val="Hyperlink"/>
          </w:rPr>
          <w:t>What options were identified in the Consultation RIS to address the problems and what feedback was provided?</w:t>
        </w:r>
        <w:r w:rsidR="00036405">
          <w:rPr>
            <w:webHidden/>
          </w:rPr>
          <w:tab/>
        </w:r>
        <w:r w:rsidR="00036405">
          <w:rPr>
            <w:webHidden/>
          </w:rPr>
          <w:fldChar w:fldCharType="begin"/>
        </w:r>
        <w:r w:rsidR="00036405">
          <w:rPr>
            <w:webHidden/>
          </w:rPr>
          <w:instrText xml:space="preserve"> PAGEREF _Toc62219416 \h </w:instrText>
        </w:r>
        <w:r w:rsidR="00036405">
          <w:rPr>
            <w:webHidden/>
          </w:rPr>
        </w:r>
        <w:r w:rsidR="00036405">
          <w:rPr>
            <w:webHidden/>
          </w:rPr>
          <w:fldChar w:fldCharType="separate"/>
        </w:r>
        <w:r w:rsidR="004031E8">
          <w:rPr>
            <w:webHidden/>
          </w:rPr>
          <w:t>72</w:t>
        </w:r>
        <w:r w:rsidR="00036405">
          <w:rPr>
            <w:webHidden/>
          </w:rPr>
          <w:fldChar w:fldCharType="end"/>
        </w:r>
      </w:hyperlink>
    </w:p>
    <w:p w14:paraId="63B5D20A" w14:textId="04D46788" w:rsidR="00036405" w:rsidRDefault="0075305C">
      <w:pPr>
        <w:pStyle w:val="TOC2"/>
        <w:rPr>
          <w:rFonts w:asciiTheme="minorHAnsi" w:eastAsiaTheme="minorEastAsia" w:hAnsiTheme="minorHAnsi"/>
          <w:lang w:eastAsia="en-AU"/>
        </w:rPr>
      </w:pPr>
      <w:hyperlink w:anchor="_Toc62219417" w:history="1">
        <w:r w:rsidR="00036405" w:rsidRPr="006927FF">
          <w:rPr>
            <w:rStyle w:val="Hyperlink"/>
          </w:rPr>
          <w:t>6.4</w:t>
        </w:r>
        <w:r w:rsidR="00036405">
          <w:rPr>
            <w:rFonts w:asciiTheme="minorHAnsi" w:eastAsiaTheme="minorEastAsia" w:hAnsiTheme="minorHAnsi"/>
            <w:lang w:eastAsia="en-AU"/>
          </w:rPr>
          <w:tab/>
        </w:r>
        <w:r w:rsidR="00036405" w:rsidRPr="006927FF">
          <w:rPr>
            <w:rStyle w:val="Hyperlink"/>
          </w:rPr>
          <w:t>Summary of policy options for information disclosure</w:t>
        </w:r>
        <w:r w:rsidR="00036405">
          <w:rPr>
            <w:webHidden/>
          </w:rPr>
          <w:tab/>
        </w:r>
        <w:r w:rsidR="00036405">
          <w:rPr>
            <w:webHidden/>
          </w:rPr>
          <w:fldChar w:fldCharType="begin"/>
        </w:r>
        <w:r w:rsidR="00036405">
          <w:rPr>
            <w:webHidden/>
          </w:rPr>
          <w:instrText xml:space="preserve"> PAGEREF _Toc62219417 \h </w:instrText>
        </w:r>
        <w:r w:rsidR="00036405">
          <w:rPr>
            <w:webHidden/>
          </w:rPr>
        </w:r>
        <w:r w:rsidR="00036405">
          <w:rPr>
            <w:webHidden/>
          </w:rPr>
          <w:fldChar w:fldCharType="separate"/>
        </w:r>
        <w:r w:rsidR="004031E8">
          <w:rPr>
            <w:webHidden/>
          </w:rPr>
          <w:t>85</w:t>
        </w:r>
        <w:r w:rsidR="00036405">
          <w:rPr>
            <w:webHidden/>
          </w:rPr>
          <w:fldChar w:fldCharType="end"/>
        </w:r>
      </w:hyperlink>
    </w:p>
    <w:p w14:paraId="5147C1D1" w14:textId="544E0383" w:rsidR="00036405" w:rsidRDefault="0075305C">
      <w:pPr>
        <w:pStyle w:val="TOC1"/>
        <w:rPr>
          <w:rFonts w:asciiTheme="minorHAnsi" w:eastAsiaTheme="minorEastAsia" w:hAnsiTheme="minorHAnsi"/>
          <w:b w:val="0"/>
          <w:lang w:eastAsia="en-AU"/>
        </w:rPr>
      </w:pPr>
      <w:hyperlink w:anchor="_Toc62219418" w:history="1">
        <w:r w:rsidR="00036405" w:rsidRPr="006927FF">
          <w:rPr>
            <w:rStyle w:val="Hyperlink"/>
          </w:rPr>
          <w:t>7.</w:t>
        </w:r>
        <w:r w:rsidR="00036405">
          <w:rPr>
            <w:rFonts w:asciiTheme="minorHAnsi" w:eastAsiaTheme="minorEastAsia" w:hAnsiTheme="minorHAnsi"/>
            <w:b w:val="0"/>
            <w:lang w:eastAsia="en-AU"/>
          </w:rPr>
          <w:tab/>
        </w:r>
        <w:r w:rsidR="00036405" w:rsidRPr="006927FF">
          <w:rPr>
            <w:rStyle w:val="Hyperlink"/>
          </w:rPr>
          <w:t>Reform focus 4: Negotiation frameworks and dispute resolution mechanisms</w:t>
        </w:r>
        <w:r w:rsidR="00036405">
          <w:rPr>
            <w:webHidden/>
          </w:rPr>
          <w:tab/>
        </w:r>
        <w:r w:rsidR="00036405">
          <w:rPr>
            <w:webHidden/>
          </w:rPr>
          <w:fldChar w:fldCharType="begin"/>
        </w:r>
        <w:r w:rsidR="00036405">
          <w:rPr>
            <w:webHidden/>
          </w:rPr>
          <w:instrText xml:space="preserve"> PAGEREF _Toc62219418 \h </w:instrText>
        </w:r>
        <w:r w:rsidR="00036405">
          <w:rPr>
            <w:webHidden/>
          </w:rPr>
        </w:r>
        <w:r w:rsidR="00036405">
          <w:rPr>
            <w:webHidden/>
          </w:rPr>
          <w:fldChar w:fldCharType="separate"/>
        </w:r>
        <w:r w:rsidR="004031E8">
          <w:rPr>
            <w:webHidden/>
          </w:rPr>
          <w:t>86</w:t>
        </w:r>
        <w:r w:rsidR="00036405">
          <w:rPr>
            <w:webHidden/>
          </w:rPr>
          <w:fldChar w:fldCharType="end"/>
        </w:r>
      </w:hyperlink>
    </w:p>
    <w:p w14:paraId="48E35640" w14:textId="506F42F1" w:rsidR="00036405" w:rsidRDefault="0075305C">
      <w:pPr>
        <w:pStyle w:val="TOC2"/>
        <w:rPr>
          <w:rFonts w:asciiTheme="minorHAnsi" w:eastAsiaTheme="minorEastAsia" w:hAnsiTheme="minorHAnsi"/>
          <w:lang w:eastAsia="en-AU"/>
        </w:rPr>
      </w:pPr>
      <w:hyperlink w:anchor="_Toc62219419" w:history="1">
        <w:r w:rsidR="00036405" w:rsidRPr="006927FF">
          <w:rPr>
            <w:rStyle w:val="Hyperlink"/>
          </w:rPr>
          <w:t>7.1</w:t>
        </w:r>
        <w:r w:rsidR="00036405">
          <w:rPr>
            <w:rFonts w:asciiTheme="minorHAnsi" w:eastAsiaTheme="minorEastAsia" w:hAnsiTheme="minorHAnsi"/>
            <w:lang w:eastAsia="en-AU"/>
          </w:rPr>
          <w:tab/>
        </w:r>
        <w:r w:rsidR="00036405" w:rsidRPr="006927FF">
          <w:rPr>
            <w:rStyle w:val="Hyperlink"/>
          </w:rPr>
          <w:t>What is the current situation?</w:t>
        </w:r>
        <w:r w:rsidR="00036405">
          <w:rPr>
            <w:webHidden/>
          </w:rPr>
          <w:tab/>
        </w:r>
        <w:r w:rsidR="00036405">
          <w:rPr>
            <w:webHidden/>
          </w:rPr>
          <w:fldChar w:fldCharType="begin"/>
        </w:r>
        <w:r w:rsidR="00036405">
          <w:rPr>
            <w:webHidden/>
          </w:rPr>
          <w:instrText xml:space="preserve"> PAGEREF _Toc62219419 \h </w:instrText>
        </w:r>
        <w:r w:rsidR="00036405">
          <w:rPr>
            <w:webHidden/>
          </w:rPr>
        </w:r>
        <w:r w:rsidR="00036405">
          <w:rPr>
            <w:webHidden/>
          </w:rPr>
          <w:fldChar w:fldCharType="separate"/>
        </w:r>
        <w:r w:rsidR="004031E8">
          <w:rPr>
            <w:webHidden/>
          </w:rPr>
          <w:t>86</w:t>
        </w:r>
        <w:r w:rsidR="00036405">
          <w:rPr>
            <w:webHidden/>
          </w:rPr>
          <w:fldChar w:fldCharType="end"/>
        </w:r>
      </w:hyperlink>
    </w:p>
    <w:p w14:paraId="5470C198" w14:textId="487F2831" w:rsidR="00036405" w:rsidRDefault="0075305C">
      <w:pPr>
        <w:pStyle w:val="TOC2"/>
        <w:rPr>
          <w:rFonts w:asciiTheme="minorHAnsi" w:eastAsiaTheme="minorEastAsia" w:hAnsiTheme="minorHAnsi"/>
          <w:lang w:eastAsia="en-AU"/>
        </w:rPr>
      </w:pPr>
      <w:hyperlink w:anchor="_Toc62219420" w:history="1">
        <w:r w:rsidR="00036405" w:rsidRPr="006927FF">
          <w:rPr>
            <w:rStyle w:val="Hyperlink"/>
          </w:rPr>
          <w:t>7.2</w:t>
        </w:r>
        <w:r w:rsidR="00036405">
          <w:rPr>
            <w:rFonts w:asciiTheme="minorHAnsi" w:eastAsiaTheme="minorEastAsia" w:hAnsiTheme="minorHAnsi"/>
            <w:lang w:eastAsia="en-AU"/>
          </w:rPr>
          <w:tab/>
        </w:r>
        <w:r w:rsidR="00036405" w:rsidRPr="006927FF">
          <w:rPr>
            <w:rStyle w:val="Hyperlink"/>
          </w:rPr>
          <w:t>What problems have been identified with this aspect of the regulatory framework and what feedback was provided?</w:t>
        </w:r>
        <w:r w:rsidR="00036405">
          <w:rPr>
            <w:webHidden/>
          </w:rPr>
          <w:tab/>
        </w:r>
        <w:r w:rsidR="00036405">
          <w:rPr>
            <w:webHidden/>
          </w:rPr>
          <w:fldChar w:fldCharType="begin"/>
        </w:r>
        <w:r w:rsidR="00036405">
          <w:rPr>
            <w:webHidden/>
          </w:rPr>
          <w:instrText xml:space="preserve"> PAGEREF _Toc62219420 \h </w:instrText>
        </w:r>
        <w:r w:rsidR="00036405">
          <w:rPr>
            <w:webHidden/>
          </w:rPr>
        </w:r>
        <w:r w:rsidR="00036405">
          <w:rPr>
            <w:webHidden/>
          </w:rPr>
          <w:fldChar w:fldCharType="separate"/>
        </w:r>
        <w:r w:rsidR="004031E8">
          <w:rPr>
            <w:webHidden/>
          </w:rPr>
          <w:t>92</w:t>
        </w:r>
        <w:r w:rsidR="00036405">
          <w:rPr>
            <w:webHidden/>
          </w:rPr>
          <w:fldChar w:fldCharType="end"/>
        </w:r>
      </w:hyperlink>
    </w:p>
    <w:p w14:paraId="04BFD716" w14:textId="14CF1DE0" w:rsidR="00036405" w:rsidRDefault="0075305C">
      <w:pPr>
        <w:pStyle w:val="TOC2"/>
        <w:rPr>
          <w:rFonts w:asciiTheme="minorHAnsi" w:eastAsiaTheme="minorEastAsia" w:hAnsiTheme="minorHAnsi"/>
          <w:lang w:eastAsia="en-AU"/>
        </w:rPr>
      </w:pPr>
      <w:hyperlink w:anchor="_Toc62219421" w:history="1">
        <w:r w:rsidR="00036405" w:rsidRPr="006927FF">
          <w:rPr>
            <w:rStyle w:val="Hyperlink"/>
          </w:rPr>
          <w:t>7.3</w:t>
        </w:r>
        <w:r w:rsidR="00036405">
          <w:rPr>
            <w:rFonts w:asciiTheme="minorHAnsi" w:eastAsiaTheme="minorEastAsia" w:hAnsiTheme="minorHAnsi"/>
            <w:lang w:eastAsia="en-AU"/>
          </w:rPr>
          <w:tab/>
        </w:r>
        <w:r w:rsidR="00036405" w:rsidRPr="006927FF">
          <w:rPr>
            <w:rStyle w:val="Hyperlink"/>
          </w:rPr>
          <w:t>What options were identified in the Consultation RIS to address the problems and what feedback was provided?</w:t>
        </w:r>
        <w:r w:rsidR="00036405">
          <w:rPr>
            <w:webHidden/>
          </w:rPr>
          <w:tab/>
        </w:r>
        <w:r w:rsidR="00036405">
          <w:rPr>
            <w:webHidden/>
          </w:rPr>
          <w:fldChar w:fldCharType="begin"/>
        </w:r>
        <w:r w:rsidR="00036405">
          <w:rPr>
            <w:webHidden/>
          </w:rPr>
          <w:instrText xml:space="preserve"> PAGEREF _Toc62219421 \h </w:instrText>
        </w:r>
        <w:r w:rsidR="00036405">
          <w:rPr>
            <w:webHidden/>
          </w:rPr>
        </w:r>
        <w:r w:rsidR="00036405">
          <w:rPr>
            <w:webHidden/>
          </w:rPr>
          <w:fldChar w:fldCharType="separate"/>
        </w:r>
        <w:r w:rsidR="004031E8">
          <w:rPr>
            <w:webHidden/>
          </w:rPr>
          <w:t>95</w:t>
        </w:r>
        <w:r w:rsidR="00036405">
          <w:rPr>
            <w:webHidden/>
          </w:rPr>
          <w:fldChar w:fldCharType="end"/>
        </w:r>
      </w:hyperlink>
    </w:p>
    <w:p w14:paraId="4EAB2BED" w14:textId="3B153620" w:rsidR="00036405" w:rsidRDefault="0075305C">
      <w:pPr>
        <w:pStyle w:val="TOC2"/>
        <w:rPr>
          <w:rFonts w:asciiTheme="minorHAnsi" w:eastAsiaTheme="minorEastAsia" w:hAnsiTheme="minorHAnsi"/>
          <w:lang w:eastAsia="en-AU"/>
        </w:rPr>
      </w:pPr>
      <w:hyperlink w:anchor="_Toc62219422" w:history="1">
        <w:r w:rsidR="00036405" w:rsidRPr="006927FF">
          <w:rPr>
            <w:rStyle w:val="Hyperlink"/>
          </w:rPr>
          <w:t>7.4</w:t>
        </w:r>
        <w:r w:rsidR="00036405">
          <w:rPr>
            <w:rFonts w:asciiTheme="minorHAnsi" w:eastAsiaTheme="minorEastAsia" w:hAnsiTheme="minorHAnsi"/>
            <w:lang w:eastAsia="en-AU"/>
          </w:rPr>
          <w:tab/>
        </w:r>
        <w:r w:rsidR="00036405" w:rsidRPr="006927FF">
          <w:rPr>
            <w:rStyle w:val="Hyperlink"/>
          </w:rPr>
          <w:t>Summary of policy options for negotiation framework and dispute resolution mechanism</w:t>
        </w:r>
        <w:r w:rsidR="00036405">
          <w:rPr>
            <w:webHidden/>
          </w:rPr>
          <w:tab/>
        </w:r>
        <w:r w:rsidR="00036405">
          <w:rPr>
            <w:webHidden/>
          </w:rPr>
          <w:fldChar w:fldCharType="begin"/>
        </w:r>
        <w:r w:rsidR="00036405">
          <w:rPr>
            <w:webHidden/>
          </w:rPr>
          <w:instrText xml:space="preserve"> PAGEREF _Toc62219422 \h </w:instrText>
        </w:r>
        <w:r w:rsidR="00036405">
          <w:rPr>
            <w:webHidden/>
          </w:rPr>
        </w:r>
        <w:r w:rsidR="00036405">
          <w:rPr>
            <w:webHidden/>
          </w:rPr>
          <w:fldChar w:fldCharType="separate"/>
        </w:r>
        <w:r w:rsidR="004031E8">
          <w:rPr>
            <w:webHidden/>
          </w:rPr>
          <w:t>104</w:t>
        </w:r>
        <w:r w:rsidR="00036405">
          <w:rPr>
            <w:webHidden/>
          </w:rPr>
          <w:fldChar w:fldCharType="end"/>
        </w:r>
      </w:hyperlink>
    </w:p>
    <w:p w14:paraId="17C10123" w14:textId="66B5F073" w:rsidR="00036405" w:rsidRDefault="0075305C">
      <w:pPr>
        <w:pStyle w:val="TOC1"/>
        <w:rPr>
          <w:rFonts w:asciiTheme="minorHAnsi" w:eastAsiaTheme="minorEastAsia" w:hAnsiTheme="minorHAnsi"/>
          <w:b w:val="0"/>
          <w:lang w:eastAsia="en-AU"/>
        </w:rPr>
      </w:pPr>
      <w:hyperlink w:anchor="_Toc62219423" w:history="1">
        <w:r w:rsidR="00036405" w:rsidRPr="006927FF">
          <w:rPr>
            <w:rStyle w:val="Hyperlink"/>
          </w:rPr>
          <w:t>8.</w:t>
        </w:r>
        <w:r w:rsidR="00036405">
          <w:rPr>
            <w:rFonts w:asciiTheme="minorHAnsi" w:eastAsiaTheme="minorEastAsia" w:hAnsiTheme="minorHAnsi"/>
            <w:b w:val="0"/>
            <w:lang w:eastAsia="en-AU"/>
          </w:rPr>
          <w:tab/>
        </w:r>
        <w:r w:rsidR="00036405" w:rsidRPr="006927FF">
          <w:rPr>
            <w:rStyle w:val="Hyperlink"/>
          </w:rPr>
          <w:t>Policy options considered as part of the RIS</w:t>
        </w:r>
        <w:r w:rsidR="00036405">
          <w:rPr>
            <w:webHidden/>
          </w:rPr>
          <w:tab/>
        </w:r>
        <w:r w:rsidR="00036405">
          <w:rPr>
            <w:webHidden/>
          </w:rPr>
          <w:fldChar w:fldCharType="begin"/>
        </w:r>
        <w:r w:rsidR="00036405">
          <w:rPr>
            <w:webHidden/>
          </w:rPr>
          <w:instrText xml:space="preserve"> PAGEREF _Toc62219423 \h </w:instrText>
        </w:r>
        <w:r w:rsidR="00036405">
          <w:rPr>
            <w:webHidden/>
          </w:rPr>
        </w:r>
        <w:r w:rsidR="00036405">
          <w:rPr>
            <w:webHidden/>
          </w:rPr>
          <w:fldChar w:fldCharType="separate"/>
        </w:r>
        <w:r w:rsidR="004031E8">
          <w:rPr>
            <w:webHidden/>
          </w:rPr>
          <w:t>105</w:t>
        </w:r>
        <w:r w:rsidR="00036405">
          <w:rPr>
            <w:webHidden/>
          </w:rPr>
          <w:fldChar w:fldCharType="end"/>
        </w:r>
      </w:hyperlink>
    </w:p>
    <w:p w14:paraId="62554D9E" w14:textId="77EB1A02" w:rsidR="00036405" w:rsidRDefault="0075305C">
      <w:pPr>
        <w:pStyle w:val="TOC2"/>
        <w:rPr>
          <w:rFonts w:asciiTheme="minorHAnsi" w:eastAsiaTheme="minorEastAsia" w:hAnsiTheme="minorHAnsi"/>
          <w:lang w:eastAsia="en-AU"/>
        </w:rPr>
      </w:pPr>
      <w:hyperlink w:anchor="_Toc62219424" w:history="1">
        <w:r w:rsidR="00036405" w:rsidRPr="006927FF">
          <w:rPr>
            <w:rStyle w:val="Hyperlink"/>
          </w:rPr>
          <w:t>8.1</w:t>
        </w:r>
        <w:r w:rsidR="00036405">
          <w:rPr>
            <w:rFonts w:asciiTheme="minorHAnsi" w:eastAsiaTheme="minorEastAsia" w:hAnsiTheme="minorHAnsi"/>
            <w:lang w:eastAsia="en-AU"/>
          </w:rPr>
          <w:tab/>
        </w:r>
        <w:r w:rsidR="00036405" w:rsidRPr="006927FF">
          <w:rPr>
            <w:rStyle w:val="Hyperlink"/>
          </w:rPr>
          <w:t>Policy options</w:t>
        </w:r>
        <w:r w:rsidR="00036405">
          <w:rPr>
            <w:webHidden/>
          </w:rPr>
          <w:tab/>
        </w:r>
        <w:r w:rsidR="00036405">
          <w:rPr>
            <w:webHidden/>
          </w:rPr>
          <w:fldChar w:fldCharType="begin"/>
        </w:r>
        <w:r w:rsidR="00036405">
          <w:rPr>
            <w:webHidden/>
          </w:rPr>
          <w:instrText xml:space="preserve"> PAGEREF _Toc62219424 \h </w:instrText>
        </w:r>
        <w:r w:rsidR="00036405">
          <w:rPr>
            <w:webHidden/>
          </w:rPr>
        </w:r>
        <w:r w:rsidR="00036405">
          <w:rPr>
            <w:webHidden/>
          </w:rPr>
          <w:fldChar w:fldCharType="separate"/>
        </w:r>
        <w:r w:rsidR="004031E8">
          <w:rPr>
            <w:webHidden/>
          </w:rPr>
          <w:t>105</w:t>
        </w:r>
        <w:r w:rsidR="00036405">
          <w:rPr>
            <w:webHidden/>
          </w:rPr>
          <w:fldChar w:fldCharType="end"/>
        </w:r>
      </w:hyperlink>
    </w:p>
    <w:p w14:paraId="7D8F7F2F" w14:textId="0894FC85" w:rsidR="00036405" w:rsidRDefault="0075305C">
      <w:pPr>
        <w:pStyle w:val="TOC2"/>
        <w:rPr>
          <w:rFonts w:asciiTheme="minorHAnsi" w:eastAsiaTheme="minorEastAsia" w:hAnsiTheme="minorHAnsi"/>
          <w:lang w:eastAsia="en-AU"/>
        </w:rPr>
      </w:pPr>
      <w:hyperlink w:anchor="_Toc62219425" w:history="1">
        <w:r w:rsidR="00036405" w:rsidRPr="006927FF">
          <w:rPr>
            <w:rStyle w:val="Hyperlink"/>
          </w:rPr>
          <w:t>8.2</w:t>
        </w:r>
        <w:r w:rsidR="00036405">
          <w:rPr>
            <w:rFonts w:asciiTheme="minorHAnsi" w:eastAsiaTheme="minorEastAsia" w:hAnsiTheme="minorHAnsi"/>
            <w:lang w:eastAsia="en-AU"/>
          </w:rPr>
          <w:tab/>
        </w:r>
        <w:r w:rsidR="00036405" w:rsidRPr="006927FF">
          <w:rPr>
            <w:rStyle w:val="Hyperlink"/>
          </w:rPr>
          <w:t>Key differences between the reform options</w:t>
        </w:r>
        <w:r w:rsidR="00036405">
          <w:rPr>
            <w:webHidden/>
          </w:rPr>
          <w:tab/>
        </w:r>
        <w:r w:rsidR="00036405">
          <w:rPr>
            <w:webHidden/>
          </w:rPr>
          <w:fldChar w:fldCharType="begin"/>
        </w:r>
        <w:r w:rsidR="00036405">
          <w:rPr>
            <w:webHidden/>
          </w:rPr>
          <w:instrText xml:space="preserve"> PAGEREF _Toc62219425 \h </w:instrText>
        </w:r>
        <w:r w:rsidR="00036405">
          <w:rPr>
            <w:webHidden/>
          </w:rPr>
        </w:r>
        <w:r w:rsidR="00036405">
          <w:rPr>
            <w:webHidden/>
          </w:rPr>
          <w:fldChar w:fldCharType="separate"/>
        </w:r>
        <w:r w:rsidR="004031E8">
          <w:rPr>
            <w:webHidden/>
          </w:rPr>
          <w:t>110</w:t>
        </w:r>
        <w:r w:rsidR="00036405">
          <w:rPr>
            <w:webHidden/>
          </w:rPr>
          <w:fldChar w:fldCharType="end"/>
        </w:r>
      </w:hyperlink>
    </w:p>
    <w:p w14:paraId="050F37A5" w14:textId="0F7E1910" w:rsidR="00036405" w:rsidRDefault="0075305C">
      <w:pPr>
        <w:pStyle w:val="TOC2"/>
        <w:rPr>
          <w:rFonts w:asciiTheme="minorHAnsi" w:eastAsiaTheme="minorEastAsia" w:hAnsiTheme="minorHAnsi"/>
          <w:lang w:eastAsia="en-AU"/>
        </w:rPr>
      </w:pPr>
      <w:hyperlink w:anchor="_Toc62219426" w:history="1">
        <w:r w:rsidR="00036405" w:rsidRPr="006927FF">
          <w:rPr>
            <w:rStyle w:val="Hyperlink"/>
          </w:rPr>
          <w:t>8.3</w:t>
        </w:r>
        <w:r w:rsidR="00036405">
          <w:rPr>
            <w:rFonts w:asciiTheme="minorHAnsi" w:eastAsiaTheme="minorEastAsia" w:hAnsiTheme="minorHAnsi"/>
            <w:lang w:eastAsia="en-AU"/>
          </w:rPr>
          <w:tab/>
        </w:r>
        <w:r w:rsidR="00036405" w:rsidRPr="006927FF">
          <w:rPr>
            <w:rStyle w:val="Hyperlink"/>
          </w:rPr>
          <w:t>Extent to which problems addressed by the policy options</w:t>
        </w:r>
        <w:r w:rsidR="00036405">
          <w:rPr>
            <w:webHidden/>
          </w:rPr>
          <w:tab/>
        </w:r>
        <w:r w:rsidR="00036405">
          <w:rPr>
            <w:webHidden/>
          </w:rPr>
          <w:fldChar w:fldCharType="begin"/>
        </w:r>
        <w:r w:rsidR="00036405">
          <w:rPr>
            <w:webHidden/>
          </w:rPr>
          <w:instrText xml:space="preserve"> PAGEREF _Toc62219426 \h </w:instrText>
        </w:r>
        <w:r w:rsidR="00036405">
          <w:rPr>
            <w:webHidden/>
          </w:rPr>
        </w:r>
        <w:r w:rsidR="00036405">
          <w:rPr>
            <w:webHidden/>
          </w:rPr>
          <w:fldChar w:fldCharType="separate"/>
        </w:r>
        <w:r w:rsidR="004031E8">
          <w:rPr>
            <w:webHidden/>
          </w:rPr>
          <w:t>114</w:t>
        </w:r>
        <w:r w:rsidR="00036405">
          <w:rPr>
            <w:webHidden/>
          </w:rPr>
          <w:fldChar w:fldCharType="end"/>
        </w:r>
      </w:hyperlink>
    </w:p>
    <w:p w14:paraId="33D67B4D" w14:textId="1A38D698" w:rsidR="00036405" w:rsidRDefault="0075305C">
      <w:pPr>
        <w:pStyle w:val="TOC1"/>
        <w:rPr>
          <w:rFonts w:asciiTheme="minorHAnsi" w:eastAsiaTheme="minorEastAsia" w:hAnsiTheme="minorHAnsi"/>
          <w:b w:val="0"/>
          <w:lang w:eastAsia="en-AU"/>
        </w:rPr>
      </w:pPr>
      <w:hyperlink w:anchor="_Toc62219427" w:history="1">
        <w:r w:rsidR="00036405" w:rsidRPr="006927FF">
          <w:rPr>
            <w:rStyle w:val="Hyperlink"/>
          </w:rPr>
          <w:t>9.</w:t>
        </w:r>
        <w:r w:rsidR="00036405">
          <w:rPr>
            <w:rFonts w:asciiTheme="minorHAnsi" w:eastAsiaTheme="minorEastAsia" w:hAnsiTheme="minorHAnsi"/>
            <w:b w:val="0"/>
            <w:lang w:eastAsia="en-AU"/>
          </w:rPr>
          <w:tab/>
        </w:r>
        <w:r w:rsidR="00036405" w:rsidRPr="006927FF">
          <w:rPr>
            <w:rStyle w:val="Hyperlink"/>
          </w:rPr>
          <w:t>Regulatory impact assessment</w:t>
        </w:r>
        <w:r w:rsidR="00036405">
          <w:rPr>
            <w:webHidden/>
          </w:rPr>
          <w:tab/>
        </w:r>
        <w:r w:rsidR="00036405">
          <w:rPr>
            <w:webHidden/>
          </w:rPr>
          <w:fldChar w:fldCharType="begin"/>
        </w:r>
        <w:r w:rsidR="00036405">
          <w:rPr>
            <w:webHidden/>
          </w:rPr>
          <w:instrText xml:space="preserve"> PAGEREF _Toc62219427 \h </w:instrText>
        </w:r>
        <w:r w:rsidR="00036405">
          <w:rPr>
            <w:webHidden/>
          </w:rPr>
        </w:r>
        <w:r w:rsidR="00036405">
          <w:rPr>
            <w:webHidden/>
          </w:rPr>
          <w:fldChar w:fldCharType="separate"/>
        </w:r>
        <w:r w:rsidR="004031E8">
          <w:rPr>
            <w:webHidden/>
          </w:rPr>
          <w:t>117</w:t>
        </w:r>
        <w:r w:rsidR="00036405">
          <w:rPr>
            <w:webHidden/>
          </w:rPr>
          <w:fldChar w:fldCharType="end"/>
        </w:r>
      </w:hyperlink>
    </w:p>
    <w:p w14:paraId="464501F4" w14:textId="7659A191" w:rsidR="00036405" w:rsidRDefault="0075305C">
      <w:pPr>
        <w:pStyle w:val="TOC2"/>
        <w:rPr>
          <w:rFonts w:asciiTheme="minorHAnsi" w:eastAsiaTheme="minorEastAsia" w:hAnsiTheme="minorHAnsi"/>
          <w:lang w:eastAsia="en-AU"/>
        </w:rPr>
      </w:pPr>
      <w:hyperlink w:anchor="_Toc62219428" w:history="1">
        <w:r w:rsidR="00036405" w:rsidRPr="006927FF">
          <w:rPr>
            <w:rStyle w:val="Hyperlink"/>
          </w:rPr>
          <w:t>9.1</w:t>
        </w:r>
        <w:r w:rsidR="00036405">
          <w:rPr>
            <w:rFonts w:asciiTheme="minorHAnsi" w:eastAsiaTheme="minorEastAsia" w:hAnsiTheme="minorHAnsi"/>
            <w:lang w:eastAsia="en-AU"/>
          </w:rPr>
          <w:tab/>
        </w:r>
        <w:r w:rsidR="00036405" w:rsidRPr="006927FF">
          <w:rPr>
            <w:rStyle w:val="Hyperlink"/>
          </w:rPr>
          <w:t>Risk analysis</w:t>
        </w:r>
        <w:r w:rsidR="00036405">
          <w:rPr>
            <w:webHidden/>
          </w:rPr>
          <w:tab/>
        </w:r>
        <w:r w:rsidR="00036405">
          <w:rPr>
            <w:webHidden/>
          </w:rPr>
          <w:fldChar w:fldCharType="begin"/>
        </w:r>
        <w:r w:rsidR="00036405">
          <w:rPr>
            <w:webHidden/>
          </w:rPr>
          <w:instrText xml:space="preserve"> PAGEREF _Toc62219428 \h </w:instrText>
        </w:r>
        <w:r w:rsidR="00036405">
          <w:rPr>
            <w:webHidden/>
          </w:rPr>
        </w:r>
        <w:r w:rsidR="00036405">
          <w:rPr>
            <w:webHidden/>
          </w:rPr>
          <w:fldChar w:fldCharType="separate"/>
        </w:r>
        <w:r w:rsidR="004031E8">
          <w:rPr>
            <w:webHidden/>
          </w:rPr>
          <w:t>118</w:t>
        </w:r>
        <w:r w:rsidR="00036405">
          <w:rPr>
            <w:webHidden/>
          </w:rPr>
          <w:fldChar w:fldCharType="end"/>
        </w:r>
      </w:hyperlink>
    </w:p>
    <w:p w14:paraId="6068C455" w14:textId="569039E1" w:rsidR="00036405" w:rsidRDefault="0075305C">
      <w:pPr>
        <w:pStyle w:val="TOC2"/>
        <w:rPr>
          <w:rFonts w:asciiTheme="minorHAnsi" w:eastAsiaTheme="minorEastAsia" w:hAnsiTheme="minorHAnsi"/>
          <w:lang w:eastAsia="en-AU"/>
        </w:rPr>
      </w:pPr>
      <w:hyperlink w:anchor="_Toc62219429" w:history="1">
        <w:r w:rsidR="00036405" w:rsidRPr="006927FF">
          <w:rPr>
            <w:rStyle w:val="Hyperlink"/>
          </w:rPr>
          <w:t>9.2</w:t>
        </w:r>
        <w:r w:rsidR="00036405">
          <w:rPr>
            <w:rFonts w:asciiTheme="minorHAnsi" w:eastAsiaTheme="minorEastAsia" w:hAnsiTheme="minorHAnsi"/>
            <w:lang w:eastAsia="en-AU"/>
          </w:rPr>
          <w:tab/>
        </w:r>
        <w:r w:rsidR="00036405" w:rsidRPr="006927FF">
          <w:rPr>
            <w:rStyle w:val="Hyperlink"/>
          </w:rPr>
          <w:t>Cost benefit analysis</w:t>
        </w:r>
        <w:r w:rsidR="00036405">
          <w:rPr>
            <w:webHidden/>
          </w:rPr>
          <w:tab/>
        </w:r>
        <w:r w:rsidR="00036405">
          <w:rPr>
            <w:webHidden/>
          </w:rPr>
          <w:fldChar w:fldCharType="begin"/>
        </w:r>
        <w:r w:rsidR="00036405">
          <w:rPr>
            <w:webHidden/>
          </w:rPr>
          <w:instrText xml:space="preserve"> PAGEREF _Toc62219429 \h </w:instrText>
        </w:r>
        <w:r w:rsidR="00036405">
          <w:rPr>
            <w:webHidden/>
          </w:rPr>
        </w:r>
        <w:r w:rsidR="00036405">
          <w:rPr>
            <w:webHidden/>
          </w:rPr>
          <w:fldChar w:fldCharType="separate"/>
        </w:r>
        <w:r w:rsidR="004031E8">
          <w:rPr>
            <w:webHidden/>
          </w:rPr>
          <w:t>120</w:t>
        </w:r>
        <w:r w:rsidR="00036405">
          <w:rPr>
            <w:webHidden/>
          </w:rPr>
          <w:fldChar w:fldCharType="end"/>
        </w:r>
      </w:hyperlink>
    </w:p>
    <w:p w14:paraId="2E40D0CA" w14:textId="5EF93583" w:rsidR="00036405" w:rsidRDefault="0075305C">
      <w:pPr>
        <w:pStyle w:val="TOC2"/>
        <w:rPr>
          <w:rFonts w:asciiTheme="minorHAnsi" w:eastAsiaTheme="minorEastAsia" w:hAnsiTheme="minorHAnsi"/>
          <w:lang w:eastAsia="en-AU"/>
        </w:rPr>
      </w:pPr>
      <w:hyperlink w:anchor="_Toc62219430" w:history="1">
        <w:r w:rsidR="00036405" w:rsidRPr="006927FF">
          <w:rPr>
            <w:rStyle w:val="Hyperlink"/>
          </w:rPr>
          <w:t>9.3</w:t>
        </w:r>
        <w:r w:rsidR="00036405">
          <w:rPr>
            <w:rFonts w:asciiTheme="minorHAnsi" w:eastAsiaTheme="minorEastAsia" w:hAnsiTheme="minorHAnsi"/>
            <w:lang w:eastAsia="en-AU"/>
          </w:rPr>
          <w:tab/>
        </w:r>
        <w:r w:rsidR="00036405" w:rsidRPr="006927FF">
          <w:rPr>
            <w:rStyle w:val="Hyperlink"/>
          </w:rPr>
          <w:t>Regulatory burden analysis</w:t>
        </w:r>
        <w:r w:rsidR="00036405">
          <w:rPr>
            <w:webHidden/>
          </w:rPr>
          <w:tab/>
        </w:r>
        <w:r w:rsidR="00036405">
          <w:rPr>
            <w:webHidden/>
          </w:rPr>
          <w:fldChar w:fldCharType="begin"/>
        </w:r>
        <w:r w:rsidR="00036405">
          <w:rPr>
            <w:webHidden/>
          </w:rPr>
          <w:instrText xml:space="preserve"> PAGEREF _Toc62219430 \h </w:instrText>
        </w:r>
        <w:r w:rsidR="00036405">
          <w:rPr>
            <w:webHidden/>
          </w:rPr>
        </w:r>
        <w:r w:rsidR="00036405">
          <w:rPr>
            <w:webHidden/>
          </w:rPr>
          <w:fldChar w:fldCharType="separate"/>
        </w:r>
        <w:r w:rsidR="004031E8">
          <w:rPr>
            <w:webHidden/>
          </w:rPr>
          <w:t>138</w:t>
        </w:r>
        <w:r w:rsidR="00036405">
          <w:rPr>
            <w:webHidden/>
          </w:rPr>
          <w:fldChar w:fldCharType="end"/>
        </w:r>
      </w:hyperlink>
    </w:p>
    <w:p w14:paraId="07969C0B" w14:textId="61A411DF" w:rsidR="00036405" w:rsidRDefault="0075305C">
      <w:pPr>
        <w:pStyle w:val="TOC2"/>
        <w:rPr>
          <w:rFonts w:asciiTheme="minorHAnsi" w:eastAsiaTheme="minorEastAsia" w:hAnsiTheme="minorHAnsi"/>
          <w:lang w:eastAsia="en-AU"/>
        </w:rPr>
      </w:pPr>
      <w:hyperlink w:anchor="_Toc62219431" w:history="1">
        <w:r w:rsidR="00036405" w:rsidRPr="006927FF">
          <w:rPr>
            <w:rStyle w:val="Hyperlink"/>
          </w:rPr>
          <w:t>9.4</w:t>
        </w:r>
        <w:r w:rsidR="00036405">
          <w:rPr>
            <w:rFonts w:asciiTheme="minorHAnsi" w:eastAsiaTheme="minorEastAsia" w:hAnsiTheme="minorHAnsi"/>
            <w:lang w:eastAsia="en-AU"/>
          </w:rPr>
          <w:tab/>
        </w:r>
        <w:r w:rsidR="00036405" w:rsidRPr="006927FF">
          <w:rPr>
            <w:rStyle w:val="Hyperlink"/>
          </w:rPr>
          <w:t>Competitive effects analysis</w:t>
        </w:r>
        <w:r w:rsidR="00036405">
          <w:rPr>
            <w:webHidden/>
          </w:rPr>
          <w:tab/>
        </w:r>
        <w:r w:rsidR="00036405">
          <w:rPr>
            <w:webHidden/>
          </w:rPr>
          <w:fldChar w:fldCharType="begin"/>
        </w:r>
        <w:r w:rsidR="00036405">
          <w:rPr>
            <w:webHidden/>
          </w:rPr>
          <w:instrText xml:space="preserve"> PAGEREF _Toc62219431 \h </w:instrText>
        </w:r>
        <w:r w:rsidR="00036405">
          <w:rPr>
            <w:webHidden/>
          </w:rPr>
        </w:r>
        <w:r w:rsidR="00036405">
          <w:rPr>
            <w:webHidden/>
          </w:rPr>
          <w:fldChar w:fldCharType="separate"/>
        </w:r>
        <w:r w:rsidR="004031E8">
          <w:rPr>
            <w:webHidden/>
          </w:rPr>
          <w:t>140</w:t>
        </w:r>
        <w:r w:rsidR="00036405">
          <w:rPr>
            <w:webHidden/>
          </w:rPr>
          <w:fldChar w:fldCharType="end"/>
        </w:r>
      </w:hyperlink>
    </w:p>
    <w:p w14:paraId="37ED107D" w14:textId="5591A5EA" w:rsidR="00036405" w:rsidRDefault="0075305C">
      <w:pPr>
        <w:pStyle w:val="TOC2"/>
        <w:rPr>
          <w:rFonts w:asciiTheme="minorHAnsi" w:eastAsiaTheme="minorEastAsia" w:hAnsiTheme="minorHAnsi"/>
          <w:lang w:eastAsia="en-AU"/>
        </w:rPr>
      </w:pPr>
      <w:hyperlink w:anchor="_Toc62219432" w:history="1">
        <w:r w:rsidR="00036405" w:rsidRPr="006927FF">
          <w:rPr>
            <w:rStyle w:val="Hyperlink"/>
          </w:rPr>
          <w:t>9.5</w:t>
        </w:r>
        <w:r w:rsidR="00036405">
          <w:rPr>
            <w:rFonts w:asciiTheme="minorHAnsi" w:eastAsiaTheme="minorEastAsia" w:hAnsiTheme="minorHAnsi"/>
            <w:lang w:eastAsia="en-AU"/>
          </w:rPr>
          <w:tab/>
        </w:r>
        <w:r w:rsidR="00036405" w:rsidRPr="006927FF">
          <w:rPr>
            <w:rStyle w:val="Hyperlink"/>
          </w:rPr>
          <w:t>Comparative assessment of the options</w:t>
        </w:r>
        <w:r w:rsidR="00036405">
          <w:rPr>
            <w:webHidden/>
          </w:rPr>
          <w:tab/>
        </w:r>
        <w:r w:rsidR="00036405">
          <w:rPr>
            <w:webHidden/>
          </w:rPr>
          <w:fldChar w:fldCharType="begin"/>
        </w:r>
        <w:r w:rsidR="00036405">
          <w:rPr>
            <w:webHidden/>
          </w:rPr>
          <w:instrText xml:space="preserve"> PAGEREF _Toc62219432 \h </w:instrText>
        </w:r>
        <w:r w:rsidR="00036405">
          <w:rPr>
            <w:webHidden/>
          </w:rPr>
        </w:r>
        <w:r w:rsidR="00036405">
          <w:rPr>
            <w:webHidden/>
          </w:rPr>
          <w:fldChar w:fldCharType="separate"/>
        </w:r>
        <w:r w:rsidR="004031E8">
          <w:rPr>
            <w:webHidden/>
          </w:rPr>
          <w:t>144</w:t>
        </w:r>
        <w:r w:rsidR="00036405">
          <w:rPr>
            <w:webHidden/>
          </w:rPr>
          <w:fldChar w:fldCharType="end"/>
        </w:r>
      </w:hyperlink>
    </w:p>
    <w:p w14:paraId="1C9E519F" w14:textId="6A34DD3A" w:rsidR="00036405" w:rsidRDefault="0075305C">
      <w:pPr>
        <w:pStyle w:val="TOC1"/>
        <w:rPr>
          <w:rFonts w:asciiTheme="minorHAnsi" w:eastAsiaTheme="minorEastAsia" w:hAnsiTheme="minorHAnsi"/>
          <w:b w:val="0"/>
          <w:lang w:eastAsia="en-AU"/>
        </w:rPr>
      </w:pPr>
      <w:hyperlink w:anchor="_Toc62219433" w:history="1">
        <w:r w:rsidR="00036405" w:rsidRPr="006927FF">
          <w:rPr>
            <w:rStyle w:val="Hyperlink"/>
          </w:rPr>
          <w:t>10.</w:t>
        </w:r>
        <w:r w:rsidR="00036405">
          <w:rPr>
            <w:rFonts w:asciiTheme="minorHAnsi" w:eastAsiaTheme="minorEastAsia" w:hAnsiTheme="minorHAnsi"/>
            <w:b w:val="0"/>
            <w:lang w:eastAsia="en-AU"/>
          </w:rPr>
          <w:tab/>
        </w:r>
        <w:r w:rsidR="00036405" w:rsidRPr="006927FF">
          <w:rPr>
            <w:rStyle w:val="Hyperlink"/>
          </w:rPr>
          <w:t>Preferred option, implementation and review</w:t>
        </w:r>
        <w:r w:rsidR="00036405">
          <w:rPr>
            <w:webHidden/>
          </w:rPr>
          <w:tab/>
        </w:r>
        <w:r w:rsidR="00036405">
          <w:rPr>
            <w:webHidden/>
          </w:rPr>
          <w:fldChar w:fldCharType="begin"/>
        </w:r>
        <w:r w:rsidR="00036405">
          <w:rPr>
            <w:webHidden/>
          </w:rPr>
          <w:instrText xml:space="preserve"> PAGEREF _Toc62219433 \h </w:instrText>
        </w:r>
        <w:r w:rsidR="00036405">
          <w:rPr>
            <w:webHidden/>
          </w:rPr>
        </w:r>
        <w:r w:rsidR="00036405">
          <w:rPr>
            <w:webHidden/>
          </w:rPr>
          <w:fldChar w:fldCharType="separate"/>
        </w:r>
        <w:r w:rsidR="004031E8">
          <w:rPr>
            <w:webHidden/>
          </w:rPr>
          <w:t>146</w:t>
        </w:r>
        <w:r w:rsidR="00036405">
          <w:rPr>
            <w:webHidden/>
          </w:rPr>
          <w:fldChar w:fldCharType="end"/>
        </w:r>
      </w:hyperlink>
    </w:p>
    <w:p w14:paraId="00ADFBCF" w14:textId="72D01BD0" w:rsidR="00036405" w:rsidRDefault="0075305C">
      <w:pPr>
        <w:pStyle w:val="TOC2"/>
        <w:rPr>
          <w:rFonts w:asciiTheme="minorHAnsi" w:eastAsiaTheme="minorEastAsia" w:hAnsiTheme="minorHAnsi"/>
          <w:lang w:eastAsia="en-AU"/>
        </w:rPr>
      </w:pPr>
      <w:hyperlink w:anchor="_Toc62219434" w:history="1">
        <w:r w:rsidR="00036405" w:rsidRPr="006927FF">
          <w:rPr>
            <w:rStyle w:val="Hyperlink"/>
          </w:rPr>
          <w:t>10.1</w:t>
        </w:r>
        <w:r w:rsidR="00036405">
          <w:rPr>
            <w:rFonts w:asciiTheme="minorHAnsi" w:eastAsiaTheme="minorEastAsia" w:hAnsiTheme="minorHAnsi"/>
            <w:lang w:eastAsia="en-AU"/>
          </w:rPr>
          <w:tab/>
        </w:r>
        <w:r w:rsidR="00036405" w:rsidRPr="006927FF">
          <w:rPr>
            <w:rStyle w:val="Hyperlink"/>
          </w:rPr>
          <w:t>What is the preferred option?</w:t>
        </w:r>
        <w:r w:rsidR="00036405">
          <w:rPr>
            <w:webHidden/>
          </w:rPr>
          <w:tab/>
        </w:r>
        <w:r w:rsidR="00036405">
          <w:rPr>
            <w:webHidden/>
          </w:rPr>
          <w:fldChar w:fldCharType="begin"/>
        </w:r>
        <w:r w:rsidR="00036405">
          <w:rPr>
            <w:webHidden/>
          </w:rPr>
          <w:instrText xml:space="preserve"> PAGEREF _Toc62219434 \h </w:instrText>
        </w:r>
        <w:r w:rsidR="00036405">
          <w:rPr>
            <w:webHidden/>
          </w:rPr>
        </w:r>
        <w:r w:rsidR="00036405">
          <w:rPr>
            <w:webHidden/>
          </w:rPr>
          <w:fldChar w:fldCharType="separate"/>
        </w:r>
        <w:r w:rsidR="004031E8">
          <w:rPr>
            <w:webHidden/>
          </w:rPr>
          <w:t>146</w:t>
        </w:r>
        <w:r w:rsidR="00036405">
          <w:rPr>
            <w:webHidden/>
          </w:rPr>
          <w:fldChar w:fldCharType="end"/>
        </w:r>
      </w:hyperlink>
    </w:p>
    <w:p w14:paraId="2DA1ECC6" w14:textId="758792FC" w:rsidR="00036405" w:rsidRDefault="0075305C">
      <w:pPr>
        <w:pStyle w:val="TOC2"/>
        <w:rPr>
          <w:rFonts w:asciiTheme="minorHAnsi" w:eastAsiaTheme="minorEastAsia" w:hAnsiTheme="minorHAnsi"/>
          <w:lang w:eastAsia="en-AU"/>
        </w:rPr>
      </w:pPr>
      <w:hyperlink w:anchor="_Toc62219435" w:history="1">
        <w:r w:rsidR="00036405" w:rsidRPr="006927FF">
          <w:rPr>
            <w:rStyle w:val="Hyperlink"/>
          </w:rPr>
          <w:t>10.2</w:t>
        </w:r>
        <w:r w:rsidR="00036405">
          <w:rPr>
            <w:rFonts w:asciiTheme="minorHAnsi" w:eastAsiaTheme="minorEastAsia" w:hAnsiTheme="minorHAnsi"/>
            <w:lang w:eastAsia="en-AU"/>
          </w:rPr>
          <w:tab/>
        </w:r>
        <w:r w:rsidR="00036405" w:rsidRPr="006927FF">
          <w:rPr>
            <w:rStyle w:val="Hyperlink"/>
          </w:rPr>
          <w:t>How will the preferred option be implemented?</w:t>
        </w:r>
        <w:r w:rsidR="00036405">
          <w:rPr>
            <w:webHidden/>
          </w:rPr>
          <w:tab/>
        </w:r>
        <w:r w:rsidR="00036405">
          <w:rPr>
            <w:webHidden/>
          </w:rPr>
          <w:fldChar w:fldCharType="begin"/>
        </w:r>
        <w:r w:rsidR="00036405">
          <w:rPr>
            <w:webHidden/>
          </w:rPr>
          <w:instrText xml:space="preserve"> PAGEREF _Toc62219435 \h </w:instrText>
        </w:r>
        <w:r w:rsidR="00036405">
          <w:rPr>
            <w:webHidden/>
          </w:rPr>
        </w:r>
        <w:r w:rsidR="00036405">
          <w:rPr>
            <w:webHidden/>
          </w:rPr>
          <w:fldChar w:fldCharType="separate"/>
        </w:r>
        <w:r w:rsidR="004031E8">
          <w:rPr>
            <w:webHidden/>
          </w:rPr>
          <w:t>150</w:t>
        </w:r>
        <w:r w:rsidR="00036405">
          <w:rPr>
            <w:webHidden/>
          </w:rPr>
          <w:fldChar w:fldCharType="end"/>
        </w:r>
      </w:hyperlink>
    </w:p>
    <w:p w14:paraId="380520BA" w14:textId="4ED9D253" w:rsidR="00036405" w:rsidRDefault="0075305C">
      <w:pPr>
        <w:pStyle w:val="TOC2"/>
        <w:rPr>
          <w:rFonts w:asciiTheme="minorHAnsi" w:eastAsiaTheme="minorEastAsia" w:hAnsiTheme="minorHAnsi"/>
          <w:lang w:eastAsia="en-AU"/>
        </w:rPr>
      </w:pPr>
      <w:hyperlink w:anchor="_Toc62219436" w:history="1">
        <w:r w:rsidR="00036405" w:rsidRPr="006927FF">
          <w:rPr>
            <w:rStyle w:val="Hyperlink"/>
          </w:rPr>
          <w:t>10.3</w:t>
        </w:r>
        <w:r w:rsidR="00036405">
          <w:rPr>
            <w:rFonts w:asciiTheme="minorHAnsi" w:eastAsiaTheme="minorEastAsia" w:hAnsiTheme="minorHAnsi"/>
            <w:lang w:eastAsia="en-AU"/>
          </w:rPr>
          <w:tab/>
        </w:r>
        <w:r w:rsidR="00036405" w:rsidRPr="006927FF">
          <w:rPr>
            <w:rStyle w:val="Hyperlink"/>
          </w:rPr>
          <w:t>How will the effectiveness of the preferred option be monitored and reviewed over time?</w:t>
        </w:r>
        <w:r w:rsidR="00036405">
          <w:rPr>
            <w:webHidden/>
          </w:rPr>
          <w:tab/>
        </w:r>
        <w:r w:rsidR="00036405">
          <w:rPr>
            <w:webHidden/>
          </w:rPr>
          <w:fldChar w:fldCharType="begin"/>
        </w:r>
        <w:r w:rsidR="00036405">
          <w:rPr>
            <w:webHidden/>
          </w:rPr>
          <w:instrText xml:space="preserve"> PAGEREF _Toc62219436 \h </w:instrText>
        </w:r>
        <w:r w:rsidR="00036405">
          <w:rPr>
            <w:webHidden/>
          </w:rPr>
        </w:r>
        <w:r w:rsidR="00036405">
          <w:rPr>
            <w:webHidden/>
          </w:rPr>
          <w:fldChar w:fldCharType="separate"/>
        </w:r>
        <w:r w:rsidR="004031E8">
          <w:rPr>
            <w:webHidden/>
          </w:rPr>
          <w:t>151</w:t>
        </w:r>
        <w:r w:rsidR="00036405">
          <w:rPr>
            <w:webHidden/>
          </w:rPr>
          <w:fldChar w:fldCharType="end"/>
        </w:r>
      </w:hyperlink>
    </w:p>
    <w:p w14:paraId="37C558C6" w14:textId="1D872F15" w:rsidR="00036405" w:rsidRDefault="0075305C">
      <w:pPr>
        <w:pStyle w:val="TOC1"/>
        <w:tabs>
          <w:tab w:val="left" w:pos="1540"/>
        </w:tabs>
        <w:rPr>
          <w:rFonts w:asciiTheme="minorHAnsi" w:eastAsiaTheme="minorEastAsia" w:hAnsiTheme="minorHAnsi"/>
          <w:b w:val="0"/>
          <w:lang w:eastAsia="en-AU"/>
        </w:rPr>
      </w:pPr>
      <w:hyperlink w:anchor="_Toc62219437" w:history="1">
        <w:r w:rsidR="00036405" w:rsidRPr="006927FF">
          <w:rPr>
            <w:rStyle w:val="Hyperlink"/>
          </w:rPr>
          <w:t>Appendix A</w:t>
        </w:r>
        <w:r w:rsidR="00036405">
          <w:rPr>
            <w:rFonts w:asciiTheme="minorHAnsi" w:eastAsiaTheme="minorEastAsia" w:hAnsiTheme="minorHAnsi"/>
            <w:b w:val="0"/>
            <w:lang w:eastAsia="en-AU"/>
          </w:rPr>
          <w:tab/>
        </w:r>
        <w:r w:rsidR="00036405" w:rsidRPr="006927FF">
          <w:rPr>
            <w:rStyle w:val="Hyperlink"/>
          </w:rPr>
          <w:t>Gas pipeline regulatory framework</w:t>
        </w:r>
        <w:r w:rsidR="00036405">
          <w:rPr>
            <w:webHidden/>
          </w:rPr>
          <w:tab/>
        </w:r>
        <w:r w:rsidR="00036405">
          <w:rPr>
            <w:webHidden/>
          </w:rPr>
          <w:fldChar w:fldCharType="begin"/>
        </w:r>
        <w:r w:rsidR="00036405">
          <w:rPr>
            <w:webHidden/>
          </w:rPr>
          <w:instrText xml:space="preserve"> PAGEREF _Toc62219437 \h </w:instrText>
        </w:r>
        <w:r w:rsidR="00036405">
          <w:rPr>
            <w:webHidden/>
          </w:rPr>
        </w:r>
        <w:r w:rsidR="00036405">
          <w:rPr>
            <w:webHidden/>
          </w:rPr>
          <w:fldChar w:fldCharType="separate"/>
        </w:r>
        <w:r w:rsidR="004031E8">
          <w:rPr>
            <w:webHidden/>
          </w:rPr>
          <w:t>152</w:t>
        </w:r>
        <w:r w:rsidR="00036405">
          <w:rPr>
            <w:webHidden/>
          </w:rPr>
          <w:fldChar w:fldCharType="end"/>
        </w:r>
      </w:hyperlink>
    </w:p>
    <w:p w14:paraId="28EB73F4" w14:textId="5AC5381D" w:rsidR="00036405" w:rsidRDefault="0075305C">
      <w:pPr>
        <w:pStyle w:val="TOC1"/>
        <w:tabs>
          <w:tab w:val="left" w:pos="1540"/>
        </w:tabs>
        <w:rPr>
          <w:rFonts w:asciiTheme="minorHAnsi" w:eastAsiaTheme="minorEastAsia" w:hAnsiTheme="minorHAnsi"/>
          <w:b w:val="0"/>
          <w:lang w:eastAsia="en-AU"/>
        </w:rPr>
      </w:pPr>
      <w:hyperlink w:anchor="_Toc62219438" w:history="1">
        <w:r w:rsidR="00036405" w:rsidRPr="006927FF">
          <w:rPr>
            <w:rStyle w:val="Hyperlink"/>
          </w:rPr>
          <w:t>Appendix B</w:t>
        </w:r>
        <w:r w:rsidR="00036405">
          <w:rPr>
            <w:rFonts w:asciiTheme="minorHAnsi" w:eastAsiaTheme="minorEastAsia" w:hAnsiTheme="minorHAnsi"/>
            <w:b w:val="0"/>
            <w:lang w:eastAsia="en-AU"/>
          </w:rPr>
          <w:tab/>
        </w:r>
        <w:r w:rsidR="00036405" w:rsidRPr="006927FF">
          <w:rPr>
            <w:rStyle w:val="Hyperlink"/>
          </w:rPr>
          <w:t>Recent reviews of regulatory framework</w:t>
        </w:r>
        <w:r w:rsidR="00036405">
          <w:rPr>
            <w:webHidden/>
          </w:rPr>
          <w:tab/>
        </w:r>
        <w:r w:rsidR="00036405">
          <w:rPr>
            <w:webHidden/>
          </w:rPr>
          <w:fldChar w:fldCharType="begin"/>
        </w:r>
        <w:r w:rsidR="00036405">
          <w:rPr>
            <w:webHidden/>
          </w:rPr>
          <w:instrText xml:space="preserve"> PAGEREF _Toc62219438 \h </w:instrText>
        </w:r>
        <w:r w:rsidR="00036405">
          <w:rPr>
            <w:webHidden/>
          </w:rPr>
        </w:r>
        <w:r w:rsidR="00036405">
          <w:rPr>
            <w:webHidden/>
          </w:rPr>
          <w:fldChar w:fldCharType="separate"/>
        </w:r>
        <w:r w:rsidR="004031E8">
          <w:rPr>
            <w:webHidden/>
          </w:rPr>
          <w:t>159</w:t>
        </w:r>
        <w:r w:rsidR="00036405">
          <w:rPr>
            <w:webHidden/>
          </w:rPr>
          <w:fldChar w:fldCharType="end"/>
        </w:r>
      </w:hyperlink>
    </w:p>
    <w:p w14:paraId="6BCC312D" w14:textId="2689C471" w:rsidR="00036405" w:rsidRDefault="0075305C">
      <w:pPr>
        <w:pStyle w:val="TOC1"/>
        <w:tabs>
          <w:tab w:val="left" w:pos="1540"/>
        </w:tabs>
        <w:rPr>
          <w:rFonts w:asciiTheme="minorHAnsi" w:eastAsiaTheme="minorEastAsia" w:hAnsiTheme="minorHAnsi"/>
          <w:b w:val="0"/>
          <w:lang w:eastAsia="en-AU"/>
        </w:rPr>
      </w:pPr>
      <w:hyperlink w:anchor="_Toc62219439" w:history="1">
        <w:r w:rsidR="00036405" w:rsidRPr="006927FF">
          <w:rPr>
            <w:rStyle w:val="Hyperlink"/>
          </w:rPr>
          <w:t>Appendix C</w:t>
        </w:r>
        <w:r w:rsidR="00036405">
          <w:rPr>
            <w:rFonts w:asciiTheme="minorHAnsi" w:eastAsiaTheme="minorEastAsia" w:hAnsiTheme="minorHAnsi"/>
            <w:b w:val="0"/>
            <w:lang w:eastAsia="en-AU"/>
          </w:rPr>
          <w:tab/>
        </w:r>
        <w:r w:rsidR="00036405" w:rsidRPr="006927FF">
          <w:rPr>
            <w:rStyle w:val="Hyperlink"/>
          </w:rPr>
          <w:t>Risk analysis</w:t>
        </w:r>
        <w:r w:rsidR="00036405">
          <w:rPr>
            <w:webHidden/>
          </w:rPr>
          <w:tab/>
        </w:r>
        <w:r w:rsidR="00036405">
          <w:rPr>
            <w:webHidden/>
          </w:rPr>
          <w:fldChar w:fldCharType="begin"/>
        </w:r>
        <w:r w:rsidR="00036405">
          <w:rPr>
            <w:webHidden/>
          </w:rPr>
          <w:instrText xml:space="preserve"> PAGEREF _Toc62219439 \h </w:instrText>
        </w:r>
        <w:r w:rsidR="00036405">
          <w:rPr>
            <w:webHidden/>
          </w:rPr>
        </w:r>
        <w:r w:rsidR="00036405">
          <w:rPr>
            <w:webHidden/>
          </w:rPr>
          <w:fldChar w:fldCharType="separate"/>
        </w:r>
        <w:r w:rsidR="004031E8">
          <w:rPr>
            <w:webHidden/>
          </w:rPr>
          <w:t>180</w:t>
        </w:r>
        <w:r w:rsidR="00036405">
          <w:rPr>
            <w:webHidden/>
          </w:rPr>
          <w:fldChar w:fldCharType="end"/>
        </w:r>
      </w:hyperlink>
    </w:p>
    <w:p w14:paraId="13878DE0" w14:textId="1444CBDE" w:rsidR="00036405" w:rsidRDefault="0075305C">
      <w:pPr>
        <w:pStyle w:val="TOC1"/>
        <w:tabs>
          <w:tab w:val="left" w:pos="1540"/>
        </w:tabs>
        <w:rPr>
          <w:rFonts w:asciiTheme="minorHAnsi" w:eastAsiaTheme="minorEastAsia" w:hAnsiTheme="minorHAnsi"/>
          <w:b w:val="0"/>
          <w:lang w:eastAsia="en-AU"/>
        </w:rPr>
      </w:pPr>
      <w:hyperlink w:anchor="_Toc62219440" w:history="1">
        <w:r w:rsidR="00036405" w:rsidRPr="006927FF">
          <w:rPr>
            <w:rStyle w:val="Hyperlink"/>
          </w:rPr>
          <w:t>Appendix D</w:t>
        </w:r>
        <w:r w:rsidR="00036405">
          <w:rPr>
            <w:rFonts w:asciiTheme="minorHAnsi" w:eastAsiaTheme="minorEastAsia" w:hAnsiTheme="minorHAnsi"/>
            <w:b w:val="0"/>
            <w:lang w:eastAsia="en-AU"/>
          </w:rPr>
          <w:tab/>
        </w:r>
        <w:r w:rsidR="00036405" w:rsidRPr="006927FF">
          <w:rPr>
            <w:rStyle w:val="Hyperlink"/>
          </w:rPr>
          <w:t>CBA quantitative analysis</w:t>
        </w:r>
        <w:r w:rsidR="00036405">
          <w:rPr>
            <w:webHidden/>
          </w:rPr>
          <w:tab/>
        </w:r>
        <w:r w:rsidR="00036405">
          <w:rPr>
            <w:webHidden/>
          </w:rPr>
          <w:fldChar w:fldCharType="begin"/>
        </w:r>
        <w:r w:rsidR="00036405">
          <w:rPr>
            <w:webHidden/>
          </w:rPr>
          <w:instrText xml:space="preserve"> PAGEREF _Toc62219440 \h </w:instrText>
        </w:r>
        <w:r w:rsidR="00036405">
          <w:rPr>
            <w:webHidden/>
          </w:rPr>
        </w:r>
        <w:r w:rsidR="00036405">
          <w:rPr>
            <w:webHidden/>
          </w:rPr>
          <w:fldChar w:fldCharType="separate"/>
        </w:r>
        <w:r w:rsidR="004031E8">
          <w:rPr>
            <w:webHidden/>
          </w:rPr>
          <w:t>191</w:t>
        </w:r>
        <w:r w:rsidR="00036405">
          <w:rPr>
            <w:webHidden/>
          </w:rPr>
          <w:fldChar w:fldCharType="end"/>
        </w:r>
      </w:hyperlink>
    </w:p>
    <w:p w14:paraId="5686AB76" w14:textId="525A8E09" w:rsidR="005421F8" w:rsidRPr="006B4639" w:rsidRDefault="00515B6F" w:rsidP="00C55946">
      <w:pPr>
        <w:rPr>
          <w:rFonts w:eastAsiaTheme="minorEastAsia" w:cstheme="minorBidi"/>
          <w:b/>
          <w:lang w:eastAsia="en-US"/>
        </w:rPr>
      </w:pPr>
      <w:r>
        <w:rPr>
          <w:rFonts w:eastAsiaTheme="minorEastAsia" w:cstheme="minorBidi"/>
          <w:b/>
          <w:lang w:eastAsia="en-US"/>
        </w:rPr>
        <w:fldChar w:fldCharType="end"/>
      </w:r>
    </w:p>
    <w:p w14:paraId="076CB187" w14:textId="77777777" w:rsidR="005421F8" w:rsidRPr="006B4639" w:rsidRDefault="005421F8" w:rsidP="00C55946">
      <w:pPr>
        <w:sectPr w:rsidR="005421F8" w:rsidRPr="006B4639" w:rsidSect="00795317">
          <w:headerReference w:type="even" r:id="rId12"/>
          <w:headerReference w:type="default" r:id="rId13"/>
          <w:footerReference w:type="default" r:id="rId14"/>
          <w:headerReference w:type="first" r:id="rId15"/>
          <w:pgSz w:w="11907" w:h="16840" w:code="9"/>
          <w:pgMar w:top="1361" w:right="1418" w:bottom="992" w:left="1701" w:header="567" w:footer="397" w:gutter="0"/>
          <w:pgNumType w:fmt="lowerRoman" w:start="1"/>
          <w:cols w:space="708"/>
          <w:docGrid w:linePitch="360"/>
        </w:sectPr>
      </w:pPr>
    </w:p>
    <w:p w14:paraId="6FE32B7B" w14:textId="77777777" w:rsidR="00D91DDA" w:rsidRPr="006B4639" w:rsidRDefault="00D91DDA" w:rsidP="00EF7DBD">
      <w:pPr>
        <w:pStyle w:val="ExecSummHeading1"/>
        <w:spacing w:after="0" w:line="240" w:lineRule="auto"/>
      </w:pPr>
      <w:bookmarkStart w:id="24" w:name="_Toc10197834"/>
      <w:bookmarkStart w:id="25" w:name="_Toc10213270"/>
      <w:bookmarkStart w:id="26" w:name="_Toc11149677"/>
      <w:bookmarkStart w:id="27" w:name="_Toc11150047"/>
      <w:bookmarkStart w:id="28" w:name="_Toc62219393"/>
      <w:bookmarkStart w:id="29" w:name="_Hlk13218444"/>
      <w:bookmarkStart w:id="30" w:name="_Toc452029499"/>
      <w:bookmarkStart w:id="31" w:name="_Toc449094489"/>
      <w:r w:rsidRPr="006B4639">
        <w:lastRenderedPageBreak/>
        <w:t>Abbreviations</w:t>
      </w:r>
      <w:bookmarkEnd w:id="24"/>
      <w:bookmarkEnd w:id="25"/>
      <w:bookmarkEnd w:id="26"/>
      <w:bookmarkEnd w:id="27"/>
      <w:bookmarkEnd w:id="28"/>
      <w:r w:rsidRPr="006B4639">
        <w:t xml:space="preserve"> </w:t>
      </w:r>
    </w:p>
    <w:tbl>
      <w:tblPr>
        <w:tblStyle w:val="TableGrid"/>
        <w:tblW w:w="9072" w:type="dxa"/>
        <w:tblLook w:val="06A0" w:firstRow="1" w:lastRow="0" w:firstColumn="1" w:lastColumn="0" w:noHBand="1" w:noVBand="1"/>
        <w:tblCaption w:val="Abbreviations table"/>
        <w:tblDescription w:val="Table of abbreviations used throughout the document"/>
      </w:tblPr>
      <w:tblGrid>
        <w:gridCol w:w="2127"/>
        <w:gridCol w:w="6945"/>
      </w:tblGrid>
      <w:tr w:rsidR="00D91DDA" w:rsidRPr="006B4639" w14:paraId="14F141E2" w14:textId="77777777" w:rsidTr="00EF7DBD">
        <w:trPr>
          <w:cnfStyle w:val="100000000000" w:firstRow="1" w:lastRow="0" w:firstColumn="0" w:lastColumn="0" w:oddVBand="0" w:evenVBand="0" w:oddHBand="0" w:evenHBand="0" w:firstRowFirstColumn="0" w:firstRowLastColumn="0" w:lastRowFirstColumn="0" w:lastRowLastColumn="0"/>
          <w:tblHeader/>
        </w:trPr>
        <w:tc>
          <w:tcPr>
            <w:tcW w:w="2127" w:type="dxa"/>
            <w:tcBorders>
              <w:bottom w:val="single" w:sz="4" w:space="0" w:color="auto"/>
            </w:tcBorders>
            <w:shd w:val="clear" w:color="auto" w:fill="002060"/>
          </w:tcPr>
          <w:p w14:paraId="79080AA9" w14:textId="77777777" w:rsidR="00D91DDA" w:rsidRPr="006B4639" w:rsidRDefault="00D91DDA" w:rsidP="00254F40">
            <w:pPr>
              <w:spacing w:before="20" w:after="20"/>
              <w:ind w:left="74" w:right="74"/>
              <w:rPr>
                <w:szCs w:val="18"/>
              </w:rPr>
            </w:pPr>
            <w:r w:rsidRPr="006B4639">
              <w:rPr>
                <w:szCs w:val="18"/>
              </w:rPr>
              <w:t>Term</w:t>
            </w:r>
          </w:p>
        </w:tc>
        <w:tc>
          <w:tcPr>
            <w:tcW w:w="6945" w:type="dxa"/>
            <w:tcBorders>
              <w:bottom w:val="single" w:sz="4" w:space="0" w:color="auto"/>
            </w:tcBorders>
            <w:shd w:val="clear" w:color="auto" w:fill="002060"/>
          </w:tcPr>
          <w:p w14:paraId="448DF4B3" w14:textId="77777777" w:rsidR="00D91DDA" w:rsidRPr="006B4639" w:rsidRDefault="00D91DDA" w:rsidP="00254F40">
            <w:pPr>
              <w:spacing w:before="20" w:after="20"/>
              <w:ind w:left="74" w:right="74"/>
              <w:rPr>
                <w:szCs w:val="18"/>
              </w:rPr>
            </w:pPr>
            <w:r w:rsidRPr="006B4639">
              <w:rPr>
                <w:szCs w:val="18"/>
              </w:rPr>
              <w:t>Definition</w:t>
            </w:r>
          </w:p>
        </w:tc>
      </w:tr>
      <w:tr w:rsidR="008D7480" w:rsidRPr="006B4639" w14:paraId="416C9762" w14:textId="77777777" w:rsidTr="00EF7DBD">
        <w:tc>
          <w:tcPr>
            <w:tcW w:w="2127" w:type="dxa"/>
          </w:tcPr>
          <w:p w14:paraId="06794030" w14:textId="77777777" w:rsidR="008D7480" w:rsidRPr="006B4639" w:rsidRDefault="008D7480" w:rsidP="00254F40">
            <w:pPr>
              <w:spacing w:before="20" w:after="20"/>
              <w:ind w:left="74" w:right="74"/>
              <w:rPr>
                <w:iCs/>
                <w:szCs w:val="18"/>
              </w:rPr>
            </w:pPr>
            <w:r w:rsidRPr="006B4639">
              <w:rPr>
                <w:iCs/>
                <w:szCs w:val="18"/>
              </w:rPr>
              <w:t>2015-16 East Coast Review</w:t>
            </w:r>
          </w:p>
        </w:tc>
        <w:tc>
          <w:tcPr>
            <w:tcW w:w="6945" w:type="dxa"/>
          </w:tcPr>
          <w:p w14:paraId="74A0370B" w14:textId="77777777" w:rsidR="008D7480" w:rsidRPr="006B4639" w:rsidRDefault="008D7480" w:rsidP="00254F40">
            <w:pPr>
              <w:spacing w:before="20" w:after="20"/>
              <w:ind w:left="74" w:right="74"/>
              <w:rPr>
                <w:szCs w:val="18"/>
              </w:rPr>
            </w:pPr>
            <w:r w:rsidRPr="006B4639">
              <w:rPr>
                <w:szCs w:val="18"/>
              </w:rPr>
              <w:t xml:space="preserve">The AEMC’s 2015-16 </w:t>
            </w:r>
            <w:r w:rsidRPr="006B4639">
              <w:rPr>
                <w:rFonts w:cs="Arial"/>
                <w:szCs w:val="18"/>
              </w:rPr>
              <w:t>Eastern Australian Wholesale Gas Market and Pipelines Framework Review</w:t>
            </w:r>
            <w:r w:rsidRPr="006B4639">
              <w:rPr>
                <w:rFonts w:cs="Arial"/>
                <w:i/>
                <w:iCs/>
                <w:szCs w:val="18"/>
              </w:rPr>
              <w:t xml:space="preserve"> </w:t>
            </w:r>
          </w:p>
        </w:tc>
      </w:tr>
      <w:tr w:rsidR="00D91DDA" w:rsidRPr="006B4639" w14:paraId="0C382F30" w14:textId="77777777" w:rsidTr="00EF7DBD">
        <w:tc>
          <w:tcPr>
            <w:tcW w:w="2127" w:type="dxa"/>
          </w:tcPr>
          <w:p w14:paraId="7DF86423" w14:textId="77777777" w:rsidR="00D91DDA" w:rsidRPr="006B4639" w:rsidRDefault="008D7480" w:rsidP="00254F40">
            <w:pPr>
              <w:spacing w:before="20" w:after="20"/>
              <w:ind w:left="74" w:right="74"/>
              <w:rPr>
                <w:iCs/>
                <w:szCs w:val="18"/>
              </w:rPr>
            </w:pPr>
            <w:r w:rsidRPr="006B4639">
              <w:rPr>
                <w:iCs/>
                <w:szCs w:val="18"/>
              </w:rPr>
              <w:t xml:space="preserve">2015-16 </w:t>
            </w:r>
            <w:r w:rsidR="00D91DDA" w:rsidRPr="006B4639">
              <w:rPr>
                <w:iCs/>
                <w:szCs w:val="18"/>
              </w:rPr>
              <w:t>Inquiry</w:t>
            </w:r>
          </w:p>
        </w:tc>
        <w:tc>
          <w:tcPr>
            <w:tcW w:w="6945" w:type="dxa"/>
          </w:tcPr>
          <w:p w14:paraId="3D26953E" w14:textId="77777777" w:rsidR="00D91DDA" w:rsidRPr="006B4639" w:rsidRDefault="008D7480" w:rsidP="00254F40">
            <w:pPr>
              <w:spacing w:before="20" w:after="20"/>
              <w:ind w:left="74" w:right="74"/>
              <w:rPr>
                <w:iCs/>
                <w:szCs w:val="18"/>
              </w:rPr>
            </w:pPr>
            <w:r w:rsidRPr="006B4639">
              <w:rPr>
                <w:iCs/>
                <w:szCs w:val="18"/>
              </w:rPr>
              <w:t xml:space="preserve">The </w:t>
            </w:r>
            <w:r w:rsidR="00D91DDA" w:rsidRPr="006B4639">
              <w:rPr>
                <w:iCs/>
                <w:szCs w:val="18"/>
              </w:rPr>
              <w:t xml:space="preserve">ACCC’s </w:t>
            </w:r>
            <w:r w:rsidRPr="006B4639">
              <w:rPr>
                <w:iCs/>
                <w:szCs w:val="18"/>
              </w:rPr>
              <w:t xml:space="preserve">2015-16 </w:t>
            </w:r>
            <w:r w:rsidR="00D91DDA" w:rsidRPr="006B4639">
              <w:rPr>
                <w:iCs/>
                <w:szCs w:val="18"/>
              </w:rPr>
              <w:t xml:space="preserve">Inquiry into the eastern and northern Australian gas markets </w:t>
            </w:r>
          </w:p>
        </w:tc>
      </w:tr>
      <w:tr w:rsidR="008D7480" w:rsidRPr="006B4639" w14:paraId="40E18266" w14:textId="77777777" w:rsidTr="00EF7DBD">
        <w:tc>
          <w:tcPr>
            <w:tcW w:w="2127" w:type="dxa"/>
          </w:tcPr>
          <w:p w14:paraId="6276F8BC" w14:textId="77777777" w:rsidR="008D7480" w:rsidRPr="006B4639" w:rsidRDefault="008D7480" w:rsidP="00254F40">
            <w:pPr>
              <w:spacing w:before="20" w:after="20"/>
              <w:ind w:left="74" w:right="74"/>
              <w:rPr>
                <w:iCs/>
                <w:szCs w:val="18"/>
              </w:rPr>
            </w:pPr>
            <w:r w:rsidRPr="006B4639">
              <w:rPr>
                <w:iCs/>
                <w:szCs w:val="18"/>
              </w:rPr>
              <w:t xml:space="preserve">2017-18 Economic regulation review </w:t>
            </w:r>
          </w:p>
        </w:tc>
        <w:tc>
          <w:tcPr>
            <w:tcW w:w="6945" w:type="dxa"/>
          </w:tcPr>
          <w:p w14:paraId="09313C43" w14:textId="77777777" w:rsidR="008D7480" w:rsidRPr="006B4639" w:rsidRDefault="008D7480" w:rsidP="00254F40">
            <w:pPr>
              <w:spacing w:before="20" w:after="20"/>
              <w:ind w:left="74" w:right="74"/>
              <w:rPr>
                <w:iCs/>
                <w:szCs w:val="18"/>
              </w:rPr>
            </w:pPr>
            <w:r w:rsidRPr="006B4639">
              <w:rPr>
                <w:iCs/>
                <w:szCs w:val="18"/>
              </w:rPr>
              <w:t>The AEMC’s 2017-18 Review into the scope of economic regulation applied to covered pipelines</w:t>
            </w:r>
          </w:p>
        </w:tc>
      </w:tr>
      <w:tr w:rsidR="008D7480" w:rsidRPr="006B4639" w14:paraId="6B00309B" w14:textId="77777777" w:rsidTr="00EF7DBD">
        <w:tc>
          <w:tcPr>
            <w:tcW w:w="2127" w:type="dxa"/>
          </w:tcPr>
          <w:p w14:paraId="26545567" w14:textId="77777777" w:rsidR="008D7480" w:rsidRPr="006B4639" w:rsidRDefault="008D7480" w:rsidP="00254F40">
            <w:pPr>
              <w:spacing w:before="20" w:after="20"/>
              <w:ind w:left="74" w:right="74"/>
              <w:rPr>
                <w:szCs w:val="18"/>
              </w:rPr>
            </w:pPr>
            <w:r w:rsidRPr="006B4639">
              <w:rPr>
                <w:szCs w:val="18"/>
              </w:rPr>
              <w:t>AA</w:t>
            </w:r>
          </w:p>
        </w:tc>
        <w:tc>
          <w:tcPr>
            <w:tcW w:w="6945" w:type="dxa"/>
          </w:tcPr>
          <w:p w14:paraId="0C5D1BCD" w14:textId="77777777" w:rsidR="008D7480" w:rsidRPr="006B4639" w:rsidRDefault="008D7480" w:rsidP="00254F40">
            <w:pPr>
              <w:spacing w:before="20" w:after="20"/>
              <w:ind w:left="74" w:right="74"/>
              <w:rPr>
                <w:szCs w:val="18"/>
              </w:rPr>
            </w:pPr>
            <w:r w:rsidRPr="006B4639">
              <w:rPr>
                <w:szCs w:val="18"/>
              </w:rPr>
              <w:t>Access arrangement</w:t>
            </w:r>
          </w:p>
        </w:tc>
      </w:tr>
      <w:tr w:rsidR="00D91DDA" w:rsidRPr="006B4639" w14:paraId="4E61FE5D" w14:textId="77777777" w:rsidTr="00EF7DBD">
        <w:tc>
          <w:tcPr>
            <w:tcW w:w="2127" w:type="dxa"/>
          </w:tcPr>
          <w:p w14:paraId="01559FCD" w14:textId="77777777" w:rsidR="00D91DDA" w:rsidRPr="006B4639" w:rsidRDefault="00D91DDA" w:rsidP="00254F40">
            <w:pPr>
              <w:spacing w:before="20" w:after="20"/>
              <w:ind w:left="74" w:right="74"/>
              <w:rPr>
                <w:szCs w:val="18"/>
              </w:rPr>
            </w:pPr>
            <w:r w:rsidRPr="006B4639">
              <w:rPr>
                <w:szCs w:val="18"/>
              </w:rPr>
              <w:t>ACCC</w:t>
            </w:r>
          </w:p>
        </w:tc>
        <w:tc>
          <w:tcPr>
            <w:tcW w:w="6945" w:type="dxa"/>
          </w:tcPr>
          <w:p w14:paraId="4CE027C1" w14:textId="77777777" w:rsidR="00D91DDA" w:rsidRPr="006B4639" w:rsidRDefault="00D91DDA" w:rsidP="00254F40">
            <w:pPr>
              <w:spacing w:before="20" w:after="20"/>
              <w:ind w:left="74" w:right="74"/>
              <w:rPr>
                <w:szCs w:val="18"/>
              </w:rPr>
            </w:pPr>
            <w:r w:rsidRPr="006B4639">
              <w:rPr>
                <w:szCs w:val="18"/>
              </w:rPr>
              <w:t>Australian Competition and Consumer Commission</w:t>
            </w:r>
          </w:p>
        </w:tc>
      </w:tr>
      <w:tr w:rsidR="00D91DDA" w:rsidRPr="006B4639" w14:paraId="21E2EDEF" w14:textId="77777777" w:rsidTr="00EF7DBD">
        <w:tc>
          <w:tcPr>
            <w:tcW w:w="2127" w:type="dxa"/>
          </w:tcPr>
          <w:p w14:paraId="206826A1" w14:textId="77777777" w:rsidR="00D91DDA" w:rsidRPr="006B4639" w:rsidRDefault="00D91DDA" w:rsidP="00254F40">
            <w:pPr>
              <w:spacing w:before="20" w:after="20"/>
              <w:ind w:left="74" w:right="74"/>
              <w:rPr>
                <w:szCs w:val="18"/>
              </w:rPr>
            </w:pPr>
            <w:r w:rsidRPr="006B4639">
              <w:rPr>
                <w:szCs w:val="18"/>
              </w:rPr>
              <w:t>AEMC</w:t>
            </w:r>
          </w:p>
        </w:tc>
        <w:tc>
          <w:tcPr>
            <w:tcW w:w="6945" w:type="dxa"/>
          </w:tcPr>
          <w:p w14:paraId="569EB718" w14:textId="77777777" w:rsidR="00D91DDA" w:rsidRPr="006B4639" w:rsidRDefault="00D91DDA" w:rsidP="00254F40">
            <w:pPr>
              <w:spacing w:before="20" w:after="20"/>
              <w:ind w:left="74" w:right="74"/>
              <w:rPr>
                <w:szCs w:val="18"/>
              </w:rPr>
            </w:pPr>
            <w:r w:rsidRPr="006B4639">
              <w:rPr>
                <w:szCs w:val="18"/>
              </w:rPr>
              <w:t>Australian Energy Market Commission</w:t>
            </w:r>
          </w:p>
        </w:tc>
      </w:tr>
      <w:tr w:rsidR="00D91DDA" w:rsidRPr="006B4639" w14:paraId="5A8E2868" w14:textId="77777777" w:rsidTr="00EF7DBD">
        <w:tc>
          <w:tcPr>
            <w:tcW w:w="2127" w:type="dxa"/>
          </w:tcPr>
          <w:p w14:paraId="19CEB7FA" w14:textId="77777777" w:rsidR="00D91DDA" w:rsidRPr="006B4639" w:rsidRDefault="00D91DDA" w:rsidP="00254F40">
            <w:pPr>
              <w:spacing w:before="20" w:after="20"/>
              <w:ind w:left="74" w:right="74"/>
              <w:rPr>
                <w:szCs w:val="18"/>
              </w:rPr>
            </w:pPr>
            <w:r w:rsidRPr="006B4639">
              <w:rPr>
                <w:szCs w:val="18"/>
              </w:rPr>
              <w:t>AEMO</w:t>
            </w:r>
          </w:p>
        </w:tc>
        <w:tc>
          <w:tcPr>
            <w:tcW w:w="6945" w:type="dxa"/>
          </w:tcPr>
          <w:p w14:paraId="2A74B69B" w14:textId="77777777" w:rsidR="00D91DDA" w:rsidRPr="006B4639" w:rsidRDefault="00D91DDA" w:rsidP="00254F40">
            <w:pPr>
              <w:spacing w:before="20" w:after="20"/>
              <w:ind w:left="74" w:right="74"/>
              <w:rPr>
                <w:szCs w:val="18"/>
              </w:rPr>
            </w:pPr>
            <w:r w:rsidRPr="006B4639">
              <w:rPr>
                <w:szCs w:val="18"/>
              </w:rPr>
              <w:t>Australian Energy Market Operator</w:t>
            </w:r>
          </w:p>
        </w:tc>
      </w:tr>
      <w:tr w:rsidR="00D91DDA" w:rsidRPr="006B4639" w14:paraId="22B32BFC" w14:textId="77777777" w:rsidTr="00EF7DBD">
        <w:tc>
          <w:tcPr>
            <w:tcW w:w="2127" w:type="dxa"/>
          </w:tcPr>
          <w:p w14:paraId="1AB0FE4B" w14:textId="77777777" w:rsidR="00D91DDA" w:rsidRPr="006B4639" w:rsidRDefault="00D91DDA" w:rsidP="00254F40">
            <w:pPr>
              <w:spacing w:before="20" w:after="20"/>
              <w:ind w:left="74" w:right="74"/>
              <w:rPr>
                <w:szCs w:val="18"/>
              </w:rPr>
            </w:pPr>
            <w:r w:rsidRPr="006B4639">
              <w:rPr>
                <w:szCs w:val="18"/>
              </w:rPr>
              <w:t>AER</w:t>
            </w:r>
          </w:p>
        </w:tc>
        <w:tc>
          <w:tcPr>
            <w:tcW w:w="6945" w:type="dxa"/>
          </w:tcPr>
          <w:p w14:paraId="131834ED" w14:textId="77777777" w:rsidR="00D91DDA" w:rsidRPr="006B4639" w:rsidRDefault="00D91DDA" w:rsidP="00254F40">
            <w:pPr>
              <w:spacing w:before="20" w:after="20"/>
              <w:ind w:left="74" w:right="74"/>
              <w:rPr>
                <w:szCs w:val="18"/>
              </w:rPr>
            </w:pPr>
            <w:r w:rsidRPr="006B4639">
              <w:rPr>
                <w:szCs w:val="18"/>
              </w:rPr>
              <w:t>Australian Energy Regulator</w:t>
            </w:r>
          </w:p>
        </w:tc>
      </w:tr>
      <w:tr w:rsidR="005E50BE" w:rsidRPr="006B4639" w14:paraId="4659323D" w14:textId="77777777" w:rsidTr="00EF7DBD">
        <w:tc>
          <w:tcPr>
            <w:tcW w:w="2127" w:type="dxa"/>
          </w:tcPr>
          <w:p w14:paraId="6C15FF03" w14:textId="1A4E7290" w:rsidR="005E50BE" w:rsidRPr="006B4639" w:rsidRDefault="005E50BE" w:rsidP="00254F40">
            <w:pPr>
              <w:spacing w:before="20" w:after="20"/>
              <w:ind w:left="74" w:right="74"/>
              <w:rPr>
                <w:szCs w:val="18"/>
              </w:rPr>
            </w:pPr>
            <w:r>
              <w:rPr>
                <w:szCs w:val="18"/>
              </w:rPr>
              <w:t>BB</w:t>
            </w:r>
          </w:p>
        </w:tc>
        <w:tc>
          <w:tcPr>
            <w:tcW w:w="6945" w:type="dxa"/>
          </w:tcPr>
          <w:p w14:paraId="22E500B7" w14:textId="0A910F0D" w:rsidR="005E50BE" w:rsidRPr="006B4639" w:rsidRDefault="00D554AE" w:rsidP="00254F40">
            <w:pPr>
              <w:spacing w:before="20" w:after="20"/>
              <w:ind w:left="74" w:right="74"/>
              <w:rPr>
                <w:szCs w:val="18"/>
              </w:rPr>
            </w:pPr>
            <w:r>
              <w:rPr>
                <w:rFonts w:cs="Arial"/>
                <w:szCs w:val="18"/>
              </w:rPr>
              <w:t xml:space="preserve">East coast and NT </w:t>
            </w:r>
            <w:r w:rsidR="005E50BE" w:rsidRPr="006B4639">
              <w:rPr>
                <w:rFonts w:cs="Arial"/>
                <w:szCs w:val="18"/>
              </w:rPr>
              <w:t>Natural Gas Services Bulletin Board</w:t>
            </w:r>
            <w:r w:rsidR="005E50BE">
              <w:rPr>
                <w:rFonts w:cs="Arial"/>
                <w:szCs w:val="18"/>
              </w:rPr>
              <w:t xml:space="preserve"> (given effect through the NGL, the Regulations and Part 18 of the NGR)</w:t>
            </w:r>
          </w:p>
        </w:tc>
      </w:tr>
      <w:tr w:rsidR="00C91685" w:rsidRPr="006B4639" w14:paraId="57D78B6D" w14:textId="77777777" w:rsidTr="00EF7DBD">
        <w:tc>
          <w:tcPr>
            <w:tcW w:w="2127" w:type="dxa"/>
          </w:tcPr>
          <w:p w14:paraId="341E3485" w14:textId="77777777" w:rsidR="00C91685" w:rsidRPr="006B4639" w:rsidRDefault="00C91685" w:rsidP="00254F40">
            <w:pPr>
              <w:spacing w:before="20" w:after="20"/>
              <w:ind w:left="74" w:right="74"/>
              <w:rPr>
                <w:szCs w:val="18"/>
              </w:rPr>
            </w:pPr>
            <w:r w:rsidRPr="006B4639">
              <w:rPr>
                <w:szCs w:val="18"/>
              </w:rPr>
              <w:t>CBA</w:t>
            </w:r>
          </w:p>
        </w:tc>
        <w:tc>
          <w:tcPr>
            <w:tcW w:w="6945" w:type="dxa"/>
          </w:tcPr>
          <w:p w14:paraId="05D1AC9C" w14:textId="77777777" w:rsidR="00C91685" w:rsidRPr="006B4639" w:rsidRDefault="00C91685" w:rsidP="00254F40">
            <w:pPr>
              <w:spacing w:before="20" w:after="20"/>
              <w:ind w:left="74" w:right="74"/>
              <w:rPr>
                <w:szCs w:val="18"/>
              </w:rPr>
            </w:pPr>
            <w:r w:rsidRPr="006B4639">
              <w:rPr>
                <w:szCs w:val="18"/>
              </w:rPr>
              <w:t>Cost benefit analysis</w:t>
            </w:r>
          </w:p>
        </w:tc>
      </w:tr>
      <w:tr w:rsidR="0037684A" w:rsidRPr="006B4639" w14:paraId="3D8AFF92" w14:textId="77777777" w:rsidTr="00EF7DBD">
        <w:tc>
          <w:tcPr>
            <w:tcW w:w="2127" w:type="dxa"/>
          </w:tcPr>
          <w:p w14:paraId="030CBBA1" w14:textId="77777777" w:rsidR="0037684A" w:rsidRPr="006B4639" w:rsidRDefault="0037684A" w:rsidP="00254F40">
            <w:pPr>
              <w:spacing w:before="20" w:after="20"/>
              <w:ind w:left="74" w:right="74"/>
              <w:rPr>
                <w:szCs w:val="18"/>
              </w:rPr>
            </w:pPr>
            <w:r>
              <w:rPr>
                <w:szCs w:val="18"/>
              </w:rPr>
              <w:t>CCA</w:t>
            </w:r>
          </w:p>
        </w:tc>
        <w:tc>
          <w:tcPr>
            <w:tcW w:w="6945" w:type="dxa"/>
          </w:tcPr>
          <w:p w14:paraId="1A86B99A" w14:textId="77777777" w:rsidR="0037684A" w:rsidRPr="0037684A" w:rsidRDefault="0037684A" w:rsidP="00254F40">
            <w:pPr>
              <w:spacing w:before="20" w:after="20"/>
              <w:ind w:left="74" w:right="74"/>
              <w:rPr>
                <w:i/>
                <w:iCs/>
                <w:szCs w:val="18"/>
              </w:rPr>
            </w:pPr>
            <w:r w:rsidRPr="0037684A">
              <w:rPr>
                <w:i/>
                <w:iCs/>
                <w:szCs w:val="18"/>
              </w:rPr>
              <w:t>Competition and Consumer Act 2010</w:t>
            </w:r>
          </w:p>
        </w:tc>
      </w:tr>
      <w:tr w:rsidR="00C91685" w:rsidRPr="006B4639" w14:paraId="0512AEAA" w14:textId="77777777" w:rsidTr="00EF7DBD">
        <w:tc>
          <w:tcPr>
            <w:tcW w:w="2127" w:type="dxa"/>
          </w:tcPr>
          <w:p w14:paraId="187B5E7B" w14:textId="77777777" w:rsidR="00C91685" w:rsidRPr="006B4639" w:rsidRDefault="00C91685" w:rsidP="00254F40">
            <w:pPr>
              <w:spacing w:before="20" w:after="20"/>
              <w:ind w:left="74" w:right="74"/>
              <w:rPr>
                <w:szCs w:val="18"/>
              </w:rPr>
            </w:pPr>
            <w:r w:rsidRPr="006B4639">
              <w:rPr>
                <w:szCs w:val="18"/>
              </w:rPr>
              <w:t>CEA</w:t>
            </w:r>
          </w:p>
        </w:tc>
        <w:tc>
          <w:tcPr>
            <w:tcW w:w="6945" w:type="dxa"/>
          </w:tcPr>
          <w:p w14:paraId="4FE45160" w14:textId="77777777" w:rsidR="00C91685" w:rsidRPr="006B4639" w:rsidRDefault="00C91685" w:rsidP="00254F40">
            <w:pPr>
              <w:spacing w:before="20" w:after="20"/>
              <w:ind w:left="74" w:right="74"/>
              <w:rPr>
                <w:szCs w:val="18"/>
              </w:rPr>
            </w:pPr>
            <w:r w:rsidRPr="006B4639">
              <w:rPr>
                <w:szCs w:val="18"/>
              </w:rPr>
              <w:t>Competitive effects analysis</w:t>
            </w:r>
          </w:p>
        </w:tc>
      </w:tr>
      <w:tr w:rsidR="00C91685" w:rsidRPr="006B4639" w14:paraId="53A3318E" w14:textId="77777777" w:rsidTr="00EF7DBD">
        <w:tc>
          <w:tcPr>
            <w:tcW w:w="2127" w:type="dxa"/>
          </w:tcPr>
          <w:p w14:paraId="38C35A9E" w14:textId="77777777" w:rsidR="00C91685" w:rsidRPr="006B4639" w:rsidRDefault="00C91685" w:rsidP="00254F40">
            <w:pPr>
              <w:spacing w:before="20" w:after="20"/>
              <w:ind w:left="74" w:right="74"/>
              <w:rPr>
                <w:szCs w:val="18"/>
              </w:rPr>
            </w:pPr>
            <w:r w:rsidRPr="006B4639">
              <w:rPr>
                <w:szCs w:val="18"/>
              </w:rPr>
              <w:t>COAG</w:t>
            </w:r>
          </w:p>
        </w:tc>
        <w:tc>
          <w:tcPr>
            <w:tcW w:w="6945" w:type="dxa"/>
          </w:tcPr>
          <w:p w14:paraId="39783558" w14:textId="77777777" w:rsidR="00C91685" w:rsidRPr="006B4639" w:rsidRDefault="00C91685" w:rsidP="00254F40">
            <w:pPr>
              <w:spacing w:before="20" w:after="20"/>
              <w:ind w:left="74" w:right="74"/>
              <w:rPr>
                <w:szCs w:val="18"/>
              </w:rPr>
            </w:pPr>
            <w:r w:rsidRPr="006B4639">
              <w:rPr>
                <w:szCs w:val="18"/>
              </w:rPr>
              <w:t>Council of Australian Governments</w:t>
            </w:r>
          </w:p>
        </w:tc>
      </w:tr>
      <w:tr w:rsidR="00C91685" w:rsidRPr="006B4639" w14:paraId="0FF6D550" w14:textId="77777777" w:rsidTr="00EF7DBD">
        <w:tc>
          <w:tcPr>
            <w:tcW w:w="2127" w:type="dxa"/>
          </w:tcPr>
          <w:p w14:paraId="36B10474" w14:textId="77777777" w:rsidR="00C91685" w:rsidRPr="006B4639" w:rsidRDefault="00C91685" w:rsidP="00254F40">
            <w:pPr>
              <w:spacing w:before="20" w:after="20"/>
              <w:ind w:left="74" w:right="74"/>
              <w:rPr>
                <w:szCs w:val="18"/>
              </w:rPr>
            </w:pPr>
            <w:r w:rsidRPr="006B4639">
              <w:rPr>
                <w:szCs w:val="18"/>
              </w:rPr>
              <w:t>CRBM</w:t>
            </w:r>
          </w:p>
        </w:tc>
        <w:tc>
          <w:tcPr>
            <w:tcW w:w="6945" w:type="dxa"/>
          </w:tcPr>
          <w:p w14:paraId="4004B73F" w14:textId="77777777" w:rsidR="00C91685" w:rsidRPr="006B4639" w:rsidRDefault="00C91685" w:rsidP="00254F40">
            <w:pPr>
              <w:spacing w:before="20" w:after="20"/>
              <w:ind w:left="74" w:right="74"/>
              <w:rPr>
                <w:szCs w:val="18"/>
              </w:rPr>
            </w:pPr>
            <w:r w:rsidRPr="006B4639">
              <w:rPr>
                <w:szCs w:val="18"/>
              </w:rPr>
              <w:t>Commonwealth Regulatory Burden Measure</w:t>
            </w:r>
          </w:p>
        </w:tc>
      </w:tr>
      <w:tr w:rsidR="00D91DDA" w:rsidRPr="006B4639" w14:paraId="4EC79268" w14:textId="77777777" w:rsidTr="00EF7DBD">
        <w:tc>
          <w:tcPr>
            <w:tcW w:w="2127" w:type="dxa"/>
          </w:tcPr>
          <w:p w14:paraId="0B622759" w14:textId="77777777" w:rsidR="00D91DDA" w:rsidRPr="006B4639" w:rsidRDefault="00D91DDA" w:rsidP="00254F40">
            <w:pPr>
              <w:spacing w:before="20" w:after="20"/>
              <w:ind w:left="74" w:right="74"/>
              <w:rPr>
                <w:szCs w:val="18"/>
              </w:rPr>
            </w:pPr>
            <w:r w:rsidRPr="006B4639">
              <w:rPr>
                <w:szCs w:val="18"/>
              </w:rPr>
              <w:t>COAG</w:t>
            </w:r>
          </w:p>
        </w:tc>
        <w:tc>
          <w:tcPr>
            <w:tcW w:w="6945" w:type="dxa"/>
          </w:tcPr>
          <w:p w14:paraId="4F8C272C" w14:textId="77777777" w:rsidR="00D91DDA" w:rsidRPr="006B4639" w:rsidRDefault="00D91DDA" w:rsidP="00254F40">
            <w:pPr>
              <w:spacing w:before="20" w:after="20"/>
              <w:ind w:left="74" w:right="74"/>
              <w:rPr>
                <w:szCs w:val="18"/>
              </w:rPr>
            </w:pPr>
            <w:r w:rsidRPr="006B4639">
              <w:rPr>
                <w:szCs w:val="18"/>
              </w:rPr>
              <w:t>Council of Australian Governments</w:t>
            </w:r>
          </w:p>
        </w:tc>
      </w:tr>
      <w:tr w:rsidR="0037684A" w:rsidRPr="006B4639" w14:paraId="2E11978A" w14:textId="77777777" w:rsidTr="00EF7DBD">
        <w:tc>
          <w:tcPr>
            <w:tcW w:w="2127" w:type="dxa"/>
          </w:tcPr>
          <w:p w14:paraId="59488E4D" w14:textId="77777777" w:rsidR="0037684A" w:rsidRPr="006B4639" w:rsidRDefault="0037684A" w:rsidP="00254F40">
            <w:pPr>
              <w:spacing w:before="20" w:after="20"/>
              <w:ind w:left="74" w:right="74"/>
              <w:rPr>
                <w:iCs/>
                <w:szCs w:val="18"/>
              </w:rPr>
            </w:pPr>
            <w:r>
              <w:rPr>
                <w:iCs/>
                <w:szCs w:val="18"/>
              </w:rPr>
              <w:t>CTP</w:t>
            </w:r>
          </w:p>
        </w:tc>
        <w:tc>
          <w:tcPr>
            <w:tcW w:w="6945" w:type="dxa"/>
          </w:tcPr>
          <w:p w14:paraId="4F87F6BD" w14:textId="77777777" w:rsidR="0037684A" w:rsidRPr="006B4639" w:rsidRDefault="0037684A" w:rsidP="00254F40">
            <w:pPr>
              <w:spacing w:before="20" w:after="20"/>
              <w:ind w:left="74" w:right="74"/>
              <w:rPr>
                <w:iCs/>
                <w:szCs w:val="18"/>
              </w:rPr>
            </w:pPr>
            <w:r>
              <w:rPr>
                <w:iCs/>
                <w:szCs w:val="18"/>
              </w:rPr>
              <w:t>Competitive tender process</w:t>
            </w:r>
          </w:p>
        </w:tc>
      </w:tr>
      <w:tr w:rsidR="000F190C" w:rsidRPr="006B4639" w14:paraId="56177375" w14:textId="77777777" w:rsidTr="00EF7DBD">
        <w:tc>
          <w:tcPr>
            <w:tcW w:w="2127" w:type="dxa"/>
          </w:tcPr>
          <w:p w14:paraId="73EF4BAB" w14:textId="77777777" w:rsidR="000F190C" w:rsidRPr="006B4639" w:rsidRDefault="000F190C" w:rsidP="00254F40">
            <w:pPr>
              <w:spacing w:before="20" w:after="20"/>
              <w:ind w:left="74" w:right="74"/>
              <w:rPr>
                <w:iCs/>
                <w:szCs w:val="18"/>
              </w:rPr>
            </w:pPr>
            <w:r w:rsidRPr="006B4639">
              <w:rPr>
                <w:iCs/>
                <w:szCs w:val="18"/>
              </w:rPr>
              <w:t>Examination</w:t>
            </w:r>
          </w:p>
        </w:tc>
        <w:tc>
          <w:tcPr>
            <w:tcW w:w="6945" w:type="dxa"/>
          </w:tcPr>
          <w:p w14:paraId="3E36C45A" w14:textId="77777777" w:rsidR="000F190C" w:rsidRPr="006B4639" w:rsidRDefault="000F190C" w:rsidP="00254F40">
            <w:pPr>
              <w:spacing w:before="20" w:after="20"/>
              <w:ind w:left="74" w:right="74"/>
              <w:rPr>
                <w:iCs/>
                <w:szCs w:val="18"/>
              </w:rPr>
            </w:pPr>
            <w:r w:rsidRPr="006B4639">
              <w:rPr>
                <w:iCs/>
                <w:szCs w:val="18"/>
              </w:rPr>
              <w:t xml:space="preserve">Dr </w:t>
            </w:r>
            <w:r w:rsidR="00080331" w:rsidRPr="006B4639">
              <w:rPr>
                <w:iCs/>
                <w:szCs w:val="18"/>
              </w:rPr>
              <w:t xml:space="preserve">Michael </w:t>
            </w:r>
            <w:r w:rsidRPr="006B4639">
              <w:rPr>
                <w:iCs/>
                <w:szCs w:val="18"/>
              </w:rPr>
              <w:t xml:space="preserve">Vertigan’s Examination of the </w:t>
            </w:r>
            <w:r w:rsidR="00080331" w:rsidRPr="006B4639">
              <w:rPr>
                <w:iCs/>
                <w:szCs w:val="18"/>
              </w:rPr>
              <w:t xml:space="preserve">current </w:t>
            </w:r>
            <w:r w:rsidRPr="006B4639">
              <w:rPr>
                <w:iCs/>
                <w:szCs w:val="18"/>
              </w:rPr>
              <w:t xml:space="preserve">test for </w:t>
            </w:r>
            <w:r w:rsidR="00080331" w:rsidRPr="006B4639">
              <w:rPr>
                <w:iCs/>
                <w:szCs w:val="18"/>
              </w:rPr>
              <w:t xml:space="preserve">the </w:t>
            </w:r>
            <w:r w:rsidRPr="006B4639">
              <w:rPr>
                <w:iCs/>
                <w:szCs w:val="18"/>
              </w:rPr>
              <w:t xml:space="preserve">regulation </w:t>
            </w:r>
            <w:r w:rsidR="00080331" w:rsidRPr="006B4639">
              <w:rPr>
                <w:iCs/>
                <w:szCs w:val="18"/>
              </w:rPr>
              <w:t xml:space="preserve">of gas pipelines </w:t>
            </w:r>
            <w:r w:rsidRPr="006B4639">
              <w:rPr>
                <w:iCs/>
                <w:szCs w:val="18"/>
              </w:rPr>
              <w:t>(December 2016)</w:t>
            </w:r>
          </w:p>
        </w:tc>
      </w:tr>
      <w:tr w:rsidR="009B721C" w:rsidRPr="006B4639" w14:paraId="0BF879D4" w14:textId="77777777" w:rsidTr="00EF7DBD">
        <w:tc>
          <w:tcPr>
            <w:tcW w:w="2127" w:type="dxa"/>
          </w:tcPr>
          <w:p w14:paraId="5CB52346" w14:textId="77777777" w:rsidR="009B721C" w:rsidRPr="006B4639" w:rsidRDefault="009B721C" w:rsidP="00254F40">
            <w:pPr>
              <w:spacing w:before="20" w:after="20"/>
              <w:ind w:left="74" w:right="74"/>
              <w:rPr>
                <w:szCs w:val="18"/>
              </w:rPr>
            </w:pPr>
            <w:r w:rsidRPr="00807EA1">
              <w:t>Energy National Cabinet Reform Committee</w:t>
            </w:r>
            <w:r w:rsidR="000C5875">
              <w:t xml:space="preserve"> (ENCRC)</w:t>
            </w:r>
          </w:p>
        </w:tc>
        <w:tc>
          <w:tcPr>
            <w:tcW w:w="6945" w:type="dxa"/>
          </w:tcPr>
          <w:p w14:paraId="2C17111E" w14:textId="77777777" w:rsidR="009B721C" w:rsidRPr="006B4639" w:rsidRDefault="009B721C" w:rsidP="00254F40">
            <w:pPr>
              <w:spacing w:before="20" w:after="20"/>
              <w:ind w:left="74" w:right="74"/>
              <w:rPr>
                <w:szCs w:val="18"/>
              </w:rPr>
            </w:pPr>
            <w:r>
              <w:rPr>
                <w:szCs w:val="18"/>
              </w:rPr>
              <w:t>A Committee of National Cabinet, comprising state, territory and Commonwealth Ministers.</w:t>
            </w:r>
          </w:p>
        </w:tc>
      </w:tr>
      <w:tr w:rsidR="009B721C" w:rsidRPr="006B4639" w14:paraId="44E4B00D" w14:textId="77777777" w:rsidTr="00EF7DBD">
        <w:tc>
          <w:tcPr>
            <w:tcW w:w="2127" w:type="dxa"/>
          </w:tcPr>
          <w:p w14:paraId="566669E5" w14:textId="77777777" w:rsidR="009B721C" w:rsidRPr="006B4639" w:rsidRDefault="009B721C" w:rsidP="00254F40">
            <w:pPr>
              <w:spacing w:before="20" w:after="20"/>
              <w:ind w:left="74" w:right="74"/>
              <w:rPr>
                <w:szCs w:val="18"/>
              </w:rPr>
            </w:pPr>
            <w:r>
              <w:rPr>
                <w:szCs w:val="18"/>
              </w:rPr>
              <w:t>Energy Senior Officials</w:t>
            </w:r>
          </w:p>
        </w:tc>
        <w:tc>
          <w:tcPr>
            <w:tcW w:w="6945" w:type="dxa"/>
          </w:tcPr>
          <w:p w14:paraId="31F952A7" w14:textId="77777777" w:rsidR="009B721C" w:rsidRPr="00807EA1" w:rsidRDefault="009B721C" w:rsidP="00254F40">
            <w:pPr>
              <w:spacing w:before="20" w:after="20"/>
              <w:ind w:left="74" w:right="74"/>
              <w:rPr>
                <w:szCs w:val="18"/>
              </w:rPr>
            </w:pPr>
            <w:r>
              <w:t>S</w:t>
            </w:r>
            <w:r w:rsidRPr="00807EA1">
              <w:t>enior officials</w:t>
            </w:r>
            <w:r>
              <w:t xml:space="preserve"> from </w:t>
            </w:r>
            <w:r w:rsidRPr="00A219A2">
              <w:t>state, territory and Commonwealth</w:t>
            </w:r>
            <w:r>
              <w:t xml:space="preserve"> </w:t>
            </w:r>
            <w:r w:rsidRPr="00A219A2">
              <w:t xml:space="preserve">energy </w:t>
            </w:r>
            <w:r>
              <w:t>departments.</w:t>
            </w:r>
            <w:r w:rsidRPr="00807EA1">
              <w:t xml:space="preserve"> </w:t>
            </w:r>
            <w:r w:rsidRPr="00A219A2">
              <w:t xml:space="preserve"> </w:t>
            </w:r>
          </w:p>
        </w:tc>
      </w:tr>
      <w:tr w:rsidR="008D7480" w:rsidRPr="006B4639" w14:paraId="690F4F24" w14:textId="77777777" w:rsidTr="00EF7DBD">
        <w:tc>
          <w:tcPr>
            <w:tcW w:w="2127" w:type="dxa"/>
          </w:tcPr>
          <w:p w14:paraId="1442C555" w14:textId="77777777" w:rsidR="008D7480" w:rsidRPr="006B4639" w:rsidRDefault="008D7480" w:rsidP="00254F40">
            <w:pPr>
              <w:spacing w:before="20" w:after="20"/>
              <w:ind w:left="74" w:right="74"/>
              <w:rPr>
                <w:szCs w:val="18"/>
              </w:rPr>
            </w:pPr>
            <w:r w:rsidRPr="006B4639">
              <w:rPr>
                <w:szCs w:val="18"/>
              </w:rPr>
              <w:t>ERA</w:t>
            </w:r>
          </w:p>
        </w:tc>
        <w:tc>
          <w:tcPr>
            <w:tcW w:w="6945" w:type="dxa"/>
          </w:tcPr>
          <w:p w14:paraId="609902DA" w14:textId="77777777" w:rsidR="008D7480" w:rsidRPr="006B4639" w:rsidRDefault="008D7480" w:rsidP="00254F40">
            <w:pPr>
              <w:spacing w:before="20" w:after="20"/>
              <w:ind w:left="74" w:right="74"/>
              <w:rPr>
                <w:szCs w:val="18"/>
              </w:rPr>
            </w:pPr>
            <w:r w:rsidRPr="006B4639">
              <w:rPr>
                <w:szCs w:val="18"/>
              </w:rPr>
              <w:t>Economic Regulation Authority (Western Australia)</w:t>
            </w:r>
          </w:p>
        </w:tc>
      </w:tr>
      <w:tr w:rsidR="0037684A" w:rsidRPr="006B4639" w14:paraId="723ADA5E" w14:textId="77777777" w:rsidTr="00EF7DBD">
        <w:tc>
          <w:tcPr>
            <w:tcW w:w="2127" w:type="dxa"/>
          </w:tcPr>
          <w:p w14:paraId="0B5C1224" w14:textId="77777777" w:rsidR="0037684A" w:rsidRPr="006B4639" w:rsidRDefault="0037684A" w:rsidP="00254F40">
            <w:pPr>
              <w:spacing w:before="20" w:after="20"/>
              <w:ind w:left="74" w:right="74"/>
              <w:rPr>
                <w:szCs w:val="18"/>
              </w:rPr>
            </w:pPr>
            <w:r>
              <w:rPr>
                <w:szCs w:val="18"/>
              </w:rPr>
              <w:t>Gas Code</w:t>
            </w:r>
          </w:p>
        </w:tc>
        <w:tc>
          <w:tcPr>
            <w:tcW w:w="6945" w:type="dxa"/>
          </w:tcPr>
          <w:p w14:paraId="66309E6E" w14:textId="77777777" w:rsidR="0037684A" w:rsidRPr="006B4639" w:rsidRDefault="0037684A" w:rsidP="00254F40">
            <w:pPr>
              <w:spacing w:before="20" w:after="20"/>
              <w:ind w:left="74" w:right="74"/>
              <w:rPr>
                <w:szCs w:val="18"/>
              </w:rPr>
            </w:pPr>
            <w:r w:rsidRPr="006B4639">
              <w:t>National Third Party Access Code for Natural Gas Pipeline Systems</w:t>
            </w:r>
          </w:p>
        </w:tc>
      </w:tr>
      <w:tr w:rsidR="005E50BE" w:rsidRPr="006B4639" w14:paraId="44689997" w14:textId="77777777" w:rsidTr="00EF7DBD">
        <w:tc>
          <w:tcPr>
            <w:tcW w:w="2127" w:type="dxa"/>
          </w:tcPr>
          <w:p w14:paraId="289D5558" w14:textId="2107726A" w:rsidR="005E50BE" w:rsidRPr="006B4639" w:rsidRDefault="005E50BE" w:rsidP="00254F40">
            <w:pPr>
              <w:spacing w:before="20" w:after="20"/>
              <w:ind w:left="74" w:right="74"/>
              <w:rPr>
                <w:szCs w:val="18"/>
              </w:rPr>
            </w:pPr>
            <w:r>
              <w:rPr>
                <w:szCs w:val="18"/>
              </w:rPr>
              <w:t>GBB</w:t>
            </w:r>
          </w:p>
        </w:tc>
        <w:tc>
          <w:tcPr>
            <w:tcW w:w="6945" w:type="dxa"/>
          </w:tcPr>
          <w:p w14:paraId="36DFD7DA" w14:textId="612A9222" w:rsidR="005E50BE" w:rsidRPr="006B4639" w:rsidRDefault="005E50BE" w:rsidP="00254F40">
            <w:pPr>
              <w:spacing w:before="20" w:after="20"/>
              <w:ind w:left="74" w:right="74"/>
              <w:rPr>
                <w:szCs w:val="18"/>
              </w:rPr>
            </w:pPr>
            <w:r>
              <w:t xml:space="preserve">Western Australian Gas Bulletin Board (given effect through the </w:t>
            </w:r>
            <w:r w:rsidRPr="00EF7DBD">
              <w:rPr>
                <w:i/>
                <w:iCs/>
              </w:rPr>
              <w:t>Gas Services Information Act 2012</w:t>
            </w:r>
            <w:r>
              <w:rPr>
                <w:i/>
                <w:iCs/>
              </w:rPr>
              <w:t xml:space="preserve"> </w:t>
            </w:r>
            <w:r>
              <w:t>(WA), the Gas Services Information Regulations 2012 (WA) and the Gas Services Information Rules.</w:t>
            </w:r>
          </w:p>
        </w:tc>
      </w:tr>
      <w:tr w:rsidR="00D91DDA" w:rsidRPr="006B4639" w14:paraId="1BA7A114" w14:textId="77777777" w:rsidTr="00EF7DBD">
        <w:tc>
          <w:tcPr>
            <w:tcW w:w="2127" w:type="dxa"/>
          </w:tcPr>
          <w:p w14:paraId="56D84461" w14:textId="77777777" w:rsidR="00D91DDA" w:rsidRPr="006B4639" w:rsidRDefault="00D91DDA" w:rsidP="00254F40">
            <w:pPr>
              <w:spacing w:before="20" w:after="20"/>
              <w:ind w:left="74" w:right="74"/>
              <w:rPr>
                <w:szCs w:val="18"/>
              </w:rPr>
            </w:pPr>
            <w:r w:rsidRPr="006B4639">
              <w:rPr>
                <w:szCs w:val="18"/>
              </w:rPr>
              <w:t>GMRG</w:t>
            </w:r>
          </w:p>
        </w:tc>
        <w:tc>
          <w:tcPr>
            <w:tcW w:w="6945" w:type="dxa"/>
          </w:tcPr>
          <w:p w14:paraId="41C41D5F" w14:textId="77777777" w:rsidR="00D91DDA" w:rsidRPr="006B4639" w:rsidRDefault="00D91DDA" w:rsidP="00254F40">
            <w:pPr>
              <w:spacing w:before="20" w:after="20"/>
              <w:ind w:left="74" w:right="74"/>
              <w:rPr>
                <w:szCs w:val="18"/>
              </w:rPr>
            </w:pPr>
            <w:r w:rsidRPr="006B4639">
              <w:rPr>
                <w:szCs w:val="18"/>
              </w:rPr>
              <w:t>Gas Market Reform Group</w:t>
            </w:r>
          </w:p>
        </w:tc>
      </w:tr>
      <w:tr w:rsidR="0037684A" w:rsidRPr="006B4639" w14:paraId="2FFADD06" w14:textId="77777777" w:rsidTr="00EF7DBD">
        <w:tc>
          <w:tcPr>
            <w:tcW w:w="2127" w:type="dxa"/>
          </w:tcPr>
          <w:p w14:paraId="08DB2E65" w14:textId="77777777" w:rsidR="0037684A" w:rsidRPr="006B4639" w:rsidRDefault="0037684A" w:rsidP="00254F40">
            <w:pPr>
              <w:spacing w:before="20" w:after="20"/>
              <w:ind w:left="74" w:right="74"/>
              <w:rPr>
                <w:szCs w:val="18"/>
              </w:rPr>
            </w:pPr>
            <w:r>
              <w:rPr>
                <w:szCs w:val="18"/>
              </w:rPr>
              <w:t>Greenfield exemption</w:t>
            </w:r>
          </w:p>
        </w:tc>
        <w:tc>
          <w:tcPr>
            <w:tcW w:w="6945" w:type="dxa"/>
          </w:tcPr>
          <w:p w14:paraId="5B8FA006" w14:textId="77777777" w:rsidR="0037684A" w:rsidRPr="006B4639" w:rsidRDefault="0037684A" w:rsidP="00254F40">
            <w:pPr>
              <w:spacing w:before="20" w:after="20"/>
              <w:ind w:left="74" w:right="74"/>
              <w:rPr>
                <w:szCs w:val="18"/>
              </w:rPr>
            </w:pPr>
            <w:r>
              <w:rPr>
                <w:szCs w:val="18"/>
              </w:rPr>
              <w:t>A 15-year exemption from coverage that can be obtained by a pipeline prior to commissioning</w:t>
            </w:r>
          </w:p>
        </w:tc>
      </w:tr>
      <w:tr w:rsidR="00D91DDA" w:rsidRPr="006B4639" w14:paraId="2149FB97" w14:textId="77777777" w:rsidTr="00EF7DBD">
        <w:tc>
          <w:tcPr>
            <w:tcW w:w="2127" w:type="dxa"/>
          </w:tcPr>
          <w:p w14:paraId="45FDF6A9" w14:textId="77777777" w:rsidR="00D91DDA" w:rsidRPr="006B4639" w:rsidRDefault="00D91DDA" w:rsidP="00254F40">
            <w:pPr>
              <w:spacing w:before="20" w:after="20"/>
              <w:ind w:left="74" w:right="74"/>
              <w:rPr>
                <w:szCs w:val="18"/>
              </w:rPr>
            </w:pPr>
            <w:r w:rsidRPr="006B4639">
              <w:rPr>
                <w:szCs w:val="18"/>
              </w:rPr>
              <w:t>GSA</w:t>
            </w:r>
          </w:p>
        </w:tc>
        <w:tc>
          <w:tcPr>
            <w:tcW w:w="6945" w:type="dxa"/>
          </w:tcPr>
          <w:p w14:paraId="3AEC962C" w14:textId="77777777" w:rsidR="00D91DDA" w:rsidRPr="006B4639" w:rsidRDefault="00D91DDA" w:rsidP="00254F40">
            <w:pPr>
              <w:spacing w:before="20" w:after="20"/>
              <w:ind w:left="74" w:right="74"/>
              <w:rPr>
                <w:szCs w:val="18"/>
              </w:rPr>
            </w:pPr>
            <w:r w:rsidRPr="006B4639">
              <w:rPr>
                <w:szCs w:val="18"/>
              </w:rPr>
              <w:t>Gas Supply Agreement</w:t>
            </w:r>
          </w:p>
        </w:tc>
      </w:tr>
      <w:tr w:rsidR="0037684A" w:rsidRPr="006B4639" w14:paraId="54B1F28E" w14:textId="77777777" w:rsidTr="00EF7DBD">
        <w:tc>
          <w:tcPr>
            <w:tcW w:w="2127" w:type="dxa"/>
          </w:tcPr>
          <w:p w14:paraId="2E458F05" w14:textId="77777777" w:rsidR="0037684A" w:rsidRPr="006B4639" w:rsidRDefault="0037684A" w:rsidP="00254F40">
            <w:pPr>
              <w:spacing w:before="20" w:after="20"/>
              <w:ind w:left="74" w:right="74"/>
              <w:rPr>
                <w:szCs w:val="18"/>
              </w:rPr>
            </w:pPr>
            <w:r>
              <w:rPr>
                <w:szCs w:val="18"/>
              </w:rPr>
              <w:t>NCC</w:t>
            </w:r>
          </w:p>
        </w:tc>
        <w:tc>
          <w:tcPr>
            <w:tcW w:w="6945" w:type="dxa"/>
          </w:tcPr>
          <w:p w14:paraId="3D8C9160" w14:textId="77777777" w:rsidR="0037684A" w:rsidRPr="006B4639" w:rsidRDefault="0037684A" w:rsidP="00254F40">
            <w:pPr>
              <w:spacing w:before="20" w:after="20"/>
              <w:ind w:left="74" w:right="74"/>
              <w:rPr>
                <w:szCs w:val="18"/>
              </w:rPr>
            </w:pPr>
            <w:r>
              <w:rPr>
                <w:szCs w:val="18"/>
              </w:rPr>
              <w:t>National Competition Council</w:t>
            </w:r>
          </w:p>
        </w:tc>
      </w:tr>
      <w:tr w:rsidR="00D91DDA" w:rsidRPr="006B4639" w14:paraId="373FBC1A" w14:textId="77777777" w:rsidTr="00EF7DBD">
        <w:tc>
          <w:tcPr>
            <w:tcW w:w="2127" w:type="dxa"/>
          </w:tcPr>
          <w:p w14:paraId="49B313E4" w14:textId="77777777" w:rsidR="00D91DDA" w:rsidRPr="006B4639" w:rsidRDefault="00D91DDA" w:rsidP="00254F40">
            <w:pPr>
              <w:spacing w:before="20" w:after="20"/>
              <w:ind w:left="74" w:right="74"/>
              <w:rPr>
                <w:szCs w:val="18"/>
              </w:rPr>
            </w:pPr>
            <w:r w:rsidRPr="006B4639">
              <w:rPr>
                <w:szCs w:val="18"/>
              </w:rPr>
              <w:t>NGL</w:t>
            </w:r>
          </w:p>
        </w:tc>
        <w:tc>
          <w:tcPr>
            <w:tcW w:w="6945" w:type="dxa"/>
          </w:tcPr>
          <w:p w14:paraId="760EF7A7" w14:textId="77777777" w:rsidR="00D91DDA" w:rsidRPr="006B4639" w:rsidRDefault="00D91DDA" w:rsidP="00254F40">
            <w:pPr>
              <w:spacing w:before="20" w:after="20"/>
              <w:ind w:left="74" w:right="74"/>
              <w:rPr>
                <w:szCs w:val="18"/>
              </w:rPr>
            </w:pPr>
            <w:r w:rsidRPr="006B4639">
              <w:rPr>
                <w:szCs w:val="18"/>
              </w:rPr>
              <w:t>National Gas Law</w:t>
            </w:r>
          </w:p>
        </w:tc>
      </w:tr>
      <w:tr w:rsidR="00D91DDA" w:rsidRPr="006B4639" w14:paraId="5747F11F" w14:textId="77777777" w:rsidTr="00EF7DBD">
        <w:tc>
          <w:tcPr>
            <w:tcW w:w="2127" w:type="dxa"/>
          </w:tcPr>
          <w:p w14:paraId="232003CB" w14:textId="77777777" w:rsidR="00D91DDA" w:rsidRPr="006B4639" w:rsidRDefault="00D91DDA" w:rsidP="00254F40">
            <w:pPr>
              <w:spacing w:before="20" w:after="20"/>
              <w:ind w:left="74" w:right="74"/>
              <w:rPr>
                <w:szCs w:val="18"/>
              </w:rPr>
            </w:pPr>
            <w:r w:rsidRPr="006B4639">
              <w:rPr>
                <w:szCs w:val="18"/>
              </w:rPr>
              <w:t>NGO</w:t>
            </w:r>
          </w:p>
        </w:tc>
        <w:tc>
          <w:tcPr>
            <w:tcW w:w="6945" w:type="dxa"/>
          </w:tcPr>
          <w:p w14:paraId="1E3E4E20" w14:textId="77777777" w:rsidR="00D91DDA" w:rsidRPr="006B4639" w:rsidRDefault="00D91DDA" w:rsidP="00254F40">
            <w:pPr>
              <w:spacing w:before="20" w:after="20"/>
              <w:ind w:left="74" w:right="74"/>
              <w:rPr>
                <w:szCs w:val="18"/>
              </w:rPr>
            </w:pPr>
            <w:r w:rsidRPr="006B4639">
              <w:rPr>
                <w:szCs w:val="18"/>
              </w:rPr>
              <w:t>National Gas Objective</w:t>
            </w:r>
          </w:p>
        </w:tc>
      </w:tr>
      <w:tr w:rsidR="0037684A" w:rsidRPr="006B4639" w14:paraId="56FBE104" w14:textId="77777777" w:rsidTr="00EF7DBD">
        <w:tc>
          <w:tcPr>
            <w:tcW w:w="2127" w:type="dxa"/>
          </w:tcPr>
          <w:p w14:paraId="7DFA27BF" w14:textId="77777777" w:rsidR="0037684A" w:rsidRPr="006B4639" w:rsidRDefault="0037684A" w:rsidP="00254F40">
            <w:pPr>
              <w:spacing w:before="20" w:after="20"/>
              <w:ind w:left="74" w:right="74"/>
              <w:rPr>
                <w:szCs w:val="18"/>
              </w:rPr>
            </w:pPr>
            <w:r>
              <w:rPr>
                <w:szCs w:val="18"/>
              </w:rPr>
              <w:t>Non-scheme pipeline</w:t>
            </w:r>
          </w:p>
        </w:tc>
        <w:tc>
          <w:tcPr>
            <w:tcW w:w="6945" w:type="dxa"/>
          </w:tcPr>
          <w:p w14:paraId="00D3C366" w14:textId="77777777" w:rsidR="0037684A" w:rsidRPr="006B4639" w:rsidRDefault="0037684A" w:rsidP="00254F40">
            <w:pPr>
              <w:spacing w:before="20" w:after="20"/>
              <w:ind w:left="74" w:right="74"/>
              <w:rPr>
                <w:szCs w:val="18"/>
              </w:rPr>
            </w:pPr>
            <w:r>
              <w:rPr>
                <w:szCs w:val="18"/>
              </w:rPr>
              <w:t>A pipeline that is not a scheme pipeline (i.e. because it has not been subject to the coverage test or has been found not to satisfy the coverage test).</w:t>
            </w:r>
          </w:p>
        </w:tc>
      </w:tr>
      <w:tr w:rsidR="00D91DDA" w:rsidRPr="006B4639" w14:paraId="52D2CDF7" w14:textId="77777777" w:rsidTr="00EF7DBD">
        <w:tc>
          <w:tcPr>
            <w:tcW w:w="2127" w:type="dxa"/>
          </w:tcPr>
          <w:p w14:paraId="17F442CE" w14:textId="77777777" w:rsidR="00D91DDA" w:rsidRPr="006B4639" w:rsidRDefault="00D91DDA" w:rsidP="00254F40">
            <w:pPr>
              <w:spacing w:before="20" w:after="20"/>
              <w:ind w:left="74" w:right="74"/>
              <w:rPr>
                <w:szCs w:val="18"/>
              </w:rPr>
            </w:pPr>
            <w:r w:rsidRPr="006B4639">
              <w:rPr>
                <w:szCs w:val="18"/>
              </w:rPr>
              <w:t>NGR or Rules</w:t>
            </w:r>
          </w:p>
        </w:tc>
        <w:tc>
          <w:tcPr>
            <w:tcW w:w="6945" w:type="dxa"/>
          </w:tcPr>
          <w:p w14:paraId="10B38A71" w14:textId="77777777" w:rsidR="00D91DDA" w:rsidRPr="006B4639" w:rsidRDefault="00D91DDA" w:rsidP="00254F40">
            <w:pPr>
              <w:spacing w:before="20" w:after="20"/>
              <w:ind w:left="74" w:right="74"/>
              <w:rPr>
                <w:szCs w:val="18"/>
              </w:rPr>
            </w:pPr>
            <w:r w:rsidRPr="006B4639">
              <w:rPr>
                <w:szCs w:val="18"/>
              </w:rPr>
              <w:t>National Gas Rules</w:t>
            </w:r>
          </w:p>
        </w:tc>
      </w:tr>
      <w:tr w:rsidR="00F0732D" w:rsidRPr="006B4639" w14:paraId="0CA903DD" w14:textId="77777777" w:rsidTr="00EF7DBD">
        <w:tc>
          <w:tcPr>
            <w:tcW w:w="2127" w:type="dxa"/>
          </w:tcPr>
          <w:p w14:paraId="7C34706B" w14:textId="77777777" w:rsidR="00F0732D" w:rsidRPr="006B4639" w:rsidRDefault="00F0732D" w:rsidP="00254F40">
            <w:pPr>
              <w:spacing w:before="20" w:after="20"/>
              <w:ind w:left="74" w:right="74"/>
              <w:rPr>
                <w:szCs w:val="18"/>
              </w:rPr>
            </w:pPr>
            <w:r w:rsidRPr="006B4639">
              <w:rPr>
                <w:szCs w:val="18"/>
              </w:rPr>
              <w:t>OGW</w:t>
            </w:r>
          </w:p>
        </w:tc>
        <w:tc>
          <w:tcPr>
            <w:tcW w:w="6945" w:type="dxa"/>
          </w:tcPr>
          <w:p w14:paraId="02C9A419" w14:textId="77777777" w:rsidR="00F0732D" w:rsidRPr="006B4639" w:rsidRDefault="00F0732D" w:rsidP="00254F40">
            <w:pPr>
              <w:spacing w:before="20" w:after="20"/>
              <w:ind w:left="74" w:right="74"/>
              <w:rPr>
                <w:szCs w:val="18"/>
              </w:rPr>
            </w:pPr>
            <w:r w:rsidRPr="006B4639">
              <w:rPr>
                <w:szCs w:val="18"/>
              </w:rPr>
              <w:t>Oakley Greenwood</w:t>
            </w:r>
          </w:p>
        </w:tc>
      </w:tr>
      <w:tr w:rsidR="008D7480" w:rsidRPr="006B4639" w14:paraId="4B2DE961" w14:textId="77777777" w:rsidTr="00EF7DBD">
        <w:tc>
          <w:tcPr>
            <w:tcW w:w="2127" w:type="dxa"/>
          </w:tcPr>
          <w:p w14:paraId="4B05F247" w14:textId="77777777" w:rsidR="008D7480" w:rsidRPr="006B4639" w:rsidRDefault="008D7480" w:rsidP="00254F40">
            <w:pPr>
              <w:spacing w:before="20" w:after="20"/>
              <w:ind w:left="74" w:right="74"/>
              <w:rPr>
                <w:szCs w:val="18"/>
              </w:rPr>
            </w:pPr>
            <w:r w:rsidRPr="006B4639">
              <w:rPr>
                <w:szCs w:val="18"/>
              </w:rPr>
              <w:t>Part 23</w:t>
            </w:r>
          </w:p>
        </w:tc>
        <w:tc>
          <w:tcPr>
            <w:tcW w:w="6945" w:type="dxa"/>
          </w:tcPr>
          <w:p w14:paraId="3E2C7915" w14:textId="74C3102D" w:rsidR="008D7480" w:rsidRPr="006B4639" w:rsidRDefault="00543B49" w:rsidP="00254F40">
            <w:pPr>
              <w:spacing w:before="20" w:after="20"/>
              <w:ind w:left="74" w:right="74"/>
              <w:rPr>
                <w:szCs w:val="18"/>
              </w:rPr>
            </w:pPr>
            <w:r>
              <w:rPr>
                <w:szCs w:val="18"/>
              </w:rPr>
              <w:t>I</w:t>
            </w:r>
            <w:r w:rsidR="008D7480" w:rsidRPr="006B4639">
              <w:rPr>
                <w:szCs w:val="18"/>
              </w:rPr>
              <w:t xml:space="preserve">nformation disclosure and arbitration framework applied to non-scheme pipelines. </w:t>
            </w:r>
          </w:p>
        </w:tc>
      </w:tr>
      <w:tr w:rsidR="00873801" w:rsidRPr="006B4639" w14:paraId="6BDA63EF" w14:textId="77777777" w:rsidTr="00EF7DBD">
        <w:tc>
          <w:tcPr>
            <w:tcW w:w="2127" w:type="dxa"/>
          </w:tcPr>
          <w:p w14:paraId="3B5F0468" w14:textId="77777777" w:rsidR="00873801" w:rsidRPr="006B4639" w:rsidRDefault="00873801" w:rsidP="00254F40">
            <w:pPr>
              <w:spacing w:before="20" w:after="20"/>
              <w:ind w:left="74" w:right="74"/>
              <w:rPr>
                <w:szCs w:val="18"/>
              </w:rPr>
            </w:pPr>
            <w:r w:rsidRPr="006B4639">
              <w:rPr>
                <w:szCs w:val="18"/>
              </w:rPr>
              <w:t>RCV</w:t>
            </w:r>
          </w:p>
        </w:tc>
        <w:tc>
          <w:tcPr>
            <w:tcW w:w="6945" w:type="dxa"/>
          </w:tcPr>
          <w:p w14:paraId="4738DF46" w14:textId="77777777" w:rsidR="00873801" w:rsidRPr="006B4639" w:rsidRDefault="00873801" w:rsidP="00254F40">
            <w:pPr>
              <w:spacing w:before="20" w:after="20"/>
              <w:ind w:left="74" w:right="74"/>
              <w:rPr>
                <w:szCs w:val="18"/>
              </w:rPr>
            </w:pPr>
            <w:r w:rsidRPr="006B4639">
              <w:rPr>
                <w:szCs w:val="18"/>
              </w:rPr>
              <w:t>Recovered capital value</w:t>
            </w:r>
          </w:p>
        </w:tc>
      </w:tr>
      <w:tr w:rsidR="00D91DDA" w:rsidRPr="006B4639" w14:paraId="544D30F9" w14:textId="77777777" w:rsidTr="00EF7DBD">
        <w:tc>
          <w:tcPr>
            <w:tcW w:w="2127" w:type="dxa"/>
          </w:tcPr>
          <w:p w14:paraId="3438AA0E" w14:textId="77777777" w:rsidR="00D91DDA" w:rsidRPr="006B4639" w:rsidRDefault="00D91DDA" w:rsidP="00254F40">
            <w:pPr>
              <w:spacing w:before="20" w:after="20"/>
              <w:ind w:left="74" w:right="74"/>
              <w:rPr>
                <w:szCs w:val="18"/>
              </w:rPr>
            </w:pPr>
            <w:r w:rsidRPr="006B4639">
              <w:rPr>
                <w:szCs w:val="18"/>
              </w:rPr>
              <w:t>Regulations</w:t>
            </w:r>
          </w:p>
        </w:tc>
        <w:tc>
          <w:tcPr>
            <w:tcW w:w="6945" w:type="dxa"/>
          </w:tcPr>
          <w:p w14:paraId="7CE0BA04" w14:textId="77777777" w:rsidR="00D91DDA" w:rsidRPr="006B4639" w:rsidRDefault="00D91DDA" w:rsidP="00254F40">
            <w:pPr>
              <w:spacing w:before="20" w:after="20"/>
              <w:ind w:left="74" w:right="74"/>
              <w:rPr>
                <w:szCs w:val="18"/>
              </w:rPr>
            </w:pPr>
            <w:r w:rsidRPr="006B4639">
              <w:rPr>
                <w:szCs w:val="18"/>
              </w:rPr>
              <w:t>Regulations made under the National Gas Law</w:t>
            </w:r>
          </w:p>
        </w:tc>
      </w:tr>
      <w:tr w:rsidR="008D7480" w:rsidRPr="006B4639" w14:paraId="67F9680F" w14:textId="77777777" w:rsidTr="00EF7DBD">
        <w:tc>
          <w:tcPr>
            <w:tcW w:w="2127" w:type="dxa"/>
          </w:tcPr>
          <w:p w14:paraId="305CB4AC" w14:textId="77777777" w:rsidR="008D7480" w:rsidRPr="006B4639" w:rsidRDefault="008D7480" w:rsidP="00254F40">
            <w:pPr>
              <w:spacing w:before="20" w:after="20"/>
              <w:ind w:left="74" w:right="74"/>
              <w:rPr>
                <w:szCs w:val="18"/>
              </w:rPr>
            </w:pPr>
            <w:r w:rsidRPr="006B4639">
              <w:rPr>
                <w:szCs w:val="18"/>
              </w:rPr>
              <w:t>Relevant regulator</w:t>
            </w:r>
          </w:p>
        </w:tc>
        <w:tc>
          <w:tcPr>
            <w:tcW w:w="6945" w:type="dxa"/>
          </w:tcPr>
          <w:p w14:paraId="6F8BF9C2" w14:textId="77777777" w:rsidR="008D7480" w:rsidRPr="006B4639" w:rsidRDefault="008D7480" w:rsidP="00254F40">
            <w:pPr>
              <w:spacing w:before="20" w:after="20"/>
              <w:ind w:left="74" w:right="74"/>
              <w:rPr>
                <w:szCs w:val="18"/>
              </w:rPr>
            </w:pPr>
            <w:r w:rsidRPr="006B4639">
              <w:rPr>
                <w:szCs w:val="18"/>
              </w:rPr>
              <w:t xml:space="preserve">The AER for pipelines in eastern </w:t>
            </w:r>
            <w:r w:rsidR="00497D41">
              <w:rPr>
                <w:szCs w:val="18"/>
              </w:rPr>
              <w:t xml:space="preserve">Australia and NT </w:t>
            </w:r>
            <w:r w:rsidRPr="006B4639">
              <w:rPr>
                <w:szCs w:val="18"/>
              </w:rPr>
              <w:t xml:space="preserve">and the ERA in Western Australia. </w:t>
            </w:r>
          </w:p>
        </w:tc>
      </w:tr>
      <w:tr w:rsidR="0037684A" w:rsidRPr="006B4639" w14:paraId="4AF10652" w14:textId="77777777" w:rsidTr="00EF7DBD">
        <w:tc>
          <w:tcPr>
            <w:tcW w:w="2127" w:type="dxa"/>
          </w:tcPr>
          <w:p w14:paraId="6619E688" w14:textId="77777777" w:rsidR="0037684A" w:rsidRPr="006B4639" w:rsidRDefault="0037684A" w:rsidP="00254F40">
            <w:pPr>
              <w:spacing w:before="20" w:after="20"/>
              <w:ind w:left="74" w:right="74"/>
              <w:rPr>
                <w:szCs w:val="18"/>
              </w:rPr>
            </w:pPr>
            <w:r>
              <w:rPr>
                <w:szCs w:val="18"/>
              </w:rPr>
              <w:t>Scheme pipeline</w:t>
            </w:r>
          </w:p>
        </w:tc>
        <w:tc>
          <w:tcPr>
            <w:tcW w:w="6945" w:type="dxa"/>
          </w:tcPr>
          <w:p w14:paraId="0AADDC81" w14:textId="77777777" w:rsidR="0037684A" w:rsidRPr="006B4639" w:rsidRDefault="0037684A" w:rsidP="00254F40">
            <w:pPr>
              <w:spacing w:before="20" w:after="20"/>
              <w:ind w:left="74" w:right="74"/>
              <w:rPr>
                <w:szCs w:val="18"/>
              </w:rPr>
            </w:pPr>
            <w:r>
              <w:rPr>
                <w:szCs w:val="18"/>
              </w:rPr>
              <w:t xml:space="preserve">A pipeline that has been found to satisfy, or deemed to satisfy, the coverage test and is therefore subject to full or light regulation. </w:t>
            </w:r>
          </w:p>
        </w:tc>
      </w:tr>
      <w:tr w:rsidR="008D7480" w:rsidRPr="006B4639" w14:paraId="1B0629F7" w14:textId="77777777" w:rsidTr="00EF7DBD">
        <w:tc>
          <w:tcPr>
            <w:tcW w:w="2127" w:type="dxa"/>
          </w:tcPr>
          <w:p w14:paraId="1B8C603E" w14:textId="77777777" w:rsidR="008D7480" w:rsidRPr="006B4639" w:rsidRDefault="008D7480" w:rsidP="00254F40">
            <w:pPr>
              <w:spacing w:before="20" w:after="20"/>
              <w:ind w:left="74" w:right="74"/>
              <w:rPr>
                <w:szCs w:val="18"/>
              </w:rPr>
            </w:pPr>
            <w:r w:rsidRPr="006B4639">
              <w:rPr>
                <w:szCs w:val="18"/>
              </w:rPr>
              <w:t>Shippers</w:t>
            </w:r>
          </w:p>
        </w:tc>
        <w:tc>
          <w:tcPr>
            <w:tcW w:w="6945" w:type="dxa"/>
          </w:tcPr>
          <w:p w14:paraId="7354E5F0" w14:textId="77777777" w:rsidR="008D7480" w:rsidRPr="006B4639" w:rsidRDefault="008D7480" w:rsidP="00254F40">
            <w:pPr>
              <w:spacing w:before="20" w:after="20"/>
              <w:ind w:left="74" w:right="74"/>
              <w:rPr>
                <w:szCs w:val="18"/>
              </w:rPr>
            </w:pPr>
            <w:r w:rsidRPr="006B4639">
              <w:rPr>
                <w:szCs w:val="18"/>
              </w:rPr>
              <w:t xml:space="preserve">This term is used to refer to both prospective and existing shippers. </w:t>
            </w:r>
          </w:p>
        </w:tc>
      </w:tr>
      <w:tr w:rsidR="0037684A" w:rsidRPr="006B4639" w14:paraId="6C88B9CF" w14:textId="77777777" w:rsidTr="00EF7DBD">
        <w:tc>
          <w:tcPr>
            <w:tcW w:w="2127" w:type="dxa"/>
          </w:tcPr>
          <w:p w14:paraId="5684B348" w14:textId="77777777" w:rsidR="0037684A" w:rsidRPr="006B4639" w:rsidRDefault="0037684A" w:rsidP="00254F40">
            <w:pPr>
              <w:spacing w:before="20" w:after="20"/>
              <w:ind w:left="74" w:right="74"/>
              <w:rPr>
                <w:szCs w:val="18"/>
              </w:rPr>
            </w:pPr>
            <w:r>
              <w:rPr>
                <w:szCs w:val="18"/>
              </w:rPr>
              <w:t>SP</w:t>
            </w:r>
          </w:p>
        </w:tc>
        <w:tc>
          <w:tcPr>
            <w:tcW w:w="6945" w:type="dxa"/>
          </w:tcPr>
          <w:p w14:paraId="3BDEC718" w14:textId="77777777" w:rsidR="0037684A" w:rsidRPr="006B4639" w:rsidRDefault="0037684A" w:rsidP="00254F40">
            <w:pPr>
              <w:spacing w:before="20" w:after="20"/>
              <w:ind w:left="74" w:right="74"/>
              <w:rPr>
                <w:szCs w:val="18"/>
              </w:rPr>
            </w:pPr>
            <w:r>
              <w:rPr>
                <w:szCs w:val="18"/>
              </w:rPr>
              <w:t>Service provider</w:t>
            </w:r>
          </w:p>
        </w:tc>
      </w:tr>
      <w:tr w:rsidR="000F190C" w:rsidRPr="006B4639" w14:paraId="14E5FD42" w14:textId="77777777" w:rsidTr="00EF7DBD">
        <w:tc>
          <w:tcPr>
            <w:tcW w:w="2127" w:type="dxa"/>
          </w:tcPr>
          <w:p w14:paraId="544D2F16" w14:textId="77777777" w:rsidR="000F190C" w:rsidRPr="006B4639" w:rsidRDefault="000F190C" w:rsidP="00254F40">
            <w:pPr>
              <w:spacing w:before="20" w:after="20"/>
              <w:ind w:left="74" w:right="74"/>
              <w:rPr>
                <w:szCs w:val="18"/>
              </w:rPr>
            </w:pPr>
            <w:r w:rsidRPr="006B4639">
              <w:rPr>
                <w:szCs w:val="18"/>
              </w:rPr>
              <w:t>Vision</w:t>
            </w:r>
          </w:p>
        </w:tc>
        <w:tc>
          <w:tcPr>
            <w:tcW w:w="6945" w:type="dxa"/>
          </w:tcPr>
          <w:p w14:paraId="3014469F" w14:textId="77777777" w:rsidR="000F190C" w:rsidRPr="006B4639" w:rsidRDefault="00D57F02" w:rsidP="00254F40">
            <w:pPr>
              <w:spacing w:before="20" w:after="20"/>
              <w:ind w:left="74" w:right="74"/>
              <w:rPr>
                <w:szCs w:val="18"/>
              </w:rPr>
            </w:pPr>
            <w:r w:rsidRPr="00807EA1">
              <w:t xml:space="preserve">Energy </w:t>
            </w:r>
            <w:r>
              <w:t xml:space="preserve">Ministers’ </w:t>
            </w:r>
            <w:r w:rsidR="000F190C" w:rsidRPr="006B4639">
              <w:rPr>
                <w:szCs w:val="18"/>
              </w:rPr>
              <w:t>Australian Gas Market Vision (December 2014)</w:t>
            </w:r>
          </w:p>
        </w:tc>
      </w:tr>
      <w:bookmarkEnd w:id="29"/>
    </w:tbl>
    <w:p w14:paraId="563188FE" w14:textId="77777777" w:rsidR="00D91DDA" w:rsidRPr="006B4639" w:rsidRDefault="00D91DDA" w:rsidP="004F7F03">
      <w:pPr>
        <w:sectPr w:rsidR="00D91DDA" w:rsidRPr="006B4639" w:rsidSect="00543B49">
          <w:pgSz w:w="11907" w:h="16840" w:code="9"/>
          <w:pgMar w:top="1361" w:right="1418" w:bottom="851" w:left="1701" w:header="567" w:footer="397" w:gutter="0"/>
          <w:pgNumType w:fmt="lowerRoman"/>
          <w:cols w:space="708"/>
          <w:docGrid w:linePitch="360"/>
        </w:sectPr>
      </w:pPr>
    </w:p>
    <w:p w14:paraId="45616512" w14:textId="77777777" w:rsidR="009467E3" w:rsidRDefault="00D91DDA" w:rsidP="00D91DDA">
      <w:pPr>
        <w:pStyle w:val="ExecSummHeading1"/>
      </w:pPr>
      <w:bookmarkStart w:id="32" w:name="_Toc62219394"/>
      <w:bookmarkEnd w:id="30"/>
      <w:bookmarkEnd w:id="31"/>
      <w:r w:rsidRPr="006B4639">
        <w:lastRenderedPageBreak/>
        <w:t>Executive Summary</w:t>
      </w:r>
      <w:bookmarkEnd w:id="32"/>
    </w:p>
    <w:p w14:paraId="2371AC09" w14:textId="3A170CED" w:rsidR="000A3668" w:rsidRDefault="00021524" w:rsidP="0027525B">
      <w:pPr>
        <w:pStyle w:val="BodyText"/>
        <w:spacing w:after="240"/>
      </w:pPr>
      <w:r>
        <w:t>This Decision Regulation Impact Statement (RIS) sets out the preferred option to i</w:t>
      </w:r>
      <w:r w:rsidR="00380AEF">
        <w:t>mprove the gas pipeline regulatory framework.</w:t>
      </w:r>
      <w:r w:rsidR="0027525B" w:rsidDel="0027525B">
        <w:t xml:space="preserve"> </w:t>
      </w:r>
      <w:r w:rsidR="0027525B">
        <w:t xml:space="preserve">This follows </w:t>
      </w:r>
      <w:r w:rsidR="000A3668">
        <w:t>the release of a c</w:t>
      </w:r>
      <w:r w:rsidR="000A3668" w:rsidRPr="000A3668">
        <w:t>onsultation RIS on 1</w:t>
      </w:r>
      <w:r w:rsidR="000A3668">
        <w:t> </w:t>
      </w:r>
      <w:r w:rsidR="000A3668" w:rsidRPr="000A3668">
        <w:t>November 2019</w:t>
      </w:r>
      <w:r w:rsidR="008559DA">
        <w:t>,</w:t>
      </w:r>
      <w:r w:rsidR="000A3668" w:rsidRPr="000A3668">
        <w:t xml:space="preserve"> </w:t>
      </w:r>
      <w:r w:rsidR="000A3668">
        <w:t xml:space="preserve">which sought </w:t>
      </w:r>
      <w:r w:rsidR="000A3668" w:rsidRPr="000A3668">
        <w:t xml:space="preserve">stakeholder feedback on a number of potential problems with the current regulatory framework and four options to address these problems, one of which was to maintain the status quo. </w:t>
      </w:r>
    </w:p>
    <w:p w14:paraId="65E6E7D1" w14:textId="2FF74E30" w:rsidR="000A3668" w:rsidRDefault="0027525B" w:rsidP="0027525B">
      <w:pPr>
        <w:pStyle w:val="BodyText"/>
        <w:spacing w:after="240"/>
      </w:pPr>
      <w:r>
        <w:t xml:space="preserve">As outlined in more detail below, the DRIS identifies </w:t>
      </w:r>
      <w:r w:rsidR="000A3668">
        <w:t>O</w:t>
      </w:r>
      <w:r>
        <w:t xml:space="preserve">ption 3B as the preferred option. Implementation of this option, which is subject to the agreement of the </w:t>
      </w:r>
      <w:r w:rsidR="006C3C22" w:rsidRPr="00807EA1">
        <w:t>Energy National Cabinet Reform Committee</w:t>
      </w:r>
      <w:r>
        <w:t xml:space="preserve">, </w:t>
      </w:r>
      <w:r w:rsidR="00554A45">
        <w:t xml:space="preserve">will </w:t>
      </w:r>
      <w:r w:rsidR="000A3668" w:rsidRPr="000A3668">
        <w:t xml:space="preserve">address all of the problems identified </w:t>
      </w:r>
      <w:r w:rsidR="000A3668">
        <w:t>in this DRIS</w:t>
      </w:r>
      <w:r w:rsidR="00F91869">
        <w:t xml:space="preserve"> that </w:t>
      </w:r>
      <w:r w:rsidR="000A3668" w:rsidRPr="000A3668">
        <w:t xml:space="preserve">are </w:t>
      </w:r>
      <w:r w:rsidR="00F91869">
        <w:t xml:space="preserve">currently </w:t>
      </w:r>
      <w:r w:rsidR="000A3668" w:rsidRPr="000A3668">
        <w:t xml:space="preserve">having a detrimental effect on economic efficiency (productive, allocative and dynamic) and consumers more generally. </w:t>
      </w:r>
      <w:r w:rsidR="00136728">
        <w:t xml:space="preserve">While it has not been possible to quantify all </w:t>
      </w:r>
      <w:r w:rsidR="006C3C22">
        <w:t xml:space="preserve">of </w:t>
      </w:r>
      <w:r w:rsidR="00136728">
        <w:t xml:space="preserve">the </w:t>
      </w:r>
      <w:r w:rsidR="00581CB8">
        <w:t xml:space="preserve">costs and </w:t>
      </w:r>
      <w:r w:rsidR="00136728">
        <w:t>benefits associated with this option</w:t>
      </w:r>
      <w:r w:rsidR="00581CB8">
        <w:t xml:space="preserve">, </w:t>
      </w:r>
      <w:r w:rsidR="00136728">
        <w:t xml:space="preserve">the net economy-wide benefit </w:t>
      </w:r>
      <w:r w:rsidR="00B56D4E">
        <w:t xml:space="preserve">is expected to </w:t>
      </w:r>
      <w:r w:rsidR="00136728">
        <w:t>exceed $1.18 billion</w:t>
      </w:r>
      <w:r w:rsidR="00634F46">
        <w:t xml:space="preserve"> </w:t>
      </w:r>
      <w:r w:rsidR="00190F0D">
        <w:t xml:space="preserve">under </w:t>
      </w:r>
      <w:r w:rsidR="00634F46">
        <w:t xml:space="preserve">the high impact scenario and $235 million </w:t>
      </w:r>
      <w:r w:rsidR="00190F0D">
        <w:t xml:space="preserve">under </w:t>
      </w:r>
      <w:r w:rsidR="001F2952">
        <w:t>the low impact scenario</w:t>
      </w:r>
      <w:r w:rsidR="00136728">
        <w:t>.</w:t>
      </w:r>
    </w:p>
    <w:p w14:paraId="275B0ED3" w14:textId="77777777" w:rsidR="00C113C4" w:rsidRDefault="00B131FA" w:rsidP="00154AB3">
      <w:pPr>
        <w:pStyle w:val="BodyText"/>
        <w:spacing w:after="60"/>
      </w:pPr>
      <w:r>
        <w:t xml:space="preserve">At a </w:t>
      </w:r>
      <w:r w:rsidR="00151CDB">
        <w:t xml:space="preserve">general </w:t>
      </w:r>
      <w:r>
        <w:t xml:space="preserve">level, Option 3B </w:t>
      </w:r>
      <w:r w:rsidR="00BE0B08">
        <w:t xml:space="preserve">provides for the implementation of a simpler regulatory framework that </w:t>
      </w:r>
      <w:r w:rsidR="005F448C">
        <w:t xml:space="preserve">will </w:t>
      </w:r>
      <w:r w:rsidR="00AF7BD9">
        <w:t xml:space="preserve">continue to </w:t>
      </w:r>
      <w:r w:rsidR="005F448C">
        <w:t xml:space="preserve">support </w:t>
      </w:r>
      <w:r w:rsidR="007E7989">
        <w:t xml:space="preserve">the safe, reliable and efficient use of and investment in pipelines, </w:t>
      </w:r>
      <w:r w:rsidR="005F448C">
        <w:t>while also</w:t>
      </w:r>
      <w:r w:rsidR="00C113C4">
        <w:t>:</w:t>
      </w:r>
      <w:r w:rsidR="005F448C">
        <w:t xml:space="preserve"> </w:t>
      </w:r>
    </w:p>
    <w:p w14:paraId="770F110A" w14:textId="1C84BB72" w:rsidR="00C113C4" w:rsidRDefault="00C764FB" w:rsidP="00154AB3">
      <w:pPr>
        <w:pStyle w:val="ListBullet"/>
        <w:spacing w:before="60" w:after="60"/>
        <w:ind w:left="357" w:hanging="357"/>
      </w:pPr>
      <w:r>
        <w:t xml:space="preserve">posing </w:t>
      </w:r>
      <w:r w:rsidR="005F448C">
        <w:t xml:space="preserve">a more effective constraint on </w:t>
      </w:r>
      <w:r w:rsidR="007E7989">
        <w:t>exercise</w:t>
      </w:r>
      <w:r w:rsidR="006951AC">
        <w:t>s</w:t>
      </w:r>
      <w:r w:rsidR="007E7989">
        <w:t xml:space="preserve"> of market power by service providers</w:t>
      </w:r>
      <w:r w:rsidR="00C113C4">
        <w:t>;</w:t>
      </w:r>
      <w:r w:rsidR="007E7989">
        <w:t xml:space="preserve"> </w:t>
      </w:r>
    </w:p>
    <w:p w14:paraId="00842F74" w14:textId="1A50B5F9" w:rsidR="007E7989" w:rsidRDefault="00AF7BD9" w:rsidP="00154AB3">
      <w:pPr>
        <w:pStyle w:val="ListBullet"/>
        <w:spacing w:before="60" w:after="60"/>
        <w:ind w:left="357" w:hanging="357"/>
      </w:pPr>
      <w:r>
        <w:t xml:space="preserve">facilitating better access </w:t>
      </w:r>
      <w:r w:rsidR="00C113C4">
        <w:t xml:space="preserve">to pipelines that would not otherwise </w:t>
      </w:r>
      <w:r w:rsidR="0042135E">
        <w:t xml:space="preserve">provide </w:t>
      </w:r>
      <w:r w:rsidR="00755837">
        <w:t xml:space="preserve">such </w:t>
      </w:r>
      <w:r w:rsidR="0042135E">
        <w:t>access;</w:t>
      </w:r>
    </w:p>
    <w:p w14:paraId="671CE419" w14:textId="130A887D" w:rsidR="0042135E" w:rsidRDefault="00C764FB" w:rsidP="00154AB3">
      <w:pPr>
        <w:pStyle w:val="ListBullet"/>
        <w:spacing w:before="60" w:after="60"/>
        <w:ind w:left="357" w:hanging="357"/>
      </w:pPr>
      <w:r>
        <w:t xml:space="preserve">providing </w:t>
      </w:r>
      <w:r w:rsidR="001B1AD3">
        <w:t xml:space="preserve">greater </w:t>
      </w:r>
      <w:r w:rsidR="006363DF">
        <w:t xml:space="preserve">support for commercial negotiations between shippers and service providers </w:t>
      </w:r>
      <w:r w:rsidR="00E60BE5">
        <w:t xml:space="preserve">(i.e. </w:t>
      </w:r>
      <w:r w:rsidR="006363DF">
        <w:t xml:space="preserve">through </w:t>
      </w:r>
      <w:r w:rsidR="00B32A2A">
        <w:t xml:space="preserve">more </w:t>
      </w:r>
      <w:r w:rsidR="003B4EEA">
        <w:t>transparency</w:t>
      </w:r>
      <w:r w:rsidR="00B32A2A">
        <w:t>, including greater price transparency</w:t>
      </w:r>
      <w:r w:rsidR="003B4EEA">
        <w:t xml:space="preserve">, </w:t>
      </w:r>
      <w:r w:rsidR="00B32A2A">
        <w:t>and improve</w:t>
      </w:r>
      <w:r w:rsidR="004C36D4">
        <w:t xml:space="preserve">ments to the </w:t>
      </w:r>
      <w:r w:rsidR="006363DF">
        <w:t>negotiation framework and dispute resolution mechanism</w:t>
      </w:r>
      <w:r w:rsidR="004C36D4">
        <w:t>s</w:t>
      </w:r>
      <w:r w:rsidR="00E60BE5">
        <w:t>)</w:t>
      </w:r>
      <w:r w:rsidR="00F1460C">
        <w:t>; and</w:t>
      </w:r>
    </w:p>
    <w:p w14:paraId="4010684B" w14:textId="654BFD06" w:rsidR="00F1460C" w:rsidRDefault="00F1460C" w:rsidP="00154AB3">
      <w:pPr>
        <w:pStyle w:val="ListBullet"/>
        <w:spacing w:before="60"/>
        <w:ind w:left="357" w:hanging="357"/>
      </w:pPr>
      <w:r>
        <w:t>streamlining the governance arrangements.</w:t>
      </w:r>
    </w:p>
    <w:p w14:paraId="220C04BC" w14:textId="614C4A07" w:rsidR="001C3B71" w:rsidRDefault="00965D7B" w:rsidP="00F81CCD">
      <w:pPr>
        <w:pStyle w:val="BodyText"/>
        <w:spacing w:after="240"/>
      </w:pPr>
      <w:r>
        <w:t xml:space="preserve">Together, these changes expected to result in </w:t>
      </w:r>
      <w:r w:rsidR="00C25DFB">
        <w:t>lower transportation costs</w:t>
      </w:r>
      <w:r>
        <w:t>,</w:t>
      </w:r>
      <w:r w:rsidR="00C25DFB">
        <w:t xml:space="preserve"> improved access to pipelines</w:t>
      </w:r>
      <w:r>
        <w:t>,</w:t>
      </w:r>
      <w:r w:rsidR="00347E77">
        <w:t xml:space="preserve"> </w:t>
      </w:r>
      <w:r w:rsidR="00C25DFB">
        <w:t xml:space="preserve">lower search and transaction costs </w:t>
      </w:r>
      <w:r>
        <w:t xml:space="preserve">and a range of other </w:t>
      </w:r>
      <w:r w:rsidR="009B7D25">
        <w:t>significant</w:t>
      </w:r>
      <w:r w:rsidR="001850AE">
        <w:t xml:space="preserve"> </w:t>
      </w:r>
      <w:r w:rsidR="00C25DFB">
        <w:t>cost savings</w:t>
      </w:r>
      <w:r w:rsidR="0003339F">
        <w:t xml:space="preserve">, investment </w:t>
      </w:r>
      <w:r w:rsidR="001E7428">
        <w:t xml:space="preserve">and efficiency benefits. </w:t>
      </w:r>
      <w:r w:rsidR="00AD59F3">
        <w:t xml:space="preserve">They are also expected to </w:t>
      </w:r>
      <w:r w:rsidR="000A3668" w:rsidRPr="000A3668">
        <w:t>result in a material reduction in the risks associated with the regulatory framework</w:t>
      </w:r>
      <w:r w:rsidR="00AD59F3">
        <w:t xml:space="preserve"> and </w:t>
      </w:r>
      <w:r w:rsidR="000A3668" w:rsidRPr="000A3668">
        <w:t xml:space="preserve">facilitate more effective competition in </w:t>
      </w:r>
      <w:r w:rsidR="00451805">
        <w:t xml:space="preserve">gas </w:t>
      </w:r>
      <w:r w:rsidR="00AD59F3">
        <w:t xml:space="preserve">transportation </w:t>
      </w:r>
      <w:r w:rsidR="000A3668" w:rsidRPr="000A3668">
        <w:t xml:space="preserve">and in upstream and downstream markets. </w:t>
      </w:r>
    </w:p>
    <w:p w14:paraId="34AF1C8E" w14:textId="534D7188" w:rsidR="000A3668" w:rsidRPr="000A3668" w:rsidRDefault="001C3B71" w:rsidP="00F81CCD">
      <w:pPr>
        <w:pStyle w:val="BodyText"/>
        <w:spacing w:after="240"/>
      </w:pPr>
      <w:r>
        <w:t xml:space="preserve">Relative to the other options that were considered, </w:t>
      </w:r>
      <w:r w:rsidR="000A3668" w:rsidRPr="000A3668">
        <w:t>Option 3B is expected to yield the greatest net benefit for the community, which is why it is the preferred option.</w:t>
      </w:r>
    </w:p>
    <w:p w14:paraId="41EF284A" w14:textId="5D096132" w:rsidR="000A3668" w:rsidRDefault="00777221" w:rsidP="0027525B">
      <w:pPr>
        <w:pStyle w:val="BodyText"/>
        <w:spacing w:after="240"/>
      </w:pPr>
      <w:r>
        <w:t xml:space="preserve">The </w:t>
      </w:r>
      <w:r w:rsidR="0027525B">
        <w:t>process by which this conclusion was reached is outlined below.</w:t>
      </w:r>
    </w:p>
    <w:p w14:paraId="058CC178" w14:textId="77777777" w:rsidR="008147CF" w:rsidRPr="00D87682" w:rsidRDefault="007B0E10" w:rsidP="00D87682">
      <w:pPr>
        <w:pStyle w:val="Heading6"/>
        <w:rPr>
          <w:rFonts w:eastAsiaTheme="minorEastAsia"/>
          <w:sz w:val="26"/>
          <w:szCs w:val="26"/>
        </w:rPr>
      </w:pPr>
      <w:bookmarkStart w:id="33" w:name="_Toc32488598"/>
      <w:r>
        <w:rPr>
          <w:rFonts w:eastAsiaTheme="minorEastAsia"/>
          <w:sz w:val="26"/>
          <w:szCs w:val="26"/>
        </w:rPr>
        <w:t xml:space="preserve">What is a </w:t>
      </w:r>
      <w:r w:rsidR="008147CF" w:rsidRPr="00D87682">
        <w:rPr>
          <w:rFonts w:eastAsiaTheme="minorEastAsia"/>
          <w:sz w:val="26"/>
          <w:szCs w:val="26"/>
        </w:rPr>
        <w:t>RIS?</w:t>
      </w:r>
      <w:bookmarkEnd w:id="33"/>
    </w:p>
    <w:p w14:paraId="03E6DBCF" w14:textId="77777777" w:rsidR="007B0E10" w:rsidRPr="003C1C33" w:rsidRDefault="008147CF" w:rsidP="008147CF">
      <w:pPr>
        <w:pStyle w:val="BodyText"/>
        <w:spacing w:before="0" w:after="240"/>
      </w:pPr>
      <w:r w:rsidRPr="003C1C33">
        <w:t xml:space="preserve">Regulatory impact statements </w:t>
      </w:r>
      <w:r>
        <w:t xml:space="preserve">are </w:t>
      </w:r>
      <w:r w:rsidRPr="003C1C33">
        <w:t>carried out by governments when considering whether action is required to address a specified problem</w:t>
      </w:r>
      <w:r w:rsidR="007B0E10">
        <w:rPr>
          <w:i/>
        </w:rPr>
        <w:t xml:space="preserve">. </w:t>
      </w:r>
    </w:p>
    <w:p w14:paraId="4A8B450D" w14:textId="77777777" w:rsidR="008147CF" w:rsidRPr="00AD761C" w:rsidRDefault="007B0E10" w:rsidP="007B0E10">
      <w:pPr>
        <w:pStyle w:val="BodyText"/>
        <w:spacing w:before="0" w:after="240"/>
      </w:pPr>
      <w:r>
        <w:t>W</w:t>
      </w:r>
      <w:r w:rsidR="008147CF" w:rsidRPr="003C1C33">
        <w:t xml:space="preserve">hen conducting a RIS, consideration must first be given to whether there is a problem that warrants action. If the case for action is established, consideration must then be given to the objectives of this action and the set of feasible options that could be implemented to address the identified problem. </w:t>
      </w:r>
    </w:p>
    <w:p w14:paraId="5BE4EE0B" w14:textId="2369127C" w:rsidR="008147CF" w:rsidRPr="003C1C33" w:rsidRDefault="008147CF" w:rsidP="008147CF">
      <w:pPr>
        <w:pStyle w:val="BodyText"/>
        <w:spacing w:before="0" w:after="240"/>
      </w:pPr>
      <w:r w:rsidRPr="00AD761C">
        <w:t>The purpose of a Decision RIS is to identify the option that yields</w:t>
      </w:r>
      <w:r w:rsidRPr="003C1C33">
        <w:t xml:space="preserve"> the greatest net benefit for the community (having regard to the results of the regulatory impact assessment and the consultation process) and to set out how it will be implemented, monitored and reviewed. </w:t>
      </w:r>
    </w:p>
    <w:p w14:paraId="788D1288" w14:textId="77777777" w:rsidR="000B1FAF" w:rsidRPr="00D87682" w:rsidRDefault="007B0E10" w:rsidP="00D87682">
      <w:pPr>
        <w:pStyle w:val="Heading6"/>
        <w:rPr>
          <w:rFonts w:eastAsiaTheme="minorEastAsia"/>
          <w:sz w:val="26"/>
          <w:szCs w:val="26"/>
        </w:rPr>
      </w:pPr>
      <w:bookmarkStart w:id="34" w:name="_Toc32488599"/>
      <w:r>
        <w:rPr>
          <w:rFonts w:eastAsiaTheme="minorEastAsia"/>
          <w:sz w:val="26"/>
          <w:szCs w:val="26"/>
        </w:rPr>
        <w:lastRenderedPageBreak/>
        <w:t xml:space="preserve">Why has a RIS been undertaken and what </w:t>
      </w:r>
      <w:r w:rsidR="000B1FAF" w:rsidRPr="00D87682">
        <w:rPr>
          <w:rFonts w:eastAsiaTheme="minorEastAsia"/>
          <w:sz w:val="26"/>
          <w:szCs w:val="26"/>
        </w:rPr>
        <w:t>problem</w:t>
      </w:r>
      <w:r w:rsidR="00F25E6F" w:rsidRPr="00D87682">
        <w:rPr>
          <w:rFonts w:eastAsiaTheme="minorEastAsia"/>
          <w:sz w:val="26"/>
          <w:szCs w:val="26"/>
        </w:rPr>
        <w:t>s</w:t>
      </w:r>
      <w:r>
        <w:rPr>
          <w:rFonts w:eastAsiaTheme="minorEastAsia"/>
          <w:sz w:val="26"/>
          <w:szCs w:val="26"/>
        </w:rPr>
        <w:t xml:space="preserve"> does it seek to address</w:t>
      </w:r>
      <w:r w:rsidR="000B1FAF" w:rsidRPr="00D87682">
        <w:rPr>
          <w:rFonts w:eastAsiaTheme="minorEastAsia"/>
          <w:sz w:val="26"/>
          <w:szCs w:val="26"/>
        </w:rPr>
        <w:t>?</w:t>
      </w:r>
      <w:bookmarkEnd w:id="34"/>
    </w:p>
    <w:p w14:paraId="570CD2E2" w14:textId="326D1311" w:rsidR="00990FDC" w:rsidRDefault="00DA7043" w:rsidP="006C5DEC">
      <w:pPr>
        <w:pStyle w:val="BodyText"/>
      </w:pPr>
      <w:r w:rsidRPr="006B4639">
        <w:t xml:space="preserve">Gas pipelines </w:t>
      </w:r>
      <w:r>
        <w:t xml:space="preserve">are often subject to regulation because they </w:t>
      </w:r>
      <w:r w:rsidRPr="006B4639">
        <w:t>exhibit natural monopoly</w:t>
      </w:r>
      <w:r w:rsidR="00370905">
        <w:rPr>
          <w:rFonts w:ascii="ZWAdobeF" w:hAnsi="ZWAdobeF" w:cs="ZWAdobeF"/>
          <w:sz w:val="2"/>
          <w:szCs w:val="2"/>
        </w:rPr>
        <w:t>0F</w:t>
      </w:r>
      <w:r w:rsidRPr="006B4639">
        <w:rPr>
          <w:rStyle w:val="FootnoteReference"/>
        </w:rPr>
        <w:footnoteReference w:id="2"/>
      </w:r>
      <w:r w:rsidRPr="006B4639">
        <w:t xml:space="preserve"> characteristics </w:t>
      </w:r>
      <w:r>
        <w:t xml:space="preserve">(i.e. because </w:t>
      </w:r>
      <w:r w:rsidRPr="006B4639">
        <w:t>investments in pipelines are indivisible</w:t>
      </w:r>
      <w:r>
        <w:t>,</w:t>
      </w:r>
      <w:r w:rsidRPr="006B4639">
        <w:t xml:space="preserve"> economies of scale exist</w:t>
      </w:r>
      <w:r>
        <w:t>,</w:t>
      </w:r>
      <w:r w:rsidRPr="006B4639">
        <w:t xml:space="preserve"> and sunk costs are large</w:t>
      </w:r>
      <w:r>
        <w:t>)</w:t>
      </w:r>
      <w:r w:rsidRPr="006B4639">
        <w:t xml:space="preserve">. </w:t>
      </w:r>
      <w:r>
        <w:t xml:space="preserve">These characteristics mean that </w:t>
      </w:r>
      <w:r w:rsidRPr="006B4639">
        <w:t xml:space="preserve">access to an existing pipeline is often more economically efficient than constructing a new pipeline. </w:t>
      </w:r>
      <w:r w:rsidR="00803BEA">
        <w:t xml:space="preserve">These characteristics </w:t>
      </w:r>
      <w:r>
        <w:t xml:space="preserve">can also accord the service provider with substantial market power, which can be exercised in a number of different ways </w:t>
      </w:r>
      <w:r w:rsidRPr="006B4639">
        <w:t>over both existing capacity (e.g. by engaging in monopoly pricing, restricting or denying access</w:t>
      </w:r>
      <w:r>
        <w:t>,</w:t>
      </w:r>
      <w:r w:rsidRPr="006B4639">
        <w:t xml:space="preserve"> or favouring affiliates in related markets) and new capacity (e.g. by </w:t>
      </w:r>
      <w:r>
        <w:t>blocking competition from other potential pipelines</w:t>
      </w:r>
      <w:r w:rsidRPr="006B4639">
        <w:t xml:space="preserve">). </w:t>
      </w:r>
    </w:p>
    <w:p w14:paraId="2202FC19" w14:textId="1E5D904C" w:rsidR="00C6213D" w:rsidRDefault="00DA7043" w:rsidP="006C5DEC">
      <w:pPr>
        <w:pStyle w:val="BodyText"/>
      </w:pPr>
      <w:r w:rsidRPr="006B4639">
        <w:t xml:space="preserve">Irrespective of the form it takes, exercises of market power can have a detrimental effect on </w:t>
      </w:r>
      <w:r w:rsidR="00990FDC">
        <w:t xml:space="preserve">economic efficiency </w:t>
      </w:r>
      <w:r w:rsidRPr="006B4639">
        <w:t>and consumers more generally</w:t>
      </w:r>
      <w:r w:rsidR="0056105A">
        <w:t xml:space="preserve">. </w:t>
      </w:r>
      <w:r w:rsidR="00F96B5B">
        <w:t xml:space="preserve">This is </w:t>
      </w:r>
      <w:r w:rsidR="00C6213D" w:rsidRPr="006B4639">
        <w:t>because the</w:t>
      </w:r>
      <w:r w:rsidR="00F96B5B">
        <w:t xml:space="preserve"> exercise of market power</w:t>
      </w:r>
      <w:r w:rsidR="00C6213D" w:rsidRPr="006B4639">
        <w:t xml:space="preserve"> can result in prices being set above, and</w:t>
      </w:r>
      <w:r w:rsidR="00894E28">
        <w:t>/or</w:t>
      </w:r>
      <w:r w:rsidR="00C6213D" w:rsidRPr="006B4639">
        <w:t xml:space="preserve"> the supply of services below, what would </w:t>
      </w:r>
      <w:r w:rsidR="00C6213D">
        <w:t xml:space="preserve">occur </w:t>
      </w:r>
      <w:r w:rsidR="00C6213D" w:rsidRPr="006B4639">
        <w:t xml:space="preserve">in a </w:t>
      </w:r>
      <w:r w:rsidR="00C6213D">
        <w:t xml:space="preserve">workably </w:t>
      </w:r>
      <w:r w:rsidR="00C6213D" w:rsidRPr="006B4639">
        <w:t xml:space="preserve">competitive market. </w:t>
      </w:r>
      <w:r w:rsidR="00C6213D">
        <w:t xml:space="preserve">This can, in turn, have a detrimental effect on the efficient operation of the </w:t>
      </w:r>
      <w:r w:rsidR="00803BEA">
        <w:t xml:space="preserve">gas </w:t>
      </w:r>
      <w:r w:rsidR="00C6213D">
        <w:t>market, upstream and downstream markets and the broader economy</w:t>
      </w:r>
      <w:r w:rsidR="005571BD">
        <w:t>, because it can result in lower than efficient levels of production, consumption and investment</w:t>
      </w:r>
      <w:r w:rsidR="00587D25">
        <w:t>.</w:t>
      </w:r>
    </w:p>
    <w:p w14:paraId="678E164F" w14:textId="2DDDA205" w:rsidR="00524CD3" w:rsidRDefault="006C5DEC" w:rsidP="00892D7A">
      <w:pPr>
        <w:pStyle w:val="BodyText"/>
      </w:pPr>
      <w:r w:rsidRPr="006B4639">
        <w:t xml:space="preserve">To address </w:t>
      </w:r>
      <w:r w:rsidR="00A870BF" w:rsidRPr="00A870BF">
        <w:t>identified market failures of the nature described above in Australia</w:t>
      </w:r>
      <w:r w:rsidRPr="006B4639">
        <w:t xml:space="preserve">, </w:t>
      </w:r>
      <w:r w:rsidR="00683172" w:rsidRPr="006B4639">
        <w:t xml:space="preserve">COAG </w:t>
      </w:r>
      <w:r w:rsidRPr="006B4639">
        <w:t>agreed to implement a</w:t>
      </w:r>
      <w:r w:rsidR="00715587" w:rsidRPr="006B4639">
        <w:t xml:space="preserve">n industry specific regulatory framework for gas pipelines, which came into effect in 1997. In the intervening period the regulatory framework has been subject to a number of </w:t>
      </w:r>
      <w:r w:rsidR="00683172" w:rsidRPr="006B4639">
        <w:t xml:space="preserve">significant </w:t>
      </w:r>
      <w:r w:rsidR="00715587" w:rsidRPr="006B4639">
        <w:t xml:space="preserve">reviews and refinements. </w:t>
      </w:r>
    </w:p>
    <w:p w14:paraId="50FABCA0" w14:textId="34993EB0" w:rsidR="004F2E8C" w:rsidRDefault="00715587" w:rsidP="00892D7A">
      <w:pPr>
        <w:pStyle w:val="BodyText"/>
      </w:pPr>
      <w:r w:rsidRPr="006B4639">
        <w:t>For example, in 2016</w:t>
      </w:r>
      <w:r w:rsidR="00683172" w:rsidRPr="006B4639">
        <w:t xml:space="preserve"> concerns were raised by the Australian Competition and Consumer Commission (ACCC)</w:t>
      </w:r>
      <w:r w:rsidR="00554422">
        <w:t>,</w:t>
      </w:r>
      <w:r w:rsidR="00370905">
        <w:rPr>
          <w:rFonts w:ascii="ZWAdobeF" w:hAnsi="ZWAdobeF" w:cs="ZWAdobeF"/>
          <w:sz w:val="2"/>
          <w:szCs w:val="2"/>
        </w:rPr>
        <w:t>1F</w:t>
      </w:r>
      <w:r w:rsidR="00526DB8">
        <w:rPr>
          <w:rStyle w:val="FootnoteReference"/>
        </w:rPr>
        <w:footnoteReference w:id="3"/>
      </w:r>
      <w:r w:rsidR="00683172" w:rsidRPr="006B4639">
        <w:t xml:space="preserve"> the Australian Energy Markets Commission (AEMC)</w:t>
      </w:r>
      <w:r w:rsidR="00370905">
        <w:rPr>
          <w:rFonts w:ascii="ZWAdobeF" w:hAnsi="ZWAdobeF" w:cs="ZWAdobeF"/>
          <w:sz w:val="2"/>
          <w:szCs w:val="2"/>
        </w:rPr>
        <w:t>2F</w:t>
      </w:r>
      <w:r w:rsidR="00526DB8">
        <w:rPr>
          <w:rStyle w:val="FootnoteReference"/>
        </w:rPr>
        <w:footnoteReference w:id="4"/>
      </w:r>
      <w:r w:rsidR="00683172" w:rsidRPr="006B4639">
        <w:t xml:space="preserve"> </w:t>
      </w:r>
      <w:r w:rsidR="00554422">
        <w:t>and Dr Michael Vertigan (AC)</w:t>
      </w:r>
      <w:r w:rsidR="00370905">
        <w:rPr>
          <w:rFonts w:ascii="ZWAdobeF" w:hAnsi="ZWAdobeF" w:cs="ZWAdobeF"/>
          <w:sz w:val="2"/>
          <w:szCs w:val="2"/>
        </w:rPr>
        <w:t>3F</w:t>
      </w:r>
      <w:r w:rsidR="00526DB8">
        <w:rPr>
          <w:rStyle w:val="FootnoteReference"/>
        </w:rPr>
        <w:footnoteReference w:id="5"/>
      </w:r>
      <w:r w:rsidR="00554422">
        <w:t xml:space="preserve"> </w:t>
      </w:r>
      <w:r w:rsidR="00683172" w:rsidRPr="006B4639">
        <w:t xml:space="preserve">about the </w:t>
      </w:r>
      <w:r w:rsidR="00AB634B" w:rsidRPr="006B4639">
        <w:t xml:space="preserve">threat of regulation not posing </w:t>
      </w:r>
      <w:r w:rsidR="00587D25">
        <w:t xml:space="preserve">an effective </w:t>
      </w:r>
      <w:r w:rsidR="00AB634B" w:rsidRPr="006B4639">
        <w:t xml:space="preserve">constraint on the behaviour of </w:t>
      </w:r>
      <w:r w:rsidR="00526DB8">
        <w:t>pipelines</w:t>
      </w:r>
      <w:r w:rsidR="005C706F">
        <w:t>,</w:t>
      </w:r>
      <w:r w:rsidR="00526DB8">
        <w:t xml:space="preserve"> </w:t>
      </w:r>
      <w:r w:rsidR="00683172" w:rsidRPr="006B4639">
        <w:t xml:space="preserve">because the test for regulation (the coverage test) was not directed at the right market failure. </w:t>
      </w:r>
      <w:r w:rsidR="00AB634B" w:rsidRPr="006B4639">
        <w:t>Concerns were also raised about the information available to shippers seeking access to pipelines</w:t>
      </w:r>
      <w:r w:rsidR="00BD79F4">
        <w:t xml:space="preserve"> and the imbalance in bargaining power faced by shippers when negotiating access to unregulated pipelines</w:t>
      </w:r>
      <w:r w:rsidR="00AB634B" w:rsidRPr="006B4639">
        <w:t>.</w:t>
      </w:r>
      <w:r w:rsidR="00370905">
        <w:rPr>
          <w:rFonts w:ascii="ZWAdobeF" w:hAnsi="ZWAdobeF" w:cs="ZWAdobeF"/>
          <w:sz w:val="2"/>
          <w:szCs w:val="2"/>
        </w:rPr>
        <w:t>4F</w:t>
      </w:r>
      <w:r w:rsidR="00221335">
        <w:rPr>
          <w:rStyle w:val="FootnoteReference"/>
        </w:rPr>
        <w:footnoteReference w:id="6"/>
      </w:r>
      <w:r w:rsidR="00AB634B" w:rsidRPr="006B4639">
        <w:t xml:space="preserve"> </w:t>
      </w:r>
    </w:p>
    <w:p w14:paraId="3E231D7E" w14:textId="77777777" w:rsidR="004B5840" w:rsidRDefault="00683172" w:rsidP="00892D7A">
      <w:pPr>
        <w:pStyle w:val="BodyText"/>
      </w:pPr>
      <w:r w:rsidRPr="006B4639">
        <w:t xml:space="preserve">To address </w:t>
      </w:r>
      <w:r w:rsidR="004F2E8C">
        <w:t xml:space="preserve">these </w:t>
      </w:r>
      <w:r w:rsidRPr="006B4639">
        <w:t>concern</w:t>
      </w:r>
      <w:r w:rsidR="004F2E8C">
        <w:t>s</w:t>
      </w:r>
      <w:r w:rsidRPr="006B4639">
        <w:t xml:space="preserve">, a new </w:t>
      </w:r>
      <w:r w:rsidR="004C599F" w:rsidRPr="006B4639">
        <w:t xml:space="preserve">information disclosure and arbitration framework </w:t>
      </w:r>
      <w:r w:rsidRPr="006B4639">
        <w:t>(referred to as ‘Part 23’) was introduced</w:t>
      </w:r>
      <w:r w:rsidR="004F2E8C">
        <w:t xml:space="preserve"> in August 2017</w:t>
      </w:r>
      <w:r w:rsidR="004B5840">
        <w:t xml:space="preserve">, which applies to previously unregulated pipelines </w:t>
      </w:r>
      <w:r w:rsidR="00850CF4">
        <w:t xml:space="preserve">(non-scheme pipelines) </w:t>
      </w:r>
      <w:r w:rsidR="004B5840">
        <w:t>that are providing third party access</w:t>
      </w:r>
      <w:r w:rsidR="00F82F86" w:rsidRPr="006B4639">
        <w:t xml:space="preserve">. </w:t>
      </w:r>
      <w:r w:rsidR="00850CF4">
        <w:t>In 2019, t</w:t>
      </w:r>
      <w:r w:rsidR="004B5840">
        <w:t>he AEMC also made a number of changes to the National Gas Rules (NGR) and recommended a number of changes to the National Gas Law (NGL)</w:t>
      </w:r>
      <w:r w:rsidR="00850CF4">
        <w:t xml:space="preserve"> to </w:t>
      </w:r>
      <w:r w:rsidR="00850CF4">
        <w:rPr>
          <w:rStyle w:val="A7"/>
          <w:sz w:val="22"/>
          <w:szCs w:val="22"/>
        </w:rPr>
        <w:t>strengthen various aspects of the regulatory framework that applies to scheme (covered) pipelines.</w:t>
      </w:r>
    </w:p>
    <w:p w14:paraId="642F3CAB" w14:textId="197BECEC" w:rsidR="00644B67" w:rsidRDefault="00366B8B" w:rsidP="00850CF4">
      <w:pPr>
        <w:pStyle w:val="BodyText"/>
      </w:pPr>
      <w:r w:rsidRPr="006B4639">
        <w:t xml:space="preserve">Despite </w:t>
      </w:r>
      <w:r w:rsidR="005C706F">
        <w:t xml:space="preserve">these recent improvements, </w:t>
      </w:r>
      <w:r w:rsidR="00644B67">
        <w:t xml:space="preserve">a number of </w:t>
      </w:r>
      <w:r w:rsidR="00644B67" w:rsidRPr="006B4639">
        <w:t>potential problems</w:t>
      </w:r>
      <w:r w:rsidR="00644B67">
        <w:t xml:space="preserve"> with the regulatory framework have been identified by </w:t>
      </w:r>
      <w:r w:rsidR="00644B67" w:rsidRPr="006B4639">
        <w:t xml:space="preserve">the </w:t>
      </w:r>
      <w:r w:rsidR="00644B67">
        <w:t>AEMC,</w:t>
      </w:r>
      <w:r w:rsidR="00370905">
        <w:rPr>
          <w:rFonts w:ascii="ZWAdobeF" w:hAnsi="ZWAdobeF" w:cs="ZWAdobeF"/>
          <w:sz w:val="2"/>
          <w:szCs w:val="2"/>
        </w:rPr>
        <w:t>5F</w:t>
      </w:r>
      <w:r w:rsidR="00644B67" w:rsidRPr="006B4639">
        <w:rPr>
          <w:rStyle w:val="FootnoteReference"/>
        </w:rPr>
        <w:footnoteReference w:id="7"/>
      </w:r>
      <w:r w:rsidR="00644B67">
        <w:t xml:space="preserve"> </w:t>
      </w:r>
      <w:r w:rsidR="00644B67" w:rsidRPr="006B4639">
        <w:t>ACCC,</w:t>
      </w:r>
      <w:r w:rsidR="00370905">
        <w:rPr>
          <w:rFonts w:ascii="ZWAdobeF" w:hAnsi="ZWAdobeF" w:cs="ZWAdobeF"/>
          <w:sz w:val="2"/>
          <w:szCs w:val="2"/>
        </w:rPr>
        <w:t>6F</w:t>
      </w:r>
      <w:r w:rsidR="00644B67" w:rsidRPr="006B4639">
        <w:rPr>
          <w:rStyle w:val="FootnoteReference"/>
        </w:rPr>
        <w:footnoteReference w:id="8"/>
      </w:r>
      <w:r w:rsidR="00644B67" w:rsidRPr="006B4639">
        <w:t xml:space="preserve"> </w:t>
      </w:r>
      <w:r w:rsidR="00DE6C0B">
        <w:t xml:space="preserve">the Gas Market Reform Group </w:t>
      </w:r>
      <w:r w:rsidR="00DE6C0B">
        <w:lastRenderedPageBreak/>
        <w:t>(GMRG),</w:t>
      </w:r>
      <w:r w:rsidR="00370905">
        <w:rPr>
          <w:rFonts w:ascii="ZWAdobeF" w:hAnsi="ZWAdobeF" w:cs="ZWAdobeF"/>
          <w:sz w:val="2"/>
          <w:szCs w:val="2"/>
        </w:rPr>
        <w:t>7F</w:t>
      </w:r>
      <w:r w:rsidR="00F060B0">
        <w:rPr>
          <w:rStyle w:val="FootnoteReference"/>
        </w:rPr>
        <w:footnoteReference w:id="9"/>
      </w:r>
      <w:r w:rsidR="00DE6C0B">
        <w:t xml:space="preserve"> </w:t>
      </w:r>
      <w:r w:rsidR="005209BF">
        <w:t>NERA Economic Consulting (NERA),</w:t>
      </w:r>
      <w:r w:rsidR="00370905">
        <w:rPr>
          <w:rFonts w:ascii="ZWAdobeF" w:hAnsi="ZWAdobeF" w:cs="ZWAdobeF"/>
          <w:sz w:val="2"/>
          <w:szCs w:val="2"/>
        </w:rPr>
        <w:t>8F</w:t>
      </w:r>
      <w:r w:rsidR="005209BF">
        <w:rPr>
          <w:rStyle w:val="FootnoteReference"/>
        </w:rPr>
        <w:footnoteReference w:id="10"/>
      </w:r>
      <w:r w:rsidR="005209BF">
        <w:t xml:space="preserve"> </w:t>
      </w:r>
      <w:r w:rsidR="001D0751">
        <w:t xml:space="preserve">the </w:t>
      </w:r>
      <w:r w:rsidR="00200D72">
        <w:t>Brattle</w:t>
      </w:r>
      <w:r w:rsidR="001D0751">
        <w:t xml:space="preserve"> Group (Brattle)</w:t>
      </w:r>
      <w:r w:rsidR="00370905">
        <w:rPr>
          <w:rFonts w:ascii="ZWAdobeF" w:hAnsi="ZWAdobeF" w:cs="ZWAdobeF"/>
          <w:sz w:val="2"/>
          <w:szCs w:val="2"/>
        </w:rPr>
        <w:t>9F</w:t>
      </w:r>
      <w:r w:rsidR="00644B67" w:rsidRPr="006B4639">
        <w:rPr>
          <w:rStyle w:val="FootnoteReference"/>
        </w:rPr>
        <w:footnoteReference w:id="11"/>
      </w:r>
      <w:r w:rsidR="00644B67" w:rsidRPr="006B4639">
        <w:t xml:space="preserve"> and</w:t>
      </w:r>
      <w:r w:rsidR="0026235C">
        <w:t xml:space="preserve"> </w:t>
      </w:r>
      <w:r w:rsidR="00DF7047">
        <w:t xml:space="preserve">stakeholder consultation undertaken as part of this RIS (including through the </w:t>
      </w:r>
      <w:r w:rsidR="00644B67" w:rsidRPr="006B4639">
        <w:t>survey conducted by Oakley Greenwood (OGW)</w:t>
      </w:r>
      <w:r w:rsidR="00370905">
        <w:rPr>
          <w:rFonts w:ascii="ZWAdobeF" w:hAnsi="ZWAdobeF" w:cs="ZWAdobeF"/>
          <w:sz w:val="2"/>
          <w:szCs w:val="2"/>
        </w:rPr>
        <w:t>10F</w:t>
      </w:r>
      <w:r w:rsidR="00644B67" w:rsidRPr="006B4639">
        <w:rPr>
          <w:rStyle w:val="FootnoteReference"/>
        </w:rPr>
        <w:footnoteReference w:id="12"/>
      </w:r>
      <w:r w:rsidR="00644B67" w:rsidRPr="006B4639">
        <w:t xml:space="preserve"> </w:t>
      </w:r>
      <w:r w:rsidR="00644B67">
        <w:t>for this RIS</w:t>
      </w:r>
      <w:r w:rsidR="00DF7047">
        <w:t>)</w:t>
      </w:r>
      <w:r w:rsidR="00644B67" w:rsidRPr="006B4639">
        <w:t xml:space="preserve">. </w:t>
      </w:r>
    </w:p>
    <w:p w14:paraId="7ED025E2" w14:textId="4B9DA2BD" w:rsidR="0026235C" w:rsidRDefault="0089488B" w:rsidP="00162145">
      <w:pPr>
        <w:pStyle w:val="BodyText"/>
        <w:rPr>
          <w:rFonts w:eastAsiaTheme="minorEastAsia"/>
        </w:rPr>
      </w:pPr>
      <w:r w:rsidRPr="006B4639">
        <w:t xml:space="preserve">Table </w:t>
      </w:r>
      <w:r w:rsidR="006E7968">
        <w:t>E.</w:t>
      </w:r>
      <w:r w:rsidRPr="006B4639">
        <w:t xml:space="preserve">1 provides a summary of </w:t>
      </w:r>
      <w:r w:rsidR="00786AD5" w:rsidRPr="006B4639">
        <w:t xml:space="preserve">the </w:t>
      </w:r>
      <w:r w:rsidRPr="006B4639">
        <w:t>problems</w:t>
      </w:r>
      <w:r w:rsidR="00786AD5" w:rsidRPr="006B4639">
        <w:t xml:space="preserve"> that have been identified with the </w:t>
      </w:r>
      <w:r w:rsidR="008831CB" w:rsidRPr="006B4639">
        <w:t xml:space="preserve">regulatory </w:t>
      </w:r>
      <w:r w:rsidR="00786AD5" w:rsidRPr="006B4639">
        <w:t>framework</w:t>
      </w:r>
      <w:r w:rsidR="008B2ACA">
        <w:t xml:space="preserve"> that </w:t>
      </w:r>
      <w:r w:rsidR="002E34BC">
        <w:t xml:space="preserve">have been confirmed through stakeholder </w:t>
      </w:r>
      <w:r w:rsidR="0082423E">
        <w:t xml:space="preserve">feedback on the Consultation RIS. </w:t>
      </w:r>
    </w:p>
    <w:p w14:paraId="4974E233" w14:textId="77777777" w:rsidR="00E73AD3" w:rsidRPr="006B4639" w:rsidRDefault="00E73AD3" w:rsidP="00205597">
      <w:pPr>
        <w:pStyle w:val="Caption"/>
        <w:spacing w:after="0"/>
      </w:pPr>
      <w:r w:rsidRPr="006B4639">
        <w:t xml:space="preserve">Table </w:t>
      </w:r>
      <w:r w:rsidR="00843A2C">
        <w:t>E.1</w:t>
      </w:r>
      <w:r w:rsidRPr="006B4639">
        <w:t>: Summary of problems</w:t>
      </w:r>
      <w:r w:rsidR="00DE39F3">
        <w:t xml:space="preserve"> with the current regulatory framework</w:t>
      </w:r>
    </w:p>
    <w:tbl>
      <w:tblPr>
        <w:tblStyle w:val="TableGrid"/>
        <w:tblW w:w="5160" w:type="pct"/>
        <w:tblLayout w:type="fixed"/>
        <w:tblLook w:val="04A0" w:firstRow="1" w:lastRow="0" w:firstColumn="1" w:lastColumn="0" w:noHBand="0" w:noVBand="1"/>
      </w:tblPr>
      <w:tblGrid>
        <w:gridCol w:w="1843"/>
        <w:gridCol w:w="7226"/>
      </w:tblGrid>
      <w:tr w:rsidR="00205597" w:rsidRPr="006B4639" w14:paraId="20AE9375" w14:textId="77777777" w:rsidTr="00CF688C">
        <w:trPr>
          <w:cnfStyle w:val="100000000000" w:firstRow="1" w:lastRow="0" w:firstColumn="0" w:lastColumn="0" w:oddVBand="0" w:evenVBand="0" w:oddHBand="0" w:evenHBand="0" w:firstRowFirstColumn="0" w:firstRowLastColumn="0" w:lastRowFirstColumn="0" w:lastRowLastColumn="0"/>
        </w:trPr>
        <w:tc>
          <w:tcPr>
            <w:tcW w:w="1016" w:type="pct"/>
          </w:tcPr>
          <w:p w14:paraId="2416AB07" w14:textId="77777777" w:rsidR="00205597" w:rsidRPr="006B4639" w:rsidRDefault="00205597" w:rsidP="000E6F37">
            <w:pPr>
              <w:pStyle w:val="TableHeading"/>
              <w:spacing w:before="40" w:after="40"/>
              <w:rPr>
                <w:lang w:eastAsia="fr-CA"/>
              </w:rPr>
            </w:pPr>
            <w:r w:rsidRPr="006B4639">
              <w:rPr>
                <w:lang w:eastAsia="fr-CA"/>
              </w:rPr>
              <w:t>Focus area</w:t>
            </w:r>
          </w:p>
        </w:tc>
        <w:tc>
          <w:tcPr>
            <w:tcW w:w="3984" w:type="pct"/>
          </w:tcPr>
          <w:p w14:paraId="14ABDF9F" w14:textId="77777777" w:rsidR="00205597" w:rsidRPr="006B4639" w:rsidRDefault="00644B67" w:rsidP="000E6F37">
            <w:pPr>
              <w:pStyle w:val="TableHeading"/>
              <w:spacing w:before="40" w:after="40"/>
              <w:rPr>
                <w:lang w:eastAsia="fr-CA"/>
              </w:rPr>
            </w:pPr>
            <w:r>
              <w:rPr>
                <w:lang w:eastAsia="fr-CA"/>
              </w:rPr>
              <w:t>P</w:t>
            </w:r>
            <w:r w:rsidR="00205597" w:rsidRPr="006B4639">
              <w:rPr>
                <w:lang w:eastAsia="fr-CA"/>
              </w:rPr>
              <w:t>roblems</w:t>
            </w:r>
          </w:p>
        </w:tc>
      </w:tr>
      <w:tr w:rsidR="00205597" w:rsidRPr="006B4639" w14:paraId="37871FBC" w14:textId="77777777" w:rsidTr="00CF688C">
        <w:tc>
          <w:tcPr>
            <w:tcW w:w="1016" w:type="pct"/>
          </w:tcPr>
          <w:p w14:paraId="645BA7EC" w14:textId="77777777" w:rsidR="00205597" w:rsidRPr="006B4639" w:rsidRDefault="00205597" w:rsidP="000A3668">
            <w:pPr>
              <w:pStyle w:val="TableBodyText"/>
              <w:keepNext/>
              <w:numPr>
                <w:ilvl w:val="0"/>
                <w:numId w:val="77"/>
              </w:numPr>
              <w:spacing w:before="40" w:after="40"/>
              <w:ind w:left="312" w:hanging="227"/>
              <w:rPr>
                <w:lang w:eastAsia="fr-CA"/>
              </w:rPr>
            </w:pPr>
            <w:r w:rsidRPr="006B4639">
              <w:rPr>
                <w:lang w:eastAsia="fr-CA"/>
              </w:rPr>
              <w:t xml:space="preserve">When a pipeline should be subject to regulation </w:t>
            </w:r>
          </w:p>
        </w:tc>
        <w:tc>
          <w:tcPr>
            <w:tcW w:w="3984" w:type="pct"/>
          </w:tcPr>
          <w:p w14:paraId="2B460052" w14:textId="2A9D6FC3" w:rsidR="00205597" w:rsidRPr="006B4639" w:rsidRDefault="00205597" w:rsidP="00154AB3">
            <w:pPr>
              <w:pStyle w:val="ListBullet"/>
              <w:numPr>
                <w:ilvl w:val="0"/>
                <w:numId w:val="0"/>
              </w:numPr>
              <w:spacing w:before="0"/>
              <w:ind w:left="85"/>
            </w:pPr>
            <w:r w:rsidRPr="006B4639">
              <w:t xml:space="preserve">The problem identified </w:t>
            </w:r>
            <w:r w:rsidR="00786AD5" w:rsidRPr="006B4639">
              <w:t xml:space="preserve">with this aspect of the regulatory framework </w:t>
            </w:r>
            <w:r w:rsidR="00F03428">
              <w:t xml:space="preserve">is </w:t>
            </w:r>
            <w:r w:rsidRPr="006B4639">
              <w:t>that</w:t>
            </w:r>
            <w:r w:rsidR="00F03428">
              <w:t xml:space="preserve"> </w:t>
            </w:r>
            <w:r w:rsidRPr="006B4639">
              <w:t>the use of the coverage test</w:t>
            </w:r>
            <w:r w:rsidR="003E0C66">
              <w:t>,</w:t>
            </w:r>
            <w:r w:rsidRPr="006B4639">
              <w:t xml:space="preserve"> </w:t>
            </w:r>
            <w:r w:rsidR="003E0C66">
              <w:t xml:space="preserve">(used </w:t>
            </w:r>
            <w:r w:rsidR="00E765BB">
              <w:t xml:space="preserve">to determine whether a pipeline that is not voluntarily providing </w:t>
            </w:r>
            <w:r w:rsidRPr="006B4639">
              <w:t xml:space="preserve">third party access </w:t>
            </w:r>
            <w:r w:rsidR="00E765BB">
              <w:t>should be required to do so</w:t>
            </w:r>
            <w:r w:rsidR="003E0C66">
              <w:t>)</w:t>
            </w:r>
            <w:r w:rsidR="00E765BB">
              <w:t xml:space="preserve">, </w:t>
            </w:r>
            <w:r w:rsidR="00124AA2">
              <w:t>can</w:t>
            </w:r>
            <w:r w:rsidR="00502E5C">
              <w:t xml:space="preserve"> </w:t>
            </w:r>
            <w:r w:rsidR="00E62051">
              <w:t>result in under</w:t>
            </w:r>
            <w:r w:rsidR="008821B6">
              <w:t>-</w:t>
            </w:r>
            <w:r w:rsidR="00E62051">
              <w:t xml:space="preserve">regulation and </w:t>
            </w:r>
            <w:r w:rsidR="00814D5C">
              <w:t xml:space="preserve">inefficient investment in and use of </w:t>
            </w:r>
            <w:r w:rsidR="00C113AE">
              <w:t xml:space="preserve">these </w:t>
            </w:r>
            <w:r w:rsidR="00814D5C">
              <w:t>pipelines</w:t>
            </w:r>
            <w:r w:rsidR="00F03428">
              <w:t>.</w:t>
            </w:r>
            <w:r w:rsidRPr="006B4639">
              <w:t xml:space="preserve"> </w:t>
            </w:r>
          </w:p>
        </w:tc>
      </w:tr>
      <w:tr w:rsidR="00205597" w:rsidRPr="006B4639" w14:paraId="33664AF0" w14:textId="77777777" w:rsidTr="00CF688C">
        <w:trPr>
          <w:cnfStyle w:val="000000010000" w:firstRow="0" w:lastRow="0" w:firstColumn="0" w:lastColumn="0" w:oddVBand="0" w:evenVBand="0" w:oddHBand="0" w:evenHBand="1" w:firstRowFirstColumn="0" w:firstRowLastColumn="0" w:lastRowFirstColumn="0" w:lastRowLastColumn="0"/>
        </w:trPr>
        <w:tc>
          <w:tcPr>
            <w:tcW w:w="1016" w:type="pct"/>
          </w:tcPr>
          <w:p w14:paraId="55D92FE2" w14:textId="77777777" w:rsidR="00205597" w:rsidRPr="00611366" w:rsidRDefault="00205597" w:rsidP="000A3668">
            <w:pPr>
              <w:pStyle w:val="TableBodyText"/>
              <w:numPr>
                <w:ilvl w:val="0"/>
                <w:numId w:val="77"/>
              </w:numPr>
              <w:spacing w:before="40" w:after="40"/>
              <w:ind w:left="312" w:hanging="227"/>
              <w:rPr>
                <w:lang w:eastAsia="fr-CA"/>
              </w:rPr>
            </w:pPr>
            <w:r w:rsidRPr="00611366">
              <w:rPr>
                <w:lang w:eastAsia="fr-CA"/>
              </w:rPr>
              <w:t>Form</w:t>
            </w:r>
            <w:r w:rsidR="0011342B">
              <w:rPr>
                <w:lang w:eastAsia="fr-CA"/>
              </w:rPr>
              <w:t>s</w:t>
            </w:r>
            <w:r w:rsidRPr="00611366">
              <w:rPr>
                <w:lang w:eastAsia="fr-CA"/>
              </w:rPr>
              <w:t xml:space="preserve"> of regulation and movements between the alternative forms of regulation</w:t>
            </w:r>
          </w:p>
        </w:tc>
        <w:tc>
          <w:tcPr>
            <w:tcW w:w="3984" w:type="pct"/>
          </w:tcPr>
          <w:p w14:paraId="080EE0F9" w14:textId="77777777" w:rsidR="00205597" w:rsidRPr="00611366" w:rsidRDefault="00205597" w:rsidP="00154AB3">
            <w:pPr>
              <w:pStyle w:val="TableBodyText"/>
              <w:spacing w:before="0" w:after="120"/>
              <w:rPr>
                <w:lang w:eastAsia="fr-CA"/>
              </w:rPr>
            </w:pPr>
            <w:r w:rsidRPr="00611366">
              <w:rPr>
                <w:lang w:eastAsia="fr-CA"/>
              </w:rPr>
              <w:t xml:space="preserve">The problems identified </w:t>
            </w:r>
            <w:r w:rsidR="00786AD5" w:rsidRPr="00611366">
              <w:rPr>
                <w:lang w:eastAsia="fr-CA"/>
              </w:rPr>
              <w:t xml:space="preserve">with this aspect of the regulatory framework </w:t>
            </w:r>
            <w:r w:rsidRPr="00611366">
              <w:rPr>
                <w:lang w:eastAsia="fr-CA"/>
              </w:rPr>
              <w:t>are that:</w:t>
            </w:r>
          </w:p>
          <w:p w14:paraId="3DD96B34" w14:textId="77777777" w:rsidR="0058504F" w:rsidRDefault="00205597" w:rsidP="00154AB3">
            <w:pPr>
              <w:pStyle w:val="ListBullet"/>
              <w:numPr>
                <w:ilvl w:val="0"/>
                <w:numId w:val="78"/>
              </w:numPr>
              <w:spacing w:before="40" w:after="40"/>
              <w:ind w:left="442" w:hanging="357"/>
            </w:pPr>
            <w:r w:rsidRPr="00611366">
              <w:t xml:space="preserve">the inconsistencies and overlap between </w:t>
            </w:r>
            <w:r w:rsidR="0058504F">
              <w:t xml:space="preserve">light regulation and Part 23 </w:t>
            </w:r>
            <w:r w:rsidRPr="00611366">
              <w:t>increase</w:t>
            </w:r>
            <w:r w:rsidR="0058504F">
              <w:t>s</w:t>
            </w:r>
            <w:r w:rsidRPr="00611366">
              <w:t xml:space="preserve"> </w:t>
            </w:r>
            <w:r w:rsidR="00502E5C">
              <w:t xml:space="preserve">regulatory </w:t>
            </w:r>
            <w:r w:rsidRPr="00611366">
              <w:t>complexity and administrative burden</w:t>
            </w:r>
            <w:r w:rsidR="00502E5C">
              <w:t xml:space="preserve">, resulting in </w:t>
            </w:r>
            <w:r w:rsidR="00786AD5" w:rsidRPr="00611366">
              <w:t xml:space="preserve">unnecessary costs </w:t>
            </w:r>
            <w:r w:rsidR="00502E5C">
              <w:t>and inefficiencies</w:t>
            </w:r>
            <w:r w:rsidR="00033127" w:rsidRPr="00611366">
              <w:t xml:space="preserve">; </w:t>
            </w:r>
          </w:p>
          <w:p w14:paraId="58F26CF3" w14:textId="77777777" w:rsidR="0058504F" w:rsidRPr="00611366" w:rsidRDefault="0058504F" w:rsidP="00154AB3">
            <w:pPr>
              <w:pStyle w:val="ListBullet"/>
              <w:numPr>
                <w:ilvl w:val="0"/>
                <w:numId w:val="78"/>
              </w:numPr>
              <w:spacing w:before="40" w:after="40"/>
              <w:ind w:left="442" w:hanging="357"/>
            </w:pPr>
            <w:r w:rsidRPr="00611366">
              <w:t xml:space="preserve">the use of the coverage test as a gateway from Part 23 to full regulation </w:t>
            </w:r>
            <w:r w:rsidR="00124AA2">
              <w:t xml:space="preserve">can </w:t>
            </w:r>
            <w:r w:rsidRPr="00611366">
              <w:t>result in under-regulation</w:t>
            </w:r>
            <w:r w:rsidR="00F5631C">
              <w:t xml:space="preserve">, </w:t>
            </w:r>
            <w:r w:rsidRPr="00611366">
              <w:t>leav</w:t>
            </w:r>
            <w:r w:rsidR="00F5631C">
              <w:t>ing</w:t>
            </w:r>
            <w:r w:rsidRPr="00611366">
              <w:t xml:space="preserve"> shippers more exposed to exercises of market power by service providers;</w:t>
            </w:r>
            <w:r w:rsidR="00F5631C">
              <w:t xml:space="preserve"> and</w:t>
            </w:r>
          </w:p>
          <w:p w14:paraId="674A95EB" w14:textId="77777777" w:rsidR="00033127" w:rsidRPr="00611366" w:rsidRDefault="00DA52CB" w:rsidP="00154AB3">
            <w:pPr>
              <w:pStyle w:val="ListBullet"/>
              <w:numPr>
                <w:ilvl w:val="0"/>
                <w:numId w:val="78"/>
              </w:numPr>
              <w:spacing w:before="40" w:after="40"/>
              <w:ind w:left="442" w:hanging="357"/>
            </w:pPr>
            <w:r w:rsidRPr="006B4639">
              <w:t xml:space="preserve">the current forms of regulation do not effectively deal with potential exercises of dynamic market power (i.e. </w:t>
            </w:r>
            <w:r>
              <w:t xml:space="preserve">the service provider </w:t>
            </w:r>
            <w:r w:rsidRPr="006B4639">
              <w:t>blocking</w:t>
            </w:r>
            <w:r>
              <w:t xml:space="preserve"> competition from other service providers</w:t>
            </w:r>
            <w:r w:rsidRPr="006B4639">
              <w:t xml:space="preserve">), which </w:t>
            </w:r>
            <w:r>
              <w:t xml:space="preserve">can </w:t>
            </w:r>
            <w:r w:rsidRPr="006B4639">
              <w:t>further entrench the incumbent service providers’ market power</w:t>
            </w:r>
            <w:r>
              <w:t xml:space="preserve"> and prevent the efficiencies associated with competition for the development of new pipelines and augmentations flowing through to the market</w:t>
            </w:r>
            <w:r w:rsidR="00033127" w:rsidRPr="00611366">
              <w:t>.</w:t>
            </w:r>
          </w:p>
        </w:tc>
      </w:tr>
      <w:tr w:rsidR="00E17A37" w:rsidRPr="006B4639" w14:paraId="5947C9A4" w14:textId="77777777" w:rsidTr="00CF688C">
        <w:tc>
          <w:tcPr>
            <w:tcW w:w="1016" w:type="pct"/>
          </w:tcPr>
          <w:p w14:paraId="7655A89C" w14:textId="77777777" w:rsidR="00E17A37" w:rsidRPr="00611366" w:rsidRDefault="00F5631C" w:rsidP="000A3668">
            <w:pPr>
              <w:pStyle w:val="TableBodyText"/>
              <w:numPr>
                <w:ilvl w:val="0"/>
                <w:numId w:val="77"/>
              </w:numPr>
              <w:spacing w:before="40" w:after="40"/>
              <w:ind w:left="312" w:hanging="227"/>
              <w:rPr>
                <w:lang w:eastAsia="fr-CA"/>
              </w:rPr>
            </w:pPr>
            <w:r>
              <w:rPr>
                <w:lang w:eastAsia="fr-CA"/>
              </w:rPr>
              <w:t>Governance for when and how to regulate decisions</w:t>
            </w:r>
          </w:p>
        </w:tc>
        <w:tc>
          <w:tcPr>
            <w:tcW w:w="3984" w:type="pct"/>
          </w:tcPr>
          <w:p w14:paraId="4F325731" w14:textId="77777777" w:rsidR="00E17A37" w:rsidRPr="00611366" w:rsidRDefault="00192E4E" w:rsidP="000E6F37">
            <w:pPr>
              <w:pStyle w:val="TableBodyText"/>
              <w:spacing w:before="40" w:after="40"/>
              <w:rPr>
                <w:lang w:eastAsia="fr-CA"/>
              </w:rPr>
            </w:pPr>
            <w:r>
              <w:rPr>
                <w:lang w:eastAsia="fr-CA"/>
              </w:rPr>
              <w:t xml:space="preserve">The </w:t>
            </w:r>
            <w:r w:rsidR="00980AA6">
              <w:t xml:space="preserve">current governance arrangements give rise to unnecessary costs and delays in decision making, particularly in relation to </w:t>
            </w:r>
            <w:r w:rsidR="00381CB1">
              <w:t xml:space="preserve">third party access </w:t>
            </w:r>
            <w:r w:rsidR="00980AA6">
              <w:t>and greenfield exemption determinations</w:t>
            </w:r>
            <w:r>
              <w:rPr>
                <w:lang w:eastAsia="fr-CA"/>
              </w:rPr>
              <w:t xml:space="preserve">. </w:t>
            </w:r>
          </w:p>
        </w:tc>
      </w:tr>
      <w:tr w:rsidR="00205597" w:rsidRPr="006B4639" w14:paraId="00113E16" w14:textId="77777777" w:rsidTr="00CF688C">
        <w:trPr>
          <w:cnfStyle w:val="000000010000" w:firstRow="0" w:lastRow="0" w:firstColumn="0" w:lastColumn="0" w:oddVBand="0" w:evenVBand="0" w:oddHBand="0" w:evenHBand="1" w:firstRowFirstColumn="0" w:firstRowLastColumn="0" w:lastRowFirstColumn="0" w:lastRowLastColumn="0"/>
        </w:trPr>
        <w:tc>
          <w:tcPr>
            <w:tcW w:w="1016" w:type="pct"/>
          </w:tcPr>
          <w:p w14:paraId="320F866D" w14:textId="77777777" w:rsidR="00205597" w:rsidRPr="006B4639" w:rsidRDefault="00205597" w:rsidP="000A3668">
            <w:pPr>
              <w:pStyle w:val="TableBodyText"/>
              <w:numPr>
                <w:ilvl w:val="0"/>
                <w:numId w:val="77"/>
              </w:numPr>
              <w:spacing w:before="40" w:after="40"/>
              <w:ind w:left="312" w:hanging="227"/>
              <w:rPr>
                <w:lang w:eastAsia="fr-CA"/>
              </w:rPr>
            </w:pPr>
            <w:r w:rsidRPr="006B4639">
              <w:rPr>
                <w:lang w:eastAsia="fr-CA"/>
              </w:rPr>
              <w:t>Information disclosure requirements</w:t>
            </w:r>
          </w:p>
        </w:tc>
        <w:tc>
          <w:tcPr>
            <w:tcW w:w="3984" w:type="pct"/>
          </w:tcPr>
          <w:p w14:paraId="18A4C204" w14:textId="77777777" w:rsidR="00997FA8" w:rsidRDefault="00205597" w:rsidP="006144B7">
            <w:pPr>
              <w:pStyle w:val="TableBodyText"/>
              <w:spacing w:before="40" w:after="40"/>
            </w:pPr>
            <w:r w:rsidRPr="006B4639">
              <w:rPr>
                <w:lang w:eastAsia="fr-CA"/>
              </w:rPr>
              <w:t xml:space="preserve">The problems identified </w:t>
            </w:r>
            <w:r w:rsidR="00786AD5" w:rsidRPr="006B4639">
              <w:rPr>
                <w:lang w:eastAsia="fr-CA"/>
              </w:rPr>
              <w:t xml:space="preserve">with this aspect of the regulatory framework </w:t>
            </w:r>
            <w:r w:rsidRPr="006B4639">
              <w:rPr>
                <w:lang w:eastAsia="fr-CA"/>
              </w:rPr>
              <w:t>are that</w:t>
            </w:r>
            <w:r w:rsidR="00997FA8">
              <w:t>:</w:t>
            </w:r>
            <w:r w:rsidR="00766D01" w:rsidRPr="006B4639">
              <w:t xml:space="preserve"> </w:t>
            </w:r>
          </w:p>
          <w:p w14:paraId="03B3D2B2" w14:textId="77777777" w:rsidR="00CF688C" w:rsidRPr="006B4639" w:rsidRDefault="00CF688C" w:rsidP="000A3668">
            <w:pPr>
              <w:pStyle w:val="TableListNumber"/>
              <w:numPr>
                <w:ilvl w:val="0"/>
                <w:numId w:val="137"/>
              </w:numPr>
              <w:ind w:left="442" w:hanging="357"/>
            </w:pPr>
            <w:r>
              <w:t>t</w:t>
            </w:r>
            <w:r w:rsidRPr="006B4639">
              <w:t>he</w:t>
            </w:r>
            <w:r>
              <w:t>re is</w:t>
            </w:r>
            <w:r w:rsidRPr="006B4639">
              <w:t xml:space="preserve"> limited information </w:t>
            </w:r>
            <w:r>
              <w:t xml:space="preserve">available </w:t>
            </w:r>
            <w:r w:rsidRPr="006B4639">
              <w:t xml:space="preserve">to shippers negotiating access to non-reference services on full regulation pipelines; and </w:t>
            </w:r>
          </w:p>
          <w:p w14:paraId="24A6B5D5" w14:textId="77777777" w:rsidR="00CF688C" w:rsidRDefault="00CF688C" w:rsidP="000A3668">
            <w:pPr>
              <w:pStyle w:val="TableListNumber"/>
              <w:numPr>
                <w:ilvl w:val="0"/>
                <w:numId w:val="137"/>
              </w:numPr>
              <w:ind w:left="442" w:hanging="357"/>
            </w:pPr>
            <w:r w:rsidRPr="006B4639">
              <w:t>the</w:t>
            </w:r>
            <w:r>
              <w:t>re are a number of deficiencies in the</w:t>
            </w:r>
            <w:r w:rsidRPr="006B4639">
              <w:t xml:space="preserve"> information reported by </w:t>
            </w:r>
            <w:r>
              <w:t xml:space="preserve">Part 23 and light regulation </w:t>
            </w:r>
            <w:r w:rsidRPr="006B4639">
              <w:t xml:space="preserve">pipelines </w:t>
            </w:r>
            <w:r>
              <w:t xml:space="preserve">(including </w:t>
            </w:r>
            <w:r w:rsidR="005B0A15">
              <w:t xml:space="preserve">as a result of </w:t>
            </w:r>
            <w:r w:rsidR="00A243CE">
              <w:t xml:space="preserve">the availability of exemptions) </w:t>
            </w:r>
            <w:r>
              <w:t xml:space="preserve">that </w:t>
            </w:r>
            <w:r w:rsidR="00CE4A84">
              <w:t xml:space="preserve">are </w:t>
            </w:r>
            <w:r>
              <w:t>affect</w:t>
            </w:r>
            <w:r w:rsidR="00CE4A84">
              <w:t>ing the adequacy,</w:t>
            </w:r>
            <w:r>
              <w:t xml:space="preserve"> quality</w:t>
            </w:r>
            <w:r w:rsidR="00A243CE">
              <w:t xml:space="preserve"> and</w:t>
            </w:r>
            <w:r>
              <w:t xml:space="preserve"> reliability, accessibility and usability of </w:t>
            </w:r>
            <w:r w:rsidR="00CD410B">
              <w:t xml:space="preserve">the reported </w:t>
            </w:r>
            <w:r>
              <w:t>information</w:t>
            </w:r>
            <w:r w:rsidRPr="006B4639">
              <w:t xml:space="preserve">. </w:t>
            </w:r>
          </w:p>
          <w:p w14:paraId="2A9A6494" w14:textId="77777777" w:rsidR="00205597" w:rsidRPr="006B4639" w:rsidRDefault="00752DA3" w:rsidP="00154AB3">
            <w:pPr>
              <w:pStyle w:val="TableBodyText"/>
              <w:spacing w:before="0" w:after="0"/>
            </w:pPr>
            <w:r>
              <w:t xml:space="preserve">Together these problems </w:t>
            </w:r>
            <w:r w:rsidR="00793F26">
              <w:t>can</w:t>
            </w:r>
            <w:r>
              <w:t xml:space="preserve"> </w:t>
            </w:r>
            <w:r w:rsidR="00A0082A">
              <w:t xml:space="preserve">hinder </w:t>
            </w:r>
            <w:r w:rsidR="00A0082A" w:rsidRPr="006B4639">
              <w:t>the ability of shippers to negotiate access to services</w:t>
            </w:r>
            <w:r w:rsidR="00A0082A">
              <w:t>,</w:t>
            </w:r>
            <w:r w:rsidR="00A0082A" w:rsidRPr="006B4639">
              <w:t xml:space="preserve"> </w:t>
            </w:r>
            <w:r w:rsidR="00A0082A">
              <w:t xml:space="preserve">impose </w:t>
            </w:r>
            <w:r w:rsidR="00A0082A" w:rsidRPr="006B4639">
              <w:t>additional search and transaction costs on shippers</w:t>
            </w:r>
            <w:r w:rsidR="00A0082A">
              <w:t xml:space="preserve"> and </w:t>
            </w:r>
            <w:r w:rsidR="00EF1527">
              <w:t>result in inefficient decision-making</w:t>
            </w:r>
            <w:r>
              <w:t>. The</w:t>
            </w:r>
            <w:r w:rsidR="00132DD5">
              <w:t>y</w:t>
            </w:r>
            <w:r>
              <w:t xml:space="preserve"> could also </w:t>
            </w:r>
            <w:r w:rsidR="006144B7">
              <w:t xml:space="preserve">make shippers </w:t>
            </w:r>
            <w:r w:rsidR="002234D0" w:rsidRPr="006B4639">
              <w:t>more susceptible to exercises of market power</w:t>
            </w:r>
            <w:r w:rsidR="00AB634B" w:rsidRPr="006B4639">
              <w:t>.</w:t>
            </w:r>
          </w:p>
        </w:tc>
      </w:tr>
      <w:tr w:rsidR="00205597" w:rsidRPr="006B4639" w14:paraId="4DCB326E" w14:textId="77777777" w:rsidTr="00CF688C">
        <w:tc>
          <w:tcPr>
            <w:tcW w:w="1016" w:type="pct"/>
          </w:tcPr>
          <w:p w14:paraId="30878DF0" w14:textId="77777777" w:rsidR="00205597" w:rsidRPr="00611366" w:rsidRDefault="00205597" w:rsidP="000A3668">
            <w:pPr>
              <w:pStyle w:val="TableBodyText"/>
              <w:numPr>
                <w:ilvl w:val="0"/>
                <w:numId w:val="77"/>
              </w:numPr>
              <w:spacing w:before="40" w:after="40"/>
              <w:ind w:left="312" w:hanging="227"/>
              <w:rPr>
                <w:lang w:eastAsia="fr-CA"/>
              </w:rPr>
            </w:pPr>
            <w:r w:rsidRPr="00611366">
              <w:rPr>
                <w:lang w:eastAsia="fr-CA"/>
              </w:rPr>
              <w:t>Negotiation frameworks and dispute resolution mechanisms</w:t>
            </w:r>
          </w:p>
        </w:tc>
        <w:tc>
          <w:tcPr>
            <w:tcW w:w="3984" w:type="pct"/>
          </w:tcPr>
          <w:p w14:paraId="5B5CEFA7" w14:textId="77777777" w:rsidR="00205597" w:rsidRPr="00611366" w:rsidRDefault="00205597" w:rsidP="00154AB3">
            <w:pPr>
              <w:pStyle w:val="ListBullet"/>
              <w:numPr>
                <w:ilvl w:val="0"/>
                <w:numId w:val="0"/>
              </w:numPr>
              <w:spacing w:before="0" w:after="0"/>
              <w:ind w:left="85"/>
            </w:pPr>
            <w:r w:rsidRPr="00611366">
              <w:t xml:space="preserve">The problems identified </w:t>
            </w:r>
            <w:r w:rsidR="00786AD5" w:rsidRPr="00611366">
              <w:t xml:space="preserve">with this aspect of the regulatory framework are </w:t>
            </w:r>
            <w:r w:rsidRPr="00611366">
              <w:t>that:</w:t>
            </w:r>
          </w:p>
          <w:p w14:paraId="1762BB61" w14:textId="77777777" w:rsidR="00205597" w:rsidRPr="00611366" w:rsidRDefault="00205597" w:rsidP="00154AB3">
            <w:pPr>
              <w:pStyle w:val="ListBullet"/>
              <w:numPr>
                <w:ilvl w:val="0"/>
                <w:numId w:val="79"/>
              </w:numPr>
              <w:spacing w:before="40" w:after="40"/>
              <w:ind w:left="442" w:hanging="357"/>
            </w:pPr>
            <w:r w:rsidRPr="00611366">
              <w:t>differences in the negotiation frameworks applying under the various forms of regulation impos</w:t>
            </w:r>
            <w:r w:rsidR="00786AD5" w:rsidRPr="00611366">
              <w:t>e</w:t>
            </w:r>
            <w:r w:rsidRPr="00611366">
              <w:t xml:space="preserve"> unnecessary costs and delays on negotiating parties and hinder the ability of shippers to negotiate effectively</w:t>
            </w:r>
            <w:r w:rsidR="00B61389" w:rsidRPr="00611366">
              <w:t xml:space="preserve"> with service providers</w:t>
            </w:r>
            <w:r w:rsidRPr="00611366">
              <w:t xml:space="preserve">; </w:t>
            </w:r>
          </w:p>
          <w:p w14:paraId="41BB2652" w14:textId="77777777" w:rsidR="00205597" w:rsidRPr="00611366" w:rsidRDefault="00205597" w:rsidP="00154AB3">
            <w:pPr>
              <w:pStyle w:val="ListBullet"/>
              <w:numPr>
                <w:ilvl w:val="0"/>
                <w:numId w:val="79"/>
              </w:numPr>
              <w:spacing w:before="40" w:after="40"/>
              <w:ind w:left="442" w:hanging="357"/>
            </w:pPr>
            <w:r w:rsidRPr="00611366">
              <w:t xml:space="preserve">the threat of arbitration by smaller shippers </w:t>
            </w:r>
            <w:r w:rsidR="00242749">
              <w:t>may</w:t>
            </w:r>
            <w:r w:rsidR="00CA1D8F">
              <w:t xml:space="preserve"> </w:t>
            </w:r>
            <w:r w:rsidRPr="00132DD5">
              <w:rPr>
                <w:u w:val="single"/>
              </w:rPr>
              <w:t>not</w:t>
            </w:r>
            <w:r w:rsidRPr="00611366">
              <w:t xml:space="preserve"> </w:t>
            </w:r>
            <w:r w:rsidR="00242749">
              <w:t xml:space="preserve">be </w:t>
            </w:r>
            <w:r w:rsidRPr="00611366">
              <w:t xml:space="preserve">viewed as credible by </w:t>
            </w:r>
            <w:r w:rsidR="00132DD5">
              <w:t xml:space="preserve">all </w:t>
            </w:r>
            <w:r w:rsidRPr="00611366">
              <w:t xml:space="preserve">service providers, which </w:t>
            </w:r>
            <w:r w:rsidR="00221845">
              <w:t>can</w:t>
            </w:r>
            <w:r w:rsidR="00CA1D8F">
              <w:t xml:space="preserve"> </w:t>
            </w:r>
            <w:r w:rsidR="00786AD5" w:rsidRPr="00611366">
              <w:t xml:space="preserve">make </w:t>
            </w:r>
            <w:r w:rsidRPr="00611366">
              <w:t>this group of shippers more susceptible to exercises of market power</w:t>
            </w:r>
            <w:r w:rsidR="00D77AEA" w:rsidRPr="00611366">
              <w:t xml:space="preserve"> by service providers</w:t>
            </w:r>
            <w:r w:rsidRPr="00611366">
              <w:t>; and</w:t>
            </w:r>
          </w:p>
          <w:p w14:paraId="43B9E677" w14:textId="77777777" w:rsidR="00205597" w:rsidRPr="00611366" w:rsidRDefault="00205597" w:rsidP="00154AB3">
            <w:pPr>
              <w:pStyle w:val="ListBullet"/>
              <w:numPr>
                <w:ilvl w:val="0"/>
                <w:numId w:val="79"/>
              </w:numPr>
              <w:spacing w:before="40" w:after="40"/>
              <w:ind w:left="442" w:hanging="357"/>
            </w:pPr>
            <w:r w:rsidRPr="00611366">
              <w:t xml:space="preserve">aspects of the </w:t>
            </w:r>
            <w:r w:rsidR="00D3520C">
              <w:t xml:space="preserve">full regulation </w:t>
            </w:r>
            <w:r w:rsidRPr="00611366">
              <w:t xml:space="preserve">dispute resolution mechanism </w:t>
            </w:r>
            <w:r w:rsidR="00D3520C">
              <w:t xml:space="preserve">are </w:t>
            </w:r>
            <w:r w:rsidR="00786AD5" w:rsidRPr="00611366">
              <w:t>not as effective or efficient as they could be</w:t>
            </w:r>
            <w:r w:rsidR="00C65868">
              <w:t>, which</w:t>
            </w:r>
            <w:r w:rsidR="00786AD5" w:rsidRPr="00611366">
              <w:t xml:space="preserve"> undermine</w:t>
            </w:r>
            <w:r w:rsidR="00221845">
              <w:t>s</w:t>
            </w:r>
            <w:r w:rsidR="00786AD5" w:rsidRPr="00611366">
              <w:t xml:space="preserve"> the </w:t>
            </w:r>
            <w:r w:rsidRPr="00611366">
              <w:t>constraint it is intended to impose on service providers.</w:t>
            </w:r>
          </w:p>
        </w:tc>
      </w:tr>
    </w:tbl>
    <w:p w14:paraId="2E077EB7" w14:textId="55C421EB" w:rsidR="00162145" w:rsidRPr="006B4639" w:rsidRDefault="00162145" w:rsidP="00162145">
      <w:pPr>
        <w:pStyle w:val="BodyText"/>
      </w:pPr>
      <w:r>
        <w:lastRenderedPageBreak/>
        <w:t xml:space="preserve">As this table shows, the problems </w:t>
      </w:r>
      <w:r w:rsidRPr="006B4639">
        <w:t>principally relate to:</w:t>
      </w:r>
    </w:p>
    <w:p w14:paraId="7095110A" w14:textId="77777777" w:rsidR="00162145" w:rsidRPr="006B4639" w:rsidRDefault="00162145" w:rsidP="00AD36B8">
      <w:pPr>
        <w:pStyle w:val="Listfortext"/>
      </w:pPr>
      <w:r>
        <w:t>the threshold used to determine when a pipeline should be subject to economic regulation (including in relation to greenfield developments and pipelines that are not voluntarily providing third party access)</w:t>
      </w:r>
      <w:r w:rsidRPr="006B4639">
        <w:t xml:space="preserve">; </w:t>
      </w:r>
    </w:p>
    <w:p w14:paraId="21BB8F51" w14:textId="77777777" w:rsidR="00162145" w:rsidRPr="006B4639" w:rsidRDefault="00162145" w:rsidP="00AD36B8">
      <w:pPr>
        <w:pStyle w:val="Listfortext"/>
      </w:pPr>
      <w:r w:rsidRPr="00C746D6">
        <w:t xml:space="preserve">the forms of regulation that can be applied to a pipeline if </w:t>
      </w:r>
      <w:r>
        <w:t xml:space="preserve">they are subject to regulation </w:t>
      </w:r>
      <w:r w:rsidRPr="00C746D6">
        <w:t xml:space="preserve">and how movements between the </w:t>
      </w:r>
      <w:r>
        <w:t xml:space="preserve">alternative </w:t>
      </w:r>
      <w:r w:rsidRPr="00C746D6">
        <w:t>forms of regulation occur</w:t>
      </w:r>
      <w:r w:rsidRPr="006B4639">
        <w:t xml:space="preserve">; </w:t>
      </w:r>
    </w:p>
    <w:p w14:paraId="3375D272" w14:textId="77777777" w:rsidR="00162145" w:rsidRPr="006B4639" w:rsidRDefault="00162145" w:rsidP="00AD36B8">
      <w:pPr>
        <w:pStyle w:val="Listfortext"/>
      </w:pPr>
      <w:r>
        <w:t>the governance arrangements applying to when to regulate and how to regulate decisions;</w:t>
      </w:r>
    </w:p>
    <w:p w14:paraId="4A1725D9" w14:textId="77777777" w:rsidR="00162145" w:rsidRPr="006B4639" w:rsidRDefault="00162145" w:rsidP="00AD36B8">
      <w:pPr>
        <w:pStyle w:val="Listfortext"/>
      </w:pPr>
      <w:r w:rsidRPr="006B4639">
        <w:t xml:space="preserve">the information disclosure obligations that service providers are subject to under the various forms of regulation; and </w:t>
      </w:r>
    </w:p>
    <w:p w14:paraId="7513C5C7" w14:textId="77777777" w:rsidR="00162145" w:rsidRPr="006B4639" w:rsidRDefault="00162145" w:rsidP="00AD36B8">
      <w:pPr>
        <w:pStyle w:val="Listfortext"/>
      </w:pPr>
      <w:r w:rsidRPr="006B4639">
        <w:t>the negotiation frameworks and dispute resolution mechanisms applying under the various forms of regulation.</w:t>
      </w:r>
    </w:p>
    <w:p w14:paraId="12975C3B" w14:textId="77777777" w:rsidR="00162145" w:rsidRDefault="00162145" w:rsidP="00162145">
      <w:pPr>
        <w:pStyle w:val="BodyText"/>
        <w:rPr>
          <w:rFonts w:eastAsiaTheme="minorEastAsia"/>
        </w:rPr>
      </w:pPr>
      <w:r>
        <w:rPr>
          <w:rFonts w:eastAsiaTheme="minorEastAsia"/>
        </w:rPr>
        <w:t>Further detail on these problems and the feedback that stakeholders provided is contained in chapters 3 to 7.</w:t>
      </w:r>
    </w:p>
    <w:p w14:paraId="075A7F94" w14:textId="77777777" w:rsidR="00D91DDA" w:rsidRDefault="0059358C" w:rsidP="00E60896">
      <w:pPr>
        <w:pStyle w:val="Heading6"/>
        <w:spacing w:before="120" w:after="60"/>
        <w:rPr>
          <w:rFonts w:eastAsiaTheme="minorEastAsia"/>
          <w:sz w:val="26"/>
          <w:szCs w:val="26"/>
        </w:rPr>
      </w:pPr>
      <w:r w:rsidRPr="00D87682">
        <w:rPr>
          <w:rFonts w:eastAsiaTheme="minorEastAsia"/>
          <w:sz w:val="26"/>
          <w:szCs w:val="26"/>
        </w:rPr>
        <w:t xml:space="preserve">Why is </w:t>
      </w:r>
      <w:r w:rsidR="00A25EE6" w:rsidRPr="00A25EE6">
        <w:rPr>
          <w:rFonts w:eastAsiaTheme="minorEastAsia"/>
          <w:sz w:val="26"/>
          <w:szCs w:val="26"/>
        </w:rPr>
        <w:t>Energy National Cabinet Reform Committee</w:t>
      </w:r>
      <w:r w:rsidR="00A25EE6" w:rsidRPr="00D87682">
        <w:rPr>
          <w:rFonts w:eastAsiaTheme="minorEastAsia"/>
          <w:sz w:val="26"/>
          <w:szCs w:val="26"/>
        </w:rPr>
        <w:t xml:space="preserve"> </w:t>
      </w:r>
      <w:r w:rsidRPr="00D87682">
        <w:rPr>
          <w:rFonts w:eastAsiaTheme="minorEastAsia"/>
          <w:sz w:val="26"/>
          <w:szCs w:val="26"/>
        </w:rPr>
        <w:t>action required and w</w:t>
      </w:r>
      <w:r w:rsidR="00654D9D" w:rsidRPr="00D87682">
        <w:rPr>
          <w:rFonts w:eastAsiaTheme="minorEastAsia"/>
          <w:sz w:val="26"/>
          <w:szCs w:val="26"/>
        </w:rPr>
        <w:t xml:space="preserve">hat are </w:t>
      </w:r>
      <w:r w:rsidR="005014D5" w:rsidRPr="00D87682">
        <w:rPr>
          <w:rFonts w:eastAsiaTheme="minorEastAsia"/>
          <w:sz w:val="26"/>
          <w:szCs w:val="26"/>
        </w:rPr>
        <w:t>its</w:t>
      </w:r>
      <w:r w:rsidR="00654D9D" w:rsidRPr="00D87682">
        <w:rPr>
          <w:rFonts w:eastAsiaTheme="minorEastAsia"/>
          <w:sz w:val="26"/>
          <w:szCs w:val="26"/>
        </w:rPr>
        <w:t xml:space="preserve"> objectives</w:t>
      </w:r>
      <w:r w:rsidR="00D91DDA" w:rsidRPr="00D87682">
        <w:rPr>
          <w:rFonts w:eastAsiaTheme="minorEastAsia"/>
          <w:sz w:val="26"/>
          <w:szCs w:val="26"/>
        </w:rPr>
        <w:t>?</w:t>
      </w:r>
    </w:p>
    <w:p w14:paraId="35DD0D89" w14:textId="6125E6FB" w:rsidR="00E6309B" w:rsidRDefault="0078430F" w:rsidP="0078430F">
      <w:pPr>
        <w:pStyle w:val="BodyText"/>
      </w:pPr>
      <w:r>
        <w:t xml:space="preserve">The problems that have been identified with the current regulatory framework </w:t>
      </w:r>
      <w:r w:rsidRPr="006B4639">
        <w:t>are complex and interrelated</w:t>
      </w:r>
      <w:r w:rsidR="005615BD">
        <w:t xml:space="preserve">. These problems </w:t>
      </w:r>
      <w:r>
        <w:t xml:space="preserve">are </w:t>
      </w:r>
      <w:r w:rsidR="00E6309B">
        <w:t xml:space="preserve">having a detrimental effect on economic efficiency and consumers more generally, because they are, to varying extents: </w:t>
      </w:r>
    </w:p>
    <w:p w14:paraId="7C5D0028" w14:textId="423CD7A0" w:rsidR="00E6309B" w:rsidRDefault="00E6309B" w:rsidP="00AD36B8">
      <w:pPr>
        <w:pStyle w:val="ListBullet"/>
      </w:pPr>
      <w:r>
        <w:t>leaving shippers exposed to exercises of market power by service providers,</w:t>
      </w:r>
      <w:r w:rsidR="00370905">
        <w:rPr>
          <w:rFonts w:ascii="ZWAdobeF" w:hAnsi="ZWAdobeF" w:cs="ZWAdobeF"/>
          <w:sz w:val="2"/>
          <w:szCs w:val="2"/>
        </w:rPr>
        <w:t>11F</w:t>
      </w:r>
      <w:r w:rsidR="000A15BD">
        <w:rPr>
          <w:rStyle w:val="FootnoteReference"/>
        </w:rPr>
        <w:footnoteReference w:id="13"/>
      </w:r>
      <w:r>
        <w:t xml:space="preserve"> which</w:t>
      </w:r>
      <w:r w:rsidR="0078430F">
        <w:t xml:space="preserve"> </w:t>
      </w:r>
      <w:r>
        <w:t xml:space="preserve">can result in lower than efficient levels of </w:t>
      </w:r>
      <w:r w:rsidR="00025BE9">
        <w:t xml:space="preserve">consumption, production </w:t>
      </w:r>
      <w:r>
        <w:t>and investment</w:t>
      </w:r>
      <w:r w:rsidR="005F0CAB">
        <w:t xml:space="preserve"> </w:t>
      </w:r>
      <w:r w:rsidR="008921DA">
        <w:t xml:space="preserve">across the </w:t>
      </w:r>
      <w:r w:rsidR="00CC2A79">
        <w:t xml:space="preserve">gas market, upstream and downstream markets, and </w:t>
      </w:r>
      <w:r w:rsidR="00FE57A7">
        <w:t xml:space="preserve">the </w:t>
      </w:r>
      <w:r w:rsidR="00CC2A79">
        <w:t>broader economy</w:t>
      </w:r>
      <w:r w:rsidR="00733696">
        <w:t xml:space="preserve"> (</w:t>
      </w:r>
      <w:r w:rsidR="00D04606">
        <w:t>e.g</w:t>
      </w:r>
      <w:r w:rsidR="00733696">
        <w:t xml:space="preserve">. because prices are higher </w:t>
      </w:r>
      <w:r w:rsidR="00D04606">
        <w:t>than they would be in a workably competitive market)</w:t>
      </w:r>
      <w:r>
        <w:t>;</w:t>
      </w:r>
    </w:p>
    <w:p w14:paraId="16DBF200" w14:textId="77777777" w:rsidR="00E6309B" w:rsidRDefault="00E6309B" w:rsidP="00AD36B8">
      <w:pPr>
        <w:pStyle w:val="ListBullet"/>
      </w:pPr>
      <w:r>
        <w:t xml:space="preserve">allowing incumbent service providers to use their market power to restrict competition, which can prevent the efficiency gains associated with competition from flowing through to the gas market, upstream and downstream markets and broader economy; </w:t>
      </w:r>
    </w:p>
    <w:p w14:paraId="0EDF9A08" w14:textId="77777777" w:rsidR="00E6309B" w:rsidRDefault="00E6309B" w:rsidP="00AD36B8">
      <w:pPr>
        <w:pStyle w:val="ListBullet"/>
      </w:pPr>
      <w:r>
        <w:t xml:space="preserve">giving rise to information deficiencies and asymmetries, which can </w:t>
      </w:r>
      <w:r w:rsidR="00402BF3">
        <w:t xml:space="preserve">result in </w:t>
      </w:r>
      <w:r>
        <w:t>inefficient consumption, production and investment decisions across the gas market, upstream and downstream markets and the broader economy; and</w:t>
      </w:r>
    </w:p>
    <w:p w14:paraId="3324E8F1" w14:textId="77777777" w:rsidR="00E6309B" w:rsidRDefault="00E6309B" w:rsidP="00AD36B8">
      <w:pPr>
        <w:pStyle w:val="ListBullet"/>
      </w:pPr>
      <w:r>
        <w:t>imposing unnecessary costs and risks on shippers, service providers</w:t>
      </w:r>
      <w:r w:rsidR="00A8690B">
        <w:t>,</w:t>
      </w:r>
      <w:r>
        <w:t xml:space="preserve"> regulators</w:t>
      </w:r>
      <w:r w:rsidR="00A8690B">
        <w:t xml:space="preserve"> and decision-makers</w:t>
      </w:r>
      <w:r w:rsidR="00F5370C">
        <w:t xml:space="preserve"> and, in some cases, delaying access to pipelines</w:t>
      </w:r>
      <w:r>
        <w:t>.</w:t>
      </w:r>
    </w:p>
    <w:p w14:paraId="2A093CB2" w14:textId="56D5E129" w:rsidR="00E6309B" w:rsidRDefault="00E6309B" w:rsidP="00C7308B">
      <w:pPr>
        <w:pStyle w:val="BodyText"/>
        <w:spacing w:line="257" w:lineRule="auto"/>
        <w:rPr>
          <w:rFonts w:asciiTheme="majorHAnsi" w:hAnsiTheme="majorHAnsi" w:cstheme="majorHAnsi"/>
        </w:rPr>
      </w:pPr>
      <w:r>
        <w:t xml:space="preserve">The problems that have been identified with the current regulatory framework </w:t>
      </w:r>
      <w:r w:rsidR="005615BD">
        <w:t>are</w:t>
      </w:r>
      <w:r w:rsidR="00055A96">
        <w:t xml:space="preserve"> both a </w:t>
      </w:r>
      <w:r w:rsidRPr="006B4639">
        <w:t xml:space="preserve">‘market failure’ </w:t>
      </w:r>
      <w:r w:rsidR="00720315">
        <w:t xml:space="preserve">(i.e. because the market is not working to allocate </w:t>
      </w:r>
      <w:r w:rsidR="00720315" w:rsidRPr="006B4639">
        <w:rPr>
          <w:rFonts w:asciiTheme="majorHAnsi" w:hAnsiTheme="majorHAnsi" w:cstheme="majorHAnsi"/>
        </w:rPr>
        <w:t>resources in the most efficient manner</w:t>
      </w:r>
      <w:r w:rsidR="00DB311B">
        <w:rPr>
          <w:rFonts w:asciiTheme="majorHAnsi" w:hAnsiTheme="majorHAnsi" w:cstheme="majorHAnsi"/>
        </w:rPr>
        <w:t xml:space="preserve">) </w:t>
      </w:r>
      <w:r w:rsidR="005A185E">
        <w:rPr>
          <w:rFonts w:asciiTheme="majorHAnsi" w:hAnsiTheme="majorHAnsi" w:cstheme="majorHAnsi"/>
        </w:rPr>
        <w:t xml:space="preserve">and a regulatory </w:t>
      </w:r>
      <w:r w:rsidR="00055A96">
        <w:rPr>
          <w:rFonts w:asciiTheme="majorHAnsi" w:hAnsiTheme="majorHAnsi" w:cstheme="majorHAnsi"/>
        </w:rPr>
        <w:t xml:space="preserve">issue </w:t>
      </w:r>
      <w:r>
        <w:t xml:space="preserve">that warrant </w:t>
      </w:r>
      <w:r>
        <w:rPr>
          <w:rFonts w:asciiTheme="majorHAnsi" w:hAnsiTheme="majorHAnsi" w:cstheme="majorHAnsi"/>
        </w:rPr>
        <w:t xml:space="preserve">further action by the </w:t>
      </w:r>
      <w:r w:rsidR="0054654E" w:rsidRPr="00807EA1">
        <w:t>Energy National Cabinet Reform Committee</w:t>
      </w:r>
      <w:r w:rsidRPr="006B4639">
        <w:rPr>
          <w:rFonts w:asciiTheme="majorHAnsi" w:hAnsiTheme="majorHAnsi" w:cstheme="majorHAnsi"/>
        </w:rPr>
        <w:t>.</w:t>
      </w:r>
    </w:p>
    <w:p w14:paraId="3F6A35A8" w14:textId="44980913" w:rsidR="00656779" w:rsidRDefault="003D5954" w:rsidP="00C7308B">
      <w:pPr>
        <w:pStyle w:val="BodyText"/>
        <w:spacing w:line="257" w:lineRule="auto"/>
      </w:pPr>
      <w:r w:rsidRPr="00623324">
        <w:lastRenderedPageBreak/>
        <w:t xml:space="preserve">In keeping with the </w:t>
      </w:r>
      <w:r w:rsidR="00EF60A5">
        <w:t>National Gas Objective (</w:t>
      </w:r>
      <w:r w:rsidRPr="00623324">
        <w:t>NGO</w:t>
      </w:r>
      <w:r w:rsidR="00EF60A5">
        <w:t>)</w:t>
      </w:r>
      <w:r w:rsidR="00370905">
        <w:rPr>
          <w:rFonts w:ascii="ZWAdobeF" w:hAnsi="ZWAdobeF" w:cs="ZWAdobeF"/>
          <w:sz w:val="2"/>
          <w:szCs w:val="2"/>
        </w:rPr>
        <w:t>12F</w:t>
      </w:r>
      <w:r w:rsidR="00EF60A5">
        <w:rPr>
          <w:rStyle w:val="FootnoteReference"/>
        </w:rPr>
        <w:footnoteReference w:id="14"/>
      </w:r>
      <w:r w:rsidRPr="00623324">
        <w:t xml:space="preserve"> and </w:t>
      </w:r>
      <w:r w:rsidR="007F0C9D">
        <w:t xml:space="preserve">the </w:t>
      </w:r>
      <w:r w:rsidRPr="00623324">
        <w:t>Vision for the Australian Gas Market (Vision)</w:t>
      </w:r>
      <w:r>
        <w:t>,</w:t>
      </w:r>
      <w:r w:rsidR="00370905">
        <w:rPr>
          <w:rFonts w:ascii="ZWAdobeF" w:hAnsi="ZWAdobeF" w:cs="ZWAdobeF"/>
          <w:sz w:val="2"/>
          <w:szCs w:val="2"/>
        </w:rPr>
        <w:t>13F</w:t>
      </w:r>
      <w:r>
        <w:rPr>
          <w:rStyle w:val="FootnoteReference"/>
        </w:rPr>
        <w:footnoteReference w:id="15"/>
      </w:r>
      <w:r w:rsidRPr="00623324">
        <w:t xml:space="preserve"> the objectives of </w:t>
      </w:r>
      <w:r w:rsidR="0054654E" w:rsidRPr="00807EA1">
        <w:t>Energy National Cabinet Reform Committee</w:t>
      </w:r>
      <w:r w:rsidR="0054654E" w:rsidRPr="00623324">
        <w:t xml:space="preserve"> </w:t>
      </w:r>
      <w:r w:rsidRPr="00623324">
        <w:t xml:space="preserve">action </w:t>
      </w:r>
      <w:r>
        <w:t xml:space="preserve">are to </w:t>
      </w:r>
      <w:r w:rsidRPr="00623324">
        <w:t>implement a more efficient, effective and integrated regulatory framework that</w:t>
      </w:r>
      <w:r w:rsidR="00656779">
        <w:t>:</w:t>
      </w:r>
      <w:r w:rsidR="007A7D68">
        <w:t xml:space="preserve"> </w:t>
      </w:r>
    </w:p>
    <w:p w14:paraId="68994253" w14:textId="77777777" w:rsidR="00656779" w:rsidRDefault="00850566" w:rsidP="00AD36B8">
      <w:pPr>
        <w:pStyle w:val="ListBullet"/>
      </w:pPr>
      <w:r w:rsidRPr="00623324">
        <w:t>supports the efficient operation of the gas market and the long term interests of gas users</w:t>
      </w:r>
      <w:r w:rsidR="00656779">
        <w:t>; and</w:t>
      </w:r>
    </w:p>
    <w:p w14:paraId="5A925141" w14:textId="77777777" w:rsidR="00656779" w:rsidRDefault="00850566" w:rsidP="00AD36B8">
      <w:pPr>
        <w:pStyle w:val="ListBullet"/>
      </w:pPr>
      <w:r>
        <w:t xml:space="preserve">is </w:t>
      </w:r>
      <w:r w:rsidRPr="00623324">
        <w:t>fit for purpose, targeted and proportionate to the issues it is intended to address</w:t>
      </w:r>
      <w:r>
        <w:t xml:space="preserve">. </w:t>
      </w:r>
    </w:p>
    <w:p w14:paraId="3A44020E" w14:textId="17A0F9D8" w:rsidR="00850566" w:rsidRDefault="00850566" w:rsidP="00C7308B">
      <w:pPr>
        <w:pStyle w:val="BodyText"/>
        <w:spacing w:line="257" w:lineRule="auto"/>
      </w:pPr>
      <w:r>
        <w:t xml:space="preserve">Some of the </w:t>
      </w:r>
      <w:r w:rsidR="00DE0CA0">
        <w:t xml:space="preserve">more specific objectives </w:t>
      </w:r>
      <w:r w:rsidR="00BF244D">
        <w:t xml:space="preserve">of Energy National Cabinet Reform Committee action </w:t>
      </w:r>
      <w:r w:rsidR="00DE0CA0">
        <w:t>are to:</w:t>
      </w:r>
      <w:r w:rsidR="00370905">
        <w:rPr>
          <w:rFonts w:ascii="ZWAdobeF" w:hAnsi="ZWAdobeF" w:cs="ZWAdobeF"/>
          <w:sz w:val="2"/>
          <w:szCs w:val="2"/>
        </w:rPr>
        <w:t>14F</w:t>
      </w:r>
      <w:r w:rsidR="00935A37">
        <w:rPr>
          <w:rStyle w:val="FootnoteReference"/>
        </w:rPr>
        <w:footnoteReference w:id="16"/>
      </w:r>
    </w:p>
    <w:p w14:paraId="5E0FABF3" w14:textId="77777777" w:rsidR="003C3BB4" w:rsidRDefault="003C3BB4" w:rsidP="00154AB3">
      <w:pPr>
        <w:pStyle w:val="ListBullet"/>
        <w:numPr>
          <w:ilvl w:val="0"/>
          <w:numId w:val="151"/>
        </w:numPr>
        <w:ind w:left="357" w:hanging="357"/>
      </w:pPr>
      <w:r>
        <w:t>provide a framework for seeking access to pipelines;</w:t>
      </w:r>
    </w:p>
    <w:p w14:paraId="1A447374" w14:textId="77777777" w:rsidR="00C7541B" w:rsidRPr="006B4639" w:rsidRDefault="00B41A55" w:rsidP="00154AB3">
      <w:pPr>
        <w:pStyle w:val="ListBullet"/>
        <w:numPr>
          <w:ilvl w:val="0"/>
          <w:numId w:val="151"/>
        </w:numPr>
        <w:ind w:left="357" w:hanging="357"/>
      </w:pPr>
      <w:r>
        <w:t xml:space="preserve">pose </w:t>
      </w:r>
      <w:r w:rsidR="008010A5">
        <w:t>a more</w:t>
      </w:r>
      <w:r w:rsidR="00C7541B" w:rsidRPr="006B4639">
        <w:t xml:space="preserve"> effective constraint on </w:t>
      </w:r>
      <w:r w:rsidR="001807E2">
        <w:t xml:space="preserve">service providers’ </w:t>
      </w:r>
      <w:r w:rsidR="00C7541B" w:rsidRPr="006B4639">
        <w:t>market power;</w:t>
      </w:r>
    </w:p>
    <w:p w14:paraId="4F0DEB60" w14:textId="77777777" w:rsidR="00504D7E" w:rsidRPr="006B4639" w:rsidRDefault="00504D7E" w:rsidP="00154AB3">
      <w:pPr>
        <w:pStyle w:val="ListBullet"/>
        <w:numPr>
          <w:ilvl w:val="0"/>
          <w:numId w:val="151"/>
        </w:numPr>
        <w:ind w:left="357" w:hanging="357"/>
      </w:pPr>
      <w:r w:rsidRPr="006B4639">
        <w:t xml:space="preserve">support efficient investment and innovation in pipeline services and </w:t>
      </w:r>
      <w:r>
        <w:t xml:space="preserve">continue to provide </w:t>
      </w:r>
      <w:r w:rsidRPr="006B4639">
        <w:t>for the safe, reliable and efficient operation and use of pipelines;</w:t>
      </w:r>
      <w:r>
        <w:t xml:space="preserve"> </w:t>
      </w:r>
    </w:p>
    <w:p w14:paraId="640BB197" w14:textId="77777777" w:rsidR="00C7541B" w:rsidRPr="006B4639" w:rsidRDefault="00C7541B" w:rsidP="00154AB3">
      <w:pPr>
        <w:pStyle w:val="ListBullet"/>
        <w:numPr>
          <w:ilvl w:val="0"/>
          <w:numId w:val="151"/>
        </w:numPr>
        <w:ind w:left="357" w:hanging="357"/>
      </w:pPr>
      <w:r w:rsidRPr="006B4639">
        <w:t>reduc</w:t>
      </w:r>
      <w:r w:rsidR="00DE0CA0">
        <w:t>e</w:t>
      </w:r>
      <w:r w:rsidRPr="006B4639">
        <w:t xml:space="preserve"> the degree of information asymmetry and imbalance in bargaining power that shippers </w:t>
      </w:r>
      <w:r w:rsidR="002D07F6">
        <w:t xml:space="preserve">and interconnecting parties </w:t>
      </w:r>
      <w:r w:rsidRPr="006B4639">
        <w:t xml:space="preserve">can face when negotiating with service providers; </w:t>
      </w:r>
    </w:p>
    <w:p w14:paraId="2FA8E764" w14:textId="77777777" w:rsidR="003D5954" w:rsidRDefault="007A790B" w:rsidP="00154AB3">
      <w:pPr>
        <w:pStyle w:val="ListBullet"/>
        <w:numPr>
          <w:ilvl w:val="0"/>
          <w:numId w:val="151"/>
        </w:numPr>
        <w:ind w:left="357" w:hanging="357"/>
      </w:pPr>
      <w:r>
        <w:t xml:space="preserve">have </w:t>
      </w:r>
      <w:r w:rsidR="001C4BFE">
        <w:t xml:space="preserve">a regulatory framework that </w:t>
      </w:r>
      <w:r w:rsidR="003D5954" w:rsidRPr="00623324">
        <w:t xml:space="preserve">is </w:t>
      </w:r>
      <w:r w:rsidR="00070112">
        <w:t>as simple and well-integrated as possible, promotes clarity</w:t>
      </w:r>
      <w:r w:rsidR="00076A16">
        <w:t xml:space="preserve"> and consistency and minimises administrative burdens and compliance costs</w:t>
      </w:r>
      <w:r w:rsidR="00893D20">
        <w:t>; and</w:t>
      </w:r>
    </w:p>
    <w:p w14:paraId="7DC1B2A1" w14:textId="77777777" w:rsidR="00893D20" w:rsidRPr="006B4639" w:rsidRDefault="00893D20" w:rsidP="00154AB3">
      <w:pPr>
        <w:pStyle w:val="ListBullet"/>
        <w:numPr>
          <w:ilvl w:val="0"/>
          <w:numId w:val="151"/>
        </w:numPr>
        <w:ind w:left="357" w:hanging="357"/>
      </w:pPr>
      <w:r>
        <w:t xml:space="preserve">support </w:t>
      </w:r>
      <w:r w:rsidRPr="006B4639">
        <w:t>the current and future opportunities and challenges facing the gas and pipeline industries</w:t>
      </w:r>
      <w:r>
        <w:t>.</w:t>
      </w:r>
    </w:p>
    <w:p w14:paraId="0AEEB963" w14:textId="77777777" w:rsidR="00732679" w:rsidRPr="006B4639" w:rsidRDefault="00732679" w:rsidP="00C7308B">
      <w:pPr>
        <w:pStyle w:val="BodyText"/>
        <w:spacing w:line="257" w:lineRule="auto"/>
      </w:pPr>
      <w:r w:rsidRPr="006B4639">
        <w:t xml:space="preserve">Chapter </w:t>
      </w:r>
      <w:r w:rsidR="00B62093">
        <w:t>3</w:t>
      </w:r>
      <w:r w:rsidRPr="006B4639">
        <w:t xml:space="preserve"> provides further detail on the objectives of </w:t>
      </w:r>
      <w:r w:rsidR="0054654E" w:rsidRPr="00807EA1">
        <w:t>Energy National Cabinet Reform Committee</w:t>
      </w:r>
      <w:r w:rsidR="0054654E" w:rsidRPr="006B4639">
        <w:t xml:space="preserve"> </w:t>
      </w:r>
      <w:r w:rsidRPr="006B4639">
        <w:t xml:space="preserve">action. </w:t>
      </w:r>
    </w:p>
    <w:p w14:paraId="034AB7DA" w14:textId="77777777" w:rsidR="003C73FD" w:rsidRPr="00D87682" w:rsidRDefault="003C73FD" w:rsidP="00C7308B">
      <w:pPr>
        <w:pStyle w:val="Heading6"/>
        <w:spacing w:before="120" w:after="60" w:line="257" w:lineRule="auto"/>
        <w:rPr>
          <w:rFonts w:eastAsiaTheme="minorEastAsia"/>
          <w:sz w:val="26"/>
          <w:szCs w:val="26"/>
        </w:rPr>
      </w:pPr>
      <w:r w:rsidRPr="00D87682">
        <w:rPr>
          <w:rFonts w:eastAsiaTheme="minorEastAsia"/>
          <w:sz w:val="26"/>
          <w:szCs w:val="26"/>
        </w:rPr>
        <w:t xml:space="preserve">What </w:t>
      </w:r>
      <w:r w:rsidR="009F1774">
        <w:rPr>
          <w:rFonts w:eastAsiaTheme="minorEastAsia"/>
          <w:sz w:val="26"/>
          <w:szCs w:val="26"/>
        </w:rPr>
        <w:t>consultation has been undertaken</w:t>
      </w:r>
      <w:r w:rsidRPr="00D87682">
        <w:rPr>
          <w:rFonts w:eastAsiaTheme="minorEastAsia"/>
          <w:sz w:val="26"/>
          <w:szCs w:val="26"/>
        </w:rPr>
        <w:t xml:space="preserve">? </w:t>
      </w:r>
    </w:p>
    <w:p w14:paraId="647BD21A" w14:textId="77777777" w:rsidR="007B6A2B" w:rsidRDefault="009F1774" w:rsidP="00C7308B">
      <w:pPr>
        <w:pStyle w:val="BodyText"/>
        <w:spacing w:line="257" w:lineRule="auto"/>
        <w:rPr>
          <w:rFonts w:asciiTheme="majorHAnsi" w:hAnsiTheme="majorHAnsi" w:cstheme="majorHAnsi"/>
        </w:rPr>
      </w:pPr>
      <w:r>
        <w:t xml:space="preserve">To facilitate stakeholder consultation, a </w:t>
      </w:r>
      <w:r w:rsidR="003C73FD" w:rsidRPr="006B4639">
        <w:t>Consultation RIS</w:t>
      </w:r>
      <w:r>
        <w:t xml:space="preserve"> </w:t>
      </w:r>
      <w:r w:rsidR="00D81B63">
        <w:t xml:space="preserve">was published </w:t>
      </w:r>
      <w:r w:rsidR="003434F5">
        <w:t xml:space="preserve">on 1 November </w:t>
      </w:r>
      <w:r w:rsidR="00D81B63">
        <w:t>2019</w:t>
      </w:r>
      <w:r>
        <w:t xml:space="preserve">. The Consultation RIS identified </w:t>
      </w:r>
      <w:r w:rsidR="007F0C9D">
        <w:t xml:space="preserve">a number of </w:t>
      </w:r>
      <w:r w:rsidR="00683EEE" w:rsidRPr="00F855D9">
        <w:t>potential</w:t>
      </w:r>
      <w:r w:rsidR="00683EEE">
        <w:t xml:space="preserve"> problems with the current regulatory framework and </w:t>
      </w:r>
      <w:r w:rsidR="00985BE3">
        <w:t>four options to address these</w:t>
      </w:r>
      <w:r w:rsidR="001C5F36">
        <w:t xml:space="preserve"> problems</w:t>
      </w:r>
      <w:r w:rsidR="00985BE3">
        <w:t xml:space="preserve">, one of which was to maintain the status quo. </w:t>
      </w:r>
      <w:r w:rsidR="00BB153B">
        <w:t xml:space="preserve">The </w:t>
      </w:r>
      <w:r w:rsidR="00B7013E">
        <w:t xml:space="preserve">remaining </w:t>
      </w:r>
      <w:r w:rsidR="00BB153B">
        <w:t xml:space="preserve">options </w:t>
      </w:r>
      <w:r w:rsidR="00B7013E">
        <w:t xml:space="preserve">either involved the </w:t>
      </w:r>
      <w:r w:rsidR="00786E59">
        <w:t xml:space="preserve">adoption of a higher threshold for </w:t>
      </w:r>
      <w:r w:rsidR="00B7013E">
        <w:t xml:space="preserve">regulation (Option 2), </w:t>
      </w:r>
      <w:r w:rsidR="00786E59">
        <w:t xml:space="preserve">a lower threshold for regulation </w:t>
      </w:r>
      <w:r w:rsidR="00B7013E">
        <w:t xml:space="preserve">(Option 4), or the </w:t>
      </w:r>
      <w:r w:rsidR="00786E59">
        <w:t xml:space="preserve">retention of the existing threshold for regulation but a range of other improvements to the framework (Option 3). </w:t>
      </w:r>
    </w:p>
    <w:p w14:paraId="7D381A38" w14:textId="77777777" w:rsidR="003605E8" w:rsidRDefault="007B6A2B" w:rsidP="00480464">
      <w:pPr>
        <w:pStyle w:val="BodyText"/>
        <w:spacing w:line="252" w:lineRule="auto"/>
      </w:pPr>
      <w:r>
        <w:t>S</w:t>
      </w:r>
      <w:r w:rsidR="003605E8">
        <w:t xml:space="preserve">takeholders were provided </w:t>
      </w:r>
      <w:r w:rsidR="001C5F36">
        <w:t>11</w:t>
      </w:r>
      <w:r w:rsidR="003605E8">
        <w:t xml:space="preserve"> weeks to provide written feedback on the potential problems and </w:t>
      </w:r>
      <w:r w:rsidR="001C5F36">
        <w:t xml:space="preserve">policy </w:t>
      </w:r>
      <w:r w:rsidR="003605E8">
        <w:t>options identified in the Consultation RIS</w:t>
      </w:r>
      <w:r w:rsidR="000527ED">
        <w:t xml:space="preserve">. They </w:t>
      </w:r>
      <w:r w:rsidR="003605E8">
        <w:t xml:space="preserve">were also invited to attend public forums in </w:t>
      </w:r>
      <w:r w:rsidR="003605E8" w:rsidRPr="00702954">
        <w:t>Perth, Brisbane, Sydney and Melbourne</w:t>
      </w:r>
      <w:r w:rsidR="003605E8">
        <w:t xml:space="preserve">. The forums were attended by a large number of gas market participants, including pipeline </w:t>
      </w:r>
      <w:r w:rsidR="000527ED">
        <w:t>service providers</w:t>
      </w:r>
      <w:r w:rsidR="003605E8">
        <w:t xml:space="preserve">, gas producers, retailers and gas users. A number of bilateral discussions were also held with </w:t>
      </w:r>
      <w:r w:rsidR="003605E8" w:rsidRPr="00702954">
        <w:t>stakeholders in Perth, Brisbane, Sydney, Melbourne</w:t>
      </w:r>
      <w:r w:rsidR="006A4AB2">
        <w:t xml:space="preserve"> and</w:t>
      </w:r>
      <w:r w:rsidR="003605E8" w:rsidRPr="00702954">
        <w:t xml:space="preserve"> Adelaide.</w:t>
      </w:r>
    </w:p>
    <w:p w14:paraId="6C52C0F7" w14:textId="77777777" w:rsidR="003605E8" w:rsidRDefault="003605E8" w:rsidP="00480464">
      <w:pPr>
        <w:pStyle w:val="BodyText"/>
        <w:spacing w:line="252" w:lineRule="auto"/>
        <w:rPr>
          <w:rFonts w:ascii="Times New Roman" w:hAnsi="Times New Roman"/>
        </w:rPr>
      </w:pPr>
      <w:r>
        <w:t>In total, 28 written submissions were received in response to the Consultation RIS</w:t>
      </w:r>
      <w:r w:rsidR="00EA3ED7">
        <w:t>, one of which was provided on a confidential basis</w:t>
      </w:r>
      <w:r>
        <w:t xml:space="preserve">. The majority of submissions were provided by companies and associations with interests across the gas supply chain, including: </w:t>
      </w:r>
    </w:p>
    <w:p w14:paraId="3DC1AFDA" w14:textId="77777777" w:rsidR="003605E8" w:rsidRDefault="003605E8" w:rsidP="00AD36B8">
      <w:pPr>
        <w:pStyle w:val="ListBullet"/>
      </w:pPr>
      <w:r>
        <w:rPr>
          <w:b/>
          <w:bCs/>
        </w:rPr>
        <w:lastRenderedPageBreak/>
        <w:t>Pipeline</w:t>
      </w:r>
      <w:r w:rsidR="000527ED">
        <w:rPr>
          <w:b/>
          <w:bCs/>
        </w:rPr>
        <w:t xml:space="preserve"> service providers</w:t>
      </w:r>
      <w:r>
        <w:t>: AGIG, Allgas, APA, ATCO, Epic, Jemena, Tasmanian Gas Pipeline (TGP) and Australian Pipelines and Gas Association (APGA);</w:t>
      </w:r>
    </w:p>
    <w:p w14:paraId="4A841C3B" w14:textId="77777777" w:rsidR="003605E8" w:rsidRDefault="003605E8" w:rsidP="00AD36B8">
      <w:pPr>
        <w:pStyle w:val="ListBullet"/>
      </w:pPr>
      <w:r>
        <w:rPr>
          <w:b/>
          <w:bCs/>
        </w:rPr>
        <w:t>Gas and LNG producers</w:t>
      </w:r>
      <w:r>
        <w:t>: APLNG, ConocoPhillips (COP</w:t>
      </w:r>
      <w:r w:rsidR="00566D5F">
        <w:t>A</w:t>
      </w:r>
      <w:r>
        <w:t>), Shell and the Australian Petroleum Production and Exploration (APPEA)</w:t>
      </w:r>
      <w:r w:rsidR="005D25FA">
        <w:t>;</w:t>
      </w:r>
    </w:p>
    <w:p w14:paraId="493BDBB3" w14:textId="77777777" w:rsidR="003605E8" w:rsidRDefault="003605E8" w:rsidP="00AD36B8">
      <w:pPr>
        <w:pStyle w:val="ListBullet"/>
      </w:pPr>
      <w:r>
        <w:rPr>
          <w:b/>
          <w:bCs/>
        </w:rPr>
        <w:t>Retailers</w:t>
      </w:r>
      <w:r>
        <w:t>: AGL, Alinta, EnergyAustralia and Origin</w:t>
      </w:r>
      <w:r w:rsidR="005D25FA">
        <w:t>; and</w:t>
      </w:r>
    </w:p>
    <w:p w14:paraId="18683AD2" w14:textId="159D8214" w:rsidR="003605E8" w:rsidRDefault="003605E8" w:rsidP="00AD36B8">
      <w:pPr>
        <w:pStyle w:val="ListBullet"/>
      </w:pPr>
      <w:r>
        <w:rPr>
          <w:b/>
          <w:bCs/>
        </w:rPr>
        <w:t>Users and user associations</w:t>
      </w:r>
      <w:r>
        <w:t>: Qenos, Chemistry Australia, Energy Users Association of Australia (EUAA), Major Energy Users (MEU) and NSW Business Chamber</w:t>
      </w:r>
      <w:r w:rsidR="002654E1">
        <w:t xml:space="preserve"> (BC)</w:t>
      </w:r>
      <w:r>
        <w:t>.</w:t>
      </w:r>
      <w:r w:rsidR="00370905">
        <w:rPr>
          <w:rFonts w:ascii="ZWAdobeF" w:hAnsi="ZWAdobeF" w:cs="ZWAdobeF"/>
          <w:sz w:val="2"/>
          <w:szCs w:val="2"/>
        </w:rPr>
        <w:t>15F</w:t>
      </w:r>
      <w:r w:rsidR="001865AB">
        <w:rPr>
          <w:rStyle w:val="FootnoteReference"/>
        </w:rPr>
        <w:footnoteReference w:id="17"/>
      </w:r>
    </w:p>
    <w:p w14:paraId="71A54721" w14:textId="5693EBFE" w:rsidR="003605E8" w:rsidRDefault="003605E8" w:rsidP="00480464">
      <w:pPr>
        <w:pStyle w:val="BodyText"/>
        <w:spacing w:line="252" w:lineRule="auto"/>
      </w:pPr>
      <w:r>
        <w:t xml:space="preserve">Submissions were also received from the ACCC, the Australian Energy Regulator (AER), Energy Consumers Australia </w:t>
      </w:r>
      <w:r w:rsidR="00EA3ED7">
        <w:t>(ECA)</w:t>
      </w:r>
      <w:r w:rsidR="000527ED">
        <w:t>, the National Competition Council (NCC)</w:t>
      </w:r>
      <w:r w:rsidR="00EA3ED7">
        <w:t xml:space="preserve"> </w:t>
      </w:r>
      <w:r>
        <w:t>and two gas market consultants</w:t>
      </w:r>
      <w:r w:rsidR="00EA3ED7">
        <w:t xml:space="preserve"> (Lewis Grey Advisory</w:t>
      </w:r>
      <w:r w:rsidR="00CA33C1">
        <w:t xml:space="preserve"> (LGA)</w:t>
      </w:r>
      <w:r w:rsidR="00EA3ED7">
        <w:t xml:space="preserve"> and Energy Matrix)</w:t>
      </w:r>
      <w:r>
        <w:t>.</w:t>
      </w:r>
      <w:r w:rsidR="00370905">
        <w:rPr>
          <w:rFonts w:ascii="ZWAdobeF" w:hAnsi="ZWAdobeF" w:cs="ZWAdobeF"/>
          <w:sz w:val="2"/>
          <w:szCs w:val="2"/>
        </w:rPr>
        <w:t>16F</w:t>
      </w:r>
      <w:r>
        <w:rPr>
          <w:rStyle w:val="FootnoteReference"/>
        </w:rPr>
        <w:footnoteReference w:id="18"/>
      </w:r>
    </w:p>
    <w:p w14:paraId="6CA6A9B5" w14:textId="77777777" w:rsidR="00C20B78" w:rsidRDefault="00C20B78" w:rsidP="00AA7819">
      <w:pPr>
        <w:pStyle w:val="BodyText"/>
        <w:spacing w:after="0" w:line="252" w:lineRule="auto"/>
      </w:pPr>
      <w:r>
        <w:t xml:space="preserve">An overview of the feedback that stakeholders provided is set out below. </w:t>
      </w:r>
    </w:p>
    <w:p w14:paraId="50C9742C" w14:textId="536B920B" w:rsidR="000A5AD6" w:rsidRPr="00262C4C" w:rsidRDefault="00262C4C" w:rsidP="00AA7819">
      <w:pPr>
        <w:pStyle w:val="BodyText"/>
        <w:spacing w:before="120" w:line="252" w:lineRule="auto"/>
        <w:rPr>
          <w:b/>
          <w:bCs/>
          <w:i/>
          <w:iCs/>
          <w:color w:val="002060"/>
        </w:rPr>
      </w:pPr>
      <w:bookmarkStart w:id="35" w:name="_Ref49753017"/>
      <w:r w:rsidRPr="00262C4C">
        <w:rPr>
          <w:b/>
          <w:bCs/>
          <w:i/>
          <w:iCs/>
          <w:color w:val="002060"/>
        </w:rPr>
        <w:t>Stakeholder f</w:t>
      </w:r>
      <w:r w:rsidR="000A5AD6" w:rsidRPr="00262C4C">
        <w:rPr>
          <w:b/>
          <w:bCs/>
          <w:i/>
          <w:iCs/>
          <w:color w:val="002060"/>
        </w:rPr>
        <w:t>eedback on the potential problems</w:t>
      </w:r>
      <w:bookmarkEnd w:id="35"/>
      <w:r w:rsidR="005B7246">
        <w:rPr>
          <w:b/>
          <w:bCs/>
          <w:i/>
          <w:iCs/>
          <w:color w:val="002060"/>
        </w:rPr>
        <w:t xml:space="preserve"> with the </w:t>
      </w:r>
      <w:r w:rsidR="0092225A">
        <w:rPr>
          <w:b/>
          <w:bCs/>
          <w:i/>
          <w:iCs/>
          <w:color w:val="002060"/>
        </w:rPr>
        <w:t xml:space="preserve">existing </w:t>
      </w:r>
      <w:r w:rsidR="005B7246">
        <w:rPr>
          <w:b/>
          <w:bCs/>
          <w:i/>
          <w:iCs/>
          <w:color w:val="002060"/>
        </w:rPr>
        <w:t>regulatory framework</w:t>
      </w:r>
    </w:p>
    <w:p w14:paraId="5B7A99B8" w14:textId="77777777" w:rsidR="00752DA3" w:rsidRDefault="00330540" w:rsidP="00480464">
      <w:pPr>
        <w:pStyle w:val="BodyText"/>
        <w:spacing w:before="120" w:line="252" w:lineRule="auto"/>
      </w:pPr>
      <w:r>
        <w:t>As part of t</w:t>
      </w:r>
      <w:r w:rsidR="00B1793C">
        <w:t>he Consultation RIS</w:t>
      </w:r>
      <w:r>
        <w:t xml:space="preserve">, stakeholders were asked </w:t>
      </w:r>
      <w:r w:rsidR="00B67911">
        <w:t xml:space="preserve">whether they agreed </w:t>
      </w:r>
      <w:r w:rsidR="00C20B78">
        <w:t xml:space="preserve">with </w:t>
      </w:r>
      <w:r w:rsidR="00B67911">
        <w:t xml:space="preserve">the </w:t>
      </w:r>
      <w:r w:rsidR="002335BF">
        <w:t xml:space="preserve">potential </w:t>
      </w:r>
      <w:r w:rsidR="00C62E97">
        <w:t>problems</w:t>
      </w:r>
      <w:r w:rsidR="005B5F4A">
        <w:t xml:space="preserve"> with the regulatory framework</w:t>
      </w:r>
      <w:r w:rsidR="00C62E97">
        <w:t xml:space="preserve"> </w:t>
      </w:r>
      <w:r w:rsidR="00DE6C0B">
        <w:t xml:space="preserve">identified by the AEMC, </w:t>
      </w:r>
      <w:r w:rsidR="00DE6C0B" w:rsidRPr="006B4639">
        <w:t xml:space="preserve">ACCC, </w:t>
      </w:r>
      <w:r w:rsidR="00B53DD3">
        <w:t>GMRG</w:t>
      </w:r>
      <w:r w:rsidR="002353EA">
        <w:t>, NERA</w:t>
      </w:r>
      <w:r w:rsidR="002B4031">
        <w:t xml:space="preserve"> and </w:t>
      </w:r>
      <w:r w:rsidR="00DE6C0B">
        <w:t>Brattle</w:t>
      </w:r>
      <w:r w:rsidR="002B4031">
        <w:t>,</w:t>
      </w:r>
      <w:r w:rsidR="00DE6C0B" w:rsidRPr="006B4639">
        <w:t xml:space="preserve"> and </w:t>
      </w:r>
      <w:r w:rsidR="002B4031">
        <w:t xml:space="preserve">by </w:t>
      </w:r>
      <w:r w:rsidR="00DE6C0B" w:rsidRPr="006B4639">
        <w:t xml:space="preserve">shippers that participated in </w:t>
      </w:r>
      <w:r w:rsidR="00B44C31">
        <w:t xml:space="preserve">the OGW </w:t>
      </w:r>
      <w:r w:rsidR="00DE6C0B" w:rsidRPr="006B4639">
        <w:t>survey</w:t>
      </w:r>
      <w:r w:rsidR="00752DA3">
        <w:t xml:space="preserve">. </w:t>
      </w:r>
      <w:r w:rsidR="005B5F4A">
        <w:t xml:space="preserve">The list of potential </w:t>
      </w:r>
      <w:r w:rsidR="002335BF">
        <w:t xml:space="preserve">problems </w:t>
      </w:r>
      <w:r w:rsidR="005B5F4A">
        <w:t xml:space="preserve">identified in the Consultation RIS </w:t>
      </w:r>
      <w:r w:rsidR="002335BF">
        <w:t>include</w:t>
      </w:r>
      <w:r w:rsidR="00752DA3">
        <w:t>d</w:t>
      </w:r>
      <w:r w:rsidR="002335BF">
        <w:t xml:space="preserve"> the </w:t>
      </w:r>
      <w:r w:rsidR="00752DA3">
        <w:t xml:space="preserve">11 problems identified </w:t>
      </w:r>
      <w:r w:rsidR="00533905">
        <w:t>in Table E.1</w:t>
      </w:r>
      <w:r w:rsidR="00752DA3">
        <w:t xml:space="preserve"> and the following </w:t>
      </w:r>
      <w:r w:rsidR="00134F5A">
        <w:t>potential problems:</w:t>
      </w:r>
      <w:r w:rsidR="00752DA3">
        <w:t xml:space="preserve"> </w:t>
      </w:r>
    </w:p>
    <w:p w14:paraId="09680A9A" w14:textId="77777777" w:rsidR="00573993" w:rsidRDefault="00573993" w:rsidP="00154AB3">
      <w:pPr>
        <w:pStyle w:val="ListBullet"/>
        <w:numPr>
          <w:ilvl w:val="0"/>
          <w:numId w:val="134"/>
        </w:numPr>
        <w:ind w:left="357" w:hanging="357"/>
      </w:pPr>
      <w:r>
        <w:t xml:space="preserve">the </w:t>
      </w:r>
      <w:r w:rsidR="007570D5">
        <w:t xml:space="preserve">requirement for </w:t>
      </w:r>
      <w:r w:rsidR="00061311">
        <w:t xml:space="preserve">all pipelines providing third party access </w:t>
      </w:r>
      <w:r w:rsidR="007570D5">
        <w:t xml:space="preserve">to be </w:t>
      </w:r>
      <w:r w:rsidR="00061311">
        <w:t xml:space="preserve">subject to some form of regulation </w:t>
      </w:r>
      <w:r w:rsidR="00134F5A">
        <w:t xml:space="preserve">could result </w:t>
      </w:r>
      <w:r>
        <w:t>in over-regulation;</w:t>
      </w:r>
      <w:r w:rsidR="009639EC">
        <w:t xml:space="preserve"> or</w:t>
      </w:r>
    </w:p>
    <w:p w14:paraId="776B78DA" w14:textId="77777777" w:rsidR="00573993" w:rsidRDefault="00573993" w:rsidP="00154AB3">
      <w:pPr>
        <w:pStyle w:val="ListBullet"/>
        <w:numPr>
          <w:ilvl w:val="0"/>
          <w:numId w:val="134"/>
        </w:numPr>
        <w:ind w:left="357" w:hanging="357"/>
      </w:pPr>
      <w:r>
        <w:t xml:space="preserve">the application of a </w:t>
      </w:r>
      <w:r w:rsidR="00531979">
        <w:t>lighter</w:t>
      </w:r>
      <w:r>
        <w:t xml:space="preserve"> form of regulation to pipelines with a </w:t>
      </w:r>
      <w:r w:rsidR="007570D5">
        <w:t xml:space="preserve">greenfield exemption (i.e. a </w:t>
      </w:r>
      <w:r w:rsidR="00061311">
        <w:t>15-year no coverage determination</w:t>
      </w:r>
      <w:r w:rsidR="007570D5">
        <w:t>)</w:t>
      </w:r>
      <w:r w:rsidR="00061311">
        <w:t xml:space="preserve"> </w:t>
      </w:r>
      <w:r w:rsidR="00134F5A">
        <w:t xml:space="preserve">could </w:t>
      </w:r>
      <w:r>
        <w:t>distort pipeline investment incentives</w:t>
      </w:r>
      <w:r w:rsidR="00061311">
        <w:t>.</w:t>
      </w:r>
    </w:p>
    <w:p w14:paraId="71084B43" w14:textId="77777777" w:rsidR="00134F5A" w:rsidRDefault="002F2E28" w:rsidP="00C7308B">
      <w:pPr>
        <w:pStyle w:val="BodyText"/>
        <w:spacing w:line="252" w:lineRule="auto"/>
      </w:pPr>
      <w:r>
        <w:t>T</w:t>
      </w:r>
      <w:r w:rsidR="005B5F4A">
        <w:t xml:space="preserve">he </w:t>
      </w:r>
      <w:r w:rsidR="00134F5A">
        <w:t xml:space="preserve">majority of stakeholders </w:t>
      </w:r>
      <w:r>
        <w:t xml:space="preserve">that responded to these questions </w:t>
      </w:r>
      <w:r w:rsidR="00134F5A">
        <w:t>agreed with the problems in Table E.1</w:t>
      </w:r>
      <w:r w:rsidR="00272685">
        <w:t xml:space="preserve"> relat</w:t>
      </w:r>
      <w:r w:rsidR="0032600C">
        <w:t>ing</w:t>
      </w:r>
      <w:r w:rsidR="00272685">
        <w:t xml:space="preserve"> to</w:t>
      </w:r>
      <w:r w:rsidR="0082756C">
        <w:t xml:space="preserve"> </w:t>
      </w:r>
      <w:r w:rsidR="00272685">
        <w:rPr>
          <w:lang w:eastAsia="fr-CA"/>
        </w:rPr>
        <w:t>w</w:t>
      </w:r>
      <w:r w:rsidR="00272685" w:rsidRPr="006B4639">
        <w:rPr>
          <w:lang w:eastAsia="fr-CA"/>
        </w:rPr>
        <w:t xml:space="preserve">hen </w:t>
      </w:r>
      <w:r w:rsidR="0082756C">
        <w:rPr>
          <w:lang w:eastAsia="fr-CA"/>
        </w:rPr>
        <w:t xml:space="preserve">and how </w:t>
      </w:r>
      <w:r w:rsidR="00272685" w:rsidRPr="006B4639">
        <w:rPr>
          <w:lang w:eastAsia="fr-CA"/>
        </w:rPr>
        <w:t xml:space="preserve">a pipeline should </w:t>
      </w:r>
      <w:r w:rsidR="0082756C">
        <w:rPr>
          <w:lang w:eastAsia="fr-CA"/>
        </w:rPr>
        <w:t xml:space="preserve">regulated, the </w:t>
      </w:r>
      <w:r w:rsidR="0011342B">
        <w:rPr>
          <w:lang w:eastAsia="fr-CA"/>
        </w:rPr>
        <w:t>i</w:t>
      </w:r>
      <w:r w:rsidR="00272685" w:rsidRPr="006B4639">
        <w:rPr>
          <w:lang w:eastAsia="fr-CA"/>
        </w:rPr>
        <w:t>nformation disclosure requirements</w:t>
      </w:r>
      <w:r>
        <w:rPr>
          <w:lang w:eastAsia="fr-CA"/>
        </w:rPr>
        <w:t xml:space="preserve">, </w:t>
      </w:r>
      <w:r w:rsidR="0011342B">
        <w:rPr>
          <w:lang w:eastAsia="fr-CA"/>
        </w:rPr>
        <w:t>n</w:t>
      </w:r>
      <w:r w:rsidR="00272685" w:rsidRPr="00611366">
        <w:rPr>
          <w:lang w:eastAsia="fr-CA"/>
        </w:rPr>
        <w:t>egotiation frameworks and dispute resolution mechanisms</w:t>
      </w:r>
      <w:r w:rsidR="00272685">
        <w:rPr>
          <w:lang w:eastAsia="fr-CA"/>
        </w:rPr>
        <w:t>.</w:t>
      </w:r>
      <w:r w:rsidR="0082756C">
        <w:rPr>
          <w:lang w:eastAsia="fr-CA"/>
        </w:rPr>
        <w:t xml:space="preserve"> </w:t>
      </w:r>
      <w:r w:rsidR="000D2579">
        <w:t>The majority of stakeholders</w:t>
      </w:r>
      <w:r w:rsidR="0032600C">
        <w:t xml:space="preserve"> (including </w:t>
      </w:r>
      <w:r w:rsidR="000D2579">
        <w:t>a number of pipeline owners</w:t>
      </w:r>
      <w:r w:rsidR="0032600C">
        <w:t>)</w:t>
      </w:r>
      <w:r w:rsidR="000D2579">
        <w:t xml:space="preserve">, </w:t>
      </w:r>
      <w:r w:rsidR="0011342B">
        <w:t xml:space="preserve">did </w:t>
      </w:r>
      <w:r w:rsidR="0011342B" w:rsidRPr="007570D5">
        <w:rPr>
          <w:b/>
          <w:bCs/>
        </w:rPr>
        <w:t>not</w:t>
      </w:r>
      <w:r w:rsidR="0011342B">
        <w:t xml:space="preserve">, however, </w:t>
      </w:r>
      <w:r w:rsidR="00134F5A">
        <w:t xml:space="preserve">agree </w:t>
      </w:r>
      <w:r w:rsidR="005B5F4A">
        <w:t xml:space="preserve">with the </w:t>
      </w:r>
      <w:r w:rsidR="00C90863">
        <w:t xml:space="preserve">additional </w:t>
      </w:r>
      <w:r w:rsidR="005B5F4A">
        <w:t>problems identified in (a) and (b)</w:t>
      </w:r>
      <w:r w:rsidR="00EA1E9F">
        <w:t xml:space="preserve"> above</w:t>
      </w:r>
      <w:r w:rsidR="005B5F4A">
        <w:t xml:space="preserve">. </w:t>
      </w:r>
      <w:r w:rsidR="00C90863">
        <w:t xml:space="preserve">That is, they did not agree </w:t>
      </w:r>
      <w:r w:rsidR="007570D5">
        <w:t xml:space="preserve">that the requirement for all pipelines providing third party access to be subject to regulation </w:t>
      </w:r>
      <w:r w:rsidR="00C90863">
        <w:t>was resulting in over-regulation</w:t>
      </w:r>
      <w:r w:rsidR="007A3633">
        <w:t>,</w:t>
      </w:r>
      <w:r w:rsidR="00C90863">
        <w:t xml:space="preserve"> or that the application of a lighter form of regulation to pipelines with a greenfield exemption </w:t>
      </w:r>
      <w:r w:rsidR="00350B43">
        <w:t xml:space="preserve">was distorting investment. </w:t>
      </w:r>
    </w:p>
    <w:p w14:paraId="663C4425" w14:textId="77777777" w:rsidR="00573993" w:rsidRDefault="00AA2CEE" w:rsidP="00C7308B">
      <w:pPr>
        <w:pStyle w:val="BodyText"/>
        <w:spacing w:line="252" w:lineRule="auto"/>
      </w:pPr>
      <w:r>
        <w:t xml:space="preserve">Stakeholders were more divided on the issue of whether </w:t>
      </w:r>
      <w:r w:rsidR="00521E56">
        <w:t xml:space="preserve">the current governance arrangements are giving rise to </w:t>
      </w:r>
      <w:r w:rsidR="008B00EB">
        <w:t xml:space="preserve">unnecessary costs and delays, </w:t>
      </w:r>
      <w:r w:rsidR="000E1BCF">
        <w:t xml:space="preserve">with </w:t>
      </w:r>
      <w:r w:rsidR="001012F8">
        <w:t xml:space="preserve">a number of </w:t>
      </w:r>
      <w:r w:rsidR="000A79F5">
        <w:t>user associations</w:t>
      </w:r>
      <w:r w:rsidR="001F463E">
        <w:t xml:space="preserve"> and </w:t>
      </w:r>
      <w:r w:rsidR="002D2AD5">
        <w:t xml:space="preserve">gas market consultants </w:t>
      </w:r>
      <w:r w:rsidR="008F3698">
        <w:t xml:space="preserve">agreeing </w:t>
      </w:r>
      <w:r>
        <w:t xml:space="preserve">this </w:t>
      </w:r>
      <w:r w:rsidR="000E2F1B">
        <w:t xml:space="preserve">is a problem, while </w:t>
      </w:r>
      <w:r w:rsidR="00AA12C7">
        <w:t xml:space="preserve">the NCC and a number of </w:t>
      </w:r>
      <w:r w:rsidR="0082756C">
        <w:t xml:space="preserve">pipeline owners </w:t>
      </w:r>
      <w:r w:rsidR="00DB65AE">
        <w:t xml:space="preserve">did not. </w:t>
      </w:r>
    </w:p>
    <w:p w14:paraId="310F348E" w14:textId="77777777" w:rsidR="00663FBF" w:rsidRDefault="00663FBF" w:rsidP="00C7308B">
      <w:pPr>
        <w:pStyle w:val="BodyText"/>
        <w:spacing w:line="252" w:lineRule="auto"/>
      </w:pPr>
      <w:r>
        <w:t xml:space="preserve">Further detail on the feedback </w:t>
      </w:r>
      <w:r w:rsidR="0061299E">
        <w:t xml:space="preserve">that </w:t>
      </w:r>
      <w:r>
        <w:t xml:space="preserve">stakeholders </w:t>
      </w:r>
      <w:r w:rsidR="0061299E">
        <w:t xml:space="preserve">provided </w:t>
      </w:r>
      <w:r>
        <w:t xml:space="preserve">on the potential problems is provided in </w:t>
      </w:r>
      <w:r w:rsidR="007A5FC2">
        <w:t>c</w:t>
      </w:r>
      <w:r>
        <w:t>hapter</w:t>
      </w:r>
      <w:r w:rsidR="0061299E">
        <w:t>s</w:t>
      </w:r>
      <w:r>
        <w:t xml:space="preserve"> </w:t>
      </w:r>
      <w:r w:rsidR="005B7246">
        <w:t>4</w:t>
      </w:r>
      <w:r w:rsidR="0061299E">
        <w:t>-7</w:t>
      </w:r>
      <w:r>
        <w:t xml:space="preserve">. </w:t>
      </w:r>
    </w:p>
    <w:p w14:paraId="2F6001C1" w14:textId="77777777" w:rsidR="00B102A4" w:rsidRPr="00262C4C" w:rsidRDefault="00262C4C" w:rsidP="00C7308B">
      <w:pPr>
        <w:pStyle w:val="BodyText"/>
        <w:spacing w:before="120" w:line="252" w:lineRule="auto"/>
        <w:rPr>
          <w:b/>
          <w:bCs/>
          <w:i/>
          <w:iCs/>
          <w:color w:val="002060"/>
        </w:rPr>
      </w:pPr>
      <w:r>
        <w:rPr>
          <w:b/>
          <w:bCs/>
          <w:i/>
          <w:iCs/>
          <w:color w:val="002060"/>
        </w:rPr>
        <w:t>Stakeholder f</w:t>
      </w:r>
      <w:r w:rsidR="00B102A4" w:rsidRPr="00262C4C">
        <w:rPr>
          <w:b/>
          <w:bCs/>
          <w:i/>
          <w:iCs/>
          <w:color w:val="002060"/>
        </w:rPr>
        <w:t xml:space="preserve">eedback provided on the policy options </w:t>
      </w:r>
    </w:p>
    <w:p w14:paraId="11301E9C" w14:textId="662BB4B0" w:rsidR="004E39AD" w:rsidRDefault="007A0654" w:rsidP="00C7308B">
      <w:pPr>
        <w:pStyle w:val="BodyText"/>
        <w:spacing w:before="120" w:line="252" w:lineRule="auto"/>
      </w:pPr>
      <w:r>
        <w:t xml:space="preserve">In addition to being asked about the problems, stakeholders were asked for their views on the </w:t>
      </w:r>
      <w:r w:rsidR="00146014">
        <w:t xml:space="preserve">four policy options </w:t>
      </w:r>
      <w:r w:rsidR="009F6143">
        <w:t xml:space="preserve">that were </w:t>
      </w:r>
      <w:r w:rsidR="00146014">
        <w:t xml:space="preserve">identified in the Consultation RIS. </w:t>
      </w:r>
      <w:r w:rsidR="00487467">
        <w:t xml:space="preserve">In short, </w:t>
      </w:r>
      <w:r w:rsidR="004E39AD">
        <w:t>very few stakeholders support</w:t>
      </w:r>
      <w:r w:rsidR="000829CA">
        <w:t>ed</w:t>
      </w:r>
      <w:r w:rsidR="004E39AD">
        <w:t xml:space="preserve"> a single </w:t>
      </w:r>
      <w:r w:rsidR="000829CA">
        <w:t xml:space="preserve">policy </w:t>
      </w:r>
      <w:r w:rsidR="004E39AD">
        <w:t xml:space="preserve">option as proposed. Rather, stakeholders </w:t>
      </w:r>
      <w:r w:rsidR="004E39AD">
        <w:lastRenderedPageBreak/>
        <w:t>support</w:t>
      </w:r>
      <w:r w:rsidR="00480464">
        <w:t>ed</w:t>
      </w:r>
      <w:r w:rsidR="004E39AD">
        <w:t xml:space="preserve"> individual aspects of each option. Importantly, no stakeholders advocated the retention of the status quo</w:t>
      </w:r>
      <w:r w:rsidR="00040877">
        <w:t>, which demonstrates the widespread acceptance of the need for reform.</w:t>
      </w:r>
    </w:p>
    <w:p w14:paraId="7E1303CF" w14:textId="77777777" w:rsidR="00A625AC" w:rsidRDefault="00AB153B" w:rsidP="00C7308B">
      <w:pPr>
        <w:pStyle w:val="BodyText"/>
        <w:spacing w:line="252" w:lineRule="auto"/>
      </w:pPr>
      <w:r>
        <w:t xml:space="preserve">Across the </w:t>
      </w:r>
      <w:r w:rsidR="006A0EB4">
        <w:t>individual</w:t>
      </w:r>
      <w:r w:rsidR="00C77135">
        <w:t xml:space="preserve"> elements of </w:t>
      </w:r>
      <w:r w:rsidR="006A0EB4">
        <w:t xml:space="preserve">each </w:t>
      </w:r>
      <w:r w:rsidR="00336F55">
        <w:t>policy option</w:t>
      </w:r>
      <w:r w:rsidR="006A0EB4">
        <w:t xml:space="preserve">, </w:t>
      </w:r>
      <w:r w:rsidR="00402911">
        <w:t>stakeholder</w:t>
      </w:r>
      <w:r w:rsidR="00125CED">
        <w:t xml:space="preserve"> views </w:t>
      </w:r>
      <w:r w:rsidR="00402911">
        <w:t xml:space="preserve">were </w:t>
      </w:r>
      <w:r w:rsidR="00243AD8">
        <w:t xml:space="preserve">quite </w:t>
      </w:r>
      <w:r w:rsidR="007B4EF7">
        <w:t>mixed</w:t>
      </w:r>
      <w:r w:rsidR="00125CED">
        <w:t xml:space="preserve"> as the following summary highlights</w:t>
      </w:r>
      <w:r w:rsidR="007B4EF7">
        <w:t>:</w:t>
      </w:r>
    </w:p>
    <w:p w14:paraId="3A8624CB" w14:textId="77777777" w:rsidR="00F91E50" w:rsidRDefault="004A3376" w:rsidP="00AD36B8">
      <w:pPr>
        <w:pStyle w:val="ListBullet"/>
      </w:pPr>
      <w:r>
        <w:t>When a pipeline should be regulated</w:t>
      </w:r>
      <w:r w:rsidR="006378D1" w:rsidRPr="00C65195">
        <w:t>:</w:t>
      </w:r>
      <w:r w:rsidR="006378D1">
        <w:t xml:space="preserve"> </w:t>
      </w:r>
    </w:p>
    <w:p w14:paraId="473E5EAE" w14:textId="77777777" w:rsidR="00C65195" w:rsidRDefault="003F5CA7" w:rsidP="00AD36B8">
      <w:pPr>
        <w:pStyle w:val="ListBullet2"/>
      </w:pPr>
      <w:r>
        <w:rPr>
          <w:b/>
          <w:bCs/>
        </w:rPr>
        <w:t>Access to pipelines</w:t>
      </w:r>
      <w:r w:rsidR="00734CF0" w:rsidRPr="003F5CA7">
        <w:rPr>
          <w:b/>
          <w:bCs/>
        </w:rPr>
        <w:t>:</w:t>
      </w:r>
      <w:r w:rsidR="00C85C9D">
        <w:t xml:space="preserve"> </w:t>
      </w:r>
      <w:r w:rsidR="00734CF0">
        <w:t xml:space="preserve">While </w:t>
      </w:r>
      <w:r w:rsidR="00EB3497">
        <w:t xml:space="preserve">a small number of stakeholders </w:t>
      </w:r>
      <w:r w:rsidR="00CB6E3F">
        <w:t xml:space="preserve">that own pipelines </w:t>
      </w:r>
      <w:r w:rsidR="00734CF0">
        <w:t xml:space="preserve">advocated </w:t>
      </w:r>
      <w:r w:rsidR="005E1DC4">
        <w:t xml:space="preserve">a </w:t>
      </w:r>
      <w:r w:rsidR="00842F9B">
        <w:t xml:space="preserve">full exemption </w:t>
      </w:r>
      <w:r w:rsidR="00B828CC">
        <w:t xml:space="preserve">for </w:t>
      </w:r>
      <w:r w:rsidR="00842F9B">
        <w:t>pipeline</w:t>
      </w:r>
      <w:r w:rsidR="00B828CC">
        <w:t>s</w:t>
      </w:r>
      <w:r w:rsidR="00842F9B">
        <w:t xml:space="preserve"> </w:t>
      </w:r>
      <w:r w:rsidR="00B828CC">
        <w:t xml:space="preserve">that </w:t>
      </w:r>
      <w:r w:rsidR="00842F9B">
        <w:t xml:space="preserve">lack market power, </w:t>
      </w:r>
      <w:r w:rsidR="00C65195">
        <w:t>other</w:t>
      </w:r>
      <w:r w:rsidR="000702BD">
        <w:t xml:space="preserve"> pipeline owners</w:t>
      </w:r>
      <w:r w:rsidR="008E3EE3">
        <w:t xml:space="preserve"> </w:t>
      </w:r>
      <w:r w:rsidR="00842F9B">
        <w:t xml:space="preserve">advocated </w:t>
      </w:r>
      <w:r w:rsidR="002936EF">
        <w:t xml:space="preserve">a </w:t>
      </w:r>
      <w:r w:rsidR="00D969D5">
        <w:t xml:space="preserve">movement to </w:t>
      </w:r>
      <w:r w:rsidR="00042D70">
        <w:t xml:space="preserve">an </w:t>
      </w:r>
      <w:r w:rsidR="00D969D5">
        <w:t>open access</w:t>
      </w:r>
      <w:r w:rsidR="00042D70">
        <w:t xml:space="preserve"> model</w:t>
      </w:r>
      <w:r w:rsidR="00C65195">
        <w:t xml:space="preserve">. </w:t>
      </w:r>
      <w:r w:rsidR="00C534EC">
        <w:t xml:space="preserve">Between these two ends of the spectrum, were user associations, retailers and the ACCC, who </w:t>
      </w:r>
      <w:r w:rsidR="00CE1CCF">
        <w:t xml:space="preserve">supported the retention of the existing approach, with </w:t>
      </w:r>
      <w:r w:rsidR="00E92393">
        <w:t xml:space="preserve">third party access </w:t>
      </w:r>
      <w:r w:rsidR="00CE1CCF">
        <w:t xml:space="preserve">pipelines subject to some form of regulation and </w:t>
      </w:r>
      <w:r w:rsidR="004674D2">
        <w:t xml:space="preserve">the market power-NGO </w:t>
      </w:r>
      <w:r w:rsidR="00E92393">
        <w:t xml:space="preserve">test used to determine whether </w:t>
      </w:r>
      <w:r w:rsidR="005C2E14">
        <w:t xml:space="preserve">pipelines </w:t>
      </w:r>
      <w:r w:rsidR="003A4D83">
        <w:t xml:space="preserve">not </w:t>
      </w:r>
      <w:r w:rsidR="00146193">
        <w:t xml:space="preserve">voluntarily </w:t>
      </w:r>
      <w:r w:rsidR="003A4D83">
        <w:t>providing access</w:t>
      </w:r>
      <w:r w:rsidR="00E92393">
        <w:t xml:space="preserve"> should do so</w:t>
      </w:r>
      <w:r w:rsidR="003A4D83">
        <w:t xml:space="preserve">. </w:t>
      </w:r>
    </w:p>
    <w:p w14:paraId="3EC3185F" w14:textId="77777777" w:rsidR="00EE18AB" w:rsidRDefault="002757AB" w:rsidP="00AD36B8">
      <w:pPr>
        <w:pStyle w:val="ListBullet2"/>
      </w:pPr>
      <w:r w:rsidRPr="003F5CA7">
        <w:rPr>
          <w:b/>
          <w:bCs/>
        </w:rPr>
        <w:t xml:space="preserve">Greenfield </w:t>
      </w:r>
      <w:r w:rsidR="0063027C">
        <w:rPr>
          <w:b/>
          <w:bCs/>
        </w:rPr>
        <w:t>exemption</w:t>
      </w:r>
      <w:r w:rsidR="00445184" w:rsidRPr="003F5CA7">
        <w:rPr>
          <w:b/>
          <w:bCs/>
        </w:rPr>
        <w:t>:</w:t>
      </w:r>
      <w:r w:rsidR="00445184">
        <w:t xml:space="preserve"> </w:t>
      </w:r>
      <w:r w:rsidR="007D3C6A">
        <w:t xml:space="preserve">While </w:t>
      </w:r>
      <w:r w:rsidR="008863B5">
        <w:t xml:space="preserve">some </w:t>
      </w:r>
      <w:r w:rsidR="007D3C6A">
        <w:t>service providers</w:t>
      </w:r>
      <w:r w:rsidR="00D13C32">
        <w:t xml:space="preserve"> called </w:t>
      </w:r>
      <w:r>
        <w:t xml:space="preserve">for a strengthened greenfield </w:t>
      </w:r>
      <w:r w:rsidR="0063027C">
        <w:t>exemption</w:t>
      </w:r>
      <w:r>
        <w:t xml:space="preserve">, </w:t>
      </w:r>
      <w:r w:rsidR="008863B5">
        <w:t xml:space="preserve">a number of </w:t>
      </w:r>
      <w:r w:rsidR="000C006B">
        <w:t xml:space="preserve">user associations and </w:t>
      </w:r>
      <w:r w:rsidR="00307A87">
        <w:t xml:space="preserve">a retailer </w:t>
      </w:r>
      <w:r w:rsidR="00493CC0">
        <w:t xml:space="preserve">questioned </w:t>
      </w:r>
      <w:r w:rsidR="008863B5">
        <w:t xml:space="preserve">the </w:t>
      </w:r>
      <w:r w:rsidR="001533E8">
        <w:t xml:space="preserve">need for </w:t>
      </w:r>
      <w:r w:rsidR="0063027C">
        <w:t xml:space="preserve">such an exemption </w:t>
      </w:r>
      <w:r w:rsidR="008A57F0">
        <w:t>in the regulatory framework</w:t>
      </w:r>
      <w:r w:rsidR="001533E8">
        <w:t xml:space="preserve">. </w:t>
      </w:r>
      <w:r w:rsidR="00493CC0">
        <w:t xml:space="preserve">In between these two </w:t>
      </w:r>
      <w:r w:rsidR="004D0A4D">
        <w:t>positions</w:t>
      </w:r>
      <w:r w:rsidR="00493CC0">
        <w:t xml:space="preserve">, a number of </w:t>
      </w:r>
      <w:r w:rsidR="000C006B">
        <w:t>o</w:t>
      </w:r>
      <w:r w:rsidR="001533E8">
        <w:t xml:space="preserve">ther </w:t>
      </w:r>
      <w:r w:rsidR="008A57F0">
        <w:t xml:space="preserve">stakeholders </w:t>
      </w:r>
      <w:r w:rsidR="008A2823">
        <w:t xml:space="preserve">(including the ACCC) </w:t>
      </w:r>
      <w:r w:rsidR="000C006B">
        <w:t>suggested the existing incentive</w:t>
      </w:r>
      <w:r w:rsidR="008863B5">
        <w:t>s</w:t>
      </w:r>
      <w:r w:rsidR="000C006B">
        <w:t xml:space="preserve"> </w:t>
      </w:r>
      <w:r w:rsidR="00CD4272">
        <w:t>(i.e. the 15</w:t>
      </w:r>
      <w:r w:rsidR="00C50BA9">
        <w:t xml:space="preserve">-year no coverage determination and competitive tender provisions) </w:t>
      </w:r>
      <w:r w:rsidR="000C006B">
        <w:t>be retained</w:t>
      </w:r>
      <w:r w:rsidR="00A800B7">
        <w:t xml:space="preserve"> and potentially amalgamated</w:t>
      </w:r>
      <w:r w:rsidR="000C006B">
        <w:t xml:space="preserve">. </w:t>
      </w:r>
    </w:p>
    <w:p w14:paraId="5D8AC236" w14:textId="77777777" w:rsidR="005F41D7" w:rsidRDefault="00EB6528" w:rsidP="00AD36B8">
      <w:pPr>
        <w:pStyle w:val="ListBullet"/>
      </w:pPr>
      <w:r w:rsidRPr="00397656">
        <w:rPr>
          <w:b/>
          <w:bCs/>
        </w:rPr>
        <w:t>F</w:t>
      </w:r>
      <w:r w:rsidR="007E2C06" w:rsidRPr="00397656">
        <w:rPr>
          <w:b/>
          <w:bCs/>
        </w:rPr>
        <w:t>orms of regulation</w:t>
      </w:r>
      <w:r w:rsidRPr="00397656">
        <w:rPr>
          <w:b/>
          <w:bCs/>
        </w:rPr>
        <w:t xml:space="preserve"> and movement between forms of regulation</w:t>
      </w:r>
      <w:r w:rsidR="007E2C06" w:rsidRPr="00397656">
        <w:rPr>
          <w:b/>
          <w:bCs/>
        </w:rPr>
        <w:t xml:space="preserve">: </w:t>
      </w:r>
      <w:r w:rsidR="001E37DE" w:rsidRPr="001E37DE">
        <w:t>There</w:t>
      </w:r>
      <w:r w:rsidR="001E37DE">
        <w:t xml:space="preserve"> was broad support for the </w:t>
      </w:r>
      <w:r w:rsidR="002B1079">
        <w:t xml:space="preserve">movement to </w:t>
      </w:r>
      <w:r w:rsidR="008E3B81">
        <w:t>two forms of regulation</w:t>
      </w:r>
      <w:r w:rsidR="00992E87">
        <w:t>,</w:t>
      </w:r>
      <w:r w:rsidR="003F58C4">
        <w:t xml:space="preserve"> </w:t>
      </w:r>
      <w:r w:rsidR="00FF6732">
        <w:t xml:space="preserve">with the </w:t>
      </w:r>
      <w:r w:rsidR="00C50BA9">
        <w:t xml:space="preserve">stronger </w:t>
      </w:r>
      <w:r w:rsidR="00FF6732">
        <w:t xml:space="preserve">form based on </w:t>
      </w:r>
      <w:r w:rsidR="003E0C66">
        <w:t xml:space="preserve">the existing </w:t>
      </w:r>
      <w:r w:rsidR="00FF6732">
        <w:t xml:space="preserve">full regulation </w:t>
      </w:r>
      <w:r w:rsidR="003E0C66">
        <w:t xml:space="preserve">regime </w:t>
      </w:r>
      <w:r w:rsidR="00FF6732">
        <w:t>and the lighter form based on</w:t>
      </w:r>
      <w:r w:rsidR="003E0C66">
        <w:t xml:space="preserve"> the existing</w:t>
      </w:r>
      <w:r w:rsidR="00FF6732">
        <w:t xml:space="preserve"> Part 23</w:t>
      </w:r>
      <w:r w:rsidR="003E0C66">
        <w:t xml:space="preserve"> framework</w:t>
      </w:r>
      <w:r w:rsidR="00397656">
        <w:t xml:space="preserve">. </w:t>
      </w:r>
      <w:r w:rsidR="00CC703D">
        <w:t xml:space="preserve">The majority </w:t>
      </w:r>
      <w:r w:rsidR="00C36988">
        <w:t xml:space="preserve">also </w:t>
      </w:r>
      <w:r w:rsidR="005F41D7">
        <w:t xml:space="preserve">agreed </w:t>
      </w:r>
      <w:r w:rsidR="00CC703D">
        <w:t xml:space="preserve">that </w:t>
      </w:r>
      <w:r w:rsidR="005F41D7">
        <w:t xml:space="preserve">the coverage test should </w:t>
      </w:r>
      <w:r w:rsidR="00472B20">
        <w:t xml:space="preserve">be removed </w:t>
      </w:r>
      <w:r w:rsidR="005F41D7">
        <w:t xml:space="preserve">as a gateway between the lighter and </w:t>
      </w:r>
      <w:r w:rsidR="00DD34ED">
        <w:t xml:space="preserve">stronger </w:t>
      </w:r>
      <w:r w:rsidR="005F41D7">
        <w:t>forms of regulation</w:t>
      </w:r>
      <w:r w:rsidR="007D5030">
        <w:t xml:space="preserve"> and that the existing form of regulation test</w:t>
      </w:r>
      <w:r w:rsidR="00473662">
        <w:t xml:space="preserve"> (potentially with some changes to the hurdle </w:t>
      </w:r>
      <w:r w:rsidR="00BC1B42">
        <w:t>embodied in this test</w:t>
      </w:r>
      <w:r w:rsidR="003E4BEB">
        <w:t>)</w:t>
      </w:r>
      <w:r w:rsidR="00A50AEA">
        <w:t xml:space="preserve"> should be </w:t>
      </w:r>
      <w:r w:rsidR="00C00803">
        <w:t>used to determine what form of regulation should apply to a pipeline</w:t>
      </w:r>
      <w:r w:rsidR="005F41D7">
        <w:t xml:space="preserve">. </w:t>
      </w:r>
      <w:r w:rsidR="001063E2">
        <w:t xml:space="preserve">As to the </w:t>
      </w:r>
      <w:r w:rsidR="00B5093B">
        <w:t xml:space="preserve">potential inclusion of </w:t>
      </w:r>
      <w:r w:rsidR="001063E2">
        <w:t>dynamic market power</w:t>
      </w:r>
      <w:r w:rsidR="00A50AEA">
        <w:t xml:space="preserve"> constraints</w:t>
      </w:r>
      <w:r w:rsidR="00B5093B">
        <w:t>, most service providers were opposed to this proposal, while other</w:t>
      </w:r>
      <w:r w:rsidR="005D54C4">
        <w:t>s</w:t>
      </w:r>
      <w:r w:rsidR="00B5093B">
        <w:t xml:space="preserve"> </w:t>
      </w:r>
      <w:r w:rsidR="004F3B36">
        <w:t xml:space="preserve">supported the inclusion of </w:t>
      </w:r>
      <w:r w:rsidR="000D003D">
        <w:t xml:space="preserve">these </w:t>
      </w:r>
      <w:r w:rsidR="007F097D">
        <w:t>measures</w:t>
      </w:r>
      <w:r w:rsidR="00B23E4F">
        <w:t xml:space="preserve">. </w:t>
      </w:r>
    </w:p>
    <w:p w14:paraId="2F497952" w14:textId="74BF7389" w:rsidR="00A50028" w:rsidRDefault="00164A35" w:rsidP="00AD36B8">
      <w:pPr>
        <w:pStyle w:val="ListBullet"/>
      </w:pPr>
      <w:r w:rsidRPr="00E12CBD">
        <w:rPr>
          <w:b/>
          <w:bCs/>
        </w:rPr>
        <w:t>Governance</w:t>
      </w:r>
      <w:r w:rsidR="00DE52E7">
        <w:rPr>
          <w:b/>
          <w:bCs/>
        </w:rPr>
        <w:t xml:space="preserve"> arrangements for when and how to regulate decisions</w:t>
      </w:r>
      <w:r w:rsidRPr="00E12CBD">
        <w:rPr>
          <w:b/>
          <w:bCs/>
        </w:rPr>
        <w:t>:</w:t>
      </w:r>
      <w:r>
        <w:t xml:space="preserve"> Stakeholders expressed m</w:t>
      </w:r>
      <w:r w:rsidR="00EC3F5B">
        <w:t xml:space="preserve">ixed views on </w:t>
      </w:r>
      <w:r w:rsidR="00424E23">
        <w:t xml:space="preserve">who the decision-maker should be </w:t>
      </w:r>
      <w:r w:rsidR="003E0C66">
        <w:t xml:space="preserve">in relation to </w:t>
      </w:r>
      <w:r w:rsidR="00424E23">
        <w:t>when and how to regulate decisions</w:t>
      </w:r>
      <w:r w:rsidR="003E0C66">
        <w:t>. U</w:t>
      </w:r>
      <w:r w:rsidR="00AD7C14">
        <w:t xml:space="preserve">ser associations, the ACCC, AER and other stakeholders </w:t>
      </w:r>
      <w:r w:rsidR="00266675">
        <w:t>support</w:t>
      </w:r>
      <w:r w:rsidR="003E0C66">
        <w:t>ed</w:t>
      </w:r>
      <w:r w:rsidR="00266675">
        <w:t xml:space="preserve"> the </w:t>
      </w:r>
      <w:r w:rsidR="004B6050">
        <w:t xml:space="preserve">movement to a </w:t>
      </w:r>
      <w:r w:rsidR="006A1B79">
        <w:t xml:space="preserve">single </w:t>
      </w:r>
      <w:r w:rsidR="004B6050">
        <w:t>decision-maker</w:t>
      </w:r>
      <w:r w:rsidR="00BD51AD">
        <w:t xml:space="preserve">, while </w:t>
      </w:r>
      <w:r w:rsidR="00AD7C14">
        <w:t xml:space="preserve">service providers, </w:t>
      </w:r>
      <w:r w:rsidR="00A70C65">
        <w:t xml:space="preserve">the NCC and a retailer </w:t>
      </w:r>
      <w:r w:rsidR="00BD51AD">
        <w:t xml:space="preserve">supported the </w:t>
      </w:r>
      <w:r w:rsidR="00C00803">
        <w:t xml:space="preserve">retention </w:t>
      </w:r>
      <w:r w:rsidR="005D54C4">
        <w:t xml:space="preserve">of </w:t>
      </w:r>
      <w:r w:rsidR="00C00803">
        <w:t xml:space="preserve">the </w:t>
      </w:r>
      <w:r w:rsidR="00266675">
        <w:t>existing arrangements</w:t>
      </w:r>
      <w:r w:rsidR="00BD51AD">
        <w:t xml:space="preserve">. </w:t>
      </w:r>
    </w:p>
    <w:p w14:paraId="30C00140" w14:textId="77777777" w:rsidR="008C0CBD" w:rsidRDefault="002B3148" w:rsidP="00AD36B8">
      <w:pPr>
        <w:pStyle w:val="ListBullet"/>
      </w:pPr>
      <w:r w:rsidRPr="00A50028">
        <w:rPr>
          <w:b/>
          <w:bCs/>
        </w:rPr>
        <w:t>Information disclosure</w:t>
      </w:r>
      <w:r w:rsidR="007561BB" w:rsidRPr="00A50028">
        <w:rPr>
          <w:b/>
          <w:bCs/>
        </w:rPr>
        <w:t xml:space="preserve"> requirements</w:t>
      </w:r>
      <w:r w:rsidR="008F6BD0" w:rsidRPr="00A50028">
        <w:rPr>
          <w:b/>
          <w:bCs/>
        </w:rPr>
        <w:t>:</w:t>
      </w:r>
      <w:r w:rsidR="008F6BD0">
        <w:t xml:space="preserve"> </w:t>
      </w:r>
      <w:r w:rsidR="00C12667">
        <w:t xml:space="preserve">Most stakeholders </w:t>
      </w:r>
      <w:r w:rsidR="00240ACA">
        <w:t xml:space="preserve">agreed </w:t>
      </w:r>
      <w:r w:rsidR="00C04CCD">
        <w:t xml:space="preserve">with the proposed </w:t>
      </w:r>
      <w:r w:rsidR="00DF6E90">
        <w:t xml:space="preserve">improvement </w:t>
      </w:r>
      <w:r w:rsidR="00C04CCD">
        <w:t>to the disclosure obligations</w:t>
      </w:r>
      <w:r w:rsidR="00DF6E90">
        <w:t xml:space="preserve"> for </w:t>
      </w:r>
      <w:r w:rsidR="00A50028">
        <w:t xml:space="preserve">full regulation pipelines and that </w:t>
      </w:r>
      <w:r w:rsidR="006740E4" w:rsidRPr="006C363F">
        <w:t>the quality</w:t>
      </w:r>
      <w:r w:rsidR="00AD16A6">
        <w:t xml:space="preserve"> and </w:t>
      </w:r>
      <w:r w:rsidR="006740E4" w:rsidRPr="006C363F">
        <w:t xml:space="preserve">reliability, accessibility and usability of information should be improved. </w:t>
      </w:r>
      <w:r w:rsidR="008C0CBD">
        <w:t xml:space="preserve">Differing views were, however, expressed on </w:t>
      </w:r>
      <w:r w:rsidR="00255D26">
        <w:t xml:space="preserve">the form </w:t>
      </w:r>
      <w:r w:rsidR="000E64D1">
        <w:t xml:space="preserve">that </w:t>
      </w:r>
      <w:r w:rsidR="00255D26">
        <w:t xml:space="preserve">price reporting </w:t>
      </w:r>
      <w:r w:rsidR="000E64D1">
        <w:t xml:space="preserve">should take </w:t>
      </w:r>
      <w:r w:rsidR="00742B00">
        <w:t xml:space="preserve">and </w:t>
      </w:r>
      <w:r w:rsidR="00AD16A6">
        <w:t xml:space="preserve">what </w:t>
      </w:r>
      <w:r w:rsidR="009712EE">
        <w:t xml:space="preserve">exemptions should be available for </w:t>
      </w:r>
      <w:r w:rsidR="00AD16A6">
        <w:t>the disclosure obligations</w:t>
      </w:r>
      <w:r w:rsidR="009712EE">
        <w:t xml:space="preserve">. </w:t>
      </w:r>
    </w:p>
    <w:p w14:paraId="50FCD282" w14:textId="77777777" w:rsidR="008A1357" w:rsidRDefault="000B3846" w:rsidP="00AD36B8">
      <w:pPr>
        <w:pStyle w:val="ListBullet"/>
      </w:pPr>
      <w:r w:rsidRPr="00164A35">
        <w:rPr>
          <w:b/>
          <w:bCs/>
        </w:rPr>
        <w:t>Negotiation framework</w:t>
      </w:r>
      <w:r w:rsidR="000468F8" w:rsidRPr="00164A35">
        <w:rPr>
          <w:b/>
          <w:bCs/>
        </w:rPr>
        <w:t>s and dispute resolution mechanism</w:t>
      </w:r>
      <w:r w:rsidRPr="00164A35">
        <w:rPr>
          <w:b/>
          <w:bCs/>
        </w:rPr>
        <w:t>:</w:t>
      </w:r>
      <w:r>
        <w:t xml:space="preserve"> </w:t>
      </w:r>
      <w:r w:rsidR="00E12CBD">
        <w:t>T</w:t>
      </w:r>
      <w:r w:rsidR="000468F8">
        <w:t xml:space="preserve">he majority of stakeholders agreed </w:t>
      </w:r>
      <w:r w:rsidR="006A2ECF">
        <w:t xml:space="preserve">a </w:t>
      </w:r>
      <w:r w:rsidR="000468F8">
        <w:t>single negotiation framework</w:t>
      </w:r>
      <w:r w:rsidR="00AF48E5">
        <w:t xml:space="preserve"> </w:t>
      </w:r>
      <w:r w:rsidR="001B2F51">
        <w:t xml:space="preserve">should be implemented </w:t>
      </w:r>
      <w:r w:rsidR="00B8619B">
        <w:t xml:space="preserve">and that the </w:t>
      </w:r>
      <w:r w:rsidR="001575EA">
        <w:t xml:space="preserve">scheme pipeline </w:t>
      </w:r>
      <w:r w:rsidR="00B8619B">
        <w:t>dispute resolution mechanism should be strengthened</w:t>
      </w:r>
      <w:r w:rsidR="00926602">
        <w:t xml:space="preserve">. They also </w:t>
      </w:r>
      <w:r w:rsidR="000B7B6A">
        <w:t xml:space="preserve">agreed that </w:t>
      </w:r>
      <w:r w:rsidR="00AF48E5">
        <w:t xml:space="preserve">steps should be taken to strengthen </w:t>
      </w:r>
      <w:r w:rsidR="00DD34ED">
        <w:t xml:space="preserve">the </w:t>
      </w:r>
      <w:r w:rsidR="001575EA">
        <w:t xml:space="preserve">credibility of the </w:t>
      </w:r>
      <w:r w:rsidR="00844C9D">
        <w:t>threat</w:t>
      </w:r>
      <w:r w:rsidR="00F50ECF">
        <w:t xml:space="preserve"> of </w:t>
      </w:r>
      <w:r w:rsidR="001575EA">
        <w:t xml:space="preserve">a dispute being triggered by </w:t>
      </w:r>
      <w:r w:rsidR="00F50ECF">
        <w:t>small</w:t>
      </w:r>
      <w:r w:rsidR="001575EA">
        <w:t>er</w:t>
      </w:r>
      <w:r w:rsidR="00F50ECF">
        <w:t xml:space="preserve"> shippers</w:t>
      </w:r>
      <w:r w:rsidR="000B7B6A">
        <w:t xml:space="preserve">, although </w:t>
      </w:r>
      <w:r w:rsidR="002E652B">
        <w:t>differing views were expressed on how this should be done</w:t>
      </w:r>
      <w:r w:rsidR="00B8619B">
        <w:t xml:space="preserve"> and </w:t>
      </w:r>
      <w:r w:rsidR="00207B37">
        <w:t xml:space="preserve">what, if any, role the </w:t>
      </w:r>
      <w:r w:rsidR="00A5399B">
        <w:t xml:space="preserve">relevant </w:t>
      </w:r>
      <w:r w:rsidR="00B8619B">
        <w:t>regulator should play</w:t>
      </w:r>
      <w:r w:rsidR="002E652B">
        <w:t>.</w:t>
      </w:r>
      <w:r w:rsidR="00753980">
        <w:t xml:space="preserve"> </w:t>
      </w:r>
    </w:p>
    <w:p w14:paraId="0E24B267" w14:textId="77777777" w:rsidR="008A1357" w:rsidRDefault="008A1357" w:rsidP="00EB7012">
      <w:pPr>
        <w:pStyle w:val="BodyText"/>
        <w:spacing w:line="252" w:lineRule="auto"/>
      </w:pPr>
      <w:r>
        <w:t xml:space="preserve">As part of the Consultation RIS, feedback was also sought on the effectiveness of Part 23, which was implemented in August 2017. In short, the majority of stakeholders (including </w:t>
      </w:r>
      <w:r>
        <w:lastRenderedPageBreak/>
        <w:t xml:space="preserve">pipeline owners, user associations, retailers, producers, the ACCC, AER and ECA) thought that Part 23 had been effective in facilitating access to previously unregulated pipelines and is posing a more effective constraint on the behaviour of service providers. While there was broad support for the retention of Part 23, most stakeholders agreed that some refinements to the information disclosure and dispute resolution mechanism were required to address the problems identified in Table E.1. </w:t>
      </w:r>
    </w:p>
    <w:p w14:paraId="30DCBF7C" w14:textId="77777777" w:rsidR="008A1357" w:rsidRDefault="008A1357" w:rsidP="002216D8">
      <w:pPr>
        <w:pStyle w:val="BodyText"/>
        <w:spacing w:line="252" w:lineRule="auto"/>
      </w:pPr>
      <w:r>
        <w:t xml:space="preserve">Further detail on the feedback that stakeholders provided on the </w:t>
      </w:r>
      <w:r w:rsidR="00DC0822">
        <w:t xml:space="preserve">policy options and on Part 23 </w:t>
      </w:r>
      <w:r>
        <w:t xml:space="preserve">is provided in chapters 4-7. </w:t>
      </w:r>
    </w:p>
    <w:p w14:paraId="1FAAB604" w14:textId="77777777" w:rsidR="00D91DDA" w:rsidRPr="00262C4C" w:rsidRDefault="00AE25A9" w:rsidP="00EB7012">
      <w:pPr>
        <w:pStyle w:val="Heading6"/>
        <w:spacing w:before="120" w:after="0" w:line="252" w:lineRule="auto"/>
        <w:rPr>
          <w:rFonts w:eastAsiaTheme="minorEastAsia"/>
          <w:sz w:val="26"/>
          <w:szCs w:val="26"/>
        </w:rPr>
      </w:pPr>
      <w:r w:rsidRPr="00AE25A9">
        <w:rPr>
          <w:rFonts w:eastAsiaTheme="minorEastAsia"/>
          <w:sz w:val="26"/>
          <w:szCs w:val="26"/>
        </w:rPr>
        <w:t xml:space="preserve">What policy options have been considered </w:t>
      </w:r>
      <w:r>
        <w:rPr>
          <w:rFonts w:eastAsiaTheme="minorEastAsia"/>
          <w:sz w:val="26"/>
          <w:szCs w:val="26"/>
        </w:rPr>
        <w:t xml:space="preserve">in </w:t>
      </w:r>
      <w:r w:rsidRPr="00AE25A9">
        <w:rPr>
          <w:rFonts w:eastAsiaTheme="minorEastAsia"/>
          <w:sz w:val="26"/>
          <w:szCs w:val="26"/>
        </w:rPr>
        <w:t>the Decision RIS</w:t>
      </w:r>
      <w:r w:rsidR="00D91DDA" w:rsidRPr="00AE25A9">
        <w:rPr>
          <w:rFonts w:eastAsiaTheme="minorEastAsia"/>
          <w:sz w:val="26"/>
          <w:szCs w:val="26"/>
        </w:rPr>
        <w:t>?</w:t>
      </w:r>
      <w:r w:rsidR="00D91DDA" w:rsidRPr="00262C4C">
        <w:rPr>
          <w:rFonts w:eastAsiaTheme="minorEastAsia"/>
          <w:sz w:val="26"/>
          <w:szCs w:val="26"/>
        </w:rPr>
        <w:t xml:space="preserve"> </w:t>
      </w:r>
    </w:p>
    <w:p w14:paraId="7315733E" w14:textId="77777777" w:rsidR="00313545" w:rsidRDefault="00E91332" w:rsidP="00C7308B">
      <w:pPr>
        <w:pStyle w:val="BodyText"/>
        <w:spacing w:before="120" w:line="252" w:lineRule="auto"/>
        <w:rPr>
          <w:rFonts w:asciiTheme="majorHAnsi" w:hAnsiTheme="majorHAnsi" w:cstheme="majorHAnsi"/>
          <w:lang w:eastAsia="fr-CA"/>
        </w:rPr>
      </w:pPr>
      <w:r>
        <w:rPr>
          <w:rFonts w:eastAsiaTheme="minorEastAsia"/>
        </w:rPr>
        <w:t xml:space="preserve">As a result of the feedback provided by stakeholders, two </w:t>
      </w:r>
      <w:r w:rsidR="004A307A">
        <w:rPr>
          <w:rFonts w:eastAsiaTheme="minorEastAsia"/>
        </w:rPr>
        <w:t>additional</w:t>
      </w:r>
      <w:r>
        <w:rPr>
          <w:rFonts w:eastAsiaTheme="minorEastAsia"/>
        </w:rPr>
        <w:t xml:space="preserve"> </w:t>
      </w:r>
      <w:r w:rsidR="00472202">
        <w:rPr>
          <w:rFonts w:eastAsiaTheme="minorEastAsia"/>
        </w:rPr>
        <w:t xml:space="preserve">reform </w:t>
      </w:r>
      <w:r>
        <w:rPr>
          <w:rFonts w:eastAsiaTheme="minorEastAsia"/>
        </w:rPr>
        <w:t xml:space="preserve">options </w:t>
      </w:r>
      <w:r w:rsidR="00DF3E8A">
        <w:rPr>
          <w:rFonts w:eastAsiaTheme="minorEastAsia"/>
        </w:rPr>
        <w:t>have been</w:t>
      </w:r>
      <w:r>
        <w:rPr>
          <w:rFonts w:eastAsiaTheme="minorEastAsia"/>
        </w:rPr>
        <w:t xml:space="preserve"> </w:t>
      </w:r>
      <w:r w:rsidR="006B369F">
        <w:rPr>
          <w:rFonts w:eastAsiaTheme="minorEastAsia"/>
        </w:rPr>
        <w:t>identified</w:t>
      </w:r>
      <w:r w:rsidR="00BE4089">
        <w:rPr>
          <w:rFonts w:eastAsiaTheme="minorEastAsia"/>
        </w:rPr>
        <w:t>: Option 3A and Option 3B</w:t>
      </w:r>
      <w:r w:rsidR="000A4953">
        <w:rPr>
          <w:rFonts w:eastAsiaTheme="minorEastAsia"/>
        </w:rPr>
        <w:t xml:space="preserve">. </w:t>
      </w:r>
      <w:r w:rsidR="00BE4089">
        <w:rPr>
          <w:rFonts w:eastAsiaTheme="minorEastAsia"/>
        </w:rPr>
        <w:t xml:space="preserve">As their names suggest, these </w:t>
      </w:r>
      <w:r w:rsidR="000A4953">
        <w:rPr>
          <w:rFonts w:eastAsiaTheme="minorEastAsia"/>
        </w:rPr>
        <w:t>options</w:t>
      </w:r>
      <w:r w:rsidR="00BE4089">
        <w:rPr>
          <w:rFonts w:eastAsiaTheme="minorEastAsia"/>
        </w:rPr>
        <w:t xml:space="preserve"> </w:t>
      </w:r>
      <w:r w:rsidR="00C14C8E">
        <w:rPr>
          <w:rFonts w:eastAsiaTheme="minorEastAsia"/>
        </w:rPr>
        <w:t xml:space="preserve">are variants of Option 3 </w:t>
      </w:r>
      <w:r w:rsidR="00B134B6">
        <w:rPr>
          <w:rFonts w:eastAsiaTheme="minorEastAsia"/>
        </w:rPr>
        <w:t xml:space="preserve">from </w:t>
      </w:r>
      <w:r w:rsidR="00713B6B">
        <w:rPr>
          <w:rFonts w:eastAsiaTheme="minorEastAsia"/>
        </w:rPr>
        <w:t>the Consultation RIS</w:t>
      </w:r>
      <w:r w:rsidR="001232B9">
        <w:rPr>
          <w:rFonts w:eastAsiaTheme="minorEastAsia"/>
        </w:rPr>
        <w:t xml:space="preserve">. Option 3 </w:t>
      </w:r>
      <w:r w:rsidR="00B134B6">
        <w:rPr>
          <w:rFonts w:eastAsiaTheme="minorEastAsia"/>
        </w:rPr>
        <w:t xml:space="preserve">has </w:t>
      </w:r>
      <w:r w:rsidR="001232B9">
        <w:rPr>
          <w:rFonts w:eastAsiaTheme="minorEastAsia"/>
        </w:rPr>
        <w:t xml:space="preserve">therefore </w:t>
      </w:r>
      <w:r w:rsidR="00B134B6">
        <w:rPr>
          <w:rFonts w:eastAsiaTheme="minorEastAsia"/>
        </w:rPr>
        <w:t xml:space="preserve">been </w:t>
      </w:r>
      <w:r w:rsidR="00713B6B">
        <w:rPr>
          <w:rFonts w:eastAsiaTheme="minorEastAsia"/>
        </w:rPr>
        <w:t xml:space="preserve">replaced </w:t>
      </w:r>
      <w:r w:rsidR="00B134B6">
        <w:rPr>
          <w:rFonts w:eastAsiaTheme="minorEastAsia"/>
        </w:rPr>
        <w:t xml:space="preserve">by these two </w:t>
      </w:r>
      <w:r w:rsidR="003023F7">
        <w:rPr>
          <w:rFonts w:eastAsiaTheme="minorEastAsia"/>
        </w:rPr>
        <w:t xml:space="preserve">reform </w:t>
      </w:r>
      <w:r w:rsidR="00713B6B">
        <w:rPr>
          <w:rFonts w:eastAsiaTheme="minorEastAsia"/>
        </w:rPr>
        <w:t>option</w:t>
      </w:r>
      <w:r w:rsidR="00B134B6">
        <w:rPr>
          <w:rFonts w:eastAsiaTheme="minorEastAsia"/>
        </w:rPr>
        <w:t>s</w:t>
      </w:r>
      <w:r w:rsidR="00713B6B">
        <w:rPr>
          <w:rFonts w:eastAsiaTheme="minorEastAsia"/>
        </w:rPr>
        <w:t xml:space="preserve">. </w:t>
      </w:r>
      <w:r w:rsidR="000A4953">
        <w:rPr>
          <w:rFonts w:eastAsiaTheme="minorEastAsia"/>
        </w:rPr>
        <w:t xml:space="preserve">All the other reform options that were identified in the Consultation RIS are </w:t>
      </w:r>
      <w:r w:rsidR="006635E8">
        <w:rPr>
          <w:rFonts w:eastAsiaTheme="minorEastAsia"/>
        </w:rPr>
        <w:t xml:space="preserve">largely </w:t>
      </w:r>
      <w:r w:rsidR="000A4953">
        <w:rPr>
          <w:rFonts w:eastAsiaTheme="minorEastAsia"/>
        </w:rPr>
        <w:t xml:space="preserve">unchanged. </w:t>
      </w:r>
      <w:r w:rsidR="00604860">
        <w:rPr>
          <w:rFonts w:asciiTheme="majorHAnsi" w:hAnsiTheme="majorHAnsi" w:cstheme="majorHAnsi"/>
          <w:lang w:eastAsia="fr-CA"/>
        </w:rPr>
        <w:t xml:space="preserve">Further detail on </w:t>
      </w:r>
      <w:r w:rsidR="00313545">
        <w:rPr>
          <w:rFonts w:asciiTheme="majorHAnsi" w:hAnsiTheme="majorHAnsi" w:cstheme="majorHAnsi"/>
          <w:lang w:eastAsia="fr-CA"/>
        </w:rPr>
        <w:t xml:space="preserve">options 3A and 3B </w:t>
      </w:r>
      <w:r w:rsidR="00604860">
        <w:rPr>
          <w:rFonts w:asciiTheme="majorHAnsi" w:hAnsiTheme="majorHAnsi" w:cstheme="majorHAnsi"/>
          <w:lang w:eastAsia="fr-CA"/>
        </w:rPr>
        <w:t xml:space="preserve">and </w:t>
      </w:r>
      <w:r w:rsidR="003D33B3">
        <w:rPr>
          <w:rFonts w:asciiTheme="majorHAnsi" w:hAnsiTheme="majorHAnsi" w:cstheme="majorHAnsi"/>
          <w:lang w:eastAsia="fr-CA"/>
        </w:rPr>
        <w:t xml:space="preserve">the other </w:t>
      </w:r>
      <w:r w:rsidR="003023F7">
        <w:rPr>
          <w:rFonts w:asciiTheme="majorHAnsi" w:hAnsiTheme="majorHAnsi" w:cstheme="majorHAnsi"/>
          <w:lang w:eastAsia="fr-CA"/>
        </w:rPr>
        <w:t xml:space="preserve">policy </w:t>
      </w:r>
      <w:r w:rsidR="003D33B3">
        <w:rPr>
          <w:rFonts w:asciiTheme="majorHAnsi" w:hAnsiTheme="majorHAnsi" w:cstheme="majorHAnsi"/>
          <w:lang w:eastAsia="fr-CA"/>
        </w:rPr>
        <w:t xml:space="preserve">options </w:t>
      </w:r>
      <w:r w:rsidR="00400878">
        <w:rPr>
          <w:rFonts w:asciiTheme="majorHAnsi" w:hAnsiTheme="majorHAnsi" w:cstheme="majorHAnsi"/>
          <w:lang w:eastAsia="fr-CA"/>
        </w:rPr>
        <w:t xml:space="preserve">considered as part of this Decision RIS </w:t>
      </w:r>
      <w:r w:rsidR="00313545" w:rsidRPr="000035B6">
        <w:rPr>
          <w:rFonts w:asciiTheme="majorHAnsi" w:hAnsiTheme="majorHAnsi" w:cstheme="majorHAnsi"/>
          <w:lang w:eastAsia="fr-CA"/>
        </w:rPr>
        <w:t xml:space="preserve">is provided in </w:t>
      </w:r>
      <w:r w:rsidR="00574466" w:rsidRPr="000035B6">
        <w:rPr>
          <w:rFonts w:asciiTheme="majorHAnsi" w:hAnsiTheme="majorHAnsi" w:cstheme="majorHAnsi"/>
          <w:lang w:eastAsia="fr-CA"/>
        </w:rPr>
        <w:t xml:space="preserve">Table </w:t>
      </w:r>
      <w:r w:rsidR="00400878" w:rsidRPr="000035B6">
        <w:rPr>
          <w:rFonts w:asciiTheme="majorHAnsi" w:hAnsiTheme="majorHAnsi" w:cstheme="majorHAnsi"/>
          <w:lang w:eastAsia="fr-CA"/>
        </w:rPr>
        <w:t>E.</w:t>
      </w:r>
      <w:r w:rsidR="00F36CAA">
        <w:rPr>
          <w:rFonts w:asciiTheme="majorHAnsi" w:hAnsiTheme="majorHAnsi" w:cstheme="majorHAnsi"/>
          <w:lang w:eastAsia="fr-CA"/>
        </w:rPr>
        <w:t>2</w:t>
      </w:r>
      <w:r w:rsidR="00574466" w:rsidRPr="000035B6">
        <w:rPr>
          <w:rFonts w:asciiTheme="majorHAnsi" w:hAnsiTheme="majorHAnsi" w:cstheme="majorHAnsi"/>
          <w:lang w:eastAsia="fr-CA"/>
        </w:rPr>
        <w:t>.</w:t>
      </w:r>
      <w:r w:rsidR="00611587">
        <w:rPr>
          <w:rFonts w:asciiTheme="majorHAnsi" w:hAnsiTheme="majorHAnsi" w:cstheme="majorHAnsi"/>
          <w:lang w:eastAsia="fr-CA"/>
        </w:rPr>
        <w:t xml:space="preserve"> </w:t>
      </w:r>
    </w:p>
    <w:p w14:paraId="18F30FC8" w14:textId="77777777" w:rsidR="00F93387" w:rsidRPr="006B4639" w:rsidRDefault="00611587" w:rsidP="00AD36B8">
      <w:pPr>
        <w:pStyle w:val="ListBullet"/>
        <w:numPr>
          <w:ilvl w:val="0"/>
          <w:numId w:val="0"/>
        </w:numPr>
      </w:pPr>
      <w:r>
        <w:rPr>
          <w:rFonts w:asciiTheme="majorHAnsi" w:hAnsiTheme="majorHAnsi" w:cstheme="majorHAnsi"/>
          <w:lang w:eastAsia="fr-CA"/>
        </w:rPr>
        <w:t>In total five policy options have been considered as part of the Decision RIS</w:t>
      </w:r>
      <w:r w:rsidR="007F781D">
        <w:rPr>
          <w:rFonts w:asciiTheme="majorHAnsi" w:hAnsiTheme="majorHAnsi" w:cstheme="majorHAnsi"/>
          <w:lang w:eastAsia="fr-CA"/>
        </w:rPr>
        <w:t xml:space="preserve">, which </w:t>
      </w:r>
      <w:r w:rsidR="00F93387">
        <w:rPr>
          <w:rFonts w:asciiTheme="majorHAnsi" w:hAnsiTheme="majorHAnsi" w:cstheme="majorHAnsi"/>
          <w:lang w:eastAsia="fr-CA"/>
        </w:rPr>
        <w:t xml:space="preserve">differ in a number of respects, but </w:t>
      </w:r>
      <w:r w:rsidR="00F93387">
        <w:t xml:space="preserve">for ease of reference have been named on the basis of the pipelines to be regulated and </w:t>
      </w:r>
      <w:r w:rsidR="00EF2BE3">
        <w:t>the forms of regulation they could be subject to</w:t>
      </w:r>
      <w:r w:rsidR="00F93387" w:rsidRPr="006B4639">
        <w:t>:</w:t>
      </w:r>
    </w:p>
    <w:p w14:paraId="3FB121AE" w14:textId="77777777" w:rsidR="00967D75" w:rsidRPr="006B4639" w:rsidRDefault="00967D75" w:rsidP="00AD36B8">
      <w:pPr>
        <w:pStyle w:val="ListBullet"/>
      </w:pPr>
      <w:r w:rsidRPr="0094642C">
        <w:rPr>
          <w:b/>
          <w:bCs/>
        </w:rPr>
        <w:t>Option 1</w:t>
      </w:r>
      <w:r w:rsidRPr="006B4639">
        <w:t xml:space="preserve">: Maintain the </w:t>
      </w:r>
      <w:r w:rsidRPr="0058545D">
        <w:t>status quo.</w:t>
      </w:r>
    </w:p>
    <w:p w14:paraId="0965E8A1" w14:textId="77777777" w:rsidR="00111A42" w:rsidRDefault="00967D75" w:rsidP="00AD36B8">
      <w:pPr>
        <w:pStyle w:val="ListBullet"/>
      </w:pPr>
      <w:r w:rsidRPr="0094642C">
        <w:rPr>
          <w:b/>
          <w:bCs/>
        </w:rPr>
        <w:t>Option 2</w:t>
      </w:r>
      <w:r w:rsidRPr="006B4639">
        <w:t xml:space="preserve">: </w:t>
      </w:r>
      <w:r w:rsidR="00C03AAF">
        <w:t xml:space="preserve">Regulation of </w:t>
      </w:r>
      <w:r w:rsidR="00C03AAF" w:rsidRPr="0058545D">
        <w:t xml:space="preserve">pipelines </w:t>
      </w:r>
      <w:r w:rsidR="001B5F53" w:rsidRPr="0058545D">
        <w:t xml:space="preserve">with </w:t>
      </w:r>
      <w:r w:rsidRPr="0058545D">
        <w:t>substantial market power</w:t>
      </w:r>
      <w:r w:rsidR="001B5F53" w:rsidRPr="0058545D">
        <w:t>, with</w:t>
      </w:r>
      <w:r w:rsidR="001B5F53">
        <w:t xml:space="preserve"> </w:t>
      </w:r>
      <w:r w:rsidR="00EB7012">
        <w:t xml:space="preserve">regulated </w:t>
      </w:r>
      <w:r w:rsidR="001B5F53">
        <w:t>pipelines subject to either</w:t>
      </w:r>
      <w:r w:rsidR="00111A42">
        <w:t>:</w:t>
      </w:r>
      <w:r w:rsidR="001B5F53">
        <w:t xml:space="preserve"> </w:t>
      </w:r>
    </w:p>
    <w:p w14:paraId="259A28DB" w14:textId="77777777" w:rsidR="00111A42" w:rsidRDefault="001B5F53" w:rsidP="00AD36B8">
      <w:pPr>
        <w:pStyle w:val="ListBullet2"/>
      </w:pPr>
      <w:r>
        <w:t xml:space="preserve">a </w:t>
      </w:r>
      <w:r w:rsidR="004D6F72">
        <w:t xml:space="preserve">stronger form </w:t>
      </w:r>
      <w:r>
        <w:t xml:space="preserve">of regulation </w:t>
      </w:r>
      <w:r w:rsidR="004D6F72">
        <w:t>based on full regulation</w:t>
      </w:r>
      <w:r w:rsidR="00111A42">
        <w:t>;</w:t>
      </w:r>
      <w:r>
        <w:t xml:space="preserve"> </w:t>
      </w:r>
      <w:r w:rsidR="004D6F72">
        <w:t xml:space="preserve">or </w:t>
      </w:r>
    </w:p>
    <w:p w14:paraId="261E0E29" w14:textId="77777777" w:rsidR="00967D75" w:rsidRPr="006B4639" w:rsidRDefault="001B5F53" w:rsidP="00AD36B8">
      <w:pPr>
        <w:pStyle w:val="ListBullet2"/>
      </w:pPr>
      <w:r>
        <w:t xml:space="preserve">a </w:t>
      </w:r>
      <w:r w:rsidR="004D6F72">
        <w:t xml:space="preserve">lighter form </w:t>
      </w:r>
      <w:r w:rsidR="00963555">
        <w:t xml:space="preserve">of regulation </w:t>
      </w:r>
      <w:r w:rsidR="004D6F72">
        <w:t xml:space="preserve">based on </w:t>
      </w:r>
      <w:r w:rsidR="00963555">
        <w:t xml:space="preserve">a </w:t>
      </w:r>
      <w:r w:rsidR="00BA25C7">
        <w:t>strengthened Part 23</w:t>
      </w:r>
      <w:r w:rsidR="000158C0">
        <w:t xml:space="preserve">. </w:t>
      </w:r>
    </w:p>
    <w:p w14:paraId="6A120200" w14:textId="77777777" w:rsidR="00EE3C3F" w:rsidRDefault="00967D75" w:rsidP="00AD36B8">
      <w:pPr>
        <w:pStyle w:val="ListBullet"/>
      </w:pPr>
      <w:r w:rsidRPr="0094642C">
        <w:rPr>
          <w:b/>
          <w:bCs/>
        </w:rPr>
        <w:t>Option 3</w:t>
      </w:r>
      <w:r w:rsidR="004E2D8A" w:rsidRPr="0094642C">
        <w:rPr>
          <w:b/>
          <w:bCs/>
        </w:rPr>
        <w:t>A</w:t>
      </w:r>
      <w:r w:rsidRPr="006B4639">
        <w:t xml:space="preserve">: </w:t>
      </w:r>
      <w:r w:rsidR="00111A42">
        <w:t xml:space="preserve">Regulation of </w:t>
      </w:r>
      <w:r w:rsidR="00963555" w:rsidRPr="0058545D">
        <w:t xml:space="preserve">third party access </w:t>
      </w:r>
      <w:r w:rsidR="002216D8">
        <w:t xml:space="preserve">pipelines </w:t>
      </w:r>
      <w:r w:rsidRPr="0058545D">
        <w:t>plus</w:t>
      </w:r>
      <w:r w:rsidRPr="006B4639">
        <w:t xml:space="preserve"> </w:t>
      </w:r>
      <w:r w:rsidR="00963555">
        <w:t xml:space="preserve">those </w:t>
      </w:r>
      <w:r w:rsidR="00EE3C3F">
        <w:t xml:space="preserve">not </w:t>
      </w:r>
      <w:r w:rsidR="004245B6">
        <w:t xml:space="preserve">voluntarily </w:t>
      </w:r>
      <w:r w:rsidR="00EE3C3F">
        <w:t xml:space="preserve">providing access </w:t>
      </w:r>
      <w:r w:rsidR="004245B6">
        <w:t xml:space="preserve">if they </w:t>
      </w:r>
      <w:r w:rsidR="00EE3C3F">
        <w:t xml:space="preserve">satisfy third party access test, with pipelines subject to either: </w:t>
      </w:r>
    </w:p>
    <w:p w14:paraId="4FE3A24D" w14:textId="77777777" w:rsidR="00EE3C3F" w:rsidRDefault="00EE3C3F" w:rsidP="00AD36B8">
      <w:pPr>
        <w:pStyle w:val="ListBullet2"/>
      </w:pPr>
      <w:r>
        <w:t xml:space="preserve">a stronger form of regulation based on full regulation; or </w:t>
      </w:r>
    </w:p>
    <w:p w14:paraId="6AD637D1" w14:textId="77777777" w:rsidR="00EE3C3F" w:rsidRDefault="00EE3C3F" w:rsidP="00AD36B8">
      <w:pPr>
        <w:pStyle w:val="ListBullet2"/>
      </w:pPr>
      <w:r>
        <w:t xml:space="preserve">a lighter form </w:t>
      </w:r>
      <w:r w:rsidR="00963555">
        <w:t xml:space="preserve">of regulation </w:t>
      </w:r>
      <w:r>
        <w:t xml:space="preserve">based on </w:t>
      </w:r>
      <w:r w:rsidR="00963555">
        <w:t xml:space="preserve">a </w:t>
      </w:r>
      <w:r>
        <w:t>strengthened Part 23.</w:t>
      </w:r>
    </w:p>
    <w:p w14:paraId="37283095" w14:textId="77777777" w:rsidR="00EE3C3F" w:rsidRDefault="004E2D8A" w:rsidP="00AD36B8">
      <w:pPr>
        <w:pStyle w:val="ListBullet"/>
      </w:pPr>
      <w:r w:rsidRPr="0094642C">
        <w:rPr>
          <w:b/>
          <w:bCs/>
        </w:rPr>
        <w:t>Option 3B:</w:t>
      </w:r>
      <w:r>
        <w:t xml:space="preserve"> </w:t>
      </w:r>
      <w:r w:rsidR="00EE3C3F">
        <w:t xml:space="preserve">Regulation of </w:t>
      </w:r>
      <w:r w:rsidR="00EE3C3F" w:rsidRPr="0058545D">
        <w:t>a</w:t>
      </w:r>
      <w:r w:rsidRPr="0058545D">
        <w:t>ll pipelines</w:t>
      </w:r>
      <w:r w:rsidR="00EE3C3F" w:rsidRPr="0058545D">
        <w:t>,</w:t>
      </w:r>
      <w:r w:rsidR="00EE3C3F">
        <w:t xml:space="preserve"> with pipelines subject to either:</w:t>
      </w:r>
    </w:p>
    <w:p w14:paraId="1BDC8E16" w14:textId="77777777" w:rsidR="00EE3C3F" w:rsidRDefault="00EE3C3F" w:rsidP="00AD36B8">
      <w:pPr>
        <w:pStyle w:val="ListBullet2"/>
      </w:pPr>
      <w:r>
        <w:t xml:space="preserve">a stronger form of regulation based on full regulation; or </w:t>
      </w:r>
    </w:p>
    <w:p w14:paraId="7743A02E" w14:textId="77777777" w:rsidR="00EE3C3F" w:rsidRDefault="00EE3C3F" w:rsidP="00AD36B8">
      <w:pPr>
        <w:pStyle w:val="ListBullet2"/>
      </w:pPr>
      <w:r>
        <w:t xml:space="preserve">a lighter form </w:t>
      </w:r>
      <w:r w:rsidR="00963555">
        <w:t xml:space="preserve">of regulation </w:t>
      </w:r>
      <w:r>
        <w:t xml:space="preserve">based on </w:t>
      </w:r>
      <w:r w:rsidR="00963555">
        <w:t xml:space="preserve">a </w:t>
      </w:r>
      <w:r>
        <w:t>strengthened Part 23.</w:t>
      </w:r>
    </w:p>
    <w:p w14:paraId="7864FBC5" w14:textId="77777777" w:rsidR="00963555" w:rsidRPr="0058545D" w:rsidRDefault="00967D75" w:rsidP="00AD36B8">
      <w:pPr>
        <w:pStyle w:val="ListBullet"/>
      </w:pPr>
      <w:r w:rsidRPr="0094642C">
        <w:rPr>
          <w:b/>
          <w:bCs/>
        </w:rPr>
        <w:t>Option 4:</w:t>
      </w:r>
      <w:r w:rsidRPr="006B4639">
        <w:t xml:space="preserve"> </w:t>
      </w:r>
      <w:r w:rsidR="00EE3C3F">
        <w:t xml:space="preserve">Regulation of </w:t>
      </w:r>
      <w:r w:rsidR="00EE3C3F" w:rsidRPr="0058545D">
        <w:t>a</w:t>
      </w:r>
      <w:r w:rsidR="00A50132" w:rsidRPr="0058545D">
        <w:t>ll pipelines</w:t>
      </w:r>
      <w:r w:rsidR="00963555" w:rsidRPr="0058545D">
        <w:t>, with pipelines subject to either:</w:t>
      </w:r>
    </w:p>
    <w:p w14:paraId="551BA688" w14:textId="77777777" w:rsidR="00963555" w:rsidRDefault="004D6F72" w:rsidP="00AD36B8">
      <w:pPr>
        <w:pStyle w:val="ListBullet2"/>
      </w:pPr>
      <w:r w:rsidRPr="0058545D">
        <w:t>a stronger form based on direct price control</w:t>
      </w:r>
      <w:r w:rsidR="00963555" w:rsidRPr="0058545D">
        <w:t>;</w:t>
      </w:r>
      <w:r>
        <w:t xml:space="preserve"> or </w:t>
      </w:r>
    </w:p>
    <w:p w14:paraId="20D093E3" w14:textId="77777777" w:rsidR="00967D75" w:rsidRDefault="00963555" w:rsidP="00AD36B8">
      <w:pPr>
        <w:pStyle w:val="ListBullet2"/>
      </w:pPr>
      <w:r>
        <w:t xml:space="preserve">a </w:t>
      </w:r>
      <w:r w:rsidR="004D6F72">
        <w:t xml:space="preserve">lighter form </w:t>
      </w:r>
      <w:r>
        <w:t xml:space="preserve">of regulation </w:t>
      </w:r>
      <w:r w:rsidR="004D6F72">
        <w:t xml:space="preserve">based on </w:t>
      </w:r>
      <w:r>
        <w:t xml:space="preserve">a </w:t>
      </w:r>
      <w:r w:rsidR="004D6F72">
        <w:t>strengthened Part 23.</w:t>
      </w:r>
      <w:r w:rsidR="00967D75" w:rsidRPr="006B4639">
        <w:t xml:space="preserve"> </w:t>
      </w:r>
    </w:p>
    <w:p w14:paraId="7CC63531" w14:textId="77777777" w:rsidR="0058545D" w:rsidRDefault="0058545D" w:rsidP="00DC0822">
      <w:pPr>
        <w:pStyle w:val="BodyText"/>
        <w:spacing w:before="160"/>
      </w:pPr>
      <w:r>
        <w:rPr>
          <w:bCs/>
        </w:rPr>
        <w:t xml:space="preserve">As the name of the options indicate, Option 2 provides for a </w:t>
      </w:r>
      <w:r>
        <w:rPr>
          <w:i/>
          <w:iCs/>
        </w:rPr>
        <w:t>winding back</w:t>
      </w:r>
      <w:r>
        <w:t xml:space="preserve"> of regulation from the position reached in 2017 when all pipelines providing third party access became subject to some form of regulation. Options 3B and 4, on the other hand, provide for an expansion of the scope of regulation to include </w:t>
      </w:r>
      <w:r w:rsidRPr="0094642C">
        <w:rPr>
          <w:b/>
          <w:bCs/>
        </w:rPr>
        <w:t>all</w:t>
      </w:r>
      <w:r>
        <w:t xml:space="preserve"> pipelines, with the key difference between the</w:t>
      </w:r>
      <w:r w:rsidR="00DC0822">
        <w:t>se</w:t>
      </w:r>
      <w:r>
        <w:t xml:space="preserve"> two </w:t>
      </w:r>
      <w:r w:rsidR="00DC0822">
        <w:t xml:space="preserve">options </w:t>
      </w:r>
      <w:r>
        <w:t>being the form that the stronger form of regulation would take.</w:t>
      </w:r>
    </w:p>
    <w:p w14:paraId="5AF38ED0" w14:textId="77777777" w:rsidR="0058545D" w:rsidRDefault="0058545D" w:rsidP="00DC0822">
      <w:pPr>
        <w:pStyle w:val="BodyText"/>
        <w:rPr>
          <w:rFonts w:eastAsiaTheme="minorEastAsia"/>
        </w:rPr>
        <w:sectPr w:rsidR="0058545D" w:rsidSect="00795317">
          <w:headerReference w:type="default" r:id="rId16"/>
          <w:footerReference w:type="default" r:id="rId17"/>
          <w:pgSz w:w="11907" w:h="16839" w:code="9"/>
          <w:pgMar w:top="1361" w:right="1418" w:bottom="992" w:left="1701" w:header="567" w:footer="397" w:gutter="0"/>
          <w:pgNumType w:fmt="lowerRoman"/>
          <w:cols w:space="708"/>
          <w:docGrid w:linePitch="360"/>
        </w:sectPr>
      </w:pPr>
    </w:p>
    <w:p w14:paraId="4CBA9EB3" w14:textId="77777777" w:rsidR="006405AC" w:rsidRDefault="006405AC" w:rsidP="0062334E">
      <w:pPr>
        <w:pStyle w:val="Caption"/>
        <w:spacing w:before="0" w:after="0"/>
        <w:ind w:left="-426"/>
      </w:pPr>
      <w:r>
        <w:lastRenderedPageBreak/>
        <w:t>Table E.</w:t>
      </w:r>
      <w:r w:rsidR="00F36CAA">
        <w:t>2</w:t>
      </w:r>
      <w:r>
        <w:t>: Policy options considered for Decision RIS</w:t>
      </w:r>
    </w:p>
    <w:tbl>
      <w:tblPr>
        <w:tblStyle w:val="TableGrid"/>
        <w:tblW w:w="5224" w:type="pct"/>
        <w:tblInd w:w="-426" w:type="dxa"/>
        <w:tblLook w:val="04A0" w:firstRow="1" w:lastRow="0" w:firstColumn="1" w:lastColumn="0" w:noHBand="0" w:noVBand="1"/>
      </w:tblPr>
      <w:tblGrid>
        <w:gridCol w:w="1382"/>
        <w:gridCol w:w="1260"/>
        <w:gridCol w:w="2104"/>
        <w:gridCol w:w="2337"/>
        <w:gridCol w:w="32"/>
        <w:gridCol w:w="2349"/>
        <w:gridCol w:w="2018"/>
        <w:gridCol w:w="2853"/>
      </w:tblGrid>
      <w:tr w:rsidR="00CD0BFB" w:rsidRPr="009708B7" w14:paraId="54656E78" w14:textId="77777777" w:rsidTr="000C0157">
        <w:trPr>
          <w:cnfStyle w:val="100000000000" w:firstRow="1" w:lastRow="0" w:firstColumn="0" w:lastColumn="0" w:oddVBand="0" w:evenVBand="0" w:oddHBand="0" w:evenHBand="0" w:firstRowFirstColumn="0" w:firstRowLastColumn="0" w:lastRowFirstColumn="0" w:lastRowLastColumn="0"/>
          <w:tblHeader/>
        </w:trPr>
        <w:tc>
          <w:tcPr>
            <w:tcW w:w="2643" w:type="dxa"/>
            <w:gridSpan w:val="2"/>
            <w:shd w:val="clear" w:color="auto" w:fill="002060"/>
          </w:tcPr>
          <w:p w14:paraId="2E670A67" w14:textId="77777777" w:rsidR="00CD0BFB" w:rsidRPr="009708B7" w:rsidRDefault="00CD0BFB" w:rsidP="000C0157">
            <w:pPr>
              <w:spacing w:before="40" w:after="40" w:line="240" w:lineRule="auto"/>
              <w:rPr>
                <w:rFonts w:cs="Arial"/>
                <w:b w:val="0"/>
                <w:bCs/>
                <w:sz w:val="16"/>
                <w:szCs w:val="16"/>
              </w:rPr>
            </w:pPr>
            <w:r>
              <w:rPr>
                <w:rFonts w:cs="Arial"/>
                <w:bCs/>
                <w:sz w:val="16"/>
                <w:szCs w:val="16"/>
              </w:rPr>
              <w:t>Element</w:t>
            </w:r>
          </w:p>
        </w:tc>
        <w:tc>
          <w:tcPr>
            <w:tcW w:w="2104" w:type="dxa"/>
            <w:tcBorders>
              <w:right w:val="single" w:sz="4" w:space="0" w:color="FFFFFF" w:themeColor="background1"/>
            </w:tcBorders>
            <w:shd w:val="clear" w:color="auto" w:fill="002060"/>
          </w:tcPr>
          <w:p w14:paraId="4206CEEF" w14:textId="77777777" w:rsidR="00CD0BFB" w:rsidRPr="009708B7" w:rsidRDefault="00CD0BFB" w:rsidP="000C0157">
            <w:pPr>
              <w:pStyle w:val="BodyText"/>
              <w:spacing w:before="40" w:after="40" w:line="240" w:lineRule="auto"/>
              <w:jc w:val="center"/>
              <w:rPr>
                <w:rFonts w:cs="Arial"/>
                <w:b w:val="0"/>
                <w:bCs/>
                <w:sz w:val="16"/>
                <w:szCs w:val="16"/>
              </w:rPr>
            </w:pPr>
            <w:r w:rsidRPr="009708B7">
              <w:rPr>
                <w:rFonts w:cs="Arial"/>
                <w:bCs/>
                <w:sz w:val="16"/>
                <w:szCs w:val="16"/>
              </w:rPr>
              <w:t>Option 1 (Status quo)</w:t>
            </w:r>
          </w:p>
        </w:tc>
        <w:tc>
          <w:tcPr>
            <w:tcW w:w="2337" w:type="dxa"/>
            <w:tcBorders>
              <w:left w:val="single" w:sz="4" w:space="0" w:color="FFFFFF" w:themeColor="background1"/>
              <w:right w:val="single" w:sz="4" w:space="0" w:color="FFFFFF" w:themeColor="background1"/>
            </w:tcBorders>
            <w:shd w:val="clear" w:color="auto" w:fill="002060"/>
          </w:tcPr>
          <w:p w14:paraId="1A3D8589" w14:textId="77777777" w:rsidR="00CD0BFB" w:rsidRPr="009708B7" w:rsidRDefault="00CD0BFB" w:rsidP="000C0157">
            <w:pPr>
              <w:pStyle w:val="BodyText"/>
              <w:spacing w:before="40" w:after="40" w:line="240" w:lineRule="auto"/>
              <w:jc w:val="center"/>
              <w:rPr>
                <w:rFonts w:cs="Arial"/>
                <w:b w:val="0"/>
                <w:bCs/>
                <w:sz w:val="16"/>
                <w:szCs w:val="16"/>
              </w:rPr>
            </w:pPr>
            <w:r w:rsidRPr="009708B7">
              <w:rPr>
                <w:rFonts w:cs="Arial"/>
                <w:bCs/>
                <w:sz w:val="16"/>
                <w:szCs w:val="16"/>
              </w:rPr>
              <w:t>Option 2</w:t>
            </w:r>
          </w:p>
        </w:tc>
        <w:tc>
          <w:tcPr>
            <w:tcW w:w="2381" w:type="dxa"/>
            <w:gridSpan w:val="2"/>
            <w:tcBorders>
              <w:left w:val="single" w:sz="4" w:space="0" w:color="FFFFFF" w:themeColor="background1"/>
              <w:right w:val="single" w:sz="4" w:space="0" w:color="FFFFFF" w:themeColor="background1"/>
            </w:tcBorders>
            <w:shd w:val="clear" w:color="auto" w:fill="002060"/>
          </w:tcPr>
          <w:p w14:paraId="4538A306" w14:textId="77777777" w:rsidR="00CD0BFB" w:rsidRPr="009708B7" w:rsidRDefault="00CD0BFB" w:rsidP="000C0157">
            <w:pPr>
              <w:pStyle w:val="BodyText"/>
              <w:spacing w:before="40" w:after="40" w:line="240" w:lineRule="auto"/>
              <w:jc w:val="center"/>
              <w:rPr>
                <w:rFonts w:cs="Arial"/>
                <w:b w:val="0"/>
                <w:bCs/>
                <w:sz w:val="16"/>
                <w:szCs w:val="16"/>
              </w:rPr>
            </w:pPr>
            <w:r w:rsidRPr="009708B7">
              <w:rPr>
                <w:rFonts w:cs="Arial"/>
                <w:bCs/>
                <w:sz w:val="16"/>
                <w:szCs w:val="16"/>
              </w:rPr>
              <w:t xml:space="preserve">Option </w:t>
            </w:r>
            <w:r>
              <w:rPr>
                <w:rFonts w:cs="Arial"/>
                <w:bCs/>
                <w:sz w:val="16"/>
                <w:szCs w:val="16"/>
              </w:rPr>
              <w:t>3</w:t>
            </w:r>
            <w:r w:rsidRPr="009708B7">
              <w:rPr>
                <w:rFonts w:cs="Arial"/>
                <w:bCs/>
                <w:sz w:val="16"/>
                <w:szCs w:val="16"/>
              </w:rPr>
              <w:t>A</w:t>
            </w:r>
          </w:p>
        </w:tc>
        <w:tc>
          <w:tcPr>
            <w:tcW w:w="2018" w:type="dxa"/>
            <w:tcBorders>
              <w:left w:val="single" w:sz="4" w:space="0" w:color="FFFFFF" w:themeColor="background1"/>
              <w:right w:val="single" w:sz="4" w:space="0" w:color="FFFFFF" w:themeColor="background1"/>
            </w:tcBorders>
            <w:shd w:val="clear" w:color="auto" w:fill="002060"/>
          </w:tcPr>
          <w:p w14:paraId="28D2F73F" w14:textId="77777777" w:rsidR="00CD0BFB" w:rsidRPr="0048187C" w:rsidRDefault="00CD0BFB" w:rsidP="000C0157">
            <w:pPr>
              <w:pStyle w:val="BodyText"/>
              <w:spacing w:before="40" w:after="40" w:line="240" w:lineRule="auto"/>
              <w:jc w:val="center"/>
              <w:rPr>
                <w:rFonts w:cs="Arial"/>
                <w:bCs/>
                <w:sz w:val="16"/>
                <w:szCs w:val="16"/>
              </w:rPr>
            </w:pPr>
            <w:r w:rsidRPr="00A870BF">
              <w:rPr>
                <w:rFonts w:cs="Arial"/>
                <w:bCs/>
                <w:color w:val="00B050"/>
                <w:sz w:val="16"/>
                <w:szCs w:val="16"/>
              </w:rPr>
              <w:t>Option 3B</w:t>
            </w:r>
          </w:p>
        </w:tc>
        <w:tc>
          <w:tcPr>
            <w:tcW w:w="2848" w:type="dxa"/>
            <w:tcBorders>
              <w:left w:val="single" w:sz="4" w:space="0" w:color="FFFFFF" w:themeColor="background1"/>
            </w:tcBorders>
            <w:shd w:val="clear" w:color="auto" w:fill="002060"/>
          </w:tcPr>
          <w:p w14:paraId="4063EC1A" w14:textId="77777777" w:rsidR="00CD0BFB" w:rsidRPr="0048187C" w:rsidRDefault="00CD0BFB" w:rsidP="000C0157">
            <w:pPr>
              <w:pStyle w:val="BodyText"/>
              <w:spacing w:before="40" w:after="40" w:line="240" w:lineRule="auto"/>
              <w:jc w:val="center"/>
              <w:rPr>
                <w:rFonts w:cs="Arial"/>
                <w:bCs/>
                <w:sz w:val="16"/>
                <w:szCs w:val="16"/>
              </w:rPr>
            </w:pPr>
            <w:r w:rsidRPr="0048187C">
              <w:rPr>
                <w:rFonts w:cs="Arial"/>
                <w:bCs/>
                <w:sz w:val="16"/>
                <w:szCs w:val="16"/>
              </w:rPr>
              <w:t>Option 4</w:t>
            </w:r>
          </w:p>
        </w:tc>
      </w:tr>
      <w:tr w:rsidR="00CD0BFB" w:rsidRPr="004E18B9" w14:paraId="0F3C25A7" w14:textId="77777777" w:rsidTr="000C0157">
        <w:trPr>
          <w:trHeight w:val="525"/>
        </w:trPr>
        <w:tc>
          <w:tcPr>
            <w:tcW w:w="1383" w:type="dxa"/>
            <w:vMerge w:val="restart"/>
          </w:tcPr>
          <w:p w14:paraId="524BE74E" w14:textId="77777777" w:rsidR="00CD0BFB" w:rsidRPr="004E18B9" w:rsidRDefault="00CD0BFB" w:rsidP="000C0157">
            <w:pPr>
              <w:pStyle w:val="BodyText"/>
              <w:spacing w:before="20" w:after="20" w:line="240" w:lineRule="auto"/>
              <w:rPr>
                <w:rFonts w:cs="Arial"/>
                <w:b/>
                <w:sz w:val="16"/>
                <w:szCs w:val="16"/>
              </w:rPr>
            </w:pPr>
            <w:r w:rsidRPr="004E18B9">
              <w:rPr>
                <w:rFonts w:cs="Arial"/>
                <w:b/>
                <w:sz w:val="16"/>
                <w:szCs w:val="16"/>
              </w:rPr>
              <w:t xml:space="preserve">When should pipelines be regulated </w:t>
            </w:r>
          </w:p>
        </w:tc>
        <w:tc>
          <w:tcPr>
            <w:tcW w:w="1260" w:type="dxa"/>
            <w:shd w:val="clear" w:color="auto" w:fill="FFFFFF" w:themeFill="background1"/>
          </w:tcPr>
          <w:p w14:paraId="44F582E3" w14:textId="77777777" w:rsidR="00CD0BFB" w:rsidRPr="004E18B9" w:rsidRDefault="00CD0BFB" w:rsidP="000C0157">
            <w:pPr>
              <w:pStyle w:val="BodyText"/>
              <w:spacing w:before="20" w:after="20" w:line="240" w:lineRule="auto"/>
              <w:rPr>
                <w:rFonts w:cs="Arial"/>
                <w:b/>
                <w:sz w:val="16"/>
                <w:szCs w:val="16"/>
              </w:rPr>
            </w:pPr>
            <w:r w:rsidRPr="004E18B9">
              <w:rPr>
                <w:rFonts w:cs="Arial"/>
                <w:b/>
                <w:sz w:val="16"/>
                <w:szCs w:val="16"/>
              </w:rPr>
              <w:t>Access to pipelines providing 3rd party access</w:t>
            </w:r>
          </w:p>
        </w:tc>
        <w:tc>
          <w:tcPr>
            <w:tcW w:w="2104" w:type="dxa"/>
            <w:shd w:val="clear" w:color="auto" w:fill="FFFFFF" w:themeFill="background1"/>
          </w:tcPr>
          <w:p w14:paraId="19AB195B" w14:textId="77777777" w:rsidR="00CD0BFB" w:rsidRPr="004E18B9" w:rsidRDefault="00CD0BFB" w:rsidP="000C0157">
            <w:pPr>
              <w:pStyle w:val="TableBullet10"/>
              <w:numPr>
                <w:ilvl w:val="0"/>
                <w:numId w:val="0"/>
              </w:numPr>
              <w:spacing w:before="20" w:after="20" w:line="240" w:lineRule="auto"/>
              <w:ind w:left="85"/>
              <w:rPr>
                <w:sz w:val="16"/>
                <w:szCs w:val="16"/>
              </w:rPr>
            </w:pPr>
            <w:r w:rsidRPr="004E18B9">
              <w:rPr>
                <w:sz w:val="16"/>
                <w:szCs w:val="16"/>
              </w:rPr>
              <w:t>Maintain current approach, with all pipelines providing 3</w:t>
            </w:r>
            <w:r w:rsidRPr="004E18B9">
              <w:rPr>
                <w:sz w:val="16"/>
                <w:szCs w:val="16"/>
                <w:vertAlign w:val="superscript"/>
              </w:rPr>
              <w:t>rd</w:t>
            </w:r>
            <w:r w:rsidRPr="004E18B9">
              <w:rPr>
                <w:sz w:val="16"/>
                <w:szCs w:val="16"/>
              </w:rPr>
              <w:t xml:space="preserve"> party access subject to some form of regulation. </w:t>
            </w:r>
          </w:p>
        </w:tc>
        <w:tc>
          <w:tcPr>
            <w:tcW w:w="2369" w:type="dxa"/>
            <w:gridSpan w:val="2"/>
            <w:shd w:val="clear" w:color="auto" w:fill="FFFFFF" w:themeFill="background1"/>
          </w:tcPr>
          <w:p w14:paraId="53F87832" w14:textId="77777777" w:rsidR="00CD0BFB" w:rsidRDefault="00CD0BFB" w:rsidP="000C0157">
            <w:pPr>
              <w:pStyle w:val="TableBullet10"/>
              <w:numPr>
                <w:ilvl w:val="0"/>
                <w:numId w:val="0"/>
              </w:numPr>
              <w:spacing w:before="20" w:after="20" w:line="240" w:lineRule="auto"/>
              <w:ind w:left="85"/>
              <w:rPr>
                <w:sz w:val="16"/>
                <w:szCs w:val="16"/>
              </w:rPr>
            </w:pPr>
            <w:r w:rsidRPr="004E18B9">
              <w:rPr>
                <w:sz w:val="16"/>
                <w:szCs w:val="16"/>
              </w:rPr>
              <w:t>Allow 3</w:t>
            </w:r>
            <w:r w:rsidRPr="004E18B9">
              <w:rPr>
                <w:sz w:val="16"/>
                <w:szCs w:val="16"/>
                <w:vertAlign w:val="superscript"/>
              </w:rPr>
              <w:t>rd</w:t>
            </w:r>
            <w:r w:rsidRPr="004E18B9">
              <w:rPr>
                <w:sz w:val="16"/>
                <w:szCs w:val="16"/>
              </w:rPr>
              <w:t xml:space="preserve"> party access </w:t>
            </w:r>
            <w:r>
              <w:rPr>
                <w:sz w:val="16"/>
                <w:szCs w:val="16"/>
              </w:rPr>
              <w:t xml:space="preserve">pipelines </w:t>
            </w:r>
            <w:r w:rsidRPr="004E18B9">
              <w:rPr>
                <w:sz w:val="16"/>
                <w:szCs w:val="16"/>
              </w:rPr>
              <w:t xml:space="preserve">to obtain </w:t>
            </w:r>
            <w:r>
              <w:rPr>
                <w:sz w:val="16"/>
                <w:szCs w:val="16"/>
              </w:rPr>
              <w:t xml:space="preserve">an </w:t>
            </w:r>
            <w:r w:rsidRPr="004E18B9">
              <w:rPr>
                <w:sz w:val="16"/>
                <w:szCs w:val="16"/>
              </w:rPr>
              <w:t xml:space="preserve">exemption from regulation if </w:t>
            </w:r>
            <w:r>
              <w:rPr>
                <w:sz w:val="16"/>
                <w:szCs w:val="16"/>
              </w:rPr>
              <w:t>they</w:t>
            </w:r>
            <w:r w:rsidRPr="004E18B9">
              <w:rPr>
                <w:sz w:val="16"/>
                <w:szCs w:val="16"/>
              </w:rPr>
              <w:t xml:space="preserve"> can </w:t>
            </w:r>
            <w:r>
              <w:rPr>
                <w:sz w:val="16"/>
                <w:szCs w:val="16"/>
              </w:rPr>
              <w:t>demonstrate</w:t>
            </w:r>
            <w:r w:rsidRPr="004E18B9">
              <w:rPr>
                <w:sz w:val="16"/>
                <w:szCs w:val="16"/>
              </w:rPr>
              <w:t xml:space="preserve"> </w:t>
            </w:r>
            <w:r>
              <w:rPr>
                <w:sz w:val="16"/>
                <w:szCs w:val="16"/>
              </w:rPr>
              <w:t xml:space="preserve">they do </w:t>
            </w:r>
            <w:r w:rsidRPr="004E18B9">
              <w:rPr>
                <w:sz w:val="16"/>
                <w:szCs w:val="16"/>
              </w:rPr>
              <w:t>not have substantial market power</w:t>
            </w:r>
            <w:r>
              <w:rPr>
                <w:sz w:val="16"/>
                <w:szCs w:val="16"/>
              </w:rPr>
              <w:t>.</w:t>
            </w:r>
            <w:r w:rsidRPr="004E18B9">
              <w:rPr>
                <w:sz w:val="16"/>
                <w:szCs w:val="16"/>
              </w:rPr>
              <w:t xml:space="preserve"> </w:t>
            </w:r>
          </w:p>
        </w:tc>
        <w:tc>
          <w:tcPr>
            <w:tcW w:w="2349" w:type="dxa"/>
            <w:shd w:val="clear" w:color="auto" w:fill="FFFFFF" w:themeFill="background1"/>
          </w:tcPr>
          <w:p w14:paraId="7E280295" w14:textId="77777777" w:rsidR="00CD0BFB" w:rsidRPr="001B5C8A" w:rsidRDefault="00CD0BFB" w:rsidP="000C0157">
            <w:pPr>
              <w:pStyle w:val="TableBullet10"/>
              <w:numPr>
                <w:ilvl w:val="0"/>
                <w:numId w:val="0"/>
              </w:numPr>
              <w:spacing w:before="20" w:after="20" w:line="240" w:lineRule="auto"/>
              <w:ind w:left="85"/>
              <w:rPr>
                <w:sz w:val="16"/>
                <w:szCs w:val="16"/>
              </w:rPr>
            </w:pPr>
            <w:r w:rsidRPr="001B5C8A">
              <w:rPr>
                <w:sz w:val="16"/>
                <w:szCs w:val="16"/>
              </w:rPr>
              <w:t>Maintain the current approach, with all pipelines providing 3</w:t>
            </w:r>
            <w:r w:rsidRPr="001B5C8A">
              <w:rPr>
                <w:sz w:val="16"/>
                <w:szCs w:val="16"/>
                <w:vertAlign w:val="superscript"/>
              </w:rPr>
              <w:t>rd</w:t>
            </w:r>
            <w:r w:rsidRPr="001B5C8A">
              <w:rPr>
                <w:sz w:val="16"/>
                <w:szCs w:val="16"/>
              </w:rPr>
              <w:t xml:space="preserve"> party access subject to some form of regulation  </w:t>
            </w:r>
          </w:p>
        </w:tc>
        <w:tc>
          <w:tcPr>
            <w:tcW w:w="4871" w:type="dxa"/>
            <w:gridSpan w:val="2"/>
            <w:vMerge w:val="restart"/>
            <w:shd w:val="clear" w:color="auto" w:fill="FFFFFF" w:themeFill="background1"/>
          </w:tcPr>
          <w:p w14:paraId="5FF807F6" w14:textId="77777777" w:rsidR="00CD0BFB" w:rsidRPr="001B5C8A" w:rsidRDefault="00CD0BFB" w:rsidP="000C0157">
            <w:pPr>
              <w:pStyle w:val="BodyText"/>
              <w:spacing w:before="20" w:after="20" w:line="240" w:lineRule="auto"/>
              <w:rPr>
                <w:rFonts w:cs="Arial"/>
                <w:sz w:val="16"/>
                <w:szCs w:val="16"/>
              </w:rPr>
            </w:pPr>
            <w:r w:rsidRPr="001B5C8A">
              <w:rPr>
                <w:rFonts w:cs="Arial"/>
                <w:sz w:val="16"/>
                <w:szCs w:val="16"/>
              </w:rPr>
              <w:t xml:space="preserve">Require </w:t>
            </w:r>
            <w:r w:rsidRPr="001B5C8A">
              <w:rPr>
                <w:rFonts w:cs="Arial"/>
                <w:sz w:val="16"/>
                <w:szCs w:val="16"/>
                <w:u w:val="single"/>
              </w:rPr>
              <w:t>all</w:t>
            </w:r>
            <w:r w:rsidRPr="001B5C8A">
              <w:rPr>
                <w:rFonts w:cs="Arial"/>
                <w:sz w:val="16"/>
                <w:szCs w:val="16"/>
              </w:rPr>
              <w:t xml:space="preserve"> pipelines to provide 3</w:t>
            </w:r>
            <w:r w:rsidRPr="001B5C8A">
              <w:rPr>
                <w:rFonts w:cs="Arial"/>
                <w:sz w:val="16"/>
                <w:szCs w:val="16"/>
                <w:vertAlign w:val="superscript"/>
              </w:rPr>
              <w:t>rd</w:t>
            </w:r>
            <w:r w:rsidRPr="001B5C8A">
              <w:rPr>
                <w:rFonts w:cs="Arial"/>
                <w:sz w:val="16"/>
                <w:szCs w:val="16"/>
              </w:rPr>
              <w:t xml:space="preserve"> party access and to be subject to some form of regulation.</w:t>
            </w:r>
          </w:p>
          <w:p w14:paraId="49564FB1" w14:textId="77777777" w:rsidR="001B5C8A" w:rsidRPr="001B5C8A" w:rsidRDefault="001B5C8A" w:rsidP="000C0157">
            <w:pPr>
              <w:pStyle w:val="BodyText"/>
              <w:spacing w:before="20" w:after="20" w:line="240" w:lineRule="auto"/>
              <w:rPr>
                <w:rFonts w:cs="Arial"/>
                <w:sz w:val="16"/>
                <w:szCs w:val="16"/>
              </w:rPr>
            </w:pPr>
            <w:r w:rsidRPr="001B5C8A">
              <w:rPr>
                <w:sz w:val="16"/>
                <w:szCs w:val="16"/>
              </w:rPr>
              <w:t>For transitional purposes, those pipelines that have already obtained a 15-year no coverage determination and are not providing third party access would be exempt from the obligation to provide third party access for the remaining term of the exemption period</w:t>
            </w:r>
          </w:p>
        </w:tc>
      </w:tr>
      <w:tr w:rsidR="00CD0BFB" w:rsidRPr="004E18B9" w14:paraId="5AF78CFC" w14:textId="77777777" w:rsidTr="000C0157">
        <w:trPr>
          <w:cnfStyle w:val="000000010000" w:firstRow="0" w:lastRow="0" w:firstColumn="0" w:lastColumn="0" w:oddVBand="0" w:evenVBand="0" w:oddHBand="0" w:evenHBand="1" w:firstRowFirstColumn="0" w:firstRowLastColumn="0" w:lastRowFirstColumn="0" w:lastRowLastColumn="0"/>
          <w:trHeight w:val="1060"/>
        </w:trPr>
        <w:tc>
          <w:tcPr>
            <w:tcW w:w="1383" w:type="dxa"/>
            <w:vMerge/>
          </w:tcPr>
          <w:p w14:paraId="117D1DCF" w14:textId="77777777" w:rsidR="00CD0BFB" w:rsidRPr="004E18B9" w:rsidRDefault="00CD0BFB" w:rsidP="000C0157">
            <w:pPr>
              <w:pStyle w:val="BodyText"/>
              <w:spacing w:before="20" w:after="20" w:line="240" w:lineRule="auto"/>
              <w:rPr>
                <w:rFonts w:cs="Arial"/>
                <w:b/>
                <w:sz w:val="16"/>
                <w:szCs w:val="16"/>
              </w:rPr>
            </w:pPr>
          </w:p>
        </w:tc>
        <w:tc>
          <w:tcPr>
            <w:tcW w:w="1260" w:type="dxa"/>
            <w:tcBorders>
              <w:bottom w:val="single" w:sz="4" w:space="0" w:color="auto"/>
            </w:tcBorders>
            <w:shd w:val="clear" w:color="auto" w:fill="F2F2F2" w:themeFill="background1" w:themeFillShade="F2"/>
          </w:tcPr>
          <w:p w14:paraId="07ED5323" w14:textId="77777777" w:rsidR="00CD0BFB" w:rsidRPr="004E18B9" w:rsidRDefault="00CD0BFB" w:rsidP="000C0157">
            <w:pPr>
              <w:pStyle w:val="BodyText"/>
              <w:spacing w:before="20" w:after="20" w:line="240" w:lineRule="auto"/>
              <w:rPr>
                <w:rFonts w:cs="Arial"/>
                <w:b/>
                <w:sz w:val="16"/>
                <w:szCs w:val="16"/>
              </w:rPr>
            </w:pPr>
            <w:r w:rsidRPr="004E18B9">
              <w:rPr>
                <w:rFonts w:cs="Arial"/>
                <w:b/>
                <w:sz w:val="16"/>
                <w:szCs w:val="16"/>
              </w:rPr>
              <w:t>Access to pipelines not voluntarily providing 3</w:t>
            </w:r>
            <w:r w:rsidRPr="004E18B9">
              <w:rPr>
                <w:rFonts w:cs="Arial"/>
                <w:b/>
                <w:sz w:val="16"/>
                <w:szCs w:val="16"/>
                <w:vertAlign w:val="superscript"/>
              </w:rPr>
              <w:t>rd</w:t>
            </w:r>
            <w:r w:rsidRPr="004E18B9">
              <w:rPr>
                <w:rFonts w:cs="Arial"/>
                <w:b/>
                <w:sz w:val="16"/>
                <w:szCs w:val="16"/>
              </w:rPr>
              <w:t xml:space="preserve"> party access</w:t>
            </w:r>
          </w:p>
        </w:tc>
        <w:tc>
          <w:tcPr>
            <w:tcW w:w="2104" w:type="dxa"/>
            <w:tcBorders>
              <w:bottom w:val="single" w:sz="4" w:space="0" w:color="auto"/>
            </w:tcBorders>
            <w:shd w:val="clear" w:color="auto" w:fill="F2F2F2" w:themeFill="background1" w:themeFillShade="F2"/>
          </w:tcPr>
          <w:p w14:paraId="369B1D63" w14:textId="77777777" w:rsidR="00CD0BFB" w:rsidRPr="004E18B9" w:rsidRDefault="00CD0BFB" w:rsidP="000C0157">
            <w:pPr>
              <w:pStyle w:val="TableBullet10"/>
              <w:numPr>
                <w:ilvl w:val="0"/>
                <w:numId w:val="0"/>
              </w:numPr>
              <w:spacing w:before="20" w:after="20" w:line="240" w:lineRule="auto"/>
              <w:ind w:left="85"/>
              <w:rPr>
                <w:sz w:val="16"/>
                <w:szCs w:val="16"/>
              </w:rPr>
            </w:pPr>
            <w:r w:rsidRPr="004E18B9">
              <w:rPr>
                <w:sz w:val="16"/>
                <w:szCs w:val="16"/>
              </w:rPr>
              <w:t xml:space="preserve">Maintain current approach to enabling access to be sought to pipelines not </w:t>
            </w:r>
            <w:r>
              <w:rPr>
                <w:sz w:val="16"/>
                <w:szCs w:val="16"/>
              </w:rPr>
              <w:t xml:space="preserve">voluntarily </w:t>
            </w:r>
            <w:r w:rsidRPr="004E18B9">
              <w:rPr>
                <w:sz w:val="16"/>
                <w:szCs w:val="16"/>
              </w:rPr>
              <w:t>providing 3</w:t>
            </w:r>
            <w:r w:rsidRPr="004E18B9">
              <w:rPr>
                <w:sz w:val="16"/>
                <w:szCs w:val="16"/>
                <w:vertAlign w:val="superscript"/>
              </w:rPr>
              <w:t>rd</w:t>
            </w:r>
            <w:r w:rsidRPr="004E18B9">
              <w:rPr>
                <w:sz w:val="16"/>
                <w:szCs w:val="16"/>
              </w:rPr>
              <w:t xml:space="preserve"> party access</w:t>
            </w:r>
            <w:r>
              <w:rPr>
                <w:sz w:val="16"/>
                <w:szCs w:val="16"/>
              </w:rPr>
              <w:t xml:space="preserve"> if the coverage test is satisfied</w:t>
            </w:r>
            <w:r w:rsidRPr="004E18B9">
              <w:rPr>
                <w:sz w:val="16"/>
                <w:szCs w:val="16"/>
              </w:rPr>
              <w:t>.</w:t>
            </w:r>
          </w:p>
        </w:tc>
        <w:tc>
          <w:tcPr>
            <w:tcW w:w="4718" w:type="dxa"/>
            <w:gridSpan w:val="3"/>
            <w:tcBorders>
              <w:bottom w:val="single" w:sz="4" w:space="0" w:color="auto"/>
            </w:tcBorders>
            <w:shd w:val="clear" w:color="auto" w:fill="F2F2F2" w:themeFill="background1" w:themeFillShade="F2"/>
          </w:tcPr>
          <w:p w14:paraId="77C3373A" w14:textId="77777777" w:rsidR="00CD0BFB" w:rsidRPr="004E18B9" w:rsidRDefault="00CD0BFB" w:rsidP="000C0157">
            <w:pPr>
              <w:pStyle w:val="TableBullet10"/>
              <w:numPr>
                <w:ilvl w:val="0"/>
                <w:numId w:val="0"/>
              </w:numPr>
              <w:spacing w:before="20" w:after="20" w:line="240" w:lineRule="auto"/>
              <w:ind w:left="85"/>
              <w:rPr>
                <w:sz w:val="16"/>
                <w:szCs w:val="16"/>
              </w:rPr>
            </w:pPr>
            <w:r>
              <w:rPr>
                <w:sz w:val="16"/>
                <w:szCs w:val="16"/>
              </w:rPr>
              <w:t>Allow</w:t>
            </w:r>
            <w:r w:rsidRPr="004E18B9">
              <w:rPr>
                <w:sz w:val="16"/>
                <w:szCs w:val="16"/>
              </w:rPr>
              <w:t xml:space="preserve"> access to be sought to pipelines not </w:t>
            </w:r>
            <w:r>
              <w:rPr>
                <w:sz w:val="16"/>
                <w:szCs w:val="16"/>
              </w:rPr>
              <w:t xml:space="preserve">voluntarily </w:t>
            </w:r>
            <w:r w:rsidRPr="004E18B9">
              <w:rPr>
                <w:sz w:val="16"/>
                <w:szCs w:val="16"/>
              </w:rPr>
              <w:t>providing 3</w:t>
            </w:r>
            <w:r w:rsidRPr="004E18B9">
              <w:rPr>
                <w:sz w:val="16"/>
                <w:szCs w:val="16"/>
                <w:vertAlign w:val="superscript"/>
              </w:rPr>
              <w:t>rd</w:t>
            </w:r>
            <w:r w:rsidRPr="004E18B9">
              <w:rPr>
                <w:sz w:val="16"/>
                <w:szCs w:val="16"/>
              </w:rPr>
              <w:t xml:space="preserve"> party access</w:t>
            </w:r>
            <w:r>
              <w:rPr>
                <w:sz w:val="16"/>
                <w:szCs w:val="16"/>
              </w:rPr>
              <w:t xml:space="preserve"> if market power-NGO test satisfied</w:t>
            </w:r>
            <w:r w:rsidRPr="004E18B9">
              <w:rPr>
                <w:sz w:val="16"/>
                <w:szCs w:val="16"/>
              </w:rPr>
              <w:t>.</w:t>
            </w:r>
          </w:p>
        </w:tc>
        <w:tc>
          <w:tcPr>
            <w:tcW w:w="4871" w:type="dxa"/>
            <w:gridSpan w:val="2"/>
            <w:vMerge/>
            <w:tcBorders>
              <w:bottom w:val="single" w:sz="4" w:space="0" w:color="auto"/>
            </w:tcBorders>
          </w:tcPr>
          <w:p w14:paraId="172AAB3A" w14:textId="77777777" w:rsidR="00CD0BFB" w:rsidRPr="004E18B9" w:rsidRDefault="00CD0BFB" w:rsidP="000C0157">
            <w:pPr>
              <w:pStyle w:val="BodyText"/>
              <w:spacing w:before="20" w:after="20" w:line="240" w:lineRule="auto"/>
              <w:rPr>
                <w:rFonts w:cs="Arial"/>
                <w:sz w:val="16"/>
                <w:szCs w:val="16"/>
              </w:rPr>
            </w:pPr>
          </w:p>
        </w:tc>
      </w:tr>
      <w:tr w:rsidR="00CD0BFB" w:rsidRPr="004E18B9" w14:paraId="558D4846" w14:textId="77777777" w:rsidTr="000C0157">
        <w:trPr>
          <w:trHeight w:val="888"/>
        </w:trPr>
        <w:tc>
          <w:tcPr>
            <w:tcW w:w="1383" w:type="dxa"/>
            <w:vMerge/>
          </w:tcPr>
          <w:p w14:paraId="65E8933C" w14:textId="77777777" w:rsidR="00CD0BFB" w:rsidRPr="004E18B9" w:rsidRDefault="00CD0BFB" w:rsidP="000C0157">
            <w:pPr>
              <w:pStyle w:val="BodyText"/>
              <w:spacing w:before="20" w:after="20" w:line="240" w:lineRule="auto"/>
              <w:rPr>
                <w:rFonts w:cs="Arial"/>
                <w:b/>
                <w:sz w:val="16"/>
                <w:szCs w:val="16"/>
              </w:rPr>
            </w:pPr>
          </w:p>
        </w:tc>
        <w:tc>
          <w:tcPr>
            <w:tcW w:w="1260" w:type="dxa"/>
            <w:tcBorders>
              <w:bottom w:val="single" w:sz="4" w:space="0" w:color="auto"/>
            </w:tcBorders>
            <w:shd w:val="clear" w:color="auto" w:fill="E1E2E7" w:themeFill="background2"/>
          </w:tcPr>
          <w:p w14:paraId="26655005" w14:textId="77777777" w:rsidR="00CD0BFB" w:rsidRPr="004E18B9" w:rsidRDefault="00CD0BFB" w:rsidP="000C0157">
            <w:pPr>
              <w:pStyle w:val="BodyText"/>
              <w:spacing w:before="20" w:after="20" w:line="240" w:lineRule="auto"/>
              <w:rPr>
                <w:rFonts w:cs="Arial"/>
                <w:b/>
                <w:sz w:val="16"/>
                <w:szCs w:val="16"/>
              </w:rPr>
            </w:pPr>
            <w:r w:rsidRPr="004E18B9">
              <w:rPr>
                <w:rFonts w:cs="Arial"/>
                <w:b/>
                <w:sz w:val="16"/>
                <w:szCs w:val="16"/>
              </w:rPr>
              <w:t xml:space="preserve">Greenfield </w:t>
            </w:r>
            <w:r>
              <w:rPr>
                <w:rFonts w:cs="Arial"/>
                <w:b/>
                <w:sz w:val="16"/>
                <w:szCs w:val="16"/>
              </w:rPr>
              <w:t>exemption</w:t>
            </w:r>
          </w:p>
        </w:tc>
        <w:tc>
          <w:tcPr>
            <w:tcW w:w="2104" w:type="dxa"/>
            <w:tcBorders>
              <w:bottom w:val="single" w:sz="4" w:space="0" w:color="auto"/>
            </w:tcBorders>
            <w:shd w:val="clear" w:color="auto" w:fill="E1E2E7" w:themeFill="background2"/>
          </w:tcPr>
          <w:p w14:paraId="17BBA6E3" w14:textId="77777777" w:rsidR="00CD0BFB" w:rsidRPr="004E18B9" w:rsidRDefault="00CD0BFB" w:rsidP="000C0157">
            <w:pPr>
              <w:pStyle w:val="TableBullet10"/>
              <w:numPr>
                <w:ilvl w:val="0"/>
                <w:numId w:val="0"/>
              </w:numPr>
              <w:spacing w:before="20" w:after="20" w:line="240" w:lineRule="auto"/>
              <w:ind w:left="85"/>
              <w:rPr>
                <w:sz w:val="16"/>
                <w:szCs w:val="16"/>
              </w:rPr>
            </w:pPr>
            <w:r w:rsidRPr="004E18B9">
              <w:rPr>
                <w:sz w:val="16"/>
                <w:szCs w:val="16"/>
              </w:rPr>
              <w:t>Maintain current approach</w:t>
            </w:r>
            <w:r>
              <w:rPr>
                <w:sz w:val="16"/>
                <w:szCs w:val="16"/>
              </w:rPr>
              <w:t>, with new pipelines able to obtain a 15-year no coverage determination if the coverage test is not satisfied and the terms and conditions of access for pipelines developed through a competitive tender process able to be locked in for up to 15 years.</w:t>
            </w:r>
          </w:p>
        </w:tc>
        <w:tc>
          <w:tcPr>
            <w:tcW w:w="2337" w:type="dxa"/>
            <w:tcBorders>
              <w:bottom w:val="single" w:sz="4" w:space="0" w:color="auto"/>
            </w:tcBorders>
            <w:shd w:val="clear" w:color="auto" w:fill="E1E2E7" w:themeFill="background2"/>
          </w:tcPr>
          <w:p w14:paraId="14FE087E" w14:textId="77777777" w:rsidR="00CD0BFB" w:rsidRPr="004E18B9" w:rsidRDefault="00CD0BFB" w:rsidP="000C0157">
            <w:pPr>
              <w:pStyle w:val="TableBullet10"/>
              <w:numPr>
                <w:ilvl w:val="0"/>
                <w:numId w:val="0"/>
              </w:numPr>
              <w:spacing w:before="20" w:after="20" w:line="240" w:lineRule="auto"/>
              <w:ind w:left="85"/>
              <w:rPr>
                <w:sz w:val="16"/>
                <w:szCs w:val="16"/>
              </w:rPr>
            </w:pPr>
            <w:r w:rsidRPr="004E18B9">
              <w:rPr>
                <w:sz w:val="16"/>
                <w:szCs w:val="16"/>
              </w:rPr>
              <w:t xml:space="preserve">Single greenfield </w:t>
            </w:r>
            <w:r>
              <w:rPr>
                <w:sz w:val="16"/>
                <w:szCs w:val="16"/>
              </w:rPr>
              <w:t>exemption</w:t>
            </w:r>
            <w:r w:rsidRPr="004E18B9">
              <w:rPr>
                <w:sz w:val="16"/>
                <w:szCs w:val="16"/>
              </w:rPr>
              <w:t xml:space="preserve"> to </w:t>
            </w:r>
            <w:r>
              <w:rPr>
                <w:sz w:val="16"/>
                <w:szCs w:val="16"/>
              </w:rPr>
              <w:t>enable</w:t>
            </w:r>
            <w:r w:rsidRPr="004E18B9">
              <w:rPr>
                <w:sz w:val="16"/>
                <w:szCs w:val="16"/>
              </w:rPr>
              <w:t xml:space="preserve"> new pipelines with a full exemption from regulation if the pipeline </w:t>
            </w:r>
            <w:r>
              <w:rPr>
                <w:sz w:val="16"/>
                <w:szCs w:val="16"/>
              </w:rPr>
              <w:t>can demonstrate it will not have substantial market power over the exemption period</w:t>
            </w:r>
            <w:r w:rsidRPr="004E18B9">
              <w:rPr>
                <w:sz w:val="16"/>
                <w:szCs w:val="16"/>
              </w:rPr>
              <w:t xml:space="preserve">. </w:t>
            </w:r>
          </w:p>
        </w:tc>
        <w:tc>
          <w:tcPr>
            <w:tcW w:w="4399" w:type="dxa"/>
            <w:gridSpan w:val="3"/>
            <w:tcBorders>
              <w:bottom w:val="single" w:sz="4" w:space="0" w:color="auto"/>
            </w:tcBorders>
            <w:shd w:val="clear" w:color="auto" w:fill="E1E2E7" w:themeFill="background2"/>
          </w:tcPr>
          <w:p w14:paraId="70987BD3" w14:textId="77777777" w:rsidR="00CD0BFB" w:rsidRPr="004E18B9" w:rsidRDefault="00CD0BFB" w:rsidP="000C0157">
            <w:pPr>
              <w:pStyle w:val="TableBullet10"/>
              <w:numPr>
                <w:ilvl w:val="0"/>
                <w:numId w:val="0"/>
              </w:numPr>
              <w:spacing w:before="20" w:after="20" w:line="240" w:lineRule="auto"/>
              <w:ind w:left="85"/>
              <w:rPr>
                <w:sz w:val="16"/>
                <w:szCs w:val="16"/>
              </w:rPr>
            </w:pPr>
            <w:r w:rsidRPr="004E18B9">
              <w:rPr>
                <w:sz w:val="16"/>
                <w:szCs w:val="16"/>
              </w:rPr>
              <w:t xml:space="preserve">Single greenfield </w:t>
            </w:r>
            <w:r>
              <w:rPr>
                <w:sz w:val="16"/>
                <w:szCs w:val="16"/>
              </w:rPr>
              <w:t>exemption</w:t>
            </w:r>
            <w:r w:rsidRPr="004E18B9">
              <w:rPr>
                <w:sz w:val="16"/>
                <w:szCs w:val="16"/>
              </w:rPr>
              <w:t xml:space="preserve"> to </w:t>
            </w:r>
            <w:r>
              <w:rPr>
                <w:sz w:val="16"/>
                <w:szCs w:val="16"/>
              </w:rPr>
              <w:t xml:space="preserve">enable </w:t>
            </w:r>
            <w:r w:rsidRPr="004E18B9">
              <w:rPr>
                <w:sz w:val="16"/>
                <w:szCs w:val="16"/>
              </w:rPr>
              <w:t xml:space="preserve">new pipelines </w:t>
            </w:r>
            <w:r>
              <w:rPr>
                <w:sz w:val="16"/>
                <w:szCs w:val="16"/>
              </w:rPr>
              <w:t xml:space="preserve">to obtain an </w:t>
            </w:r>
            <w:r w:rsidRPr="004E18B9">
              <w:rPr>
                <w:sz w:val="16"/>
                <w:szCs w:val="16"/>
              </w:rPr>
              <w:t xml:space="preserve">exemption from </w:t>
            </w:r>
            <w:r>
              <w:rPr>
                <w:sz w:val="16"/>
                <w:szCs w:val="16"/>
              </w:rPr>
              <w:t xml:space="preserve">the stronger </w:t>
            </w:r>
            <w:r w:rsidRPr="004E18B9">
              <w:rPr>
                <w:sz w:val="16"/>
                <w:szCs w:val="16"/>
              </w:rPr>
              <w:t>form of regulation</w:t>
            </w:r>
            <w:r>
              <w:rPr>
                <w:sz w:val="16"/>
                <w:szCs w:val="16"/>
              </w:rPr>
              <w:t>, and where relevant,</w:t>
            </w:r>
            <w:r w:rsidRPr="004E18B9">
              <w:rPr>
                <w:sz w:val="16"/>
                <w:szCs w:val="16"/>
              </w:rPr>
              <w:t xml:space="preserve"> </w:t>
            </w:r>
            <w:r>
              <w:rPr>
                <w:sz w:val="16"/>
                <w:szCs w:val="16"/>
              </w:rPr>
              <w:t>lock in the outcomes of competition,</w:t>
            </w:r>
            <w:r w:rsidRPr="004E18B9">
              <w:rPr>
                <w:sz w:val="16"/>
                <w:szCs w:val="16"/>
              </w:rPr>
              <w:t xml:space="preserve"> for up to 15 years</w:t>
            </w:r>
            <w:r>
              <w:rPr>
                <w:sz w:val="16"/>
                <w:szCs w:val="16"/>
              </w:rPr>
              <w:t xml:space="preserve"> where it can be demonstrated that the pipeline is unlikely to have substantial market power over the exemption period</w:t>
            </w:r>
            <w:r w:rsidRPr="004E18B9">
              <w:rPr>
                <w:sz w:val="16"/>
                <w:szCs w:val="16"/>
              </w:rPr>
              <w:t xml:space="preserve">. </w:t>
            </w:r>
          </w:p>
        </w:tc>
        <w:tc>
          <w:tcPr>
            <w:tcW w:w="2848" w:type="dxa"/>
            <w:tcBorders>
              <w:bottom w:val="single" w:sz="4" w:space="0" w:color="auto"/>
            </w:tcBorders>
            <w:shd w:val="clear" w:color="auto" w:fill="E1E2E7" w:themeFill="background2"/>
          </w:tcPr>
          <w:p w14:paraId="24D33462" w14:textId="77777777" w:rsidR="00CD0BFB" w:rsidRPr="004E18B9" w:rsidRDefault="00CD0BFB" w:rsidP="000C0157">
            <w:pPr>
              <w:pStyle w:val="TableBullet10"/>
              <w:numPr>
                <w:ilvl w:val="0"/>
                <w:numId w:val="0"/>
              </w:numPr>
              <w:spacing w:before="20" w:after="20" w:line="240" w:lineRule="auto"/>
              <w:ind w:left="85"/>
              <w:rPr>
                <w:sz w:val="16"/>
                <w:szCs w:val="16"/>
              </w:rPr>
            </w:pPr>
            <w:r>
              <w:rPr>
                <w:sz w:val="16"/>
                <w:szCs w:val="16"/>
              </w:rPr>
              <w:t>No greenfield exemption</w:t>
            </w:r>
          </w:p>
        </w:tc>
      </w:tr>
      <w:tr w:rsidR="00CD0BFB" w:rsidRPr="004E18B9" w14:paraId="367C6A52" w14:textId="77777777" w:rsidTr="000C0157">
        <w:trPr>
          <w:cnfStyle w:val="000000010000" w:firstRow="0" w:lastRow="0" w:firstColumn="0" w:lastColumn="0" w:oddVBand="0" w:evenVBand="0" w:oddHBand="0" w:evenHBand="1" w:firstRowFirstColumn="0" w:firstRowLastColumn="0" w:lastRowFirstColumn="0" w:lastRowLastColumn="0"/>
          <w:trHeight w:val="1230"/>
        </w:trPr>
        <w:tc>
          <w:tcPr>
            <w:tcW w:w="1383" w:type="dxa"/>
            <w:vMerge w:val="restart"/>
            <w:shd w:val="clear" w:color="auto" w:fill="F2F2F2" w:themeFill="background1" w:themeFillShade="F2"/>
          </w:tcPr>
          <w:p w14:paraId="281A99DF" w14:textId="77777777" w:rsidR="00CD0BFB" w:rsidRPr="004E18B9" w:rsidRDefault="00CD0BFB" w:rsidP="000C0157">
            <w:pPr>
              <w:pStyle w:val="BodyText"/>
              <w:keepNext/>
              <w:spacing w:before="40" w:after="40" w:line="240" w:lineRule="auto"/>
              <w:rPr>
                <w:rFonts w:cs="Arial"/>
                <w:b/>
                <w:sz w:val="16"/>
                <w:szCs w:val="16"/>
              </w:rPr>
            </w:pPr>
            <w:r w:rsidRPr="004E18B9">
              <w:rPr>
                <w:rFonts w:cs="Arial"/>
                <w:b/>
                <w:bCs/>
                <w:sz w:val="16"/>
                <w:szCs w:val="16"/>
              </w:rPr>
              <w:t>Forms of regulation and the movement between the alternative forms</w:t>
            </w:r>
          </w:p>
        </w:tc>
        <w:tc>
          <w:tcPr>
            <w:tcW w:w="1260" w:type="dxa"/>
            <w:tcBorders>
              <w:bottom w:val="single" w:sz="4" w:space="0" w:color="auto"/>
            </w:tcBorders>
            <w:shd w:val="clear" w:color="auto" w:fill="FFFFFF" w:themeFill="background1"/>
          </w:tcPr>
          <w:p w14:paraId="1F8DBDD4" w14:textId="77777777" w:rsidR="00CD0BFB" w:rsidRPr="004E18B9" w:rsidRDefault="00CD0BFB" w:rsidP="000C0157">
            <w:pPr>
              <w:pStyle w:val="BodyText"/>
              <w:keepNext/>
              <w:spacing w:before="40" w:after="40" w:line="240" w:lineRule="auto"/>
              <w:rPr>
                <w:rFonts w:cs="Arial"/>
                <w:b/>
                <w:sz w:val="16"/>
                <w:szCs w:val="16"/>
              </w:rPr>
            </w:pPr>
            <w:r w:rsidRPr="004E18B9">
              <w:rPr>
                <w:rFonts w:cs="Arial"/>
                <w:b/>
                <w:bCs/>
                <w:sz w:val="16"/>
                <w:szCs w:val="16"/>
              </w:rPr>
              <w:t>Forms of regulation</w:t>
            </w:r>
          </w:p>
        </w:tc>
        <w:tc>
          <w:tcPr>
            <w:tcW w:w="2104" w:type="dxa"/>
            <w:tcBorders>
              <w:bottom w:val="single" w:sz="4" w:space="0" w:color="auto"/>
            </w:tcBorders>
            <w:shd w:val="clear" w:color="auto" w:fill="FFFFFF" w:themeFill="background1"/>
          </w:tcPr>
          <w:p w14:paraId="1BB8423D" w14:textId="77777777" w:rsidR="00CD0BFB" w:rsidRPr="00281575" w:rsidRDefault="00CD0BFB" w:rsidP="000C0157">
            <w:pPr>
              <w:pStyle w:val="BodyText"/>
              <w:keepNext/>
              <w:spacing w:before="20" w:after="20" w:line="240" w:lineRule="auto"/>
              <w:rPr>
                <w:rFonts w:asciiTheme="majorHAnsi" w:hAnsiTheme="majorHAnsi" w:cstheme="majorHAnsi"/>
                <w:sz w:val="16"/>
                <w:szCs w:val="16"/>
              </w:rPr>
            </w:pPr>
            <w:r w:rsidRPr="00281575">
              <w:rPr>
                <w:rFonts w:asciiTheme="majorHAnsi" w:hAnsiTheme="majorHAnsi" w:cstheme="majorHAnsi"/>
                <w:sz w:val="16"/>
                <w:szCs w:val="16"/>
              </w:rPr>
              <w:t>Maintain the existing forms of regulation (i.e. full, light and Part 23).</w:t>
            </w:r>
          </w:p>
        </w:tc>
        <w:tc>
          <w:tcPr>
            <w:tcW w:w="6736" w:type="dxa"/>
            <w:gridSpan w:val="4"/>
            <w:tcBorders>
              <w:bottom w:val="single" w:sz="4" w:space="0" w:color="auto"/>
            </w:tcBorders>
            <w:shd w:val="clear" w:color="auto" w:fill="FFFFFF" w:themeFill="background1"/>
          </w:tcPr>
          <w:p w14:paraId="06D1D7EF" w14:textId="77777777" w:rsidR="00CD0BFB" w:rsidRPr="00281575" w:rsidRDefault="00CD0BFB" w:rsidP="000C0157">
            <w:pPr>
              <w:pStyle w:val="BodyText"/>
              <w:keepNext/>
              <w:spacing w:before="20" w:after="20" w:line="240" w:lineRule="auto"/>
              <w:rPr>
                <w:rFonts w:asciiTheme="majorHAnsi" w:hAnsiTheme="majorHAnsi" w:cstheme="majorHAnsi"/>
                <w:sz w:val="16"/>
                <w:szCs w:val="16"/>
              </w:rPr>
            </w:pPr>
            <w:r w:rsidRPr="00281575">
              <w:rPr>
                <w:rFonts w:asciiTheme="majorHAnsi" w:hAnsiTheme="majorHAnsi" w:cstheme="majorHAnsi"/>
                <w:sz w:val="16"/>
                <w:szCs w:val="16"/>
              </w:rPr>
              <w:t>Adopt the following forms of regulation:</w:t>
            </w:r>
          </w:p>
          <w:p w14:paraId="3B55A106" w14:textId="77777777" w:rsidR="00CD0BFB" w:rsidRPr="00281575" w:rsidRDefault="00CD0BFB" w:rsidP="000C0157">
            <w:pPr>
              <w:pStyle w:val="TableBullet10"/>
              <w:keepNext/>
              <w:spacing w:before="20" w:after="0" w:line="240" w:lineRule="auto"/>
              <w:rPr>
                <w:rFonts w:asciiTheme="majorHAnsi" w:hAnsiTheme="majorHAnsi" w:cstheme="majorHAnsi"/>
                <w:sz w:val="16"/>
                <w:szCs w:val="16"/>
              </w:rPr>
            </w:pPr>
            <w:r w:rsidRPr="00281575">
              <w:rPr>
                <w:rFonts w:asciiTheme="majorHAnsi" w:hAnsiTheme="majorHAnsi" w:cstheme="majorHAnsi"/>
                <w:sz w:val="16"/>
                <w:szCs w:val="16"/>
              </w:rPr>
              <w:t>Stronger regulation – based on full regulation (i.e. negotiate-arbitrate with reference tariffs approved by the regulator and a regulatory-oriented dispute resolution mechanism).</w:t>
            </w:r>
          </w:p>
          <w:p w14:paraId="5F0F3BAB" w14:textId="77777777" w:rsidR="00CD0BFB" w:rsidRPr="00281575" w:rsidRDefault="00CD0BFB" w:rsidP="000C0157">
            <w:pPr>
              <w:pStyle w:val="TableBullet10"/>
              <w:keepNext/>
              <w:spacing w:before="20" w:after="0" w:line="240" w:lineRule="auto"/>
              <w:rPr>
                <w:rFonts w:asciiTheme="majorHAnsi" w:hAnsiTheme="majorHAnsi" w:cstheme="majorHAnsi"/>
                <w:sz w:val="16"/>
                <w:szCs w:val="16"/>
              </w:rPr>
            </w:pPr>
            <w:r w:rsidRPr="00281575">
              <w:rPr>
                <w:rFonts w:asciiTheme="majorHAnsi" w:hAnsiTheme="majorHAnsi" w:cstheme="majorHAnsi"/>
                <w:sz w:val="16"/>
                <w:szCs w:val="16"/>
              </w:rPr>
              <w:t>Lighter regulation – based on the existing Part 23 (i.e. a negotiate-arbitrate model with information disclosure and a commercially-oriented dispute resolution mechanism), which would be strengthened through the inclusion of the safeguards that currently apply to light regulation, but not the prohibition on inefficient price discrimination.</w:t>
            </w:r>
          </w:p>
          <w:p w14:paraId="6670FCD0" w14:textId="77777777" w:rsidR="00281575" w:rsidRPr="00281575" w:rsidRDefault="00281575" w:rsidP="000C0157">
            <w:pPr>
              <w:pStyle w:val="TableBullet10"/>
              <w:keepNext/>
              <w:numPr>
                <w:ilvl w:val="0"/>
                <w:numId w:val="0"/>
              </w:numPr>
              <w:spacing w:before="20" w:after="0" w:line="240" w:lineRule="auto"/>
              <w:ind w:left="85"/>
              <w:rPr>
                <w:rFonts w:asciiTheme="majorHAnsi" w:hAnsiTheme="majorHAnsi" w:cstheme="majorHAnsi"/>
                <w:sz w:val="16"/>
                <w:szCs w:val="16"/>
              </w:rPr>
            </w:pPr>
            <w:r w:rsidRPr="00281575">
              <w:rPr>
                <w:sz w:val="16"/>
                <w:szCs w:val="16"/>
                <w:lang w:eastAsia="en-US"/>
              </w:rPr>
              <w:t>For transitional purposes, the 5.5 pipelines currently subject to light regulation would be transitioned to the new lighter form of regulation unless the service provider elects to be subject to the stronger form of regulation.</w:t>
            </w:r>
          </w:p>
        </w:tc>
        <w:tc>
          <w:tcPr>
            <w:tcW w:w="2848" w:type="dxa"/>
            <w:tcBorders>
              <w:bottom w:val="single" w:sz="4" w:space="0" w:color="auto"/>
            </w:tcBorders>
            <w:shd w:val="clear" w:color="auto" w:fill="FFFFFF" w:themeFill="background1"/>
          </w:tcPr>
          <w:p w14:paraId="179FB4C5" w14:textId="77777777" w:rsidR="00CD0BFB" w:rsidRPr="00D77AEA" w:rsidRDefault="00CD0BFB" w:rsidP="000C0157">
            <w:pPr>
              <w:pStyle w:val="BodyText"/>
              <w:keepNext/>
              <w:spacing w:before="20" w:after="20" w:line="240" w:lineRule="auto"/>
              <w:rPr>
                <w:sz w:val="16"/>
                <w:szCs w:val="16"/>
              </w:rPr>
            </w:pPr>
            <w:r w:rsidRPr="00D77AEA">
              <w:rPr>
                <w:sz w:val="16"/>
                <w:szCs w:val="16"/>
              </w:rPr>
              <w:t>Adopt the following forms of regulation:</w:t>
            </w:r>
          </w:p>
          <w:p w14:paraId="64E6B10C" w14:textId="77777777" w:rsidR="00CD0BFB" w:rsidRDefault="00CD0BFB" w:rsidP="000C0157">
            <w:pPr>
              <w:pStyle w:val="BodyText"/>
              <w:keepNext/>
              <w:numPr>
                <w:ilvl w:val="0"/>
                <w:numId w:val="55"/>
              </w:numPr>
              <w:spacing w:before="20" w:after="20" w:line="240" w:lineRule="auto"/>
              <w:ind w:left="312" w:hanging="227"/>
              <w:rPr>
                <w:sz w:val="16"/>
                <w:szCs w:val="16"/>
              </w:rPr>
            </w:pPr>
            <w:r>
              <w:rPr>
                <w:sz w:val="16"/>
                <w:szCs w:val="16"/>
              </w:rPr>
              <w:t>Stronger</w:t>
            </w:r>
            <w:r w:rsidRPr="00D77AEA">
              <w:rPr>
                <w:sz w:val="16"/>
                <w:szCs w:val="16"/>
              </w:rPr>
              <w:t xml:space="preserve"> based on direct price</w:t>
            </w:r>
            <w:r>
              <w:rPr>
                <w:sz w:val="16"/>
                <w:szCs w:val="16"/>
              </w:rPr>
              <w:t xml:space="preserve"> or </w:t>
            </w:r>
            <w:r w:rsidRPr="00D77AEA">
              <w:rPr>
                <w:sz w:val="16"/>
                <w:szCs w:val="16"/>
              </w:rPr>
              <w:t>revenue control</w:t>
            </w:r>
          </w:p>
          <w:p w14:paraId="0122FE24" w14:textId="77777777" w:rsidR="00CD0BFB" w:rsidRPr="00DF1C2B" w:rsidRDefault="00CD0BFB" w:rsidP="000C0157">
            <w:pPr>
              <w:pStyle w:val="BodyText"/>
              <w:keepNext/>
              <w:numPr>
                <w:ilvl w:val="0"/>
                <w:numId w:val="55"/>
              </w:numPr>
              <w:spacing w:before="20" w:after="20" w:line="240" w:lineRule="auto"/>
              <w:ind w:left="312" w:hanging="227"/>
              <w:rPr>
                <w:sz w:val="16"/>
                <w:szCs w:val="16"/>
              </w:rPr>
            </w:pPr>
            <w:r>
              <w:rPr>
                <w:sz w:val="16"/>
                <w:szCs w:val="16"/>
              </w:rPr>
              <w:t>Lighter</w:t>
            </w:r>
            <w:r w:rsidRPr="00DF1C2B">
              <w:rPr>
                <w:sz w:val="16"/>
                <w:szCs w:val="16"/>
              </w:rPr>
              <w:t xml:space="preserve"> based on strengthened Part 23.</w:t>
            </w:r>
          </w:p>
        </w:tc>
      </w:tr>
      <w:tr w:rsidR="00CD0BFB" w:rsidRPr="004E18B9" w14:paraId="03B9CA1D" w14:textId="77777777" w:rsidTr="000C0157">
        <w:trPr>
          <w:trHeight w:val="813"/>
        </w:trPr>
        <w:tc>
          <w:tcPr>
            <w:tcW w:w="1383" w:type="dxa"/>
            <w:vMerge/>
            <w:shd w:val="clear" w:color="auto" w:fill="F2F2F2" w:themeFill="background1" w:themeFillShade="F2"/>
          </w:tcPr>
          <w:p w14:paraId="5E078AF4" w14:textId="77777777" w:rsidR="00CD0BFB" w:rsidRPr="004E18B9" w:rsidRDefault="00CD0BFB" w:rsidP="000C0157">
            <w:pPr>
              <w:pStyle w:val="BodyText"/>
              <w:spacing w:before="40" w:after="40" w:line="240" w:lineRule="auto"/>
              <w:rPr>
                <w:rFonts w:cs="Arial"/>
                <w:b/>
                <w:bCs/>
                <w:sz w:val="16"/>
                <w:szCs w:val="16"/>
              </w:rPr>
            </w:pPr>
          </w:p>
        </w:tc>
        <w:tc>
          <w:tcPr>
            <w:tcW w:w="1260" w:type="dxa"/>
            <w:tcBorders>
              <w:bottom w:val="single" w:sz="4" w:space="0" w:color="auto"/>
            </w:tcBorders>
            <w:shd w:val="clear" w:color="auto" w:fill="F2F2F2" w:themeFill="background1" w:themeFillShade="F2"/>
          </w:tcPr>
          <w:p w14:paraId="626A9CAA" w14:textId="77777777" w:rsidR="00CD0BFB" w:rsidRPr="004E18B9" w:rsidRDefault="00CD0BFB" w:rsidP="000C0157">
            <w:pPr>
              <w:pStyle w:val="BodyText"/>
              <w:spacing w:before="40" w:after="40" w:line="240" w:lineRule="auto"/>
              <w:rPr>
                <w:rFonts w:cs="Arial"/>
                <w:b/>
                <w:bCs/>
                <w:sz w:val="16"/>
                <w:szCs w:val="16"/>
              </w:rPr>
            </w:pPr>
            <w:r w:rsidRPr="004E18B9">
              <w:rPr>
                <w:rFonts w:cs="Arial"/>
                <w:b/>
                <w:bCs/>
                <w:sz w:val="16"/>
                <w:szCs w:val="16"/>
              </w:rPr>
              <w:t>Dynamic market power measures</w:t>
            </w:r>
          </w:p>
        </w:tc>
        <w:tc>
          <w:tcPr>
            <w:tcW w:w="4441" w:type="dxa"/>
            <w:gridSpan w:val="2"/>
            <w:tcBorders>
              <w:bottom w:val="single" w:sz="4" w:space="0" w:color="auto"/>
            </w:tcBorders>
            <w:shd w:val="clear" w:color="auto" w:fill="F2F2F2" w:themeFill="background1" w:themeFillShade="F2"/>
          </w:tcPr>
          <w:p w14:paraId="2F09006C" w14:textId="77777777" w:rsidR="00CD0BFB" w:rsidRPr="0043228A" w:rsidRDefault="00CD0BFB" w:rsidP="000C0157">
            <w:pPr>
              <w:pStyle w:val="BodyText"/>
              <w:spacing w:before="20" w:after="20" w:line="240" w:lineRule="auto"/>
              <w:rPr>
                <w:rFonts w:cs="Arial"/>
                <w:sz w:val="16"/>
                <w:szCs w:val="16"/>
              </w:rPr>
            </w:pPr>
            <w:r>
              <w:rPr>
                <w:rFonts w:cs="Arial"/>
                <w:sz w:val="16"/>
                <w:szCs w:val="16"/>
              </w:rPr>
              <w:t>Maintain the</w:t>
            </w:r>
            <w:r w:rsidRPr="0043228A">
              <w:rPr>
                <w:rFonts w:cs="Arial"/>
                <w:sz w:val="16"/>
                <w:szCs w:val="16"/>
              </w:rPr>
              <w:t xml:space="preserve"> existing approach, which does not explicitly deal with service providers trying to block new entry.</w:t>
            </w:r>
          </w:p>
        </w:tc>
        <w:tc>
          <w:tcPr>
            <w:tcW w:w="4399" w:type="dxa"/>
            <w:gridSpan w:val="3"/>
            <w:tcBorders>
              <w:bottom w:val="single" w:sz="4" w:space="0" w:color="auto"/>
            </w:tcBorders>
            <w:shd w:val="clear" w:color="auto" w:fill="F2F2F2" w:themeFill="background1" w:themeFillShade="F2"/>
          </w:tcPr>
          <w:p w14:paraId="076200D6" w14:textId="77777777" w:rsidR="00CD0BFB" w:rsidRPr="0043228A" w:rsidRDefault="00CD0BFB" w:rsidP="000C0157">
            <w:pPr>
              <w:pStyle w:val="BodyText"/>
              <w:spacing w:before="40" w:after="20" w:line="240" w:lineRule="auto"/>
              <w:rPr>
                <w:rFonts w:cstheme="minorHAnsi"/>
                <w:sz w:val="16"/>
                <w:szCs w:val="16"/>
              </w:rPr>
            </w:pPr>
            <w:r>
              <w:rPr>
                <w:rFonts w:cstheme="minorHAnsi"/>
                <w:sz w:val="16"/>
                <w:szCs w:val="16"/>
              </w:rPr>
              <w:t>S</w:t>
            </w:r>
            <w:r w:rsidRPr="0043228A">
              <w:rPr>
                <w:rFonts w:cstheme="minorHAnsi"/>
                <w:sz w:val="16"/>
                <w:szCs w:val="16"/>
              </w:rPr>
              <w:t xml:space="preserve">ervice providers would be: </w:t>
            </w:r>
          </w:p>
          <w:p w14:paraId="55C6BDCD" w14:textId="77777777" w:rsidR="00CD0BFB" w:rsidRPr="0043228A" w:rsidRDefault="00CD0BFB" w:rsidP="000C0157">
            <w:pPr>
              <w:pStyle w:val="BodyText"/>
              <w:numPr>
                <w:ilvl w:val="0"/>
                <w:numId w:val="135"/>
              </w:numPr>
              <w:tabs>
                <w:tab w:val="clear" w:pos="2268"/>
                <w:tab w:val="clear" w:pos="4536"/>
                <w:tab w:val="clear" w:pos="6804"/>
                <w:tab w:val="clear" w:pos="9638"/>
              </w:tabs>
              <w:spacing w:before="40" w:after="20" w:line="240" w:lineRule="auto"/>
              <w:ind w:left="312" w:hanging="227"/>
              <w:rPr>
                <w:rFonts w:cstheme="minorHAnsi"/>
                <w:sz w:val="16"/>
                <w:szCs w:val="16"/>
              </w:rPr>
            </w:pPr>
            <w:r w:rsidRPr="0043228A">
              <w:rPr>
                <w:rFonts w:cstheme="minorHAnsi"/>
                <w:sz w:val="16"/>
                <w:szCs w:val="16"/>
              </w:rPr>
              <w:t>required to comply with pipeline interconnection principles set out in the NGR</w:t>
            </w:r>
          </w:p>
          <w:p w14:paraId="446C33D2" w14:textId="77777777" w:rsidR="00CD0BFB" w:rsidRPr="0043228A" w:rsidRDefault="00CD0BFB" w:rsidP="000C0157">
            <w:pPr>
              <w:pStyle w:val="BodyText"/>
              <w:numPr>
                <w:ilvl w:val="0"/>
                <w:numId w:val="135"/>
              </w:numPr>
              <w:tabs>
                <w:tab w:val="clear" w:pos="2268"/>
                <w:tab w:val="clear" w:pos="4536"/>
                <w:tab w:val="clear" w:pos="6804"/>
                <w:tab w:val="clear" w:pos="9638"/>
              </w:tabs>
              <w:spacing w:before="40" w:after="20" w:line="240" w:lineRule="auto"/>
              <w:ind w:left="312" w:hanging="227"/>
              <w:rPr>
                <w:rFonts w:cstheme="minorHAnsi"/>
                <w:sz w:val="16"/>
                <w:szCs w:val="16"/>
              </w:rPr>
            </w:pPr>
            <w:r w:rsidRPr="0043228A">
              <w:rPr>
                <w:rFonts w:cstheme="minorHAnsi"/>
                <w:sz w:val="16"/>
                <w:szCs w:val="16"/>
              </w:rPr>
              <w:t>prohibited from increasing the charges payable by existing shippers to cross-subsidise the development of new capacity (subject to limited exceptions</w:t>
            </w:r>
            <w:r>
              <w:rPr>
                <w:rFonts w:cstheme="minorHAnsi"/>
                <w:sz w:val="16"/>
                <w:szCs w:val="16"/>
              </w:rPr>
              <w:t xml:space="preserve"> specified in the NGR</w:t>
            </w:r>
            <w:r w:rsidRPr="0043228A">
              <w:rPr>
                <w:rFonts w:cstheme="minorHAnsi"/>
                <w:sz w:val="16"/>
                <w:szCs w:val="16"/>
              </w:rPr>
              <w:t xml:space="preserve">) </w:t>
            </w:r>
            <w:r>
              <w:rPr>
                <w:rFonts w:cstheme="minorHAnsi"/>
                <w:sz w:val="16"/>
                <w:szCs w:val="16"/>
              </w:rPr>
              <w:t>and would be required to disclose more information on the costs of extensions and expansions</w:t>
            </w:r>
            <w:r w:rsidRPr="0043228A">
              <w:rPr>
                <w:rFonts w:cstheme="minorHAnsi"/>
                <w:sz w:val="16"/>
                <w:szCs w:val="16"/>
              </w:rPr>
              <w:t>.</w:t>
            </w:r>
          </w:p>
        </w:tc>
        <w:tc>
          <w:tcPr>
            <w:tcW w:w="2848" w:type="dxa"/>
            <w:tcBorders>
              <w:bottom w:val="single" w:sz="4" w:space="0" w:color="auto"/>
            </w:tcBorders>
            <w:shd w:val="clear" w:color="auto" w:fill="F2F2F2" w:themeFill="background1" w:themeFillShade="F2"/>
          </w:tcPr>
          <w:p w14:paraId="060CCAAC" w14:textId="77777777" w:rsidR="00CD0BFB" w:rsidRPr="00D77AEA" w:rsidRDefault="00CD0BFB" w:rsidP="000C0157">
            <w:pPr>
              <w:pStyle w:val="BodyText"/>
              <w:spacing w:before="20" w:after="20" w:line="240" w:lineRule="auto"/>
              <w:rPr>
                <w:sz w:val="16"/>
                <w:szCs w:val="16"/>
              </w:rPr>
            </w:pPr>
            <w:r>
              <w:rPr>
                <w:sz w:val="16"/>
                <w:szCs w:val="16"/>
              </w:rPr>
              <w:t>Service providers</w:t>
            </w:r>
            <w:r w:rsidRPr="00D77AEA">
              <w:rPr>
                <w:sz w:val="16"/>
                <w:szCs w:val="16"/>
              </w:rPr>
              <w:t xml:space="preserve"> would be</w:t>
            </w:r>
            <w:r>
              <w:rPr>
                <w:sz w:val="16"/>
                <w:szCs w:val="16"/>
              </w:rPr>
              <w:t xml:space="preserve"> required to</w:t>
            </w:r>
            <w:r w:rsidRPr="00D77AEA">
              <w:rPr>
                <w:sz w:val="16"/>
                <w:szCs w:val="16"/>
              </w:rPr>
              <w:t xml:space="preserve">: </w:t>
            </w:r>
          </w:p>
          <w:p w14:paraId="33C7D19F" w14:textId="77777777" w:rsidR="00CD0BFB" w:rsidRDefault="00CD0BFB" w:rsidP="000C0157">
            <w:pPr>
              <w:pStyle w:val="BodyText"/>
              <w:numPr>
                <w:ilvl w:val="0"/>
                <w:numId w:val="75"/>
              </w:numPr>
              <w:spacing w:before="20" w:after="20" w:line="240" w:lineRule="auto"/>
              <w:ind w:left="312" w:hanging="227"/>
              <w:rPr>
                <w:sz w:val="16"/>
                <w:szCs w:val="16"/>
              </w:rPr>
            </w:pPr>
            <w:r w:rsidRPr="00D77AEA">
              <w:rPr>
                <w:sz w:val="16"/>
                <w:szCs w:val="16"/>
              </w:rPr>
              <w:t xml:space="preserve">comply with interconnection principles in the NGR </w:t>
            </w:r>
          </w:p>
          <w:p w14:paraId="13C18FE4" w14:textId="77777777" w:rsidR="00CD0BFB" w:rsidRPr="00032969" w:rsidRDefault="00CD0BFB" w:rsidP="000C0157">
            <w:pPr>
              <w:pStyle w:val="BodyText"/>
              <w:numPr>
                <w:ilvl w:val="0"/>
                <w:numId w:val="75"/>
              </w:numPr>
              <w:spacing w:before="20" w:after="20" w:line="240" w:lineRule="auto"/>
              <w:ind w:left="312" w:hanging="227"/>
              <w:rPr>
                <w:sz w:val="16"/>
                <w:szCs w:val="16"/>
              </w:rPr>
            </w:pPr>
            <w:r w:rsidRPr="00032969">
              <w:rPr>
                <w:sz w:val="16"/>
                <w:szCs w:val="16"/>
              </w:rPr>
              <w:t xml:space="preserve">use incremental pricing </w:t>
            </w:r>
            <w:r>
              <w:rPr>
                <w:sz w:val="16"/>
                <w:szCs w:val="16"/>
              </w:rPr>
              <w:t>if the</w:t>
            </w:r>
            <w:r w:rsidRPr="00032969">
              <w:rPr>
                <w:sz w:val="16"/>
                <w:szCs w:val="16"/>
              </w:rPr>
              <w:t xml:space="preserve"> cost of new capacity would result in the price of existing capacity </w:t>
            </w:r>
            <w:r>
              <w:rPr>
                <w:sz w:val="16"/>
                <w:szCs w:val="16"/>
              </w:rPr>
              <w:t>rising</w:t>
            </w:r>
            <w:r w:rsidRPr="00032969">
              <w:rPr>
                <w:sz w:val="16"/>
                <w:szCs w:val="16"/>
              </w:rPr>
              <w:t>.</w:t>
            </w:r>
          </w:p>
        </w:tc>
      </w:tr>
      <w:tr w:rsidR="00CD0BFB" w:rsidRPr="004E18B9" w14:paraId="30C2EB33" w14:textId="77777777" w:rsidTr="000C0157">
        <w:trPr>
          <w:cnfStyle w:val="000000010000" w:firstRow="0" w:lastRow="0" w:firstColumn="0" w:lastColumn="0" w:oddVBand="0" w:evenVBand="0" w:oddHBand="0" w:evenHBand="1" w:firstRowFirstColumn="0" w:firstRowLastColumn="0" w:lastRowFirstColumn="0" w:lastRowLastColumn="0"/>
          <w:trHeight w:val="275"/>
        </w:trPr>
        <w:tc>
          <w:tcPr>
            <w:tcW w:w="1383" w:type="dxa"/>
            <w:vMerge/>
            <w:shd w:val="clear" w:color="auto" w:fill="F2F2F2" w:themeFill="background1" w:themeFillShade="F2"/>
          </w:tcPr>
          <w:p w14:paraId="098B7B6D" w14:textId="77777777" w:rsidR="00CD0BFB" w:rsidRPr="004E18B9" w:rsidRDefault="00CD0BFB" w:rsidP="000C0157">
            <w:pPr>
              <w:pStyle w:val="BodyText"/>
              <w:spacing w:before="40" w:after="40" w:line="240" w:lineRule="auto"/>
              <w:rPr>
                <w:rFonts w:cs="Arial"/>
                <w:b/>
                <w:bCs/>
                <w:sz w:val="16"/>
                <w:szCs w:val="16"/>
              </w:rPr>
            </w:pPr>
          </w:p>
        </w:tc>
        <w:tc>
          <w:tcPr>
            <w:tcW w:w="1260" w:type="dxa"/>
            <w:tcBorders>
              <w:bottom w:val="single" w:sz="4" w:space="0" w:color="auto"/>
            </w:tcBorders>
            <w:shd w:val="clear" w:color="auto" w:fill="FFFFFF" w:themeFill="background1"/>
          </w:tcPr>
          <w:p w14:paraId="470AC39D" w14:textId="77777777" w:rsidR="00CD0BFB" w:rsidRPr="004E18B9" w:rsidRDefault="00CD0BFB" w:rsidP="000C0157">
            <w:pPr>
              <w:pStyle w:val="BodyText"/>
              <w:spacing w:before="40" w:after="40" w:line="240" w:lineRule="auto"/>
              <w:rPr>
                <w:rFonts w:cs="Arial"/>
                <w:b/>
                <w:bCs/>
                <w:sz w:val="16"/>
                <w:szCs w:val="16"/>
              </w:rPr>
            </w:pPr>
            <w:r w:rsidRPr="004E18B9">
              <w:rPr>
                <w:rFonts w:cs="Arial"/>
                <w:b/>
                <w:bCs/>
                <w:sz w:val="16"/>
                <w:szCs w:val="16"/>
              </w:rPr>
              <w:t xml:space="preserve">Monitoring and referral </w:t>
            </w:r>
          </w:p>
        </w:tc>
        <w:tc>
          <w:tcPr>
            <w:tcW w:w="4441" w:type="dxa"/>
            <w:gridSpan w:val="2"/>
            <w:tcBorders>
              <w:bottom w:val="single" w:sz="4" w:space="0" w:color="auto"/>
            </w:tcBorders>
            <w:shd w:val="clear" w:color="auto" w:fill="FFFFFF" w:themeFill="background1"/>
          </w:tcPr>
          <w:p w14:paraId="02FF2EA9" w14:textId="77777777" w:rsidR="00CD0BFB" w:rsidRPr="004E18B9" w:rsidRDefault="00CD0BFB" w:rsidP="000C0157">
            <w:pPr>
              <w:pStyle w:val="BodyText"/>
              <w:spacing w:before="40" w:after="40" w:line="240" w:lineRule="auto"/>
              <w:rPr>
                <w:rFonts w:cs="Arial"/>
                <w:sz w:val="16"/>
                <w:szCs w:val="16"/>
              </w:rPr>
            </w:pPr>
            <w:r>
              <w:rPr>
                <w:rFonts w:cs="Arial"/>
                <w:sz w:val="16"/>
                <w:szCs w:val="16"/>
              </w:rPr>
              <w:t>Maintain</w:t>
            </w:r>
            <w:r w:rsidRPr="004E18B9">
              <w:rPr>
                <w:rFonts w:cs="Arial"/>
                <w:sz w:val="16"/>
                <w:szCs w:val="16"/>
              </w:rPr>
              <w:t xml:space="preserve"> existing approach</w:t>
            </w:r>
            <w:r>
              <w:rPr>
                <w:rFonts w:cs="Arial"/>
                <w:sz w:val="16"/>
                <w:szCs w:val="16"/>
              </w:rPr>
              <w:t>, which provides for limited monitoring by the relevant regulator and no referral function</w:t>
            </w:r>
            <w:r w:rsidRPr="004E18B9">
              <w:rPr>
                <w:rFonts w:cs="Arial"/>
                <w:sz w:val="16"/>
                <w:szCs w:val="16"/>
              </w:rPr>
              <w:t>.</w:t>
            </w:r>
          </w:p>
        </w:tc>
        <w:tc>
          <w:tcPr>
            <w:tcW w:w="7252" w:type="dxa"/>
            <w:gridSpan w:val="4"/>
            <w:tcBorders>
              <w:bottom w:val="single" w:sz="4" w:space="0" w:color="auto"/>
            </w:tcBorders>
            <w:shd w:val="clear" w:color="auto" w:fill="FFFFFF" w:themeFill="background1"/>
          </w:tcPr>
          <w:p w14:paraId="12ADCDF5" w14:textId="77777777" w:rsidR="00CD0BFB" w:rsidRDefault="00CD0BFB" w:rsidP="000C0157">
            <w:pPr>
              <w:pStyle w:val="BodyText"/>
              <w:spacing w:before="40" w:after="40" w:line="240" w:lineRule="auto"/>
              <w:rPr>
                <w:rFonts w:cs="Arial"/>
                <w:sz w:val="16"/>
                <w:szCs w:val="16"/>
              </w:rPr>
            </w:pPr>
            <w:r>
              <w:rPr>
                <w:rFonts w:cs="Arial"/>
                <w:sz w:val="16"/>
                <w:szCs w:val="16"/>
              </w:rPr>
              <w:t>R</w:t>
            </w:r>
            <w:r w:rsidRPr="004E18B9">
              <w:rPr>
                <w:rFonts w:cs="Arial"/>
                <w:sz w:val="16"/>
                <w:szCs w:val="16"/>
              </w:rPr>
              <w:t xml:space="preserve">elevant regulator to </w:t>
            </w:r>
            <w:r>
              <w:rPr>
                <w:rFonts w:cs="Arial"/>
                <w:sz w:val="16"/>
                <w:szCs w:val="16"/>
              </w:rPr>
              <w:t xml:space="preserve">more actively </w:t>
            </w:r>
            <w:r w:rsidRPr="004E18B9">
              <w:rPr>
                <w:rFonts w:cs="Arial"/>
                <w:sz w:val="16"/>
                <w:szCs w:val="16"/>
              </w:rPr>
              <w:t xml:space="preserve">monitor </w:t>
            </w:r>
            <w:r>
              <w:rPr>
                <w:rFonts w:cs="Arial"/>
                <w:sz w:val="16"/>
                <w:szCs w:val="16"/>
              </w:rPr>
              <w:t xml:space="preserve">the </w:t>
            </w:r>
            <w:r w:rsidRPr="004E18B9">
              <w:rPr>
                <w:rFonts w:cs="Arial"/>
                <w:sz w:val="16"/>
                <w:szCs w:val="16"/>
              </w:rPr>
              <w:t xml:space="preserve">behaviour of service providers and </w:t>
            </w:r>
            <w:r>
              <w:rPr>
                <w:rFonts w:cs="Arial"/>
                <w:sz w:val="16"/>
                <w:szCs w:val="16"/>
              </w:rPr>
              <w:t xml:space="preserve">to </w:t>
            </w:r>
            <w:r w:rsidRPr="004E18B9">
              <w:rPr>
                <w:rFonts w:cs="Arial"/>
                <w:sz w:val="16"/>
                <w:szCs w:val="16"/>
              </w:rPr>
              <w:t>refer pipelines for a form of regulation assessment if it suspects market power is being exercised.</w:t>
            </w:r>
          </w:p>
        </w:tc>
      </w:tr>
      <w:tr w:rsidR="00CD0BFB" w:rsidRPr="004E18B9" w14:paraId="0D782A87" w14:textId="77777777" w:rsidTr="000C0157">
        <w:trPr>
          <w:trHeight w:val="70"/>
        </w:trPr>
        <w:tc>
          <w:tcPr>
            <w:tcW w:w="1383" w:type="dxa"/>
            <w:vMerge/>
            <w:tcBorders>
              <w:bottom w:val="single" w:sz="4" w:space="0" w:color="auto"/>
            </w:tcBorders>
            <w:shd w:val="clear" w:color="auto" w:fill="F2F2F2" w:themeFill="background1" w:themeFillShade="F2"/>
          </w:tcPr>
          <w:p w14:paraId="40C5E10A" w14:textId="77777777" w:rsidR="00CD0BFB" w:rsidRPr="004E18B9" w:rsidRDefault="00CD0BFB" w:rsidP="000C0157">
            <w:pPr>
              <w:pStyle w:val="BodyText"/>
              <w:spacing w:before="40" w:after="40" w:line="240" w:lineRule="auto"/>
              <w:rPr>
                <w:rFonts w:cs="Arial"/>
                <w:b/>
                <w:sz w:val="16"/>
                <w:szCs w:val="16"/>
              </w:rPr>
            </w:pPr>
          </w:p>
        </w:tc>
        <w:tc>
          <w:tcPr>
            <w:tcW w:w="1260" w:type="dxa"/>
            <w:tcBorders>
              <w:bottom w:val="single" w:sz="4" w:space="0" w:color="auto"/>
            </w:tcBorders>
            <w:shd w:val="clear" w:color="auto" w:fill="F2F2F2" w:themeFill="background1" w:themeFillShade="F2"/>
          </w:tcPr>
          <w:p w14:paraId="02570A7D" w14:textId="77777777" w:rsidR="00CD0BFB" w:rsidRPr="004E18B9" w:rsidRDefault="00CD0BFB" w:rsidP="000C0157">
            <w:pPr>
              <w:pStyle w:val="BodyText"/>
              <w:spacing w:before="40" w:after="40" w:line="240" w:lineRule="auto"/>
              <w:rPr>
                <w:rFonts w:cs="Arial"/>
                <w:b/>
                <w:sz w:val="16"/>
                <w:szCs w:val="16"/>
              </w:rPr>
            </w:pPr>
            <w:r w:rsidRPr="004E18B9">
              <w:rPr>
                <w:rFonts w:cs="Arial"/>
                <w:b/>
                <w:bCs/>
                <w:sz w:val="16"/>
                <w:szCs w:val="16"/>
              </w:rPr>
              <w:t>Form of regulation test</w:t>
            </w:r>
          </w:p>
        </w:tc>
        <w:tc>
          <w:tcPr>
            <w:tcW w:w="2104" w:type="dxa"/>
            <w:tcBorders>
              <w:bottom w:val="single" w:sz="4" w:space="0" w:color="auto"/>
            </w:tcBorders>
            <w:shd w:val="clear" w:color="auto" w:fill="F2F2F2" w:themeFill="background1" w:themeFillShade="F2"/>
          </w:tcPr>
          <w:p w14:paraId="603A0652" w14:textId="77777777" w:rsidR="00CD0BFB" w:rsidRPr="002E45FA" w:rsidRDefault="00CD0BFB" w:rsidP="000C0157">
            <w:pPr>
              <w:pStyle w:val="BodyText"/>
              <w:spacing w:before="40" w:after="40" w:line="240" w:lineRule="auto"/>
              <w:rPr>
                <w:rFonts w:cs="Arial"/>
                <w:sz w:val="16"/>
                <w:szCs w:val="16"/>
              </w:rPr>
            </w:pPr>
            <w:r w:rsidRPr="002E45FA">
              <w:rPr>
                <w:rFonts w:cs="Arial"/>
                <w:sz w:val="16"/>
                <w:szCs w:val="16"/>
              </w:rPr>
              <w:t xml:space="preserve">Retain </w:t>
            </w:r>
            <w:r>
              <w:rPr>
                <w:rFonts w:cs="Arial"/>
                <w:sz w:val="16"/>
                <w:szCs w:val="16"/>
              </w:rPr>
              <w:t>existing tests with coverage test continuing to act as a gateway.</w:t>
            </w:r>
          </w:p>
        </w:tc>
        <w:tc>
          <w:tcPr>
            <w:tcW w:w="9589" w:type="dxa"/>
            <w:gridSpan w:val="5"/>
            <w:tcBorders>
              <w:bottom w:val="single" w:sz="4" w:space="0" w:color="auto"/>
            </w:tcBorders>
            <w:shd w:val="clear" w:color="auto" w:fill="F2F2F2" w:themeFill="background1" w:themeFillShade="F2"/>
          </w:tcPr>
          <w:p w14:paraId="2D115860" w14:textId="77777777" w:rsidR="00CD0BFB" w:rsidRPr="002E45FA" w:rsidRDefault="00CD0BFB" w:rsidP="000C0157">
            <w:pPr>
              <w:pStyle w:val="BodyText"/>
              <w:spacing w:before="40" w:after="40" w:line="240" w:lineRule="auto"/>
              <w:rPr>
                <w:rFonts w:cs="Arial"/>
                <w:sz w:val="16"/>
                <w:szCs w:val="16"/>
              </w:rPr>
            </w:pPr>
            <w:r w:rsidRPr="002E45FA">
              <w:rPr>
                <w:rFonts w:cstheme="minorHAnsi"/>
                <w:sz w:val="16"/>
                <w:szCs w:val="16"/>
              </w:rPr>
              <w:t xml:space="preserve">Remove coverage test and use existing form of regulation test to determine whether the stronger </w:t>
            </w:r>
            <w:r>
              <w:rPr>
                <w:rFonts w:cstheme="minorHAnsi"/>
                <w:sz w:val="16"/>
                <w:szCs w:val="16"/>
              </w:rPr>
              <w:t xml:space="preserve">or lighter </w:t>
            </w:r>
            <w:r w:rsidRPr="002E45FA">
              <w:rPr>
                <w:rFonts w:cstheme="minorHAnsi"/>
                <w:sz w:val="16"/>
                <w:szCs w:val="16"/>
              </w:rPr>
              <w:t>form of regulation should apply (</w:t>
            </w:r>
            <w:r>
              <w:rPr>
                <w:rFonts w:cstheme="minorHAnsi"/>
                <w:sz w:val="16"/>
                <w:szCs w:val="16"/>
              </w:rPr>
              <w:t xml:space="preserve">note the form of regulation test and/or decision-maker’s information gathering powers would be modified to address concerns raised about the </w:t>
            </w:r>
            <w:r w:rsidRPr="002E45FA">
              <w:rPr>
                <w:rFonts w:cstheme="minorHAnsi"/>
                <w:sz w:val="16"/>
                <w:szCs w:val="16"/>
              </w:rPr>
              <w:t>information asymmetries</w:t>
            </w:r>
            <w:r>
              <w:rPr>
                <w:rFonts w:cstheme="minorHAnsi"/>
                <w:sz w:val="16"/>
                <w:szCs w:val="16"/>
              </w:rPr>
              <w:t xml:space="preserve"> faced by the decision-maker and to align it with other elements of the reform options</w:t>
            </w:r>
            <w:r w:rsidRPr="002E45FA">
              <w:rPr>
                <w:rFonts w:cstheme="minorHAnsi"/>
                <w:sz w:val="16"/>
                <w:szCs w:val="16"/>
              </w:rPr>
              <w:t>).</w:t>
            </w:r>
          </w:p>
        </w:tc>
      </w:tr>
      <w:tr w:rsidR="00CD0BFB" w:rsidRPr="004E18B9" w14:paraId="59C1AD70" w14:textId="77777777" w:rsidTr="000C0157">
        <w:trPr>
          <w:cnfStyle w:val="000000010000" w:firstRow="0" w:lastRow="0" w:firstColumn="0" w:lastColumn="0" w:oddVBand="0" w:evenVBand="0" w:oddHBand="0" w:evenHBand="1" w:firstRowFirstColumn="0" w:firstRowLastColumn="0" w:lastRowFirstColumn="0" w:lastRowLastColumn="0"/>
          <w:trHeight w:val="831"/>
        </w:trPr>
        <w:tc>
          <w:tcPr>
            <w:tcW w:w="1383" w:type="dxa"/>
            <w:vMerge w:val="restart"/>
            <w:shd w:val="clear" w:color="auto" w:fill="FFFFFF" w:themeFill="background1"/>
          </w:tcPr>
          <w:p w14:paraId="560433BD" w14:textId="77777777" w:rsidR="00CD0BFB" w:rsidRPr="004E18B9" w:rsidRDefault="00CD0BFB" w:rsidP="000C0157">
            <w:pPr>
              <w:pStyle w:val="BodyText"/>
              <w:spacing w:before="20" w:after="20" w:line="240" w:lineRule="auto"/>
              <w:rPr>
                <w:rFonts w:cs="Arial"/>
                <w:b/>
                <w:sz w:val="16"/>
                <w:szCs w:val="16"/>
              </w:rPr>
            </w:pPr>
            <w:r>
              <w:rPr>
                <w:rFonts w:cs="Arial"/>
                <w:b/>
                <w:sz w:val="16"/>
                <w:szCs w:val="16"/>
              </w:rPr>
              <w:lastRenderedPageBreak/>
              <w:t xml:space="preserve">Governance for </w:t>
            </w:r>
            <w:r w:rsidRPr="004E18B9">
              <w:rPr>
                <w:rFonts w:cs="Arial"/>
                <w:b/>
                <w:sz w:val="16"/>
                <w:szCs w:val="16"/>
              </w:rPr>
              <w:t xml:space="preserve">when </w:t>
            </w:r>
            <w:r>
              <w:rPr>
                <w:rFonts w:cs="Arial"/>
                <w:b/>
                <w:sz w:val="16"/>
                <w:szCs w:val="16"/>
              </w:rPr>
              <w:t xml:space="preserve">and how to </w:t>
            </w:r>
            <w:r w:rsidRPr="004E18B9">
              <w:rPr>
                <w:rFonts w:cs="Arial"/>
                <w:b/>
                <w:sz w:val="16"/>
                <w:szCs w:val="16"/>
              </w:rPr>
              <w:t xml:space="preserve">regulate </w:t>
            </w:r>
            <w:r>
              <w:rPr>
                <w:rFonts w:cs="Arial"/>
                <w:b/>
                <w:sz w:val="16"/>
                <w:szCs w:val="16"/>
              </w:rPr>
              <w:t>decisions</w:t>
            </w:r>
          </w:p>
        </w:tc>
        <w:tc>
          <w:tcPr>
            <w:tcW w:w="1260" w:type="dxa"/>
            <w:tcBorders>
              <w:bottom w:val="single" w:sz="4" w:space="0" w:color="auto"/>
            </w:tcBorders>
            <w:shd w:val="clear" w:color="auto" w:fill="FFFFFF" w:themeFill="background1"/>
          </w:tcPr>
          <w:p w14:paraId="7A41CA6D" w14:textId="77777777" w:rsidR="00CD0BFB" w:rsidRPr="004E18B9" w:rsidRDefault="00CD0BFB" w:rsidP="000C0157">
            <w:pPr>
              <w:pStyle w:val="BodyText"/>
              <w:spacing w:before="20" w:after="20" w:line="240" w:lineRule="auto"/>
              <w:rPr>
                <w:rFonts w:cs="Arial"/>
                <w:b/>
                <w:sz w:val="16"/>
                <w:szCs w:val="16"/>
              </w:rPr>
            </w:pPr>
            <w:r>
              <w:rPr>
                <w:rFonts w:cs="Arial"/>
                <w:b/>
                <w:sz w:val="16"/>
                <w:szCs w:val="16"/>
              </w:rPr>
              <w:t>Decisions to be made</w:t>
            </w:r>
          </w:p>
        </w:tc>
        <w:tc>
          <w:tcPr>
            <w:tcW w:w="2104" w:type="dxa"/>
            <w:vMerge w:val="restart"/>
            <w:shd w:val="clear" w:color="auto" w:fill="FFFFFF" w:themeFill="background1"/>
          </w:tcPr>
          <w:p w14:paraId="48FF9F99" w14:textId="77777777" w:rsidR="00CD0BFB" w:rsidRPr="004E18B9" w:rsidRDefault="00CD0BFB" w:rsidP="000C0157">
            <w:pPr>
              <w:pStyle w:val="TableBullet10"/>
              <w:numPr>
                <w:ilvl w:val="0"/>
                <w:numId w:val="0"/>
              </w:numPr>
              <w:spacing w:before="20" w:after="0" w:line="240" w:lineRule="auto"/>
              <w:ind w:left="85"/>
              <w:rPr>
                <w:sz w:val="16"/>
                <w:szCs w:val="16"/>
              </w:rPr>
            </w:pPr>
            <w:r w:rsidRPr="006B4639">
              <w:rPr>
                <w:rFonts w:asciiTheme="majorHAnsi" w:hAnsiTheme="majorHAnsi" w:cstheme="majorHAnsi"/>
                <w:sz w:val="16"/>
                <w:szCs w:val="16"/>
              </w:rPr>
              <w:t>Retain the exiting governance arrangements (NCC</w:t>
            </w:r>
            <w:r>
              <w:rPr>
                <w:rFonts w:asciiTheme="majorHAnsi" w:hAnsiTheme="majorHAnsi" w:cstheme="majorHAnsi"/>
                <w:sz w:val="16"/>
                <w:szCs w:val="16"/>
              </w:rPr>
              <w:t>/Minister for when to regulate decisions and NCC for form of regulation decisions</w:t>
            </w:r>
            <w:r w:rsidRPr="006B4639">
              <w:rPr>
                <w:rFonts w:asciiTheme="majorHAnsi" w:hAnsiTheme="majorHAnsi" w:cstheme="majorHAnsi"/>
                <w:sz w:val="16"/>
                <w:szCs w:val="16"/>
              </w:rPr>
              <w:t>)</w:t>
            </w:r>
            <w:r>
              <w:rPr>
                <w:rFonts w:asciiTheme="majorHAnsi" w:hAnsiTheme="majorHAnsi" w:cstheme="majorHAnsi"/>
                <w:sz w:val="16"/>
                <w:szCs w:val="16"/>
              </w:rPr>
              <w:t>.</w:t>
            </w:r>
          </w:p>
        </w:tc>
        <w:tc>
          <w:tcPr>
            <w:tcW w:w="2337" w:type="dxa"/>
            <w:tcBorders>
              <w:bottom w:val="single" w:sz="4" w:space="0" w:color="auto"/>
            </w:tcBorders>
            <w:shd w:val="clear" w:color="auto" w:fill="FFFFFF" w:themeFill="background1"/>
          </w:tcPr>
          <w:p w14:paraId="119A8EEB" w14:textId="77777777" w:rsidR="00CD0BFB" w:rsidRPr="004E18B9" w:rsidRDefault="00CD0BFB" w:rsidP="000C0157">
            <w:pPr>
              <w:pStyle w:val="BodyText"/>
              <w:spacing w:before="0" w:after="0" w:line="240" w:lineRule="auto"/>
              <w:rPr>
                <w:rFonts w:cs="Arial"/>
                <w:sz w:val="16"/>
                <w:szCs w:val="16"/>
              </w:rPr>
            </w:pPr>
            <w:r>
              <w:rPr>
                <w:rFonts w:cs="Arial"/>
                <w:sz w:val="16"/>
                <w:szCs w:val="16"/>
              </w:rPr>
              <w:t>Decisions on</w:t>
            </w:r>
            <w:r w:rsidRPr="004E18B9">
              <w:rPr>
                <w:rFonts w:cs="Arial"/>
                <w:sz w:val="16"/>
                <w:szCs w:val="16"/>
              </w:rPr>
              <w:t xml:space="preserve">: </w:t>
            </w:r>
          </w:p>
          <w:p w14:paraId="71699B25" w14:textId="77777777" w:rsidR="00CD0BFB" w:rsidRPr="004E18B9" w:rsidRDefault="00CD0BFB" w:rsidP="000C0157">
            <w:pPr>
              <w:pStyle w:val="TableBullet10"/>
              <w:spacing w:before="0" w:after="0" w:line="240" w:lineRule="auto"/>
              <w:rPr>
                <w:sz w:val="16"/>
                <w:szCs w:val="16"/>
              </w:rPr>
            </w:pPr>
            <w:r w:rsidRPr="004E18B9">
              <w:rPr>
                <w:sz w:val="16"/>
                <w:szCs w:val="16"/>
              </w:rPr>
              <w:t>regulatory exemption</w:t>
            </w:r>
            <w:r>
              <w:rPr>
                <w:sz w:val="16"/>
                <w:szCs w:val="16"/>
              </w:rPr>
              <w:t>s</w:t>
            </w:r>
          </w:p>
          <w:p w14:paraId="7B71C91B" w14:textId="77777777" w:rsidR="00CD0BFB" w:rsidRPr="004E18B9" w:rsidRDefault="00CD0BFB" w:rsidP="000C0157">
            <w:pPr>
              <w:pStyle w:val="TableBullet10"/>
              <w:spacing w:before="0" w:after="0" w:line="240" w:lineRule="auto"/>
              <w:rPr>
                <w:sz w:val="16"/>
                <w:szCs w:val="16"/>
              </w:rPr>
            </w:pPr>
            <w:r w:rsidRPr="004E18B9">
              <w:rPr>
                <w:sz w:val="16"/>
                <w:szCs w:val="16"/>
              </w:rPr>
              <w:t xml:space="preserve">third party access </w:t>
            </w:r>
          </w:p>
          <w:p w14:paraId="573D1BF3" w14:textId="77777777" w:rsidR="00CD0BFB" w:rsidRPr="004E18B9" w:rsidRDefault="00CD0BFB" w:rsidP="000C0157">
            <w:pPr>
              <w:pStyle w:val="TableBullet10"/>
              <w:spacing w:before="0" w:after="0" w:line="240" w:lineRule="auto"/>
              <w:rPr>
                <w:sz w:val="16"/>
                <w:szCs w:val="16"/>
              </w:rPr>
            </w:pPr>
            <w:r w:rsidRPr="004E18B9">
              <w:rPr>
                <w:sz w:val="16"/>
                <w:szCs w:val="16"/>
              </w:rPr>
              <w:t xml:space="preserve">greenfield </w:t>
            </w:r>
            <w:r>
              <w:rPr>
                <w:sz w:val="16"/>
                <w:szCs w:val="16"/>
              </w:rPr>
              <w:t>exemptions</w:t>
            </w:r>
            <w:r w:rsidRPr="004E18B9">
              <w:rPr>
                <w:sz w:val="16"/>
                <w:szCs w:val="16"/>
              </w:rPr>
              <w:t xml:space="preserve"> </w:t>
            </w:r>
          </w:p>
          <w:p w14:paraId="5E661EF4" w14:textId="77777777" w:rsidR="00CD0BFB" w:rsidRPr="004E18B9" w:rsidRDefault="00CD0BFB" w:rsidP="000C0157">
            <w:pPr>
              <w:pStyle w:val="TableBullet10"/>
              <w:spacing w:before="0" w:after="0" w:line="240" w:lineRule="auto"/>
              <w:rPr>
                <w:sz w:val="16"/>
                <w:szCs w:val="16"/>
              </w:rPr>
            </w:pPr>
            <w:r w:rsidRPr="004E18B9">
              <w:rPr>
                <w:sz w:val="16"/>
                <w:szCs w:val="16"/>
              </w:rPr>
              <w:t>form of regulation.</w:t>
            </w:r>
          </w:p>
        </w:tc>
        <w:tc>
          <w:tcPr>
            <w:tcW w:w="2381" w:type="dxa"/>
            <w:gridSpan w:val="2"/>
            <w:tcBorders>
              <w:bottom w:val="single" w:sz="4" w:space="0" w:color="auto"/>
            </w:tcBorders>
            <w:shd w:val="clear" w:color="auto" w:fill="FFFFFF" w:themeFill="background1"/>
          </w:tcPr>
          <w:p w14:paraId="0EBE6324" w14:textId="77777777" w:rsidR="00CD0BFB" w:rsidRPr="004E18B9" w:rsidRDefault="00CD0BFB" w:rsidP="000C0157">
            <w:pPr>
              <w:pStyle w:val="BodyText"/>
              <w:spacing w:before="0" w:after="0" w:line="240" w:lineRule="auto"/>
              <w:rPr>
                <w:rFonts w:cs="Arial"/>
                <w:sz w:val="16"/>
                <w:szCs w:val="16"/>
              </w:rPr>
            </w:pPr>
            <w:r>
              <w:rPr>
                <w:rFonts w:cs="Arial"/>
                <w:sz w:val="16"/>
                <w:szCs w:val="16"/>
              </w:rPr>
              <w:t>Decisions on</w:t>
            </w:r>
            <w:r w:rsidRPr="004E18B9">
              <w:rPr>
                <w:rFonts w:cs="Arial"/>
                <w:sz w:val="16"/>
                <w:szCs w:val="16"/>
              </w:rPr>
              <w:t xml:space="preserve">: </w:t>
            </w:r>
          </w:p>
          <w:p w14:paraId="38EE1027" w14:textId="77777777" w:rsidR="00CD0BFB" w:rsidRPr="004E18B9" w:rsidRDefault="00CD0BFB" w:rsidP="000C0157">
            <w:pPr>
              <w:pStyle w:val="TableBullet10"/>
              <w:spacing w:before="0" w:after="0" w:line="240" w:lineRule="auto"/>
              <w:rPr>
                <w:sz w:val="16"/>
                <w:szCs w:val="16"/>
              </w:rPr>
            </w:pPr>
            <w:r w:rsidRPr="004E18B9">
              <w:rPr>
                <w:sz w:val="16"/>
                <w:szCs w:val="16"/>
              </w:rPr>
              <w:t xml:space="preserve">third party access </w:t>
            </w:r>
          </w:p>
          <w:p w14:paraId="1FEE8B3A" w14:textId="77777777" w:rsidR="00CD0BFB" w:rsidRPr="004E18B9" w:rsidRDefault="00CD0BFB" w:rsidP="000C0157">
            <w:pPr>
              <w:pStyle w:val="TableBullet10"/>
              <w:spacing w:before="0" w:after="0" w:line="240" w:lineRule="auto"/>
              <w:rPr>
                <w:sz w:val="16"/>
                <w:szCs w:val="16"/>
              </w:rPr>
            </w:pPr>
            <w:r w:rsidRPr="004E18B9">
              <w:rPr>
                <w:sz w:val="16"/>
                <w:szCs w:val="16"/>
              </w:rPr>
              <w:t xml:space="preserve">greenfield </w:t>
            </w:r>
            <w:r>
              <w:rPr>
                <w:sz w:val="16"/>
                <w:szCs w:val="16"/>
              </w:rPr>
              <w:t>exemptions</w:t>
            </w:r>
          </w:p>
          <w:p w14:paraId="1D5FE87E" w14:textId="77777777" w:rsidR="00CD0BFB" w:rsidRPr="004E18B9" w:rsidRDefault="00CD0BFB" w:rsidP="000C0157">
            <w:pPr>
              <w:pStyle w:val="TableBullet10"/>
              <w:spacing w:before="0" w:after="0" w:line="240" w:lineRule="auto"/>
              <w:rPr>
                <w:sz w:val="16"/>
                <w:szCs w:val="16"/>
              </w:rPr>
            </w:pPr>
            <w:r w:rsidRPr="004E18B9">
              <w:rPr>
                <w:sz w:val="16"/>
                <w:szCs w:val="16"/>
              </w:rPr>
              <w:t>form of regulation.</w:t>
            </w:r>
          </w:p>
        </w:tc>
        <w:tc>
          <w:tcPr>
            <w:tcW w:w="2018" w:type="dxa"/>
            <w:tcBorders>
              <w:bottom w:val="single" w:sz="4" w:space="0" w:color="auto"/>
            </w:tcBorders>
            <w:shd w:val="clear" w:color="auto" w:fill="FFFFFF" w:themeFill="background1"/>
          </w:tcPr>
          <w:p w14:paraId="0366FB00" w14:textId="77777777" w:rsidR="00CD0BFB" w:rsidRPr="004E18B9" w:rsidRDefault="00CD0BFB" w:rsidP="000C0157">
            <w:pPr>
              <w:pStyle w:val="BodyText"/>
              <w:spacing w:before="0" w:after="0" w:line="240" w:lineRule="auto"/>
              <w:rPr>
                <w:rFonts w:cs="Arial"/>
                <w:sz w:val="16"/>
                <w:szCs w:val="16"/>
              </w:rPr>
            </w:pPr>
            <w:r>
              <w:rPr>
                <w:rFonts w:cs="Arial"/>
                <w:sz w:val="16"/>
                <w:szCs w:val="16"/>
              </w:rPr>
              <w:t>Decisions on</w:t>
            </w:r>
            <w:r w:rsidRPr="004E18B9">
              <w:rPr>
                <w:rFonts w:cs="Arial"/>
                <w:sz w:val="16"/>
                <w:szCs w:val="16"/>
              </w:rPr>
              <w:t xml:space="preserve">: </w:t>
            </w:r>
          </w:p>
          <w:p w14:paraId="20B7DE95" w14:textId="77777777" w:rsidR="00CD0BFB" w:rsidRDefault="00CD0BFB" w:rsidP="000C0157">
            <w:pPr>
              <w:pStyle w:val="TableBullet10"/>
              <w:spacing w:before="0" w:after="0" w:line="240" w:lineRule="auto"/>
              <w:rPr>
                <w:sz w:val="16"/>
                <w:szCs w:val="16"/>
              </w:rPr>
            </w:pPr>
            <w:r w:rsidRPr="004E18B9">
              <w:rPr>
                <w:sz w:val="16"/>
                <w:szCs w:val="16"/>
              </w:rPr>
              <w:t xml:space="preserve">greenfield </w:t>
            </w:r>
            <w:r>
              <w:rPr>
                <w:sz w:val="16"/>
                <w:szCs w:val="16"/>
              </w:rPr>
              <w:t>exemptions</w:t>
            </w:r>
          </w:p>
          <w:p w14:paraId="48E2BAB8" w14:textId="77777777" w:rsidR="00CD0BFB" w:rsidRDefault="00CD0BFB" w:rsidP="000C0157">
            <w:pPr>
              <w:pStyle w:val="TableBullet10"/>
              <w:spacing w:before="0" w:after="0" w:line="240" w:lineRule="auto"/>
              <w:rPr>
                <w:sz w:val="16"/>
                <w:szCs w:val="16"/>
              </w:rPr>
            </w:pPr>
            <w:r w:rsidRPr="007F752A">
              <w:rPr>
                <w:sz w:val="16"/>
                <w:szCs w:val="16"/>
              </w:rPr>
              <w:t>form of regulation.</w:t>
            </w:r>
          </w:p>
        </w:tc>
        <w:tc>
          <w:tcPr>
            <w:tcW w:w="2848" w:type="dxa"/>
            <w:tcBorders>
              <w:bottom w:val="single" w:sz="4" w:space="0" w:color="auto"/>
            </w:tcBorders>
            <w:shd w:val="clear" w:color="auto" w:fill="FFFFFF" w:themeFill="background1"/>
          </w:tcPr>
          <w:p w14:paraId="3D21EE59" w14:textId="77777777" w:rsidR="00CD0BFB" w:rsidRPr="00E84197" w:rsidRDefault="00CD0BFB" w:rsidP="000C0157">
            <w:pPr>
              <w:pStyle w:val="BodyText"/>
              <w:spacing w:before="0" w:after="0" w:line="240" w:lineRule="auto"/>
              <w:rPr>
                <w:rFonts w:cs="Arial"/>
                <w:sz w:val="16"/>
                <w:szCs w:val="16"/>
              </w:rPr>
            </w:pPr>
            <w:r>
              <w:rPr>
                <w:rFonts w:cs="Arial"/>
                <w:sz w:val="16"/>
                <w:szCs w:val="16"/>
              </w:rPr>
              <w:t>Decisions on form of regulation.</w:t>
            </w:r>
          </w:p>
        </w:tc>
      </w:tr>
      <w:tr w:rsidR="00CD0BFB" w:rsidRPr="004E18B9" w14:paraId="14DF4973" w14:textId="77777777" w:rsidTr="000C0157">
        <w:trPr>
          <w:trHeight w:val="117"/>
        </w:trPr>
        <w:tc>
          <w:tcPr>
            <w:tcW w:w="1383" w:type="dxa"/>
            <w:vMerge/>
            <w:tcBorders>
              <w:bottom w:val="single" w:sz="4" w:space="0" w:color="auto"/>
            </w:tcBorders>
            <w:shd w:val="clear" w:color="auto" w:fill="FFFFFF" w:themeFill="background1"/>
          </w:tcPr>
          <w:p w14:paraId="76278B1C" w14:textId="77777777" w:rsidR="00CD0BFB" w:rsidRPr="004E18B9" w:rsidRDefault="00CD0BFB" w:rsidP="000C0157">
            <w:pPr>
              <w:pStyle w:val="BodyText"/>
              <w:spacing w:before="20" w:after="20" w:line="240" w:lineRule="auto"/>
              <w:rPr>
                <w:rFonts w:cs="Arial"/>
                <w:b/>
                <w:sz w:val="16"/>
                <w:szCs w:val="16"/>
              </w:rPr>
            </w:pPr>
          </w:p>
        </w:tc>
        <w:tc>
          <w:tcPr>
            <w:tcW w:w="1260" w:type="dxa"/>
            <w:tcBorders>
              <w:bottom w:val="single" w:sz="4" w:space="0" w:color="auto"/>
            </w:tcBorders>
            <w:shd w:val="clear" w:color="auto" w:fill="FFFFFF" w:themeFill="background1"/>
          </w:tcPr>
          <w:p w14:paraId="6610A0D0" w14:textId="77777777" w:rsidR="00CD0BFB" w:rsidRPr="004E18B9" w:rsidRDefault="00CD0BFB" w:rsidP="000C0157">
            <w:pPr>
              <w:pStyle w:val="BodyText"/>
              <w:spacing w:before="20" w:after="20" w:line="240" w:lineRule="auto"/>
              <w:rPr>
                <w:rFonts w:cs="Arial"/>
                <w:b/>
                <w:sz w:val="16"/>
                <w:szCs w:val="16"/>
              </w:rPr>
            </w:pPr>
            <w:r>
              <w:rPr>
                <w:rFonts w:cs="Arial"/>
                <w:b/>
                <w:sz w:val="16"/>
                <w:szCs w:val="16"/>
              </w:rPr>
              <w:t>Decision-maker</w:t>
            </w:r>
          </w:p>
        </w:tc>
        <w:tc>
          <w:tcPr>
            <w:tcW w:w="2104" w:type="dxa"/>
            <w:vMerge/>
            <w:tcBorders>
              <w:bottom w:val="single" w:sz="4" w:space="0" w:color="auto"/>
            </w:tcBorders>
            <w:shd w:val="clear" w:color="auto" w:fill="FFFFFF" w:themeFill="background1"/>
          </w:tcPr>
          <w:p w14:paraId="26F63E48" w14:textId="77777777" w:rsidR="00CD0BFB" w:rsidRPr="004E18B9" w:rsidRDefault="00CD0BFB" w:rsidP="000C0157">
            <w:pPr>
              <w:pStyle w:val="BodyText"/>
              <w:spacing w:before="20" w:after="20" w:line="240" w:lineRule="auto"/>
              <w:rPr>
                <w:rFonts w:cs="Arial"/>
                <w:sz w:val="16"/>
                <w:szCs w:val="16"/>
              </w:rPr>
            </w:pPr>
          </w:p>
        </w:tc>
        <w:tc>
          <w:tcPr>
            <w:tcW w:w="9589" w:type="dxa"/>
            <w:gridSpan w:val="5"/>
            <w:tcBorders>
              <w:bottom w:val="single" w:sz="4" w:space="0" w:color="auto"/>
            </w:tcBorders>
            <w:shd w:val="clear" w:color="auto" w:fill="FFFFFF" w:themeFill="background1"/>
          </w:tcPr>
          <w:p w14:paraId="4FC00727" w14:textId="77777777" w:rsidR="00CD0BFB" w:rsidRPr="004E18B9" w:rsidRDefault="00CD0BFB" w:rsidP="000C0157">
            <w:pPr>
              <w:pStyle w:val="BodyText"/>
              <w:spacing w:before="20" w:after="20" w:line="240" w:lineRule="auto"/>
              <w:jc w:val="center"/>
              <w:rPr>
                <w:rFonts w:cs="Arial"/>
                <w:b/>
                <w:bCs/>
                <w:sz w:val="16"/>
                <w:szCs w:val="16"/>
              </w:rPr>
            </w:pPr>
            <w:r w:rsidRPr="00BF7DE1">
              <w:rPr>
                <w:rFonts w:cs="Arial"/>
                <w:sz w:val="16"/>
                <w:szCs w:val="16"/>
              </w:rPr>
              <w:t>Relevant regulator (AER/ERA)</w:t>
            </w:r>
          </w:p>
        </w:tc>
      </w:tr>
      <w:tr w:rsidR="00CD0BFB" w:rsidRPr="004E18B9" w14:paraId="733DEDCD" w14:textId="77777777" w:rsidTr="000C0157">
        <w:trPr>
          <w:cnfStyle w:val="000000010000" w:firstRow="0" w:lastRow="0" w:firstColumn="0" w:lastColumn="0" w:oddVBand="0" w:evenVBand="0" w:oddHBand="0" w:evenHBand="1" w:firstRowFirstColumn="0" w:firstRowLastColumn="0" w:lastRowFirstColumn="0" w:lastRowLastColumn="0"/>
          <w:trHeight w:val="636"/>
        </w:trPr>
        <w:tc>
          <w:tcPr>
            <w:tcW w:w="1383" w:type="dxa"/>
            <w:vMerge w:val="restart"/>
            <w:shd w:val="clear" w:color="auto" w:fill="F2F2F2" w:themeFill="background1" w:themeFillShade="F2"/>
          </w:tcPr>
          <w:p w14:paraId="551171EE" w14:textId="77777777" w:rsidR="00CD0BFB" w:rsidRPr="004E18B9" w:rsidRDefault="00CD0BFB" w:rsidP="000C0157">
            <w:pPr>
              <w:pStyle w:val="BodyText"/>
              <w:spacing w:before="20" w:after="20" w:line="240" w:lineRule="auto"/>
              <w:rPr>
                <w:rFonts w:cs="Arial"/>
                <w:b/>
                <w:sz w:val="16"/>
                <w:szCs w:val="16"/>
              </w:rPr>
            </w:pPr>
            <w:r w:rsidRPr="004E18B9">
              <w:rPr>
                <w:rFonts w:cs="Arial"/>
                <w:b/>
                <w:sz w:val="16"/>
                <w:szCs w:val="16"/>
              </w:rPr>
              <w:t>Information disclosure requirements</w:t>
            </w:r>
          </w:p>
        </w:tc>
        <w:tc>
          <w:tcPr>
            <w:tcW w:w="1260" w:type="dxa"/>
            <w:vMerge w:val="restart"/>
            <w:shd w:val="clear" w:color="auto" w:fill="F2F2F2" w:themeFill="background1" w:themeFillShade="F2"/>
          </w:tcPr>
          <w:p w14:paraId="194C974C" w14:textId="77777777" w:rsidR="00CD0BFB" w:rsidRPr="004E18B9" w:rsidRDefault="00CD0BFB" w:rsidP="000C0157">
            <w:pPr>
              <w:pStyle w:val="BodyText"/>
              <w:spacing w:before="20" w:after="20" w:line="240" w:lineRule="auto"/>
              <w:rPr>
                <w:rFonts w:cs="Arial"/>
                <w:b/>
                <w:sz w:val="16"/>
                <w:szCs w:val="16"/>
              </w:rPr>
            </w:pPr>
            <w:r w:rsidRPr="004E18B9">
              <w:rPr>
                <w:rFonts w:cs="Arial"/>
                <w:b/>
                <w:sz w:val="16"/>
                <w:szCs w:val="16"/>
              </w:rPr>
              <w:t xml:space="preserve">Information to be disclosed </w:t>
            </w:r>
          </w:p>
        </w:tc>
        <w:tc>
          <w:tcPr>
            <w:tcW w:w="2104" w:type="dxa"/>
            <w:vMerge w:val="restart"/>
            <w:shd w:val="clear" w:color="auto" w:fill="F2F2F2" w:themeFill="background1" w:themeFillShade="F2"/>
          </w:tcPr>
          <w:p w14:paraId="2A54FE4D" w14:textId="77777777" w:rsidR="00CD0BFB" w:rsidRPr="004E18B9" w:rsidRDefault="00CD0BFB" w:rsidP="000C0157">
            <w:pPr>
              <w:pStyle w:val="BodyText"/>
              <w:spacing w:before="20" w:after="20" w:line="240" w:lineRule="auto"/>
              <w:rPr>
                <w:rFonts w:cs="Arial"/>
                <w:sz w:val="16"/>
                <w:szCs w:val="16"/>
              </w:rPr>
            </w:pPr>
            <w:r w:rsidRPr="004E18B9">
              <w:rPr>
                <w:rFonts w:cs="Arial"/>
                <w:sz w:val="16"/>
                <w:szCs w:val="16"/>
              </w:rPr>
              <w:t>Retain the existing information disclosure requirements across the forms of regulation.</w:t>
            </w:r>
          </w:p>
        </w:tc>
        <w:tc>
          <w:tcPr>
            <w:tcW w:w="9589" w:type="dxa"/>
            <w:gridSpan w:val="5"/>
            <w:tcBorders>
              <w:bottom w:val="single" w:sz="4" w:space="0" w:color="auto"/>
            </w:tcBorders>
            <w:shd w:val="clear" w:color="auto" w:fill="F2F2F2" w:themeFill="background1" w:themeFillShade="F2"/>
          </w:tcPr>
          <w:p w14:paraId="19AC9296" w14:textId="77777777" w:rsidR="00CD0BFB" w:rsidRPr="004E18B9" w:rsidRDefault="00CD0BFB" w:rsidP="000C0157">
            <w:pPr>
              <w:pStyle w:val="BodyText"/>
              <w:spacing w:before="20" w:after="0" w:line="240" w:lineRule="auto"/>
              <w:rPr>
                <w:rFonts w:cs="Arial"/>
                <w:sz w:val="16"/>
                <w:szCs w:val="16"/>
              </w:rPr>
            </w:pPr>
            <w:r w:rsidRPr="004E18B9">
              <w:rPr>
                <w:rFonts w:cs="Arial"/>
                <w:sz w:val="16"/>
                <w:szCs w:val="16"/>
              </w:rPr>
              <w:t>All service providers to publish</w:t>
            </w:r>
            <w:r>
              <w:rPr>
                <w:rFonts w:cs="Arial"/>
                <w:sz w:val="16"/>
                <w:szCs w:val="16"/>
              </w:rPr>
              <w:t xml:space="preserve"> the following unless they obtain an exemption</w:t>
            </w:r>
            <w:r w:rsidRPr="004E18B9">
              <w:rPr>
                <w:rFonts w:cs="Arial"/>
                <w:sz w:val="16"/>
                <w:szCs w:val="16"/>
              </w:rPr>
              <w:t xml:space="preserve">: </w:t>
            </w:r>
          </w:p>
          <w:p w14:paraId="0C804A54" w14:textId="77777777" w:rsidR="00CD0BFB" w:rsidRDefault="00CD0BFB" w:rsidP="000C0157">
            <w:pPr>
              <w:pStyle w:val="BodyText"/>
              <w:numPr>
                <w:ilvl w:val="0"/>
                <w:numId w:val="69"/>
              </w:numPr>
              <w:spacing w:before="20" w:after="0" w:line="240" w:lineRule="auto"/>
              <w:ind w:left="312" w:hanging="227"/>
              <w:rPr>
                <w:rFonts w:cs="Arial"/>
                <w:sz w:val="16"/>
                <w:szCs w:val="16"/>
              </w:rPr>
            </w:pPr>
            <w:r w:rsidRPr="004E18B9">
              <w:rPr>
                <w:rFonts w:cs="Arial"/>
                <w:sz w:val="16"/>
                <w:szCs w:val="16"/>
              </w:rPr>
              <w:t>Basic Information</w:t>
            </w:r>
            <w:r>
              <w:rPr>
                <w:rFonts w:cs="Arial"/>
                <w:sz w:val="16"/>
                <w:szCs w:val="16"/>
              </w:rPr>
              <w:t xml:space="preserve"> (see Box 8.1)</w:t>
            </w:r>
            <w:r w:rsidRPr="004E18B9">
              <w:rPr>
                <w:rFonts w:cs="Arial"/>
                <w:sz w:val="16"/>
                <w:szCs w:val="16"/>
              </w:rPr>
              <w:t xml:space="preserve">, which includes </w:t>
            </w:r>
            <w:r>
              <w:rPr>
                <w:rFonts w:cs="Arial"/>
                <w:sz w:val="16"/>
                <w:szCs w:val="16"/>
              </w:rPr>
              <w:t xml:space="preserve">pipeline </w:t>
            </w:r>
            <w:r w:rsidRPr="004E18B9">
              <w:rPr>
                <w:rFonts w:cs="Arial"/>
                <w:sz w:val="16"/>
                <w:szCs w:val="16"/>
              </w:rPr>
              <w:t>information</w:t>
            </w:r>
            <w:r>
              <w:rPr>
                <w:rFonts w:cs="Arial"/>
                <w:sz w:val="16"/>
                <w:szCs w:val="16"/>
              </w:rPr>
              <w:t xml:space="preserve">, service information, </w:t>
            </w:r>
            <w:r w:rsidRPr="004E18B9">
              <w:rPr>
                <w:rFonts w:cs="Arial"/>
                <w:sz w:val="16"/>
                <w:szCs w:val="16"/>
              </w:rPr>
              <w:t>service availability</w:t>
            </w:r>
            <w:r>
              <w:rPr>
                <w:rFonts w:cs="Arial"/>
                <w:sz w:val="16"/>
                <w:szCs w:val="16"/>
              </w:rPr>
              <w:t xml:space="preserve"> information</w:t>
            </w:r>
            <w:r w:rsidRPr="004E18B9">
              <w:rPr>
                <w:rFonts w:cs="Arial"/>
                <w:sz w:val="16"/>
                <w:szCs w:val="16"/>
              </w:rPr>
              <w:t xml:space="preserve">, </w:t>
            </w:r>
            <w:r>
              <w:rPr>
                <w:rFonts w:cs="Arial"/>
                <w:sz w:val="16"/>
                <w:szCs w:val="16"/>
              </w:rPr>
              <w:t xml:space="preserve">service usage information, </w:t>
            </w:r>
            <w:r w:rsidRPr="004E18B9">
              <w:rPr>
                <w:rFonts w:cs="Arial"/>
                <w:sz w:val="16"/>
                <w:szCs w:val="16"/>
              </w:rPr>
              <w:t>standing terms</w:t>
            </w:r>
            <w:r>
              <w:rPr>
                <w:rFonts w:cs="Arial"/>
                <w:sz w:val="16"/>
                <w:szCs w:val="16"/>
              </w:rPr>
              <w:t xml:space="preserve"> for each service offered by the pipeline </w:t>
            </w:r>
            <w:r w:rsidRPr="004E18B9">
              <w:rPr>
                <w:rFonts w:cs="Arial"/>
                <w:sz w:val="16"/>
                <w:szCs w:val="16"/>
              </w:rPr>
              <w:t xml:space="preserve">and </w:t>
            </w:r>
            <w:r>
              <w:rPr>
                <w:rFonts w:cs="Arial"/>
                <w:sz w:val="16"/>
                <w:szCs w:val="16"/>
              </w:rPr>
              <w:t xml:space="preserve">information on the </w:t>
            </w:r>
            <w:r w:rsidRPr="004E18B9">
              <w:rPr>
                <w:rFonts w:cs="Arial"/>
                <w:sz w:val="16"/>
                <w:szCs w:val="16"/>
              </w:rPr>
              <w:t xml:space="preserve">prices </w:t>
            </w:r>
            <w:r>
              <w:rPr>
                <w:rFonts w:cs="Arial"/>
                <w:sz w:val="16"/>
                <w:szCs w:val="16"/>
              </w:rPr>
              <w:t xml:space="preserve">actually </w:t>
            </w:r>
            <w:r w:rsidRPr="004E18B9">
              <w:rPr>
                <w:rFonts w:cs="Arial"/>
                <w:sz w:val="16"/>
                <w:szCs w:val="16"/>
              </w:rPr>
              <w:t xml:space="preserve">paid by shippers. </w:t>
            </w:r>
          </w:p>
          <w:p w14:paraId="30B03715" w14:textId="77777777" w:rsidR="00CD0BFB" w:rsidRPr="0027527D" w:rsidRDefault="00517663" w:rsidP="000C0157">
            <w:pPr>
              <w:pStyle w:val="BodyText"/>
              <w:numPr>
                <w:ilvl w:val="0"/>
                <w:numId w:val="69"/>
              </w:numPr>
              <w:spacing w:before="20" w:after="0" w:line="240" w:lineRule="auto"/>
              <w:ind w:left="312" w:hanging="227"/>
              <w:rPr>
                <w:rFonts w:cs="Arial"/>
                <w:sz w:val="16"/>
                <w:szCs w:val="16"/>
              </w:rPr>
            </w:pPr>
            <w:r>
              <w:rPr>
                <w:rFonts w:cs="Arial"/>
                <w:sz w:val="16"/>
                <w:szCs w:val="16"/>
              </w:rPr>
              <w:t>Historical financial</w:t>
            </w:r>
            <w:r w:rsidR="00CD0BFB" w:rsidRPr="007F752A">
              <w:rPr>
                <w:rFonts w:cs="Arial"/>
                <w:sz w:val="16"/>
                <w:szCs w:val="16"/>
              </w:rPr>
              <w:t xml:space="preserve"> </w:t>
            </w:r>
            <w:r w:rsidR="00CD0BFB">
              <w:rPr>
                <w:rFonts w:cs="Arial"/>
                <w:sz w:val="16"/>
                <w:szCs w:val="16"/>
              </w:rPr>
              <w:t>and demand information</w:t>
            </w:r>
            <w:r w:rsidR="00CD0BFB" w:rsidRPr="007F752A">
              <w:rPr>
                <w:rFonts w:cs="Arial"/>
                <w:sz w:val="16"/>
                <w:szCs w:val="16"/>
              </w:rPr>
              <w:t xml:space="preserve">. </w:t>
            </w:r>
          </w:p>
        </w:tc>
      </w:tr>
      <w:tr w:rsidR="00CD0BFB" w:rsidRPr="004E18B9" w14:paraId="4EA7FB61" w14:textId="77777777" w:rsidTr="000C0157">
        <w:trPr>
          <w:trHeight w:val="731"/>
        </w:trPr>
        <w:tc>
          <w:tcPr>
            <w:tcW w:w="1383" w:type="dxa"/>
            <w:vMerge/>
            <w:shd w:val="clear" w:color="auto" w:fill="F2F2F2" w:themeFill="background1" w:themeFillShade="F2"/>
          </w:tcPr>
          <w:p w14:paraId="29D8D520" w14:textId="77777777" w:rsidR="00CD0BFB" w:rsidRPr="004E18B9" w:rsidRDefault="00CD0BFB" w:rsidP="000C0157">
            <w:pPr>
              <w:pStyle w:val="BodyText"/>
              <w:spacing w:before="20" w:after="20" w:line="240" w:lineRule="auto"/>
              <w:rPr>
                <w:rFonts w:cs="Arial"/>
                <w:b/>
                <w:sz w:val="16"/>
                <w:szCs w:val="16"/>
              </w:rPr>
            </w:pPr>
          </w:p>
        </w:tc>
        <w:tc>
          <w:tcPr>
            <w:tcW w:w="1260" w:type="dxa"/>
            <w:vMerge/>
            <w:shd w:val="clear" w:color="auto" w:fill="F2F2F2" w:themeFill="background1" w:themeFillShade="F2"/>
          </w:tcPr>
          <w:p w14:paraId="7E74E5A4" w14:textId="77777777" w:rsidR="00CD0BFB" w:rsidRPr="004E18B9" w:rsidRDefault="00CD0BFB" w:rsidP="000C0157">
            <w:pPr>
              <w:pStyle w:val="BodyText"/>
              <w:spacing w:before="20" w:after="20" w:line="240" w:lineRule="auto"/>
              <w:rPr>
                <w:rFonts w:cs="Arial"/>
                <w:b/>
                <w:sz w:val="16"/>
                <w:szCs w:val="16"/>
              </w:rPr>
            </w:pPr>
          </w:p>
        </w:tc>
        <w:tc>
          <w:tcPr>
            <w:tcW w:w="2104" w:type="dxa"/>
            <w:vMerge/>
            <w:shd w:val="clear" w:color="auto" w:fill="F2F2F2" w:themeFill="background1" w:themeFillShade="F2"/>
          </w:tcPr>
          <w:p w14:paraId="659ACD8C" w14:textId="77777777" w:rsidR="00CD0BFB" w:rsidRPr="004E18B9" w:rsidRDefault="00CD0BFB" w:rsidP="000C0157">
            <w:pPr>
              <w:pStyle w:val="BodyText"/>
              <w:spacing w:before="20" w:after="20" w:line="240" w:lineRule="auto"/>
              <w:rPr>
                <w:rFonts w:cs="Arial"/>
                <w:sz w:val="16"/>
                <w:szCs w:val="16"/>
              </w:rPr>
            </w:pPr>
          </w:p>
        </w:tc>
        <w:tc>
          <w:tcPr>
            <w:tcW w:w="2337" w:type="dxa"/>
            <w:shd w:val="clear" w:color="auto" w:fill="F2F2F2" w:themeFill="background1" w:themeFillShade="F2"/>
          </w:tcPr>
          <w:p w14:paraId="7ECC4F32" w14:textId="77777777" w:rsidR="00CD0BFB" w:rsidRPr="004E18B9" w:rsidRDefault="00CD0BFB" w:rsidP="000C0157">
            <w:pPr>
              <w:pStyle w:val="BodyText"/>
              <w:spacing w:before="20" w:after="20" w:line="240" w:lineRule="auto"/>
              <w:rPr>
                <w:rFonts w:cs="Arial"/>
                <w:sz w:val="16"/>
                <w:szCs w:val="16"/>
              </w:rPr>
            </w:pPr>
            <w:r w:rsidRPr="004E18B9">
              <w:rPr>
                <w:rFonts w:cs="Arial"/>
                <w:sz w:val="16"/>
                <w:szCs w:val="16"/>
              </w:rPr>
              <w:t>Information on prices paid by other shippers based on weighted average price plus minimum and maximum prices for each service.</w:t>
            </w:r>
          </w:p>
        </w:tc>
        <w:tc>
          <w:tcPr>
            <w:tcW w:w="7252" w:type="dxa"/>
            <w:gridSpan w:val="4"/>
            <w:shd w:val="clear" w:color="auto" w:fill="F2F2F2" w:themeFill="background1" w:themeFillShade="F2"/>
          </w:tcPr>
          <w:p w14:paraId="7F071B1C" w14:textId="77777777" w:rsidR="00B314FB" w:rsidRPr="00F17B70" w:rsidRDefault="00CD0BFB" w:rsidP="000C0157">
            <w:pPr>
              <w:pStyle w:val="BodyText"/>
              <w:spacing w:before="20" w:after="20" w:line="240" w:lineRule="auto"/>
              <w:rPr>
                <w:rFonts w:cs="Arial"/>
                <w:sz w:val="16"/>
                <w:szCs w:val="16"/>
              </w:rPr>
            </w:pPr>
            <w:r w:rsidRPr="006B4639">
              <w:rPr>
                <w:rFonts w:asciiTheme="majorHAnsi" w:hAnsiTheme="majorHAnsi" w:cstheme="majorHAnsi"/>
                <w:sz w:val="16"/>
                <w:szCs w:val="16"/>
              </w:rPr>
              <w:t>Information on the prices paid by other shippers to be based on the individual prices (including key terms and conditions) paid by shippers</w:t>
            </w:r>
            <w:r>
              <w:rPr>
                <w:rFonts w:asciiTheme="majorHAnsi" w:hAnsiTheme="majorHAnsi" w:cstheme="majorHAnsi"/>
                <w:sz w:val="16"/>
                <w:szCs w:val="16"/>
              </w:rPr>
              <w:t>.</w:t>
            </w:r>
          </w:p>
        </w:tc>
      </w:tr>
      <w:tr w:rsidR="00CD0BFB" w:rsidRPr="004E18B9" w14:paraId="6423612B" w14:textId="77777777" w:rsidTr="000C0157">
        <w:trPr>
          <w:cnfStyle w:val="000000010000" w:firstRow="0" w:lastRow="0" w:firstColumn="0" w:lastColumn="0" w:oddVBand="0" w:evenVBand="0" w:oddHBand="0" w:evenHBand="1" w:firstRowFirstColumn="0" w:firstRowLastColumn="0" w:lastRowFirstColumn="0" w:lastRowLastColumn="0"/>
          <w:trHeight w:val="84"/>
        </w:trPr>
        <w:tc>
          <w:tcPr>
            <w:tcW w:w="1383" w:type="dxa"/>
            <w:vMerge/>
            <w:shd w:val="clear" w:color="auto" w:fill="F2F2F2" w:themeFill="background1" w:themeFillShade="F2"/>
          </w:tcPr>
          <w:p w14:paraId="1D639BF8" w14:textId="77777777" w:rsidR="00CD0BFB" w:rsidRPr="004E18B9" w:rsidRDefault="00CD0BFB" w:rsidP="000C0157">
            <w:pPr>
              <w:pStyle w:val="BodyText"/>
              <w:spacing w:before="20" w:after="20" w:line="240" w:lineRule="auto"/>
              <w:rPr>
                <w:rFonts w:cs="Arial"/>
                <w:b/>
                <w:sz w:val="16"/>
                <w:szCs w:val="16"/>
              </w:rPr>
            </w:pPr>
          </w:p>
        </w:tc>
        <w:tc>
          <w:tcPr>
            <w:tcW w:w="1260" w:type="dxa"/>
            <w:vMerge/>
            <w:tcBorders>
              <w:bottom w:val="single" w:sz="4" w:space="0" w:color="auto"/>
            </w:tcBorders>
            <w:shd w:val="clear" w:color="auto" w:fill="F2F2F2" w:themeFill="background1" w:themeFillShade="F2"/>
          </w:tcPr>
          <w:p w14:paraId="116349DF" w14:textId="77777777" w:rsidR="00CD0BFB" w:rsidRPr="004E18B9" w:rsidRDefault="00CD0BFB" w:rsidP="000C0157">
            <w:pPr>
              <w:pStyle w:val="BodyText"/>
              <w:spacing w:before="20" w:after="20" w:line="240" w:lineRule="auto"/>
              <w:rPr>
                <w:rFonts w:cs="Arial"/>
                <w:b/>
                <w:sz w:val="16"/>
                <w:szCs w:val="16"/>
              </w:rPr>
            </w:pPr>
          </w:p>
        </w:tc>
        <w:tc>
          <w:tcPr>
            <w:tcW w:w="2104" w:type="dxa"/>
            <w:vMerge/>
            <w:tcBorders>
              <w:bottom w:val="single" w:sz="4" w:space="0" w:color="auto"/>
            </w:tcBorders>
            <w:shd w:val="clear" w:color="auto" w:fill="F2F2F2" w:themeFill="background1" w:themeFillShade="F2"/>
          </w:tcPr>
          <w:p w14:paraId="29159C25" w14:textId="77777777" w:rsidR="00CD0BFB" w:rsidRPr="004E18B9" w:rsidRDefault="00CD0BFB" w:rsidP="000C0157">
            <w:pPr>
              <w:pStyle w:val="BodyText"/>
              <w:spacing w:before="20" w:after="20" w:line="240" w:lineRule="auto"/>
              <w:rPr>
                <w:rFonts w:cs="Arial"/>
                <w:sz w:val="16"/>
                <w:szCs w:val="16"/>
              </w:rPr>
            </w:pPr>
          </w:p>
        </w:tc>
        <w:tc>
          <w:tcPr>
            <w:tcW w:w="2337" w:type="dxa"/>
            <w:tcBorders>
              <w:bottom w:val="single" w:sz="4" w:space="0" w:color="auto"/>
            </w:tcBorders>
            <w:shd w:val="clear" w:color="auto" w:fill="F2F2F2" w:themeFill="background1" w:themeFillShade="F2"/>
          </w:tcPr>
          <w:p w14:paraId="3D1410C2" w14:textId="77777777" w:rsidR="00CD0BFB" w:rsidRPr="004E18B9" w:rsidRDefault="00CD0BFB" w:rsidP="000C0157">
            <w:pPr>
              <w:pStyle w:val="BodyText"/>
              <w:spacing w:before="20" w:after="20" w:line="240" w:lineRule="auto"/>
              <w:rPr>
                <w:rFonts w:cs="Arial"/>
                <w:sz w:val="16"/>
                <w:szCs w:val="16"/>
              </w:rPr>
            </w:pPr>
            <w:r w:rsidRPr="004E18B9">
              <w:rPr>
                <w:rFonts w:cs="Arial"/>
                <w:sz w:val="16"/>
                <w:szCs w:val="16"/>
              </w:rPr>
              <w:t>n.a.</w:t>
            </w:r>
          </w:p>
        </w:tc>
        <w:tc>
          <w:tcPr>
            <w:tcW w:w="7252" w:type="dxa"/>
            <w:gridSpan w:val="4"/>
            <w:tcBorders>
              <w:bottom w:val="single" w:sz="4" w:space="0" w:color="auto"/>
            </w:tcBorders>
            <w:shd w:val="clear" w:color="auto" w:fill="F2F2F2" w:themeFill="background1" w:themeFillShade="F2"/>
          </w:tcPr>
          <w:p w14:paraId="45D3A9BC" w14:textId="77777777" w:rsidR="00CD0BFB" w:rsidRPr="004E18B9" w:rsidRDefault="00CD0BFB" w:rsidP="000C0157">
            <w:pPr>
              <w:pStyle w:val="BodyText"/>
              <w:spacing w:before="20" w:after="20" w:line="240" w:lineRule="auto"/>
              <w:rPr>
                <w:rFonts w:cs="Arial"/>
                <w:sz w:val="16"/>
                <w:szCs w:val="16"/>
              </w:rPr>
            </w:pPr>
            <w:r w:rsidRPr="004E18B9">
              <w:rPr>
                <w:rFonts w:cs="Arial"/>
                <w:sz w:val="16"/>
                <w:szCs w:val="16"/>
              </w:rPr>
              <w:t>Disclosure requirements amended to address the identified information deficiencies and improve the quality, reliability, accessibility and usability of the information</w:t>
            </w:r>
            <w:r>
              <w:rPr>
                <w:rFonts w:cs="Arial"/>
                <w:sz w:val="16"/>
                <w:szCs w:val="16"/>
              </w:rPr>
              <w:t xml:space="preserve"> (see Box 8.1)</w:t>
            </w:r>
            <w:r w:rsidRPr="004E18B9">
              <w:rPr>
                <w:rFonts w:cs="Arial"/>
                <w:sz w:val="16"/>
                <w:szCs w:val="16"/>
              </w:rPr>
              <w:t>.</w:t>
            </w:r>
          </w:p>
        </w:tc>
      </w:tr>
      <w:tr w:rsidR="00CD0BFB" w:rsidRPr="004E18B9" w14:paraId="5A4DA645" w14:textId="77777777" w:rsidTr="000C0157">
        <w:trPr>
          <w:trHeight w:val="1692"/>
        </w:trPr>
        <w:tc>
          <w:tcPr>
            <w:tcW w:w="1383" w:type="dxa"/>
            <w:vMerge/>
            <w:shd w:val="clear" w:color="auto" w:fill="F2F2F2" w:themeFill="background1" w:themeFillShade="F2"/>
          </w:tcPr>
          <w:p w14:paraId="3C53A096" w14:textId="77777777" w:rsidR="00CD0BFB" w:rsidRPr="004E18B9" w:rsidRDefault="00CD0BFB" w:rsidP="000C0157">
            <w:pPr>
              <w:pStyle w:val="BodyText"/>
              <w:spacing w:before="20" w:after="20" w:line="240" w:lineRule="auto"/>
              <w:rPr>
                <w:rFonts w:cs="Arial"/>
                <w:b/>
                <w:sz w:val="16"/>
                <w:szCs w:val="16"/>
              </w:rPr>
            </w:pPr>
          </w:p>
        </w:tc>
        <w:tc>
          <w:tcPr>
            <w:tcW w:w="1260" w:type="dxa"/>
            <w:shd w:val="clear" w:color="auto" w:fill="FFFFFF" w:themeFill="background1"/>
          </w:tcPr>
          <w:p w14:paraId="6F447EE5" w14:textId="77777777" w:rsidR="00CD0BFB" w:rsidRPr="004E18B9" w:rsidRDefault="00CD0BFB" w:rsidP="000C0157">
            <w:pPr>
              <w:pStyle w:val="BodyText"/>
              <w:keepNext/>
              <w:spacing w:before="20" w:after="20" w:line="240" w:lineRule="auto"/>
              <w:rPr>
                <w:rFonts w:cs="Arial"/>
                <w:b/>
                <w:sz w:val="16"/>
                <w:szCs w:val="16"/>
              </w:rPr>
            </w:pPr>
            <w:r w:rsidRPr="004E18B9">
              <w:rPr>
                <w:rFonts w:cs="Arial"/>
                <w:b/>
                <w:sz w:val="16"/>
                <w:szCs w:val="16"/>
              </w:rPr>
              <w:t xml:space="preserve">Exemptions from disclosure requirements </w:t>
            </w:r>
          </w:p>
        </w:tc>
        <w:tc>
          <w:tcPr>
            <w:tcW w:w="2104" w:type="dxa"/>
            <w:shd w:val="clear" w:color="auto" w:fill="FFFFFF" w:themeFill="background1"/>
          </w:tcPr>
          <w:p w14:paraId="31C50051" w14:textId="77777777" w:rsidR="00CD0BFB" w:rsidRPr="001E289E" w:rsidRDefault="00CD0BFB" w:rsidP="000C0157">
            <w:pPr>
              <w:pStyle w:val="BodyText"/>
              <w:keepNext/>
              <w:spacing w:before="20" w:after="20" w:line="240" w:lineRule="auto"/>
              <w:rPr>
                <w:rFonts w:cs="Arial"/>
                <w:sz w:val="16"/>
                <w:szCs w:val="16"/>
              </w:rPr>
            </w:pPr>
            <w:r w:rsidRPr="001E289E">
              <w:rPr>
                <w:rFonts w:cs="Arial"/>
                <w:sz w:val="16"/>
                <w:szCs w:val="16"/>
              </w:rPr>
              <w:t>Retain the existing exemptions from disclosure under Part 23 and light regulation.</w:t>
            </w:r>
          </w:p>
        </w:tc>
        <w:tc>
          <w:tcPr>
            <w:tcW w:w="2337" w:type="dxa"/>
            <w:shd w:val="clear" w:color="auto" w:fill="FFFFFF" w:themeFill="background1"/>
          </w:tcPr>
          <w:p w14:paraId="6DA9F745" w14:textId="77777777" w:rsidR="00CD0BFB" w:rsidRPr="001B1A36" w:rsidRDefault="00CD0BFB" w:rsidP="000C0157">
            <w:pPr>
              <w:pStyle w:val="BodyText"/>
              <w:keepNext/>
              <w:numPr>
                <w:ilvl w:val="0"/>
                <w:numId w:val="76"/>
              </w:numPr>
              <w:spacing w:before="20" w:after="20" w:line="240" w:lineRule="auto"/>
              <w:ind w:left="312" w:hanging="227"/>
              <w:rPr>
                <w:rFonts w:cs="Arial"/>
                <w:sz w:val="16"/>
                <w:szCs w:val="16"/>
              </w:rPr>
            </w:pPr>
            <w:r w:rsidRPr="001B1A36">
              <w:rPr>
                <w:rFonts w:cs="Arial"/>
                <w:sz w:val="16"/>
                <w:szCs w:val="16"/>
              </w:rPr>
              <w:t xml:space="preserve">No exemptions from disclosure requirements for regulated pipelines. </w:t>
            </w:r>
          </w:p>
          <w:p w14:paraId="2C7FF5B9" w14:textId="2658147A" w:rsidR="00CD0BFB" w:rsidRPr="001B1A36" w:rsidRDefault="00CD0BFB" w:rsidP="000C0157">
            <w:pPr>
              <w:pStyle w:val="BodyText"/>
              <w:keepNext/>
              <w:numPr>
                <w:ilvl w:val="0"/>
                <w:numId w:val="76"/>
              </w:numPr>
              <w:spacing w:before="20" w:after="20" w:line="240" w:lineRule="auto"/>
              <w:ind w:left="312" w:hanging="227"/>
              <w:rPr>
                <w:rFonts w:cs="Arial"/>
                <w:sz w:val="16"/>
                <w:szCs w:val="16"/>
              </w:rPr>
            </w:pPr>
            <w:r w:rsidRPr="001B1A36">
              <w:rPr>
                <w:rFonts w:cs="Arial"/>
                <w:sz w:val="16"/>
                <w:szCs w:val="16"/>
              </w:rPr>
              <w:t>Pipelines with an exemption from regulation (see above) that provide 3</w:t>
            </w:r>
            <w:r w:rsidRPr="001B1A36">
              <w:rPr>
                <w:rFonts w:cs="Arial"/>
                <w:sz w:val="16"/>
                <w:szCs w:val="16"/>
                <w:vertAlign w:val="superscript"/>
              </w:rPr>
              <w:t>rd</w:t>
            </w:r>
            <w:r w:rsidRPr="001B1A36">
              <w:rPr>
                <w:rFonts w:cs="Arial"/>
                <w:sz w:val="16"/>
                <w:szCs w:val="16"/>
              </w:rPr>
              <w:t xml:space="preserve"> party access can obtain exemption from </w:t>
            </w:r>
            <w:r w:rsidR="00517663">
              <w:rPr>
                <w:rFonts w:cs="Arial"/>
                <w:sz w:val="16"/>
                <w:szCs w:val="16"/>
              </w:rPr>
              <w:t>historical financial</w:t>
            </w:r>
            <w:r w:rsidRPr="001B1A36">
              <w:rPr>
                <w:rFonts w:cs="Arial"/>
                <w:sz w:val="16"/>
                <w:szCs w:val="16"/>
              </w:rPr>
              <w:t xml:space="preserve"> and </w:t>
            </w:r>
            <w:r w:rsidR="000C0157">
              <w:rPr>
                <w:rFonts w:cs="Arial"/>
                <w:sz w:val="16"/>
                <w:szCs w:val="16"/>
              </w:rPr>
              <w:t xml:space="preserve">demand </w:t>
            </w:r>
            <w:r w:rsidRPr="001B1A36">
              <w:rPr>
                <w:rFonts w:cs="Arial"/>
                <w:sz w:val="16"/>
                <w:szCs w:val="16"/>
              </w:rPr>
              <w:t>information, but must disclose Basic Information.</w:t>
            </w:r>
          </w:p>
        </w:tc>
        <w:tc>
          <w:tcPr>
            <w:tcW w:w="7252" w:type="dxa"/>
            <w:gridSpan w:val="4"/>
            <w:shd w:val="clear" w:color="auto" w:fill="FFFFFF" w:themeFill="background1"/>
          </w:tcPr>
          <w:p w14:paraId="44028429" w14:textId="77777777" w:rsidR="00CD0BFB" w:rsidRPr="001B1A36" w:rsidRDefault="00CD0BFB" w:rsidP="000C0157">
            <w:pPr>
              <w:pStyle w:val="TableBullet10"/>
              <w:numPr>
                <w:ilvl w:val="0"/>
                <w:numId w:val="0"/>
              </w:numPr>
              <w:spacing w:line="240" w:lineRule="auto"/>
              <w:ind w:left="85"/>
              <w:rPr>
                <w:sz w:val="16"/>
                <w:szCs w:val="16"/>
              </w:rPr>
            </w:pPr>
            <w:r w:rsidRPr="001B1A36">
              <w:rPr>
                <w:sz w:val="16"/>
                <w:szCs w:val="16"/>
              </w:rPr>
              <w:t>The following exemptions from the information disclosure obligations would be available:</w:t>
            </w:r>
          </w:p>
          <w:p w14:paraId="2F94FD73" w14:textId="77777777" w:rsidR="00CD0BFB" w:rsidRPr="001B1A36" w:rsidRDefault="00CD0BFB" w:rsidP="000C0157">
            <w:pPr>
              <w:pStyle w:val="TableBullet10"/>
              <w:spacing w:line="240" w:lineRule="auto"/>
              <w:rPr>
                <w:sz w:val="16"/>
                <w:szCs w:val="16"/>
              </w:rPr>
            </w:pPr>
            <w:r w:rsidRPr="001B1A36">
              <w:rPr>
                <w:sz w:val="16"/>
                <w:szCs w:val="16"/>
              </w:rPr>
              <w:t xml:space="preserve">Pipelines that are not providing third party access would be able to obtain an exemption from publishing the Basic Information and the </w:t>
            </w:r>
            <w:r w:rsidR="00517663">
              <w:rPr>
                <w:sz w:val="16"/>
                <w:szCs w:val="16"/>
              </w:rPr>
              <w:t>historical financial</w:t>
            </w:r>
            <w:r w:rsidRPr="001B1A36">
              <w:rPr>
                <w:sz w:val="16"/>
                <w:szCs w:val="16"/>
              </w:rPr>
              <w:t xml:space="preserve"> and demand information. </w:t>
            </w:r>
          </w:p>
          <w:p w14:paraId="01CBF57B" w14:textId="77777777" w:rsidR="00CD0BFB" w:rsidRPr="001B1A36" w:rsidRDefault="00CD0BFB" w:rsidP="000C0157">
            <w:pPr>
              <w:pStyle w:val="TableBullet10"/>
              <w:spacing w:line="240" w:lineRule="auto"/>
              <w:rPr>
                <w:sz w:val="16"/>
                <w:szCs w:val="16"/>
              </w:rPr>
            </w:pPr>
            <w:r w:rsidRPr="001B1A36">
              <w:rPr>
                <w:sz w:val="16"/>
                <w:szCs w:val="16"/>
              </w:rPr>
              <w:t xml:space="preserve">Pipelines that are providing third party access, but have a single user or have a nameplate capacity less than 10 TJ/day would be able to obtain an exemption from the obligation to publish </w:t>
            </w:r>
            <w:r w:rsidR="00517663">
              <w:rPr>
                <w:sz w:val="16"/>
                <w:szCs w:val="16"/>
              </w:rPr>
              <w:t>historical financial</w:t>
            </w:r>
            <w:r w:rsidRPr="001B1A36">
              <w:rPr>
                <w:sz w:val="16"/>
                <w:szCs w:val="16"/>
              </w:rPr>
              <w:t xml:space="preserve"> and service usage information. </w:t>
            </w:r>
          </w:p>
          <w:p w14:paraId="089514DA" w14:textId="77777777" w:rsidR="00CD0BFB" w:rsidRPr="001B1A36" w:rsidRDefault="00CD0BFB" w:rsidP="000C0157">
            <w:pPr>
              <w:pStyle w:val="TableBullet2"/>
              <w:numPr>
                <w:ilvl w:val="0"/>
                <w:numId w:val="0"/>
              </w:numPr>
              <w:spacing w:line="240" w:lineRule="auto"/>
              <w:ind w:left="85"/>
              <w:rPr>
                <w:sz w:val="16"/>
                <w:szCs w:val="16"/>
              </w:rPr>
            </w:pPr>
            <w:r w:rsidRPr="001B1A36">
              <w:rPr>
                <w:sz w:val="16"/>
                <w:szCs w:val="16"/>
              </w:rPr>
              <w:t xml:space="preserve">If a pipeline no longer satisfies the exemption criteria, the exemption would be revoked. </w:t>
            </w:r>
          </w:p>
        </w:tc>
      </w:tr>
      <w:tr w:rsidR="00CD0BFB" w:rsidRPr="004E18B9" w14:paraId="6B9AD6E7" w14:textId="77777777" w:rsidTr="000C0157">
        <w:trPr>
          <w:cnfStyle w:val="000000010000" w:firstRow="0" w:lastRow="0" w:firstColumn="0" w:lastColumn="0" w:oddVBand="0" w:evenVBand="0" w:oddHBand="0" w:evenHBand="1" w:firstRowFirstColumn="0" w:firstRowLastColumn="0" w:lastRowFirstColumn="0" w:lastRowLastColumn="0"/>
          <w:trHeight w:val="213"/>
        </w:trPr>
        <w:tc>
          <w:tcPr>
            <w:tcW w:w="1383" w:type="dxa"/>
            <w:vMerge w:val="restart"/>
            <w:shd w:val="clear" w:color="auto" w:fill="FFFFFF" w:themeFill="background1"/>
          </w:tcPr>
          <w:p w14:paraId="6FF082F1" w14:textId="77777777" w:rsidR="00CD0BFB" w:rsidRPr="004E18B9" w:rsidRDefault="00CD0BFB" w:rsidP="000C0157">
            <w:pPr>
              <w:pStyle w:val="BodyText"/>
              <w:spacing w:before="20" w:after="20" w:line="240" w:lineRule="auto"/>
              <w:rPr>
                <w:rFonts w:cs="Arial"/>
                <w:b/>
                <w:sz w:val="16"/>
                <w:szCs w:val="16"/>
              </w:rPr>
            </w:pPr>
            <w:r w:rsidRPr="004E18B9">
              <w:rPr>
                <w:rFonts w:cs="Arial"/>
                <w:b/>
                <w:sz w:val="16"/>
                <w:szCs w:val="16"/>
              </w:rPr>
              <w:t xml:space="preserve">Negotiation frameworks and dispute resolution mechanism* </w:t>
            </w:r>
          </w:p>
        </w:tc>
        <w:tc>
          <w:tcPr>
            <w:tcW w:w="1260" w:type="dxa"/>
            <w:tcBorders>
              <w:bottom w:val="single" w:sz="4" w:space="0" w:color="auto"/>
            </w:tcBorders>
            <w:shd w:val="clear" w:color="auto" w:fill="F2F2F2" w:themeFill="background1" w:themeFillShade="F2"/>
          </w:tcPr>
          <w:p w14:paraId="78DC38F4" w14:textId="77777777" w:rsidR="00CD0BFB" w:rsidRPr="004E18B9" w:rsidRDefault="00CD0BFB" w:rsidP="000C0157">
            <w:pPr>
              <w:pStyle w:val="BodyText"/>
              <w:spacing w:before="20" w:after="20" w:line="240" w:lineRule="auto"/>
              <w:rPr>
                <w:rFonts w:cs="Arial"/>
                <w:b/>
                <w:bCs/>
                <w:sz w:val="16"/>
                <w:szCs w:val="16"/>
              </w:rPr>
            </w:pPr>
            <w:r w:rsidRPr="004E18B9">
              <w:rPr>
                <w:rFonts w:cs="Arial"/>
                <w:b/>
                <w:sz w:val="16"/>
                <w:szCs w:val="16"/>
              </w:rPr>
              <w:t>Negotiation framework</w:t>
            </w:r>
          </w:p>
        </w:tc>
        <w:tc>
          <w:tcPr>
            <w:tcW w:w="2104" w:type="dxa"/>
            <w:tcBorders>
              <w:bottom w:val="single" w:sz="4" w:space="0" w:color="auto"/>
            </w:tcBorders>
            <w:shd w:val="clear" w:color="auto" w:fill="F2F2F2" w:themeFill="background1" w:themeFillShade="F2"/>
          </w:tcPr>
          <w:p w14:paraId="3381EDF0" w14:textId="605614BA" w:rsidR="00CD0BFB" w:rsidRPr="004E18B9" w:rsidRDefault="00CD0BFB" w:rsidP="000C0157">
            <w:pPr>
              <w:pStyle w:val="BodyText"/>
              <w:spacing w:before="20" w:after="20" w:line="240" w:lineRule="auto"/>
              <w:rPr>
                <w:rFonts w:cs="Arial"/>
                <w:sz w:val="16"/>
                <w:szCs w:val="16"/>
              </w:rPr>
            </w:pPr>
            <w:r w:rsidRPr="004E18B9">
              <w:rPr>
                <w:rFonts w:cs="Arial"/>
                <w:sz w:val="16"/>
                <w:szCs w:val="16"/>
              </w:rPr>
              <w:t>Retain existing negotiation frameworks</w:t>
            </w:r>
            <w:r>
              <w:rPr>
                <w:rFonts w:cs="Arial"/>
                <w:sz w:val="16"/>
                <w:szCs w:val="16"/>
              </w:rPr>
              <w:t xml:space="preserve"> for full/light regulation and Part 23</w:t>
            </w:r>
            <w:r w:rsidRPr="004E18B9">
              <w:rPr>
                <w:rFonts w:cs="Arial"/>
                <w:sz w:val="16"/>
                <w:szCs w:val="16"/>
              </w:rPr>
              <w:t xml:space="preserve">. </w:t>
            </w:r>
          </w:p>
        </w:tc>
        <w:tc>
          <w:tcPr>
            <w:tcW w:w="9589" w:type="dxa"/>
            <w:gridSpan w:val="5"/>
            <w:tcBorders>
              <w:bottom w:val="single" w:sz="4" w:space="0" w:color="auto"/>
            </w:tcBorders>
            <w:shd w:val="clear" w:color="auto" w:fill="F2F2F2" w:themeFill="background1" w:themeFillShade="F2"/>
          </w:tcPr>
          <w:p w14:paraId="1A91EF6D" w14:textId="77777777" w:rsidR="00CD0BFB" w:rsidRPr="004E18B9" w:rsidRDefault="00CD0BFB" w:rsidP="000C0157">
            <w:pPr>
              <w:pStyle w:val="BodyText"/>
              <w:spacing w:before="20" w:after="20" w:line="240" w:lineRule="auto"/>
              <w:rPr>
                <w:rFonts w:cs="Arial"/>
                <w:sz w:val="16"/>
                <w:szCs w:val="16"/>
              </w:rPr>
            </w:pPr>
            <w:r w:rsidRPr="004E18B9">
              <w:rPr>
                <w:rFonts w:cs="Arial"/>
                <w:sz w:val="16"/>
                <w:szCs w:val="16"/>
              </w:rPr>
              <w:t xml:space="preserve">Single negotiation framework to apply under </w:t>
            </w:r>
            <w:r>
              <w:rPr>
                <w:rFonts w:cs="Arial"/>
                <w:sz w:val="16"/>
                <w:szCs w:val="16"/>
              </w:rPr>
              <w:t xml:space="preserve">all </w:t>
            </w:r>
            <w:r w:rsidRPr="004E18B9">
              <w:rPr>
                <w:rFonts w:cs="Arial"/>
                <w:sz w:val="16"/>
                <w:szCs w:val="16"/>
              </w:rPr>
              <w:t>forms of regulation</w:t>
            </w:r>
            <w:r>
              <w:rPr>
                <w:rFonts w:cs="Arial"/>
                <w:sz w:val="16"/>
                <w:szCs w:val="16"/>
              </w:rPr>
              <w:t xml:space="preserve"> (see Box 8.2)</w:t>
            </w:r>
            <w:r w:rsidRPr="004E18B9">
              <w:rPr>
                <w:rFonts w:cs="Arial"/>
                <w:sz w:val="16"/>
                <w:szCs w:val="16"/>
              </w:rPr>
              <w:t xml:space="preserve">. </w:t>
            </w:r>
          </w:p>
        </w:tc>
      </w:tr>
      <w:tr w:rsidR="00CD0BFB" w:rsidRPr="004E18B9" w14:paraId="77F0C93E" w14:textId="77777777" w:rsidTr="000C0157">
        <w:trPr>
          <w:trHeight w:val="537"/>
        </w:trPr>
        <w:tc>
          <w:tcPr>
            <w:tcW w:w="1383" w:type="dxa"/>
            <w:vMerge/>
            <w:shd w:val="clear" w:color="auto" w:fill="FFFFFF" w:themeFill="background1"/>
          </w:tcPr>
          <w:p w14:paraId="2E333F80" w14:textId="77777777" w:rsidR="00CD0BFB" w:rsidRPr="004E18B9" w:rsidRDefault="00CD0BFB" w:rsidP="000C0157">
            <w:pPr>
              <w:pStyle w:val="BodyText"/>
              <w:spacing w:before="40" w:after="40" w:line="240" w:lineRule="auto"/>
              <w:rPr>
                <w:rFonts w:cs="Arial"/>
                <w:b/>
                <w:sz w:val="16"/>
                <w:szCs w:val="16"/>
              </w:rPr>
            </w:pPr>
          </w:p>
        </w:tc>
        <w:tc>
          <w:tcPr>
            <w:tcW w:w="1260" w:type="dxa"/>
            <w:tcBorders>
              <w:bottom w:val="single" w:sz="4" w:space="0" w:color="auto"/>
            </w:tcBorders>
            <w:shd w:val="clear" w:color="auto" w:fill="FFFFFF" w:themeFill="background1"/>
          </w:tcPr>
          <w:p w14:paraId="7F17D468" w14:textId="77777777" w:rsidR="00CD0BFB" w:rsidRPr="004E18B9" w:rsidRDefault="00CD0BFB" w:rsidP="000C0157">
            <w:pPr>
              <w:pStyle w:val="BodyText"/>
              <w:spacing w:before="20" w:after="20" w:line="240" w:lineRule="auto"/>
              <w:rPr>
                <w:rFonts w:cs="Arial"/>
                <w:b/>
                <w:sz w:val="16"/>
                <w:szCs w:val="16"/>
              </w:rPr>
            </w:pPr>
            <w:r w:rsidRPr="004E18B9">
              <w:rPr>
                <w:rFonts w:cs="Arial"/>
                <w:b/>
                <w:sz w:val="16"/>
                <w:szCs w:val="16"/>
              </w:rPr>
              <w:t xml:space="preserve">Threat of </w:t>
            </w:r>
            <w:r>
              <w:rPr>
                <w:rFonts w:cs="Arial"/>
                <w:b/>
                <w:sz w:val="16"/>
                <w:szCs w:val="16"/>
              </w:rPr>
              <w:t>dispute</w:t>
            </w:r>
            <w:r w:rsidRPr="004E18B9">
              <w:rPr>
                <w:rFonts w:cs="Arial"/>
                <w:b/>
                <w:sz w:val="16"/>
                <w:szCs w:val="16"/>
              </w:rPr>
              <w:t xml:space="preserve"> </w:t>
            </w:r>
            <w:r>
              <w:rPr>
                <w:rFonts w:cs="Arial"/>
                <w:b/>
                <w:sz w:val="16"/>
                <w:szCs w:val="16"/>
              </w:rPr>
              <w:t xml:space="preserve">by </w:t>
            </w:r>
            <w:r w:rsidRPr="004E18B9">
              <w:rPr>
                <w:rFonts w:cs="Arial"/>
                <w:b/>
                <w:sz w:val="16"/>
                <w:szCs w:val="16"/>
              </w:rPr>
              <w:t>small</w:t>
            </w:r>
            <w:r>
              <w:rPr>
                <w:rFonts w:cs="Arial"/>
                <w:b/>
                <w:sz w:val="16"/>
                <w:szCs w:val="16"/>
              </w:rPr>
              <w:t>er</w:t>
            </w:r>
            <w:r w:rsidRPr="004E18B9">
              <w:rPr>
                <w:rFonts w:cs="Arial"/>
                <w:b/>
                <w:sz w:val="16"/>
                <w:szCs w:val="16"/>
              </w:rPr>
              <w:t xml:space="preserve"> shippers</w:t>
            </w:r>
          </w:p>
        </w:tc>
        <w:tc>
          <w:tcPr>
            <w:tcW w:w="2104" w:type="dxa"/>
            <w:tcBorders>
              <w:bottom w:val="single" w:sz="4" w:space="0" w:color="auto"/>
            </w:tcBorders>
            <w:shd w:val="clear" w:color="auto" w:fill="FFFFFF" w:themeFill="background1"/>
          </w:tcPr>
          <w:p w14:paraId="503CA1DA" w14:textId="77777777" w:rsidR="00CD0BFB" w:rsidRPr="004E18B9" w:rsidRDefault="00CD0BFB" w:rsidP="000C0157">
            <w:pPr>
              <w:pStyle w:val="BodyText"/>
              <w:spacing w:before="20" w:after="20" w:line="240" w:lineRule="auto"/>
              <w:rPr>
                <w:rFonts w:cs="Arial"/>
                <w:sz w:val="16"/>
                <w:szCs w:val="16"/>
              </w:rPr>
            </w:pPr>
            <w:r w:rsidRPr="004E18B9">
              <w:rPr>
                <w:rFonts w:cs="Arial"/>
                <w:sz w:val="16"/>
                <w:szCs w:val="16"/>
              </w:rPr>
              <w:t>Retain the existing arrangements (i.e. no specific measures to strengthen the threat for smaller shippers).</w:t>
            </w:r>
          </w:p>
        </w:tc>
        <w:tc>
          <w:tcPr>
            <w:tcW w:w="2337" w:type="dxa"/>
            <w:tcBorders>
              <w:bottom w:val="single" w:sz="4" w:space="0" w:color="auto"/>
            </w:tcBorders>
            <w:shd w:val="clear" w:color="auto" w:fill="FFFFFF" w:themeFill="background1"/>
          </w:tcPr>
          <w:p w14:paraId="4119FCA4" w14:textId="77777777" w:rsidR="00CD0BFB" w:rsidRPr="0088629E" w:rsidRDefault="00CD0BFB" w:rsidP="000C0157">
            <w:pPr>
              <w:pStyle w:val="BodyText"/>
              <w:spacing w:before="20" w:after="20" w:line="240" w:lineRule="auto"/>
              <w:rPr>
                <w:rFonts w:cs="Arial"/>
                <w:sz w:val="16"/>
                <w:szCs w:val="16"/>
              </w:rPr>
            </w:pPr>
            <w:r w:rsidRPr="0088629E">
              <w:rPr>
                <w:rFonts w:cs="Arial"/>
                <w:sz w:val="16"/>
                <w:szCs w:val="16"/>
              </w:rPr>
              <w:t xml:space="preserve">Strengthen credibility of the threat of arbitration for small shippers by changing the dispute related cost provisions. </w:t>
            </w:r>
          </w:p>
        </w:tc>
        <w:tc>
          <w:tcPr>
            <w:tcW w:w="4399" w:type="dxa"/>
            <w:gridSpan w:val="3"/>
            <w:tcBorders>
              <w:bottom w:val="single" w:sz="4" w:space="0" w:color="auto"/>
            </w:tcBorders>
            <w:shd w:val="clear" w:color="auto" w:fill="FFFFFF" w:themeFill="background1"/>
          </w:tcPr>
          <w:p w14:paraId="1CFDEE41" w14:textId="77777777" w:rsidR="00CD0BFB" w:rsidRPr="0088629E" w:rsidRDefault="00CD0BFB" w:rsidP="000C0157">
            <w:pPr>
              <w:pStyle w:val="BodyText"/>
              <w:spacing w:before="60" w:after="60" w:line="240" w:lineRule="auto"/>
              <w:rPr>
                <w:rFonts w:cs="Arial"/>
                <w:sz w:val="16"/>
                <w:szCs w:val="16"/>
              </w:rPr>
            </w:pPr>
            <w:r w:rsidRPr="0088629E">
              <w:rPr>
                <w:rFonts w:cs="Arial"/>
                <w:sz w:val="16"/>
                <w:szCs w:val="16"/>
              </w:rPr>
              <w:t>The credibility of the threat of smaller shippers triggering a dispute would be strengthened by:</w:t>
            </w:r>
          </w:p>
          <w:p w14:paraId="54AA02D0" w14:textId="77777777" w:rsidR="00CD0BFB" w:rsidRPr="0088629E" w:rsidRDefault="00CD0BFB" w:rsidP="000C0157">
            <w:pPr>
              <w:pStyle w:val="BodyText"/>
              <w:numPr>
                <w:ilvl w:val="0"/>
                <w:numId w:val="58"/>
              </w:numPr>
              <w:spacing w:before="20" w:after="20" w:line="240" w:lineRule="auto"/>
              <w:ind w:left="312" w:hanging="227"/>
              <w:rPr>
                <w:rFonts w:cs="Arial"/>
                <w:sz w:val="16"/>
                <w:szCs w:val="16"/>
              </w:rPr>
            </w:pPr>
            <w:r w:rsidRPr="0088629E">
              <w:rPr>
                <w:rFonts w:cs="Arial"/>
                <w:sz w:val="16"/>
                <w:szCs w:val="16"/>
              </w:rPr>
              <w:t>changing the dispute related cost provisions</w:t>
            </w:r>
          </w:p>
          <w:p w14:paraId="193ABF2E" w14:textId="77777777" w:rsidR="00CD0BFB" w:rsidRPr="0088629E" w:rsidRDefault="00CD0BFB" w:rsidP="000C0157">
            <w:pPr>
              <w:pStyle w:val="BodyText"/>
              <w:numPr>
                <w:ilvl w:val="0"/>
                <w:numId w:val="58"/>
              </w:numPr>
              <w:spacing w:before="20" w:after="20" w:line="240" w:lineRule="auto"/>
              <w:ind w:left="312" w:hanging="227"/>
              <w:rPr>
                <w:rFonts w:cs="Arial"/>
                <w:sz w:val="16"/>
                <w:szCs w:val="16"/>
              </w:rPr>
            </w:pPr>
            <w:r w:rsidRPr="0088629E">
              <w:rPr>
                <w:rFonts w:cs="Arial"/>
                <w:sz w:val="16"/>
                <w:szCs w:val="16"/>
              </w:rPr>
              <w:t>allowing user bodies to be joined to proceedings involving smaller shippers</w:t>
            </w:r>
          </w:p>
          <w:p w14:paraId="7DC50479" w14:textId="77777777" w:rsidR="00CD0BFB" w:rsidRPr="0088629E" w:rsidRDefault="00CD0BFB" w:rsidP="000C0157">
            <w:pPr>
              <w:pStyle w:val="BodyText"/>
              <w:numPr>
                <w:ilvl w:val="0"/>
                <w:numId w:val="58"/>
              </w:numPr>
              <w:spacing w:before="20" w:after="20" w:line="240" w:lineRule="auto"/>
              <w:ind w:left="312" w:hanging="227"/>
              <w:rPr>
                <w:rFonts w:cs="Arial"/>
                <w:sz w:val="16"/>
                <w:szCs w:val="16"/>
              </w:rPr>
            </w:pPr>
            <w:r w:rsidRPr="0088629E">
              <w:rPr>
                <w:rFonts w:cs="Arial"/>
                <w:sz w:val="16"/>
                <w:szCs w:val="16"/>
              </w:rPr>
              <w:t>allowing smaller shippers to elect to have a dispute involving a pipeline subject to the lighter form of regulation mediated by a regulator appointed party (who would be required to report back to the regulator on the outcomes of the mediation).</w:t>
            </w:r>
          </w:p>
        </w:tc>
        <w:tc>
          <w:tcPr>
            <w:tcW w:w="2848" w:type="dxa"/>
            <w:tcBorders>
              <w:bottom w:val="single" w:sz="4" w:space="0" w:color="auto"/>
            </w:tcBorders>
            <w:shd w:val="clear" w:color="auto" w:fill="FFFFFF" w:themeFill="background1"/>
          </w:tcPr>
          <w:p w14:paraId="0A49A214" w14:textId="77777777" w:rsidR="00CD0BFB" w:rsidRPr="006B4639" w:rsidRDefault="00CD0BFB" w:rsidP="000C0157">
            <w:pPr>
              <w:pStyle w:val="BodyText"/>
              <w:spacing w:before="20" w:after="20" w:line="240" w:lineRule="auto"/>
              <w:rPr>
                <w:sz w:val="16"/>
                <w:szCs w:val="16"/>
              </w:rPr>
            </w:pPr>
            <w:r w:rsidRPr="006B4639">
              <w:rPr>
                <w:sz w:val="16"/>
                <w:szCs w:val="16"/>
              </w:rPr>
              <w:t xml:space="preserve">Strengthen the credibility of the threat of arbitration for smaller shippers on </w:t>
            </w:r>
            <w:r>
              <w:rPr>
                <w:sz w:val="16"/>
                <w:szCs w:val="16"/>
              </w:rPr>
              <w:t xml:space="preserve">lighter regulation pipelines </w:t>
            </w:r>
            <w:r w:rsidRPr="006B4639">
              <w:rPr>
                <w:sz w:val="16"/>
                <w:szCs w:val="16"/>
              </w:rPr>
              <w:t>by:</w:t>
            </w:r>
          </w:p>
          <w:p w14:paraId="45DB8027" w14:textId="77777777" w:rsidR="00CD0BFB" w:rsidRPr="006B4639" w:rsidRDefault="00CD0BFB" w:rsidP="000C0157">
            <w:pPr>
              <w:pStyle w:val="BodyText"/>
              <w:numPr>
                <w:ilvl w:val="0"/>
                <w:numId w:val="58"/>
              </w:numPr>
              <w:spacing w:before="20" w:after="20" w:line="240" w:lineRule="auto"/>
              <w:ind w:left="312" w:hanging="227"/>
              <w:rPr>
                <w:sz w:val="16"/>
                <w:szCs w:val="16"/>
              </w:rPr>
            </w:pPr>
            <w:r w:rsidRPr="006B4639">
              <w:rPr>
                <w:sz w:val="16"/>
                <w:szCs w:val="16"/>
              </w:rPr>
              <w:t>changing the dispute related cost provisions</w:t>
            </w:r>
          </w:p>
          <w:p w14:paraId="10D03C6D" w14:textId="77777777" w:rsidR="00CD0BFB" w:rsidRDefault="00CD0BFB" w:rsidP="000C0157">
            <w:pPr>
              <w:pStyle w:val="BodyText"/>
              <w:numPr>
                <w:ilvl w:val="0"/>
                <w:numId w:val="58"/>
              </w:numPr>
              <w:spacing w:before="20" w:after="20" w:line="240" w:lineRule="auto"/>
              <w:ind w:left="312" w:hanging="227"/>
              <w:rPr>
                <w:sz w:val="16"/>
                <w:szCs w:val="16"/>
              </w:rPr>
            </w:pPr>
            <w:r w:rsidRPr="006B4639">
              <w:rPr>
                <w:sz w:val="16"/>
                <w:szCs w:val="16"/>
              </w:rPr>
              <w:t xml:space="preserve">allowing user bodies to be joined to arbitral proceedings </w:t>
            </w:r>
          </w:p>
          <w:p w14:paraId="1FAAD66D" w14:textId="77777777" w:rsidR="00CD0BFB" w:rsidRPr="00EC01CE" w:rsidRDefault="00CD0BFB" w:rsidP="000C0157">
            <w:pPr>
              <w:pStyle w:val="BodyText"/>
              <w:numPr>
                <w:ilvl w:val="0"/>
                <w:numId w:val="58"/>
              </w:numPr>
              <w:spacing w:before="20" w:after="20" w:line="240" w:lineRule="auto"/>
              <w:ind w:left="312" w:hanging="227"/>
              <w:rPr>
                <w:sz w:val="16"/>
                <w:szCs w:val="16"/>
              </w:rPr>
            </w:pPr>
            <w:r w:rsidRPr="00EC01CE">
              <w:rPr>
                <w:sz w:val="16"/>
                <w:szCs w:val="16"/>
              </w:rPr>
              <w:t xml:space="preserve">allowing smaller shipper to elect to have dispute heard by the relevant regulator </w:t>
            </w:r>
          </w:p>
        </w:tc>
      </w:tr>
      <w:tr w:rsidR="00CD0BFB" w:rsidRPr="004E18B9" w14:paraId="103BD528" w14:textId="77777777" w:rsidTr="000C0157">
        <w:trPr>
          <w:cnfStyle w:val="000000010000" w:firstRow="0" w:lastRow="0" w:firstColumn="0" w:lastColumn="0" w:oddVBand="0" w:evenVBand="0" w:oddHBand="0" w:evenHBand="1" w:firstRowFirstColumn="0" w:firstRowLastColumn="0" w:lastRowFirstColumn="0" w:lastRowLastColumn="0"/>
          <w:trHeight w:val="263"/>
        </w:trPr>
        <w:tc>
          <w:tcPr>
            <w:tcW w:w="1383" w:type="dxa"/>
            <w:vMerge/>
            <w:shd w:val="clear" w:color="auto" w:fill="FFFFFF" w:themeFill="background1"/>
          </w:tcPr>
          <w:p w14:paraId="6B6551D2" w14:textId="77777777" w:rsidR="00CD0BFB" w:rsidRPr="004E18B9" w:rsidRDefault="00CD0BFB" w:rsidP="000C0157">
            <w:pPr>
              <w:pStyle w:val="BodyText"/>
              <w:spacing w:before="40" w:after="40" w:line="240" w:lineRule="auto"/>
              <w:rPr>
                <w:rFonts w:cs="Arial"/>
                <w:b/>
                <w:sz w:val="16"/>
                <w:szCs w:val="16"/>
              </w:rPr>
            </w:pPr>
          </w:p>
        </w:tc>
        <w:tc>
          <w:tcPr>
            <w:tcW w:w="1260" w:type="dxa"/>
            <w:shd w:val="clear" w:color="auto" w:fill="F2F2F2" w:themeFill="background1" w:themeFillShade="F2"/>
          </w:tcPr>
          <w:p w14:paraId="2900E0B3" w14:textId="77777777" w:rsidR="00CD0BFB" w:rsidRPr="004E18B9" w:rsidRDefault="00CD0BFB" w:rsidP="000C0157">
            <w:pPr>
              <w:pStyle w:val="BodyText"/>
              <w:spacing w:before="20" w:after="20" w:line="240" w:lineRule="auto"/>
              <w:rPr>
                <w:rFonts w:cs="Arial"/>
                <w:b/>
                <w:sz w:val="16"/>
                <w:szCs w:val="16"/>
              </w:rPr>
            </w:pPr>
            <w:r w:rsidRPr="004E18B9">
              <w:rPr>
                <w:rFonts w:cs="Arial"/>
                <w:b/>
                <w:sz w:val="16"/>
                <w:szCs w:val="16"/>
              </w:rPr>
              <w:t xml:space="preserve">Dispute resolution mechanisms </w:t>
            </w:r>
          </w:p>
        </w:tc>
        <w:tc>
          <w:tcPr>
            <w:tcW w:w="2104" w:type="dxa"/>
            <w:shd w:val="clear" w:color="auto" w:fill="F2F2F2" w:themeFill="background1" w:themeFillShade="F2"/>
          </w:tcPr>
          <w:p w14:paraId="21B8ECCD" w14:textId="77777777" w:rsidR="00CD0BFB" w:rsidRPr="004E18B9" w:rsidRDefault="00CD0BFB" w:rsidP="000C0157">
            <w:pPr>
              <w:pStyle w:val="BodyText"/>
              <w:spacing w:before="20" w:after="20" w:line="240" w:lineRule="auto"/>
              <w:rPr>
                <w:rFonts w:cs="Arial"/>
                <w:sz w:val="16"/>
                <w:szCs w:val="16"/>
              </w:rPr>
            </w:pPr>
            <w:r w:rsidRPr="004E18B9">
              <w:rPr>
                <w:rFonts w:cs="Arial"/>
                <w:sz w:val="16"/>
                <w:szCs w:val="16"/>
              </w:rPr>
              <w:t>Retain the existing dispute resolution mechanisms.</w:t>
            </w:r>
          </w:p>
        </w:tc>
        <w:tc>
          <w:tcPr>
            <w:tcW w:w="6736" w:type="dxa"/>
            <w:gridSpan w:val="4"/>
            <w:shd w:val="clear" w:color="auto" w:fill="F2F2F2" w:themeFill="background1" w:themeFillShade="F2"/>
          </w:tcPr>
          <w:p w14:paraId="4E6129AC" w14:textId="77777777" w:rsidR="00CD0BFB" w:rsidRPr="004E18B9" w:rsidRDefault="00CD0BFB" w:rsidP="000C0157">
            <w:pPr>
              <w:pStyle w:val="BodyText"/>
              <w:spacing w:before="20" w:after="20" w:line="240" w:lineRule="auto"/>
              <w:rPr>
                <w:rFonts w:cs="Arial"/>
                <w:sz w:val="16"/>
                <w:szCs w:val="16"/>
              </w:rPr>
            </w:pPr>
            <w:r w:rsidRPr="004E18B9">
              <w:rPr>
                <w:rFonts w:cs="Arial"/>
                <w:sz w:val="16"/>
                <w:szCs w:val="16"/>
              </w:rPr>
              <w:t xml:space="preserve">Maintain </w:t>
            </w:r>
            <w:r>
              <w:rPr>
                <w:rFonts w:cs="Arial"/>
                <w:sz w:val="16"/>
                <w:szCs w:val="16"/>
              </w:rPr>
              <w:t xml:space="preserve">the Part 23 </w:t>
            </w:r>
            <w:r w:rsidRPr="004E18B9">
              <w:rPr>
                <w:rFonts w:cs="Arial"/>
                <w:sz w:val="16"/>
                <w:szCs w:val="16"/>
              </w:rPr>
              <w:t>commercially</w:t>
            </w:r>
            <w:r>
              <w:rPr>
                <w:rFonts w:cs="Arial"/>
                <w:sz w:val="16"/>
                <w:szCs w:val="16"/>
              </w:rPr>
              <w:t>-</w:t>
            </w:r>
            <w:r w:rsidRPr="004E18B9">
              <w:rPr>
                <w:rFonts w:cs="Arial"/>
                <w:sz w:val="16"/>
                <w:szCs w:val="16"/>
              </w:rPr>
              <w:t xml:space="preserve">oriented </w:t>
            </w:r>
            <w:r>
              <w:rPr>
                <w:rFonts w:cs="Arial"/>
                <w:sz w:val="16"/>
                <w:szCs w:val="16"/>
              </w:rPr>
              <w:t>mechanism</w:t>
            </w:r>
            <w:r w:rsidRPr="004E18B9">
              <w:rPr>
                <w:rFonts w:cs="Arial"/>
                <w:sz w:val="16"/>
                <w:szCs w:val="16"/>
              </w:rPr>
              <w:t xml:space="preserve"> for </w:t>
            </w:r>
            <w:r>
              <w:rPr>
                <w:rFonts w:cs="Arial"/>
                <w:sz w:val="16"/>
                <w:szCs w:val="16"/>
              </w:rPr>
              <w:t>lighter</w:t>
            </w:r>
            <w:r w:rsidRPr="004E18B9">
              <w:rPr>
                <w:rFonts w:cs="Arial"/>
                <w:sz w:val="16"/>
                <w:szCs w:val="16"/>
              </w:rPr>
              <w:t xml:space="preserve"> regulation and </w:t>
            </w:r>
            <w:r>
              <w:rPr>
                <w:rFonts w:cs="Arial"/>
                <w:sz w:val="16"/>
                <w:szCs w:val="16"/>
              </w:rPr>
              <w:t xml:space="preserve">the scheme pipeline </w:t>
            </w:r>
            <w:r w:rsidRPr="004E18B9">
              <w:rPr>
                <w:rFonts w:cs="Arial"/>
                <w:sz w:val="16"/>
                <w:szCs w:val="16"/>
              </w:rPr>
              <w:t>regulatory</w:t>
            </w:r>
            <w:r>
              <w:rPr>
                <w:rFonts w:cs="Arial"/>
                <w:sz w:val="16"/>
                <w:szCs w:val="16"/>
              </w:rPr>
              <w:t xml:space="preserve">-oriented mechanism </w:t>
            </w:r>
            <w:r w:rsidRPr="004E18B9">
              <w:rPr>
                <w:rFonts w:cs="Arial"/>
                <w:sz w:val="16"/>
                <w:szCs w:val="16"/>
              </w:rPr>
              <w:t xml:space="preserve">for </w:t>
            </w:r>
            <w:r>
              <w:rPr>
                <w:rFonts w:cs="Arial"/>
                <w:sz w:val="16"/>
                <w:szCs w:val="16"/>
              </w:rPr>
              <w:t>stronger</w:t>
            </w:r>
            <w:r w:rsidRPr="004E18B9">
              <w:rPr>
                <w:rFonts w:cs="Arial"/>
                <w:sz w:val="16"/>
                <w:szCs w:val="16"/>
              </w:rPr>
              <w:t xml:space="preserve"> regulation</w:t>
            </w:r>
            <w:r>
              <w:rPr>
                <w:rFonts w:cs="Arial"/>
                <w:sz w:val="16"/>
                <w:szCs w:val="16"/>
              </w:rPr>
              <w:t xml:space="preserve">. The scheme pipeline </w:t>
            </w:r>
            <w:r w:rsidRPr="004E18B9">
              <w:rPr>
                <w:rFonts w:cs="Arial"/>
                <w:sz w:val="16"/>
                <w:szCs w:val="16"/>
              </w:rPr>
              <w:t>dispute resolution mechanism</w:t>
            </w:r>
            <w:r>
              <w:rPr>
                <w:rFonts w:cs="Arial"/>
                <w:sz w:val="16"/>
                <w:szCs w:val="16"/>
              </w:rPr>
              <w:t xml:space="preserve"> would be strengthened in the manner set out in Box 8.3.</w:t>
            </w:r>
          </w:p>
        </w:tc>
        <w:tc>
          <w:tcPr>
            <w:tcW w:w="2848" w:type="dxa"/>
            <w:shd w:val="clear" w:color="auto" w:fill="F2F2F2" w:themeFill="background1" w:themeFillShade="F2"/>
          </w:tcPr>
          <w:p w14:paraId="008883FB" w14:textId="77777777" w:rsidR="00CD0BFB" w:rsidRPr="004E18B9" w:rsidRDefault="00CD0BFB" w:rsidP="000C0157">
            <w:pPr>
              <w:pStyle w:val="BodyText"/>
              <w:spacing w:before="20" w:after="20" w:line="240" w:lineRule="auto"/>
              <w:rPr>
                <w:rFonts w:cs="Arial"/>
                <w:sz w:val="16"/>
                <w:szCs w:val="16"/>
              </w:rPr>
            </w:pPr>
            <w:r w:rsidRPr="006B4639">
              <w:rPr>
                <w:sz w:val="16"/>
                <w:szCs w:val="16"/>
              </w:rPr>
              <w:t xml:space="preserve">Maintain Part 23 dispute resolution mechanism for </w:t>
            </w:r>
            <w:r>
              <w:rPr>
                <w:sz w:val="16"/>
                <w:szCs w:val="16"/>
              </w:rPr>
              <w:t>lighter</w:t>
            </w:r>
            <w:r w:rsidRPr="006B4639">
              <w:rPr>
                <w:sz w:val="16"/>
                <w:szCs w:val="16"/>
              </w:rPr>
              <w:t xml:space="preserve"> regulation</w:t>
            </w:r>
            <w:r>
              <w:rPr>
                <w:sz w:val="16"/>
                <w:szCs w:val="16"/>
              </w:rPr>
              <w:t>.</w:t>
            </w:r>
          </w:p>
        </w:tc>
      </w:tr>
    </w:tbl>
    <w:p w14:paraId="626D1002" w14:textId="77777777" w:rsidR="00D1317D" w:rsidRPr="00DE678F" w:rsidRDefault="00D1317D" w:rsidP="00DE678F">
      <w:pPr>
        <w:pStyle w:val="BodyText"/>
        <w:spacing w:before="0" w:after="0"/>
        <w:rPr>
          <w:rFonts w:eastAsiaTheme="minorEastAsia"/>
          <w:sz w:val="2"/>
          <w:szCs w:val="2"/>
        </w:rPr>
      </w:pPr>
    </w:p>
    <w:p w14:paraId="0D0C1614" w14:textId="77777777" w:rsidR="00D1317D" w:rsidRPr="00DE678F" w:rsidRDefault="00D1317D" w:rsidP="00DE678F">
      <w:pPr>
        <w:pStyle w:val="BodyText"/>
        <w:spacing w:before="0" w:after="0"/>
        <w:rPr>
          <w:rFonts w:eastAsiaTheme="minorEastAsia"/>
          <w:sz w:val="2"/>
          <w:szCs w:val="2"/>
        </w:rPr>
        <w:sectPr w:rsidR="00D1317D" w:rsidRPr="00DE678F" w:rsidSect="005078BF">
          <w:pgSz w:w="16839" w:h="11907" w:orient="landscape" w:code="9"/>
          <w:pgMar w:top="993" w:right="1418" w:bottom="709" w:left="1701" w:header="567" w:footer="397" w:gutter="0"/>
          <w:pgNumType w:fmt="lowerRoman"/>
          <w:cols w:space="708"/>
          <w:docGrid w:linePitch="360"/>
        </w:sectPr>
      </w:pPr>
    </w:p>
    <w:p w14:paraId="23B7A3EE" w14:textId="77777777" w:rsidR="00032FF4" w:rsidRDefault="00032FF4" w:rsidP="00032FF4">
      <w:pPr>
        <w:pStyle w:val="BodyText"/>
        <w:spacing w:before="0" w:after="240"/>
      </w:pPr>
      <w:r>
        <w:lastRenderedPageBreak/>
        <w:t xml:space="preserve">Further detail on the policy options that have been considered as part of this Decision RIS is provided in Chapter 8. </w:t>
      </w:r>
    </w:p>
    <w:p w14:paraId="5718B0CF" w14:textId="77777777" w:rsidR="003B2A28" w:rsidRPr="00262C4C" w:rsidRDefault="003B2A28" w:rsidP="0038175E">
      <w:pPr>
        <w:pStyle w:val="Heading6"/>
        <w:spacing w:before="0"/>
        <w:rPr>
          <w:rFonts w:eastAsiaTheme="minorEastAsia"/>
          <w:sz w:val="26"/>
          <w:szCs w:val="26"/>
        </w:rPr>
      </w:pPr>
      <w:r w:rsidRPr="00262C4C">
        <w:rPr>
          <w:rFonts w:eastAsiaTheme="minorEastAsia"/>
          <w:sz w:val="26"/>
          <w:szCs w:val="26"/>
        </w:rPr>
        <w:t xml:space="preserve">How has the regulatory impact </w:t>
      </w:r>
      <w:r w:rsidR="00400878">
        <w:rPr>
          <w:rFonts w:eastAsiaTheme="minorEastAsia"/>
          <w:sz w:val="26"/>
          <w:szCs w:val="26"/>
        </w:rPr>
        <w:t xml:space="preserve">of the policy options </w:t>
      </w:r>
      <w:r w:rsidRPr="00262C4C">
        <w:rPr>
          <w:rFonts w:eastAsiaTheme="minorEastAsia"/>
          <w:sz w:val="26"/>
          <w:szCs w:val="26"/>
        </w:rPr>
        <w:t>been assessed</w:t>
      </w:r>
      <w:r w:rsidR="0018008C">
        <w:rPr>
          <w:rFonts w:eastAsiaTheme="minorEastAsia"/>
          <w:sz w:val="26"/>
          <w:szCs w:val="26"/>
        </w:rPr>
        <w:t xml:space="preserve"> and what </w:t>
      </w:r>
      <w:r w:rsidR="0022709C">
        <w:rPr>
          <w:rFonts w:eastAsiaTheme="minorEastAsia"/>
          <w:sz w:val="26"/>
          <w:szCs w:val="26"/>
        </w:rPr>
        <w:t xml:space="preserve">do the results of </w:t>
      </w:r>
      <w:r w:rsidR="001C532C">
        <w:rPr>
          <w:rFonts w:eastAsiaTheme="minorEastAsia"/>
          <w:sz w:val="26"/>
          <w:szCs w:val="26"/>
        </w:rPr>
        <w:t xml:space="preserve">this </w:t>
      </w:r>
      <w:r w:rsidR="0022709C">
        <w:rPr>
          <w:rFonts w:eastAsiaTheme="minorEastAsia"/>
          <w:sz w:val="26"/>
          <w:szCs w:val="26"/>
        </w:rPr>
        <w:t>assessment show</w:t>
      </w:r>
      <w:r w:rsidRPr="00262C4C">
        <w:rPr>
          <w:rFonts w:eastAsiaTheme="minorEastAsia"/>
          <w:sz w:val="26"/>
          <w:szCs w:val="26"/>
        </w:rPr>
        <w:t xml:space="preserve">? </w:t>
      </w:r>
    </w:p>
    <w:p w14:paraId="6943DCBF" w14:textId="77777777" w:rsidR="001F261C" w:rsidRPr="006B4639" w:rsidRDefault="00660234" w:rsidP="0020115D">
      <w:pPr>
        <w:pStyle w:val="BodyText"/>
        <w:spacing w:before="120"/>
      </w:pPr>
      <w:r w:rsidRPr="006B4639">
        <w:t xml:space="preserve">The purpose of a </w:t>
      </w:r>
      <w:r w:rsidR="00787BBB" w:rsidRPr="006B4639">
        <w:t xml:space="preserve">RIS </w:t>
      </w:r>
      <w:r w:rsidRPr="006B4639">
        <w:t xml:space="preserve">is to identify whether there is a need for government action, and if so, what form </w:t>
      </w:r>
      <w:r w:rsidR="008261D9">
        <w:t xml:space="preserve">it </w:t>
      </w:r>
      <w:r w:rsidRPr="006B4639">
        <w:t>should take</w:t>
      </w:r>
      <w:r w:rsidR="008261D9">
        <w:t>, which should be based on the option that yields the greatest net benefit for the community</w:t>
      </w:r>
      <w:r w:rsidRPr="006B4639">
        <w:t xml:space="preserve">. </w:t>
      </w:r>
      <w:r w:rsidR="001F261C" w:rsidRPr="006B4639">
        <w:t xml:space="preserve">To help identify the </w:t>
      </w:r>
      <w:r w:rsidR="00654D9D" w:rsidRPr="006B4639">
        <w:t xml:space="preserve">policy </w:t>
      </w:r>
      <w:r w:rsidR="001F261C" w:rsidRPr="006B4639">
        <w:t xml:space="preserve">option that will yield the greatest net benefit, the following analyses </w:t>
      </w:r>
      <w:r w:rsidR="008B543C">
        <w:t xml:space="preserve">were </w:t>
      </w:r>
      <w:r w:rsidR="001F261C" w:rsidRPr="006B4639">
        <w:t>undertaken:</w:t>
      </w:r>
    </w:p>
    <w:p w14:paraId="6B788CA3" w14:textId="77777777" w:rsidR="00660234" w:rsidRPr="006B4639" w:rsidRDefault="00C64BF1" w:rsidP="00AD36B8">
      <w:pPr>
        <w:pStyle w:val="ListBullet"/>
      </w:pPr>
      <w:r w:rsidRPr="006B4639">
        <w:t>A</w:t>
      </w:r>
      <w:r w:rsidR="00660234" w:rsidRPr="006B4639">
        <w:t xml:space="preserve"> risk analysis</w:t>
      </w:r>
      <w:r w:rsidR="00DF2E61" w:rsidRPr="006B4639">
        <w:t>, which involve</w:t>
      </w:r>
      <w:r w:rsidR="00690266">
        <w:t>d</w:t>
      </w:r>
      <w:r w:rsidR="00DF2E61" w:rsidRPr="006B4639">
        <w:t xml:space="preserve"> an assessment of the risks associated with the status quo and the extent to which risk is reduced </w:t>
      </w:r>
      <w:r w:rsidR="00214A0B">
        <w:t xml:space="preserve">or potentially increased </w:t>
      </w:r>
      <w:r w:rsidR="00DF2E61" w:rsidRPr="006B4639">
        <w:t>under each option.</w:t>
      </w:r>
    </w:p>
    <w:p w14:paraId="0AB82FB8" w14:textId="77777777" w:rsidR="00660234" w:rsidRDefault="00C64BF1" w:rsidP="00AD36B8">
      <w:pPr>
        <w:pStyle w:val="ListBullet"/>
      </w:pPr>
      <w:r w:rsidRPr="006B4639">
        <w:t>A</w:t>
      </w:r>
      <w:r w:rsidR="00660234" w:rsidRPr="006B4639">
        <w:t xml:space="preserve"> cost-benefit anal</w:t>
      </w:r>
      <w:r w:rsidR="00660234" w:rsidRPr="00541724">
        <w:t>ysis (CBA), which involve</w:t>
      </w:r>
      <w:r w:rsidR="001D58C8">
        <w:t>d</w:t>
      </w:r>
      <w:r w:rsidR="00660234" w:rsidRPr="00541724">
        <w:t xml:space="preserve"> </w:t>
      </w:r>
      <w:r w:rsidR="001D58C8">
        <w:t xml:space="preserve">a </w:t>
      </w:r>
      <w:r w:rsidR="002C72A4">
        <w:t xml:space="preserve">quantitative and qualitative assessment of </w:t>
      </w:r>
      <w:r w:rsidR="001D58C8">
        <w:t xml:space="preserve">the </w:t>
      </w:r>
      <w:r w:rsidR="00660234" w:rsidRPr="00541724">
        <w:t xml:space="preserve">costs </w:t>
      </w:r>
      <w:r w:rsidR="00DF2E61" w:rsidRPr="00541724">
        <w:t xml:space="preserve">and benefits </w:t>
      </w:r>
      <w:r w:rsidR="002C72A4">
        <w:t xml:space="preserve">of the incremental benefits </w:t>
      </w:r>
      <w:r w:rsidR="001F261C" w:rsidRPr="00541724">
        <w:t xml:space="preserve">associated with </w:t>
      </w:r>
      <w:r w:rsidR="002C72A4">
        <w:t xml:space="preserve">each </w:t>
      </w:r>
      <w:r w:rsidR="001F261C" w:rsidRPr="00541724">
        <w:t xml:space="preserve">policy option </w:t>
      </w:r>
      <w:r w:rsidR="002C72A4">
        <w:t xml:space="preserve">relative to the </w:t>
      </w:r>
      <w:r w:rsidR="00660234" w:rsidRPr="00541724">
        <w:t>status quo (i.e. if there was no intervention).</w:t>
      </w:r>
      <w:r w:rsidR="003120C8">
        <w:t xml:space="preserve"> The quantitative </w:t>
      </w:r>
      <w:r w:rsidR="007B06E8">
        <w:t>element of the CBA</w:t>
      </w:r>
      <w:r w:rsidR="00A10C5C">
        <w:t xml:space="preserve"> was undertaken by PricewaterhouseCoopers (PwC) and </w:t>
      </w:r>
      <w:r w:rsidR="00853F19">
        <w:t>focused on direct costs associated with the reform options and the benefits associated with pipelines</w:t>
      </w:r>
      <w:r w:rsidR="0021465A">
        <w:t xml:space="preserve"> moving to the stronger form of regulation in the CBA</w:t>
      </w:r>
      <w:r w:rsidR="00A10C5C">
        <w:t xml:space="preserve">. </w:t>
      </w:r>
      <w:r w:rsidR="001E678A">
        <w:t xml:space="preserve">The other </w:t>
      </w:r>
      <w:r w:rsidR="00A10C5C">
        <w:t>costs and benefits</w:t>
      </w:r>
      <w:r w:rsidR="001E678A">
        <w:t xml:space="preserve"> associated with the reform options, some of which are quite significant, </w:t>
      </w:r>
      <w:r w:rsidR="00A10C5C">
        <w:t xml:space="preserve">have been assessed qualitatively. </w:t>
      </w:r>
    </w:p>
    <w:p w14:paraId="570B6BE7" w14:textId="77777777" w:rsidR="00660234" w:rsidRPr="00541724" w:rsidRDefault="00C64BF1" w:rsidP="00AD36B8">
      <w:pPr>
        <w:pStyle w:val="ListBullet"/>
      </w:pPr>
      <w:r w:rsidRPr="00541724">
        <w:t>A</w:t>
      </w:r>
      <w:r w:rsidR="00660234" w:rsidRPr="00541724">
        <w:t xml:space="preserve"> regulatory burden analysis, which </w:t>
      </w:r>
      <w:r w:rsidR="00766D01" w:rsidRPr="00541724">
        <w:t>involve</w:t>
      </w:r>
      <w:r w:rsidR="006658FC">
        <w:t>d</w:t>
      </w:r>
      <w:r w:rsidR="00766D01" w:rsidRPr="00541724">
        <w:t xml:space="preserve"> an assessment of the incremental compliance costs associated with each option</w:t>
      </w:r>
      <w:r w:rsidR="006658FC">
        <w:t xml:space="preserve"> using </w:t>
      </w:r>
      <w:r w:rsidR="00660234" w:rsidRPr="00541724">
        <w:t>the Commonwealth Regulatory Burden Measure (CRBM) compliance costing tool</w:t>
      </w:r>
      <w:r w:rsidR="001F261C" w:rsidRPr="00541724">
        <w:t xml:space="preserve">. </w:t>
      </w:r>
      <w:r w:rsidR="007B06E8">
        <w:t xml:space="preserve">This quantitative analysis was undertaken by PwC. </w:t>
      </w:r>
    </w:p>
    <w:p w14:paraId="6C375063" w14:textId="77777777" w:rsidR="00F2560E" w:rsidRDefault="00C64BF1" w:rsidP="00AD36B8">
      <w:pPr>
        <w:pStyle w:val="ListBullet"/>
      </w:pPr>
      <w:r w:rsidRPr="00541724">
        <w:t>A</w:t>
      </w:r>
      <w:r w:rsidR="00660234" w:rsidRPr="00541724">
        <w:t xml:space="preserve"> competition effects analysis (CEA)</w:t>
      </w:r>
      <w:r w:rsidR="001F261C" w:rsidRPr="00541724">
        <w:t xml:space="preserve">, which </w:t>
      </w:r>
      <w:r w:rsidR="00660234" w:rsidRPr="00541724">
        <w:t>invo</w:t>
      </w:r>
      <w:r w:rsidR="00660234" w:rsidRPr="006B4639">
        <w:t>lve</w:t>
      </w:r>
      <w:r w:rsidR="006658FC">
        <w:t>d</w:t>
      </w:r>
      <w:r w:rsidR="00660234" w:rsidRPr="006B4639">
        <w:t xml:space="preserve"> a qualitative assessment of the impact of each policy option on competition</w:t>
      </w:r>
      <w:r w:rsidR="001F261C" w:rsidRPr="006B4639">
        <w:t>, with particular emphasis placed on</w:t>
      </w:r>
      <w:r w:rsidR="00F2560E">
        <w:t>:</w:t>
      </w:r>
      <w:r w:rsidR="001F261C" w:rsidRPr="006B4639">
        <w:t xml:space="preserve"> </w:t>
      </w:r>
    </w:p>
    <w:p w14:paraId="2113CD25" w14:textId="77777777" w:rsidR="002F554C" w:rsidRDefault="001F261C" w:rsidP="00AD36B8">
      <w:pPr>
        <w:pStyle w:val="ListBullet2"/>
      </w:pPr>
      <w:r w:rsidRPr="006B4639">
        <w:t xml:space="preserve">the effect </w:t>
      </w:r>
      <w:r w:rsidR="00766D01" w:rsidRPr="006B4639">
        <w:t xml:space="preserve">the options </w:t>
      </w:r>
      <w:r w:rsidR="002F554C">
        <w:t xml:space="preserve">are expected to </w:t>
      </w:r>
      <w:r w:rsidR="00766D01" w:rsidRPr="006B4639">
        <w:t xml:space="preserve">have on </w:t>
      </w:r>
      <w:r w:rsidR="00F2560E">
        <w:t xml:space="preserve">barriers to entry, </w:t>
      </w:r>
      <w:r w:rsidR="002F554C">
        <w:t xml:space="preserve">information asymmetries and </w:t>
      </w:r>
      <w:r w:rsidR="00732679" w:rsidRPr="006B4639">
        <w:t xml:space="preserve">search and transaction costs, </w:t>
      </w:r>
      <w:r w:rsidR="002F554C">
        <w:t>and bargaining power; and</w:t>
      </w:r>
    </w:p>
    <w:p w14:paraId="0FB1BC91" w14:textId="77777777" w:rsidR="00732679" w:rsidRPr="006B4639" w:rsidRDefault="00C2453F" w:rsidP="00AD36B8">
      <w:pPr>
        <w:pStyle w:val="ListBullet2"/>
      </w:pPr>
      <w:r>
        <w:t xml:space="preserve">whether </w:t>
      </w:r>
      <w:r w:rsidR="00C47B2C">
        <w:t xml:space="preserve">any of </w:t>
      </w:r>
      <w:r>
        <w:t xml:space="preserve">the options are expected to limit the number or types of participants, limit the ability or incentive of participants to compete, or </w:t>
      </w:r>
      <w:r w:rsidR="00C47B2C">
        <w:t xml:space="preserve">limit the choices </w:t>
      </w:r>
      <w:r w:rsidR="00D069CF">
        <w:t>available</w:t>
      </w:r>
      <w:r w:rsidR="00C47B2C">
        <w:t xml:space="preserve"> or the information required to negotiate effectively. </w:t>
      </w:r>
    </w:p>
    <w:p w14:paraId="309BBC07" w14:textId="77777777" w:rsidR="008B543C" w:rsidRPr="002E061A" w:rsidRDefault="008B543C" w:rsidP="008B543C">
      <w:pPr>
        <w:pStyle w:val="BodyText"/>
      </w:pPr>
      <w:r w:rsidRPr="00E74F66">
        <w:rPr>
          <w:rStyle w:val="Strong"/>
          <w:b w:val="0"/>
          <w:bCs w:val="0"/>
        </w:rPr>
        <w:t>Figure E.</w:t>
      </w:r>
      <w:r w:rsidR="007D0E92">
        <w:rPr>
          <w:rStyle w:val="Strong"/>
          <w:b w:val="0"/>
          <w:bCs w:val="0"/>
        </w:rPr>
        <w:t>1</w:t>
      </w:r>
      <w:r w:rsidRPr="00E74F66">
        <w:rPr>
          <w:b/>
          <w:bCs/>
        </w:rPr>
        <w:t xml:space="preserve"> </w:t>
      </w:r>
      <w:r w:rsidRPr="00E74F66">
        <w:t>p</w:t>
      </w:r>
      <w:r w:rsidRPr="0084068B">
        <w:t xml:space="preserve">rovides an overview of how these different analyses are used to identify a preferred policy option. </w:t>
      </w:r>
    </w:p>
    <w:p w14:paraId="6189189B" w14:textId="77777777" w:rsidR="008B543C" w:rsidRDefault="008B543C" w:rsidP="0038175E">
      <w:pPr>
        <w:pStyle w:val="Caption"/>
        <w:spacing w:after="0"/>
        <w:rPr>
          <w:rFonts w:cs="Arial"/>
        </w:rPr>
      </w:pPr>
      <w:r>
        <w:t>Figure E.</w:t>
      </w:r>
      <w:r w:rsidR="007D0E92">
        <w:t>1</w:t>
      </w:r>
      <w:r>
        <w:t xml:space="preserve">: </w:t>
      </w:r>
      <w:r w:rsidRPr="00BE7839">
        <w:t xml:space="preserve">Overview of </w:t>
      </w:r>
      <w:r>
        <w:t xml:space="preserve">regulatory impact </w:t>
      </w:r>
      <w:r w:rsidRPr="00BE7839">
        <w:t xml:space="preserve">analyses </w:t>
      </w:r>
    </w:p>
    <w:p w14:paraId="6381D7C2" w14:textId="77777777" w:rsidR="008B543C" w:rsidRDefault="008B543C" w:rsidP="0020115D">
      <w:pPr>
        <w:pStyle w:val="BodyText"/>
        <w:widowControl w:val="0"/>
        <w:spacing w:before="0"/>
        <w:rPr>
          <w:rFonts w:cs="Arial"/>
        </w:rPr>
      </w:pPr>
      <w:r>
        <w:rPr>
          <w:rFonts w:cs="Arial"/>
          <w:noProof/>
        </w:rPr>
        <w:drawing>
          <wp:inline distT="0" distB="0" distL="0" distR="0" wp14:anchorId="4A78A586" wp14:editId="1172E42B">
            <wp:extent cx="5203134" cy="2367887"/>
            <wp:effectExtent l="0" t="0" r="0" b="0"/>
            <wp:docPr id="27" name="Picture 27" descr="P466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466L10#yIS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1177" cy="2380649"/>
                    </a:xfrm>
                    <a:prstGeom prst="rect">
                      <a:avLst/>
                    </a:prstGeom>
                    <a:noFill/>
                  </pic:spPr>
                </pic:pic>
              </a:graphicData>
            </a:graphic>
          </wp:inline>
        </w:drawing>
      </w:r>
    </w:p>
    <w:p w14:paraId="073F2B6F" w14:textId="77777777" w:rsidR="008D20B6" w:rsidRPr="001C532C" w:rsidRDefault="001C532C" w:rsidP="00BC06B9">
      <w:pPr>
        <w:pStyle w:val="BodyText"/>
        <w:spacing w:line="252" w:lineRule="auto"/>
      </w:pPr>
      <w:bookmarkStart w:id="36" w:name="_Toc32488605"/>
      <w:r w:rsidRPr="001C532C">
        <w:rPr>
          <w:rFonts w:eastAsiaTheme="minorEastAsia"/>
        </w:rPr>
        <w:lastRenderedPageBreak/>
        <w:t xml:space="preserve">It is worth noting that </w:t>
      </w:r>
      <w:bookmarkEnd w:id="36"/>
      <w:r w:rsidRPr="001C532C">
        <w:rPr>
          <w:rFonts w:eastAsiaTheme="minorEastAsia"/>
        </w:rPr>
        <w:t>w</w:t>
      </w:r>
      <w:r w:rsidR="008D20B6" w:rsidRPr="001C532C">
        <w:t xml:space="preserve">hile the focus of the four forms of analysis differs, there is some overlap between them (e.g. the costs used in the regulatory burden analysis are also taken into account in the CBA). There are also some elements of the reform options that perform well under one analysis, but not under another (e.g. an element of the reform option may give rise to a benefit in the CBA, but may also constitute a risk in the risk analysis). It is important therefore to consider the overall regulatory impact of the reform options and any duplication or trade-offs that may exist between the various analyses, rather than focusing on the results of individual analyses. </w:t>
      </w:r>
    </w:p>
    <w:p w14:paraId="1D7201C4" w14:textId="77777777" w:rsidR="00071DC4" w:rsidRDefault="00071DC4" w:rsidP="00BC06B9">
      <w:pPr>
        <w:pStyle w:val="BodyText"/>
        <w:spacing w:line="252" w:lineRule="auto"/>
      </w:pPr>
      <w:r>
        <w:t>To this end, a comparative assessment of the reform options has been undertaken. This assessment has been conducted using a ranking system, with a ranking of 1 implying the most favourable impact</w:t>
      </w:r>
      <w:r>
        <w:rPr>
          <w:sz w:val="14"/>
          <w:szCs w:val="14"/>
        </w:rPr>
        <w:t xml:space="preserve"> </w:t>
      </w:r>
      <w:r>
        <w:t xml:space="preserve">and 5 the most negative impact.  </w:t>
      </w:r>
      <w:r w:rsidR="009A73D3">
        <w:t>Where more than one option has the same impact, they are given the same ranking.</w:t>
      </w:r>
      <w:r w:rsidR="00631836">
        <w:t xml:space="preserve"> Note that the differences between ratings are not standardised across the analyses, so in some cases they may imply quite a big difference between the options, while in others they may imply a small difference (for example, the difference between a ranking of 1 and 3 in the CEA is expected to be small because there is little difference between the competitive effects of options 3A, 3B and 4, while the difference between the same rankings in the CBA is more significant).</w:t>
      </w:r>
    </w:p>
    <w:p w14:paraId="39BA77C6" w14:textId="77777777" w:rsidR="004F7853" w:rsidRDefault="00A97DAE" w:rsidP="0018008C">
      <w:pPr>
        <w:pStyle w:val="BodyText"/>
      </w:pPr>
      <w:r w:rsidRPr="00F57EC1">
        <w:rPr>
          <w:rFonts w:eastAsiaTheme="minorEastAsia"/>
        </w:rPr>
        <w:t xml:space="preserve">The results of the </w:t>
      </w:r>
      <w:r w:rsidR="008C2CCA">
        <w:rPr>
          <w:rFonts w:eastAsiaTheme="minorEastAsia"/>
        </w:rPr>
        <w:t xml:space="preserve">comparative assessment </w:t>
      </w:r>
      <w:r w:rsidRPr="00F57EC1">
        <w:rPr>
          <w:rFonts w:eastAsiaTheme="minorEastAsia"/>
        </w:rPr>
        <w:t>are summarised in Table E.</w:t>
      </w:r>
      <w:r w:rsidR="00F36CAA">
        <w:rPr>
          <w:rFonts w:eastAsiaTheme="minorEastAsia"/>
        </w:rPr>
        <w:t>3</w:t>
      </w:r>
      <w:r w:rsidR="00430577">
        <w:rPr>
          <w:rFonts w:eastAsiaTheme="minorEastAsia"/>
        </w:rPr>
        <w:t>.</w:t>
      </w:r>
    </w:p>
    <w:p w14:paraId="4191A9EA" w14:textId="77777777" w:rsidR="00000CF1" w:rsidRDefault="00000CF1" w:rsidP="00000CF1">
      <w:pPr>
        <w:pStyle w:val="Caption"/>
        <w:spacing w:before="0" w:after="0"/>
      </w:pPr>
      <w:r>
        <w:t>Table E.</w:t>
      </w:r>
      <w:r w:rsidR="00F36CAA">
        <w:t>3</w:t>
      </w:r>
      <w:r>
        <w:t xml:space="preserve">: Comparative ranking of policy options </w:t>
      </w:r>
    </w:p>
    <w:tbl>
      <w:tblPr>
        <w:tblW w:w="5000" w:type="pct"/>
        <w:tblBorders>
          <w:top w:val="single" w:sz="4" w:space="0" w:color="auto"/>
          <w:bottom w:val="single" w:sz="6" w:space="0" w:color="7C7C7C"/>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68"/>
        <w:gridCol w:w="1524"/>
        <w:gridCol w:w="1524"/>
        <w:gridCol w:w="1524"/>
        <w:gridCol w:w="1524"/>
        <w:gridCol w:w="1524"/>
      </w:tblGrid>
      <w:tr w:rsidR="00D80C12" w:rsidRPr="002F1788" w14:paraId="3734C305" w14:textId="77777777" w:rsidTr="00BD7DA4">
        <w:trPr>
          <w:trHeight w:val="392"/>
        </w:trPr>
        <w:tc>
          <w:tcPr>
            <w:tcW w:w="1168" w:type="dxa"/>
            <w:tcBorders>
              <w:bottom w:val="single" w:sz="4" w:space="0" w:color="auto"/>
            </w:tcBorders>
            <w:shd w:val="clear" w:color="auto" w:fill="002060"/>
            <w:vAlign w:val="center"/>
          </w:tcPr>
          <w:p w14:paraId="0C305EB0" w14:textId="77777777" w:rsidR="00D80C12" w:rsidRPr="002F1788" w:rsidRDefault="00D80C12" w:rsidP="00B02A2E">
            <w:pPr>
              <w:pStyle w:val="TableParagraph"/>
              <w:keepNext/>
              <w:spacing w:before="40" w:after="40"/>
              <w:ind w:left="119"/>
              <w:rPr>
                <w:b/>
                <w:color w:val="FFFFFF" w:themeColor="background1"/>
                <w:sz w:val="18"/>
                <w:szCs w:val="18"/>
              </w:rPr>
            </w:pPr>
            <w:r w:rsidRPr="002F1788">
              <w:rPr>
                <w:b/>
                <w:color w:val="FFFFFF" w:themeColor="background1"/>
                <w:sz w:val="18"/>
                <w:szCs w:val="18"/>
              </w:rPr>
              <w:t>Impact</w:t>
            </w:r>
          </w:p>
        </w:tc>
        <w:tc>
          <w:tcPr>
            <w:tcW w:w="1524" w:type="dxa"/>
            <w:tcBorders>
              <w:bottom w:val="single" w:sz="4" w:space="0" w:color="auto"/>
            </w:tcBorders>
            <w:shd w:val="clear" w:color="auto" w:fill="002060"/>
            <w:vAlign w:val="center"/>
          </w:tcPr>
          <w:p w14:paraId="36AD2FE6" w14:textId="77777777" w:rsidR="00D80C12" w:rsidRPr="002F1788" w:rsidRDefault="00D80C12" w:rsidP="00B02A2E">
            <w:pPr>
              <w:pStyle w:val="TableParagraph"/>
              <w:keepNext/>
              <w:spacing w:before="40" w:after="40"/>
              <w:ind w:right="288" w:firstLine="4"/>
              <w:jc w:val="center"/>
              <w:rPr>
                <w:b/>
                <w:color w:val="FFFFFF" w:themeColor="background1"/>
                <w:sz w:val="18"/>
                <w:szCs w:val="18"/>
              </w:rPr>
            </w:pPr>
            <w:r w:rsidRPr="002F1788">
              <w:rPr>
                <w:b/>
                <w:color w:val="FFFFFF" w:themeColor="background1"/>
                <w:sz w:val="18"/>
                <w:szCs w:val="18"/>
              </w:rPr>
              <w:t>Option 1</w:t>
            </w:r>
          </w:p>
        </w:tc>
        <w:tc>
          <w:tcPr>
            <w:tcW w:w="1524" w:type="dxa"/>
            <w:tcBorders>
              <w:bottom w:val="single" w:sz="4" w:space="0" w:color="auto"/>
            </w:tcBorders>
            <w:shd w:val="clear" w:color="auto" w:fill="002060"/>
            <w:vAlign w:val="center"/>
          </w:tcPr>
          <w:p w14:paraId="2D13599B" w14:textId="77777777" w:rsidR="00D80C12" w:rsidRPr="002F1788" w:rsidRDefault="00D80C12" w:rsidP="00B02A2E">
            <w:pPr>
              <w:pStyle w:val="TableParagraph"/>
              <w:keepNext/>
              <w:spacing w:before="40" w:after="40"/>
              <w:ind w:right="139" w:firstLine="4"/>
              <w:jc w:val="center"/>
              <w:rPr>
                <w:b/>
                <w:color w:val="FFFFFF" w:themeColor="background1"/>
                <w:sz w:val="18"/>
                <w:szCs w:val="18"/>
              </w:rPr>
            </w:pPr>
            <w:r w:rsidRPr="002F1788">
              <w:rPr>
                <w:b/>
                <w:color w:val="FFFFFF" w:themeColor="background1"/>
                <w:sz w:val="18"/>
                <w:szCs w:val="18"/>
              </w:rPr>
              <w:t>Option 2</w:t>
            </w:r>
          </w:p>
        </w:tc>
        <w:tc>
          <w:tcPr>
            <w:tcW w:w="1524" w:type="dxa"/>
            <w:tcBorders>
              <w:bottom w:val="single" w:sz="4" w:space="0" w:color="auto"/>
              <w:right w:val="single" w:sz="24" w:space="0" w:color="auto"/>
            </w:tcBorders>
            <w:shd w:val="clear" w:color="auto" w:fill="002060"/>
            <w:vAlign w:val="center"/>
          </w:tcPr>
          <w:p w14:paraId="5A615AFC" w14:textId="77777777" w:rsidR="00D80C12" w:rsidRPr="002F1788" w:rsidRDefault="00D80C12" w:rsidP="00B02A2E">
            <w:pPr>
              <w:pStyle w:val="TableParagraph"/>
              <w:keepNext/>
              <w:spacing w:before="40" w:after="40"/>
              <w:jc w:val="center"/>
              <w:rPr>
                <w:b/>
                <w:color w:val="FFFFFF" w:themeColor="background1"/>
                <w:sz w:val="18"/>
                <w:szCs w:val="18"/>
              </w:rPr>
            </w:pPr>
            <w:r w:rsidRPr="002F1788">
              <w:rPr>
                <w:b/>
                <w:color w:val="FFFFFF" w:themeColor="background1"/>
                <w:sz w:val="18"/>
                <w:szCs w:val="18"/>
              </w:rPr>
              <w:t>Option 3A</w:t>
            </w:r>
          </w:p>
        </w:tc>
        <w:tc>
          <w:tcPr>
            <w:tcW w:w="1524" w:type="dxa"/>
            <w:tcBorders>
              <w:left w:val="single" w:sz="24" w:space="0" w:color="auto"/>
              <w:bottom w:val="single" w:sz="4" w:space="0" w:color="auto"/>
              <w:right w:val="single" w:sz="24" w:space="0" w:color="auto"/>
            </w:tcBorders>
            <w:shd w:val="clear" w:color="auto" w:fill="002060"/>
            <w:vAlign w:val="center"/>
          </w:tcPr>
          <w:p w14:paraId="63EC60EB" w14:textId="77777777" w:rsidR="00D80C12" w:rsidRPr="002F1788" w:rsidRDefault="00D80C12" w:rsidP="00B02A2E">
            <w:pPr>
              <w:pStyle w:val="TableParagraph"/>
              <w:keepNext/>
              <w:spacing w:before="40" w:after="40"/>
              <w:jc w:val="center"/>
              <w:rPr>
                <w:b/>
                <w:color w:val="FFFFFF" w:themeColor="background1"/>
                <w:sz w:val="18"/>
                <w:szCs w:val="18"/>
              </w:rPr>
            </w:pPr>
            <w:r w:rsidRPr="002F1788">
              <w:rPr>
                <w:b/>
                <w:color w:val="FFFFFF" w:themeColor="background1"/>
                <w:sz w:val="18"/>
                <w:szCs w:val="18"/>
              </w:rPr>
              <w:t>Option 3B</w:t>
            </w:r>
          </w:p>
        </w:tc>
        <w:tc>
          <w:tcPr>
            <w:tcW w:w="1524" w:type="dxa"/>
            <w:tcBorders>
              <w:left w:val="single" w:sz="24" w:space="0" w:color="auto"/>
              <w:bottom w:val="single" w:sz="4" w:space="0" w:color="auto"/>
            </w:tcBorders>
            <w:shd w:val="clear" w:color="auto" w:fill="002060"/>
            <w:vAlign w:val="center"/>
          </w:tcPr>
          <w:p w14:paraId="7E4EFC5F" w14:textId="77777777" w:rsidR="00D80C12" w:rsidRPr="002F1788" w:rsidRDefault="00D80C12" w:rsidP="00B02A2E">
            <w:pPr>
              <w:pStyle w:val="TableParagraph"/>
              <w:keepNext/>
              <w:spacing w:before="40" w:after="40"/>
              <w:jc w:val="center"/>
              <w:rPr>
                <w:b/>
                <w:color w:val="FFFFFF" w:themeColor="background1"/>
                <w:sz w:val="18"/>
                <w:szCs w:val="18"/>
              </w:rPr>
            </w:pPr>
            <w:r w:rsidRPr="002F1788">
              <w:rPr>
                <w:b/>
                <w:color w:val="FFFFFF" w:themeColor="background1"/>
                <w:sz w:val="18"/>
                <w:szCs w:val="18"/>
              </w:rPr>
              <w:t>Option 4</w:t>
            </w:r>
          </w:p>
        </w:tc>
      </w:tr>
      <w:tr w:rsidR="00D80C12" w:rsidRPr="002F1788" w14:paraId="15643628" w14:textId="77777777" w:rsidTr="00BD7DA4">
        <w:trPr>
          <w:trHeight w:val="79"/>
        </w:trPr>
        <w:tc>
          <w:tcPr>
            <w:tcW w:w="1168" w:type="dxa"/>
            <w:vAlign w:val="center"/>
          </w:tcPr>
          <w:p w14:paraId="7E2A700D" w14:textId="77777777" w:rsidR="00D80C12" w:rsidRPr="002F1788" w:rsidRDefault="00D80C12" w:rsidP="00B02A2E">
            <w:pPr>
              <w:pStyle w:val="TableParagraph"/>
              <w:keepNext/>
              <w:spacing w:before="40" w:after="40" w:line="278" w:lineRule="auto"/>
              <w:ind w:left="85"/>
              <w:rPr>
                <w:sz w:val="18"/>
                <w:szCs w:val="18"/>
              </w:rPr>
            </w:pPr>
            <w:r>
              <w:rPr>
                <w:sz w:val="18"/>
                <w:szCs w:val="18"/>
              </w:rPr>
              <w:t>Risk analysis</w:t>
            </w:r>
          </w:p>
        </w:tc>
        <w:tc>
          <w:tcPr>
            <w:tcW w:w="1524" w:type="dxa"/>
            <w:tcBorders>
              <w:bottom w:val="single" w:sz="4" w:space="0" w:color="auto"/>
            </w:tcBorders>
            <w:shd w:val="clear" w:color="auto" w:fill="F8D4D1"/>
            <w:vAlign w:val="center"/>
          </w:tcPr>
          <w:p w14:paraId="3D19AFBD" w14:textId="77777777" w:rsidR="00D80C12" w:rsidRPr="002F1788" w:rsidRDefault="00D80C12" w:rsidP="00B02A2E">
            <w:pPr>
              <w:pStyle w:val="TableParagraph"/>
              <w:keepNext/>
              <w:spacing w:before="40" w:after="40" w:line="278" w:lineRule="auto"/>
              <w:jc w:val="center"/>
              <w:rPr>
                <w:sz w:val="18"/>
                <w:szCs w:val="18"/>
              </w:rPr>
            </w:pPr>
            <w:r w:rsidRPr="002F1788">
              <w:rPr>
                <w:sz w:val="18"/>
                <w:szCs w:val="18"/>
              </w:rPr>
              <w:t>5</w:t>
            </w:r>
          </w:p>
        </w:tc>
        <w:tc>
          <w:tcPr>
            <w:tcW w:w="1524" w:type="dxa"/>
            <w:tcBorders>
              <w:bottom w:val="single" w:sz="4" w:space="0" w:color="auto"/>
            </w:tcBorders>
            <w:shd w:val="clear" w:color="auto" w:fill="FDD7C3"/>
            <w:vAlign w:val="center"/>
          </w:tcPr>
          <w:p w14:paraId="1D77B9CF" w14:textId="77777777" w:rsidR="00D80C12" w:rsidRPr="002F1788" w:rsidRDefault="00D80C12" w:rsidP="00B02A2E">
            <w:pPr>
              <w:pStyle w:val="TableParagraph"/>
              <w:keepNext/>
              <w:spacing w:before="40" w:after="40" w:line="278" w:lineRule="auto"/>
              <w:jc w:val="center"/>
              <w:rPr>
                <w:sz w:val="18"/>
                <w:szCs w:val="18"/>
              </w:rPr>
            </w:pPr>
            <w:r>
              <w:rPr>
                <w:sz w:val="18"/>
                <w:szCs w:val="18"/>
              </w:rPr>
              <w:t>3</w:t>
            </w:r>
          </w:p>
        </w:tc>
        <w:tc>
          <w:tcPr>
            <w:tcW w:w="1524" w:type="dxa"/>
            <w:tcBorders>
              <w:bottom w:val="single" w:sz="4" w:space="0" w:color="auto"/>
              <w:right w:val="single" w:sz="24" w:space="0" w:color="auto"/>
            </w:tcBorders>
            <w:shd w:val="clear" w:color="auto" w:fill="DDEDD3"/>
            <w:vAlign w:val="center"/>
          </w:tcPr>
          <w:p w14:paraId="151FED01" w14:textId="77777777" w:rsidR="00D80C12" w:rsidRPr="002F1788" w:rsidRDefault="00D80C12" w:rsidP="00B02A2E">
            <w:pPr>
              <w:pStyle w:val="TableParagraph"/>
              <w:keepNext/>
              <w:spacing w:before="40" w:after="40" w:line="278" w:lineRule="auto"/>
              <w:jc w:val="center"/>
              <w:rPr>
                <w:sz w:val="18"/>
                <w:szCs w:val="18"/>
              </w:rPr>
            </w:pPr>
            <w:r w:rsidRPr="002F1788">
              <w:rPr>
                <w:sz w:val="18"/>
                <w:szCs w:val="18"/>
              </w:rPr>
              <w:t>1</w:t>
            </w:r>
          </w:p>
        </w:tc>
        <w:tc>
          <w:tcPr>
            <w:tcW w:w="1524" w:type="dxa"/>
            <w:tcBorders>
              <w:left w:val="single" w:sz="24" w:space="0" w:color="auto"/>
              <w:bottom w:val="single" w:sz="4" w:space="0" w:color="auto"/>
              <w:right w:val="single" w:sz="24" w:space="0" w:color="auto"/>
            </w:tcBorders>
            <w:shd w:val="clear" w:color="auto" w:fill="DDEDD3"/>
            <w:vAlign w:val="center"/>
          </w:tcPr>
          <w:p w14:paraId="04D3F8B0" w14:textId="77777777" w:rsidR="00D80C12" w:rsidRPr="002F1788" w:rsidRDefault="00D80C12" w:rsidP="00B02A2E">
            <w:pPr>
              <w:pStyle w:val="TableParagraph"/>
              <w:keepNext/>
              <w:spacing w:before="40" w:after="40" w:line="278" w:lineRule="auto"/>
              <w:jc w:val="center"/>
              <w:rPr>
                <w:sz w:val="18"/>
                <w:szCs w:val="18"/>
              </w:rPr>
            </w:pPr>
            <w:r w:rsidRPr="002F1788">
              <w:rPr>
                <w:sz w:val="18"/>
                <w:szCs w:val="18"/>
              </w:rPr>
              <w:t>1</w:t>
            </w:r>
          </w:p>
        </w:tc>
        <w:tc>
          <w:tcPr>
            <w:tcW w:w="1524" w:type="dxa"/>
            <w:tcBorders>
              <w:left w:val="single" w:sz="24" w:space="0" w:color="auto"/>
              <w:bottom w:val="single" w:sz="4" w:space="0" w:color="auto"/>
              <w:right w:val="nil"/>
            </w:tcBorders>
            <w:shd w:val="clear" w:color="auto" w:fill="F7DCE0"/>
            <w:vAlign w:val="center"/>
          </w:tcPr>
          <w:p w14:paraId="52F829B0" w14:textId="77777777" w:rsidR="00D80C12" w:rsidRPr="002F1788" w:rsidRDefault="00D80C12" w:rsidP="00B02A2E">
            <w:pPr>
              <w:pStyle w:val="TableParagraph"/>
              <w:keepNext/>
              <w:spacing w:before="40" w:after="40" w:line="278" w:lineRule="auto"/>
              <w:jc w:val="center"/>
              <w:rPr>
                <w:sz w:val="18"/>
                <w:szCs w:val="18"/>
              </w:rPr>
            </w:pPr>
            <w:r w:rsidRPr="002F1788">
              <w:rPr>
                <w:sz w:val="18"/>
                <w:szCs w:val="18"/>
              </w:rPr>
              <w:t>4</w:t>
            </w:r>
          </w:p>
        </w:tc>
      </w:tr>
      <w:tr w:rsidR="00D80C12" w:rsidRPr="002F1788" w14:paraId="3E40DCBD" w14:textId="77777777" w:rsidTr="00BD7DA4">
        <w:trPr>
          <w:trHeight w:val="328"/>
        </w:trPr>
        <w:tc>
          <w:tcPr>
            <w:tcW w:w="1168" w:type="dxa"/>
            <w:tcBorders>
              <w:bottom w:val="single" w:sz="4" w:space="0" w:color="auto"/>
            </w:tcBorders>
            <w:vAlign w:val="center"/>
          </w:tcPr>
          <w:p w14:paraId="407E619E" w14:textId="77777777" w:rsidR="00D80C12" w:rsidRPr="002F1788" w:rsidRDefault="00D80C12" w:rsidP="00B02A2E">
            <w:pPr>
              <w:pStyle w:val="TableParagraph"/>
              <w:keepNext/>
              <w:spacing w:before="40" w:after="40" w:line="278" w:lineRule="auto"/>
              <w:ind w:left="85"/>
              <w:rPr>
                <w:sz w:val="18"/>
                <w:szCs w:val="18"/>
              </w:rPr>
            </w:pPr>
            <w:r>
              <w:rPr>
                <w:sz w:val="18"/>
                <w:szCs w:val="18"/>
              </w:rPr>
              <w:t>CBA</w:t>
            </w:r>
          </w:p>
        </w:tc>
        <w:tc>
          <w:tcPr>
            <w:tcW w:w="1524" w:type="dxa"/>
            <w:tcBorders>
              <w:bottom w:val="single" w:sz="4" w:space="0" w:color="auto"/>
            </w:tcBorders>
            <w:shd w:val="clear" w:color="auto" w:fill="F8D4D1"/>
            <w:vAlign w:val="center"/>
          </w:tcPr>
          <w:p w14:paraId="4B73B002" w14:textId="77777777" w:rsidR="00D80C12" w:rsidRPr="002F1788" w:rsidRDefault="00D80C12" w:rsidP="00B02A2E">
            <w:pPr>
              <w:pStyle w:val="TableParagraph"/>
              <w:keepNext/>
              <w:spacing w:before="40" w:after="40" w:line="278" w:lineRule="auto"/>
              <w:jc w:val="center"/>
              <w:rPr>
                <w:sz w:val="18"/>
                <w:szCs w:val="18"/>
              </w:rPr>
            </w:pPr>
            <w:r w:rsidRPr="002F1788">
              <w:rPr>
                <w:sz w:val="18"/>
                <w:szCs w:val="18"/>
              </w:rPr>
              <w:t>5</w:t>
            </w:r>
          </w:p>
        </w:tc>
        <w:tc>
          <w:tcPr>
            <w:tcW w:w="1524" w:type="dxa"/>
            <w:tcBorders>
              <w:bottom w:val="single" w:sz="4" w:space="0" w:color="auto"/>
            </w:tcBorders>
            <w:shd w:val="clear" w:color="auto" w:fill="F7DCE0"/>
            <w:vAlign w:val="center"/>
          </w:tcPr>
          <w:p w14:paraId="30340CC0" w14:textId="77777777" w:rsidR="00D80C12" w:rsidRPr="002F1788" w:rsidRDefault="00D80C12" w:rsidP="00B02A2E">
            <w:pPr>
              <w:pStyle w:val="TableParagraph"/>
              <w:keepNext/>
              <w:spacing w:before="40" w:after="40" w:line="278" w:lineRule="auto"/>
              <w:jc w:val="center"/>
              <w:rPr>
                <w:sz w:val="18"/>
                <w:szCs w:val="18"/>
              </w:rPr>
            </w:pPr>
            <w:r>
              <w:rPr>
                <w:sz w:val="18"/>
                <w:szCs w:val="18"/>
              </w:rPr>
              <w:t>4</w:t>
            </w:r>
          </w:p>
        </w:tc>
        <w:tc>
          <w:tcPr>
            <w:tcW w:w="1524" w:type="dxa"/>
            <w:tcBorders>
              <w:bottom w:val="single" w:sz="4" w:space="0" w:color="auto"/>
              <w:right w:val="single" w:sz="24" w:space="0" w:color="auto"/>
            </w:tcBorders>
            <w:shd w:val="clear" w:color="auto" w:fill="FFEFCC"/>
            <w:vAlign w:val="center"/>
          </w:tcPr>
          <w:p w14:paraId="57D9FB4A" w14:textId="77777777" w:rsidR="00D80C12" w:rsidRPr="002F1788" w:rsidRDefault="00D80C12" w:rsidP="00B02A2E">
            <w:pPr>
              <w:pStyle w:val="TableParagraph"/>
              <w:keepNext/>
              <w:spacing w:before="40" w:after="40" w:line="278" w:lineRule="auto"/>
              <w:jc w:val="center"/>
              <w:rPr>
                <w:sz w:val="18"/>
                <w:szCs w:val="18"/>
              </w:rPr>
            </w:pPr>
            <w:r w:rsidRPr="002F1788">
              <w:rPr>
                <w:sz w:val="18"/>
                <w:szCs w:val="18"/>
              </w:rPr>
              <w:t>2</w:t>
            </w:r>
          </w:p>
        </w:tc>
        <w:tc>
          <w:tcPr>
            <w:tcW w:w="1524" w:type="dxa"/>
            <w:tcBorders>
              <w:left w:val="single" w:sz="24" w:space="0" w:color="auto"/>
              <w:bottom w:val="single" w:sz="4" w:space="0" w:color="auto"/>
              <w:right w:val="single" w:sz="24" w:space="0" w:color="auto"/>
            </w:tcBorders>
            <w:shd w:val="clear" w:color="auto" w:fill="DDEDD3"/>
            <w:vAlign w:val="center"/>
          </w:tcPr>
          <w:p w14:paraId="608A220B" w14:textId="77777777" w:rsidR="00D80C12" w:rsidRPr="002F1788" w:rsidRDefault="00D80C12" w:rsidP="00B02A2E">
            <w:pPr>
              <w:pStyle w:val="TableParagraph"/>
              <w:keepNext/>
              <w:spacing w:before="40" w:after="40" w:line="278" w:lineRule="auto"/>
              <w:jc w:val="center"/>
              <w:rPr>
                <w:sz w:val="18"/>
                <w:szCs w:val="18"/>
              </w:rPr>
            </w:pPr>
            <w:r w:rsidRPr="002F1788">
              <w:rPr>
                <w:sz w:val="18"/>
                <w:szCs w:val="18"/>
              </w:rPr>
              <w:t>1</w:t>
            </w:r>
          </w:p>
        </w:tc>
        <w:tc>
          <w:tcPr>
            <w:tcW w:w="1524" w:type="dxa"/>
            <w:tcBorders>
              <w:left w:val="single" w:sz="24" w:space="0" w:color="auto"/>
              <w:bottom w:val="single" w:sz="4" w:space="0" w:color="auto"/>
            </w:tcBorders>
            <w:shd w:val="clear" w:color="auto" w:fill="FDD7C3"/>
            <w:vAlign w:val="center"/>
          </w:tcPr>
          <w:p w14:paraId="2E48E9DF" w14:textId="77777777" w:rsidR="00D80C12" w:rsidRPr="002F1788" w:rsidRDefault="00D80C12" w:rsidP="00B02A2E">
            <w:pPr>
              <w:pStyle w:val="TableParagraph"/>
              <w:keepNext/>
              <w:spacing w:before="40" w:after="40" w:line="278" w:lineRule="auto"/>
              <w:jc w:val="center"/>
              <w:rPr>
                <w:sz w:val="18"/>
                <w:szCs w:val="18"/>
              </w:rPr>
            </w:pPr>
            <w:r w:rsidRPr="002F1788">
              <w:rPr>
                <w:sz w:val="18"/>
                <w:szCs w:val="18"/>
              </w:rPr>
              <w:t>3</w:t>
            </w:r>
          </w:p>
        </w:tc>
      </w:tr>
      <w:tr w:rsidR="00D80C12" w:rsidRPr="002F1788" w14:paraId="764926D6" w14:textId="77777777" w:rsidTr="00BD7DA4">
        <w:trPr>
          <w:trHeight w:val="331"/>
        </w:trPr>
        <w:tc>
          <w:tcPr>
            <w:tcW w:w="1168" w:type="dxa"/>
            <w:tcBorders>
              <w:bottom w:val="single" w:sz="4" w:space="0" w:color="auto"/>
            </w:tcBorders>
            <w:vAlign w:val="center"/>
          </w:tcPr>
          <w:p w14:paraId="5961187F" w14:textId="77777777" w:rsidR="00D80C12" w:rsidRPr="002F1788" w:rsidRDefault="00D80C12" w:rsidP="00B02A2E">
            <w:pPr>
              <w:pStyle w:val="TableParagraph"/>
              <w:keepNext/>
              <w:spacing w:before="40" w:after="40" w:line="278" w:lineRule="auto"/>
              <w:ind w:left="85"/>
              <w:rPr>
                <w:sz w:val="18"/>
                <w:szCs w:val="18"/>
              </w:rPr>
            </w:pPr>
            <w:r>
              <w:rPr>
                <w:sz w:val="18"/>
                <w:szCs w:val="18"/>
              </w:rPr>
              <w:t>CRBM</w:t>
            </w:r>
          </w:p>
        </w:tc>
        <w:tc>
          <w:tcPr>
            <w:tcW w:w="1524" w:type="dxa"/>
            <w:tcBorders>
              <w:bottom w:val="single" w:sz="4" w:space="0" w:color="auto"/>
            </w:tcBorders>
            <w:shd w:val="clear" w:color="auto" w:fill="DDEDD3"/>
            <w:vAlign w:val="center"/>
          </w:tcPr>
          <w:p w14:paraId="7CF5B82B" w14:textId="77777777" w:rsidR="00D80C12" w:rsidRPr="002F1788" w:rsidRDefault="00D80C12" w:rsidP="00B02A2E">
            <w:pPr>
              <w:pStyle w:val="TableParagraph"/>
              <w:keepNext/>
              <w:spacing w:before="40" w:after="40"/>
              <w:jc w:val="center"/>
              <w:rPr>
                <w:sz w:val="18"/>
                <w:szCs w:val="18"/>
              </w:rPr>
            </w:pPr>
            <w:r w:rsidRPr="002F1788">
              <w:rPr>
                <w:sz w:val="18"/>
                <w:szCs w:val="18"/>
              </w:rPr>
              <w:t>1</w:t>
            </w:r>
          </w:p>
        </w:tc>
        <w:tc>
          <w:tcPr>
            <w:tcW w:w="1524" w:type="dxa"/>
            <w:tcBorders>
              <w:bottom w:val="single" w:sz="4" w:space="0" w:color="auto"/>
            </w:tcBorders>
            <w:shd w:val="clear" w:color="auto" w:fill="FFEFCC"/>
            <w:vAlign w:val="center"/>
          </w:tcPr>
          <w:p w14:paraId="79A7495F" w14:textId="77777777" w:rsidR="00D80C12" w:rsidRPr="002F1788" w:rsidRDefault="00D80C12" w:rsidP="00B02A2E">
            <w:pPr>
              <w:pStyle w:val="TableParagraph"/>
              <w:keepNext/>
              <w:spacing w:before="40" w:after="40"/>
              <w:jc w:val="center"/>
              <w:rPr>
                <w:sz w:val="18"/>
                <w:szCs w:val="18"/>
              </w:rPr>
            </w:pPr>
            <w:r w:rsidRPr="002F1788">
              <w:rPr>
                <w:sz w:val="18"/>
                <w:szCs w:val="18"/>
              </w:rPr>
              <w:t>2</w:t>
            </w:r>
          </w:p>
        </w:tc>
        <w:tc>
          <w:tcPr>
            <w:tcW w:w="1524" w:type="dxa"/>
            <w:tcBorders>
              <w:bottom w:val="single" w:sz="4" w:space="0" w:color="auto"/>
              <w:right w:val="single" w:sz="24" w:space="0" w:color="auto"/>
            </w:tcBorders>
            <w:shd w:val="clear" w:color="auto" w:fill="FDD7C3"/>
            <w:vAlign w:val="center"/>
          </w:tcPr>
          <w:p w14:paraId="21B6B62D" w14:textId="77777777" w:rsidR="00D80C12" w:rsidRPr="002F1788" w:rsidRDefault="00D80C12" w:rsidP="00B02A2E">
            <w:pPr>
              <w:pStyle w:val="TableParagraph"/>
              <w:keepNext/>
              <w:spacing w:before="40" w:after="40"/>
              <w:jc w:val="center"/>
              <w:rPr>
                <w:sz w:val="18"/>
                <w:szCs w:val="18"/>
              </w:rPr>
            </w:pPr>
            <w:r w:rsidRPr="002F1788">
              <w:rPr>
                <w:sz w:val="18"/>
                <w:szCs w:val="18"/>
              </w:rPr>
              <w:t>3</w:t>
            </w:r>
          </w:p>
        </w:tc>
        <w:tc>
          <w:tcPr>
            <w:tcW w:w="1524" w:type="dxa"/>
            <w:tcBorders>
              <w:left w:val="single" w:sz="24" w:space="0" w:color="auto"/>
              <w:bottom w:val="single" w:sz="4" w:space="0" w:color="auto"/>
              <w:right w:val="single" w:sz="24" w:space="0" w:color="auto"/>
            </w:tcBorders>
            <w:shd w:val="clear" w:color="auto" w:fill="F7DCE0"/>
            <w:vAlign w:val="center"/>
          </w:tcPr>
          <w:p w14:paraId="7977AF24" w14:textId="77777777" w:rsidR="00D80C12" w:rsidRPr="002F1788" w:rsidRDefault="00D80C12" w:rsidP="00B02A2E">
            <w:pPr>
              <w:pStyle w:val="TableParagraph"/>
              <w:keepNext/>
              <w:spacing w:before="40" w:after="40"/>
              <w:jc w:val="center"/>
              <w:rPr>
                <w:sz w:val="18"/>
                <w:szCs w:val="18"/>
              </w:rPr>
            </w:pPr>
            <w:r w:rsidRPr="002F1788">
              <w:rPr>
                <w:sz w:val="18"/>
                <w:szCs w:val="18"/>
              </w:rPr>
              <w:t>4</w:t>
            </w:r>
          </w:p>
        </w:tc>
        <w:tc>
          <w:tcPr>
            <w:tcW w:w="1524" w:type="dxa"/>
            <w:tcBorders>
              <w:left w:val="single" w:sz="24" w:space="0" w:color="auto"/>
              <w:bottom w:val="single" w:sz="4" w:space="0" w:color="auto"/>
            </w:tcBorders>
            <w:shd w:val="clear" w:color="auto" w:fill="F8D4D1"/>
            <w:vAlign w:val="center"/>
          </w:tcPr>
          <w:p w14:paraId="7F86ED43" w14:textId="77777777" w:rsidR="00D80C12" w:rsidRPr="002F1788" w:rsidRDefault="00D80C12" w:rsidP="00B02A2E">
            <w:pPr>
              <w:pStyle w:val="TableParagraph"/>
              <w:keepNext/>
              <w:spacing w:before="40" w:after="40"/>
              <w:jc w:val="center"/>
              <w:rPr>
                <w:sz w:val="18"/>
                <w:szCs w:val="18"/>
              </w:rPr>
            </w:pPr>
            <w:r w:rsidRPr="002F1788">
              <w:rPr>
                <w:sz w:val="18"/>
                <w:szCs w:val="18"/>
              </w:rPr>
              <w:t>5</w:t>
            </w:r>
          </w:p>
        </w:tc>
      </w:tr>
      <w:tr w:rsidR="00D80C12" w:rsidRPr="002F1788" w14:paraId="59386FCD" w14:textId="77777777" w:rsidTr="00BD7DA4">
        <w:trPr>
          <w:trHeight w:val="382"/>
        </w:trPr>
        <w:tc>
          <w:tcPr>
            <w:tcW w:w="1168" w:type="dxa"/>
            <w:vAlign w:val="center"/>
          </w:tcPr>
          <w:p w14:paraId="6F63D78D" w14:textId="77777777" w:rsidR="00D80C12" w:rsidRPr="002F1788" w:rsidRDefault="00D80C12" w:rsidP="00B02A2E">
            <w:pPr>
              <w:pStyle w:val="TableParagraph"/>
              <w:keepNext/>
              <w:spacing w:before="40" w:after="40" w:line="278" w:lineRule="auto"/>
              <w:ind w:left="85"/>
              <w:rPr>
                <w:sz w:val="18"/>
                <w:szCs w:val="18"/>
              </w:rPr>
            </w:pPr>
            <w:r w:rsidRPr="002F1788">
              <w:rPr>
                <w:sz w:val="18"/>
                <w:szCs w:val="18"/>
              </w:rPr>
              <w:t>CEA</w:t>
            </w:r>
          </w:p>
        </w:tc>
        <w:tc>
          <w:tcPr>
            <w:tcW w:w="1524" w:type="dxa"/>
            <w:shd w:val="clear" w:color="auto" w:fill="F8D4D1"/>
            <w:vAlign w:val="center"/>
          </w:tcPr>
          <w:p w14:paraId="64512725" w14:textId="77777777" w:rsidR="00D80C12" w:rsidRPr="002F1788" w:rsidRDefault="00D80C12" w:rsidP="00B02A2E">
            <w:pPr>
              <w:pStyle w:val="TableParagraph"/>
              <w:keepNext/>
              <w:spacing w:before="40" w:after="40"/>
              <w:jc w:val="center"/>
              <w:rPr>
                <w:sz w:val="18"/>
                <w:szCs w:val="18"/>
              </w:rPr>
            </w:pPr>
            <w:r w:rsidRPr="002F1788">
              <w:rPr>
                <w:sz w:val="18"/>
                <w:szCs w:val="18"/>
              </w:rPr>
              <w:t>5</w:t>
            </w:r>
          </w:p>
        </w:tc>
        <w:tc>
          <w:tcPr>
            <w:tcW w:w="1524" w:type="dxa"/>
            <w:shd w:val="clear" w:color="auto" w:fill="F7DCE0"/>
            <w:vAlign w:val="center"/>
          </w:tcPr>
          <w:p w14:paraId="18579813" w14:textId="77777777" w:rsidR="00D80C12" w:rsidRPr="002F1788" w:rsidRDefault="00D80C12" w:rsidP="00B02A2E">
            <w:pPr>
              <w:pStyle w:val="TableParagraph"/>
              <w:keepNext/>
              <w:spacing w:before="40" w:after="40"/>
              <w:jc w:val="center"/>
              <w:rPr>
                <w:sz w:val="18"/>
                <w:szCs w:val="18"/>
              </w:rPr>
            </w:pPr>
            <w:r w:rsidRPr="002F1788">
              <w:rPr>
                <w:sz w:val="18"/>
                <w:szCs w:val="18"/>
              </w:rPr>
              <w:t>4</w:t>
            </w:r>
          </w:p>
        </w:tc>
        <w:tc>
          <w:tcPr>
            <w:tcW w:w="1524" w:type="dxa"/>
            <w:tcBorders>
              <w:right w:val="single" w:sz="24" w:space="0" w:color="auto"/>
            </w:tcBorders>
            <w:shd w:val="clear" w:color="auto" w:fill="FDD7C3"/>
            <w:vAlign w:val="center"/>
          </w:tcPr>
          <w:p w14:paraId="7371DE60" w14:textId="77777777" w:rsidR="00D80C12" w:rsidRPr="002F1788" w:rsidRDefault="00D80C12" w:rsidP="00B02A2E">
            <w:pPr>
              <w:pStyle w:val="TableParagraph"/>
              <w:keepNext/>
              <w:spacing w:before="40" w:after="40"/>
              <w:jc w:val="center"/>
              <w:rPr>
                <w:sz w:val="18"/>
                <w:szCs w:val="18"/>
              </w:rPr>
            </w:pPr>
            <w:r w:rsidRPr="002F1788">
              <w:rPr>
                <w:sz w:val="18"/>
                <w:szCs w:val="18"/>
              </w:rPr>
              <w:t>3</w:t>
            </w:r>
          </w:p>
        </w:tc>
        <w:tc>
          <w:tcPr>
            <w:tcW w:w="1524" w:type="dxa"/>
            <w:tcBorders>
              <w:left w:val="single" w:sz="24" w:space="0" w:color="auto"/>
              <w:bottom w:val="single" w:sz="4" w:space="0" w:color="auto"/>
              <w:right w:val="single" w:sz="24" w:space="0" w:color="auto"/>
            </w:tcBorders>
            <w:shd w:val="clear" w:color="auto" w:fill="DDEDD3"/>
            <w:vAlign w:val="center"/>
          </w:tcPr>
          <w:p w14:paraId="726D0208" w14:textId="77777777" w:rsidR="00D80C12" w:rsidRPr="002F1788" w:rsidRDefault="00D80C12" w:rsidP="00B02A2E">
            <w:pPr>
              <w:pStyle w:val="TableParagraph"/>
              <w:keepNext/>
              <w:spacing w:before="40" w:after="40"/>
              <w:jc w:val="center"/>
              <w:rPr>
                <w:sz w:val="18"/>
                <w:szCs w:val="18"/>
              </w:rPr>
            </w:pPr>
            <w:r w:rsidRPr="002F1788">
              <w:rPr>
                <w:sz w:val="18"/>
                <w:szCs w:val="18"/>
              </w:rPr>
              <w:t>1</w:t>
            </w:r>
          </w:p>
        </w:tc>
        <w:tc>
          <w:tcPr>
            <w:tcW w:w="1524" w:type="dxa"/>
            <w:tcBorders>
              <w:left w:val="single" w:sz="24" w:space="0" w:color="auto"/>
            </w:tcBorders>
            <w:shd w:val="clear" w:color="auto" w:fill="DDEDD3"/>
            <w:vAlign w:val="center"/>
          </w:tcPr>
          <w:p w14:paraId="5AF3E22B" w14:textId="77777777" w:rsidR="00D80C12" w:rsidRPr="002F1788" w:rsidRDefault="00D80C12" w:rsidP="00B02A2E">
            <w:pPr>
              <w:pStyle w:val="TableParagraph"/>
              <w:keepNext/>
              <w:spacing w:before="40" w:after="40"/>
              <w:jc w:val="center"/>
              <w:rPr>
                <w:sz w:val="18"/>
                <w:szCs w:val="18"/>
              </w:rPr>
            </w:pPr>
            <w:r w:rsidRPr="002F1788">
              <w:rPr>
                <w:sz w:val="18"/>
                <w:szCs w:val="18"/>
              </w:rPr>
              <w:t>1</w:t>
            </w:r>
          </w:p>
        </w:tc>
      </w:tr>
    </w:tbl>
    <w:p w14:paraId="5F79B279" w14:textId="03D147FE" w:rsidR="00032FF4" w:rsidRDefault="00B3052F" w:rsidP="00BC06B9">
      <w:pPr>
        <w:pStyle w:val="BodyText"/>
        <w:spacing w:line="252" w:lineRule="auto"/>
      </w:pPr>
      <w:r>
        <w:rPr>
          <w:rFonts w:eastAsiaTheme="minorEastAsia"/>
        </w:rPr>
        <w:t xml:space="preserve">As Table E.3 shows, no single option was ranked 1 across all forms of the regulatory impact analysis. However, on balance, Option 3B, which was ranked as 1 in the </w:t>
      </w:r>
      <w:r w:rsidR="00F1592B">
        <w:rPr>
          <w:rFonts w:eastAsiaTheme="minorEastAsia"/>
        </w:rPr>
        <w:t xml:space="preserve">risk analysis, </w:t>
      </w:r>
      <w:r>
        <w:rPr>
          <w:rFonts w:eastAsiaTheme="minorEastAsia"/>
        </w:rPr>
        <w:t>CBA</w:t>
      </w:r>
      <w:r w:rsidR="00F1592B">
        <w:rPr>
          <w:rFonts w:eastAsiaTheme="minorEastAsia"/>
        </w:rPr>
        <w:t xml:space="preserve"> and </w:t>
      </w:r>
      <w:r>
        <w:rPr>
          <w:rFonts w:eastAsiaTheme="minorEastAsia"/>
        </w:rPr>
        <w:t>CEA, and 4 in the CRBM, is expected to yield the greatest net benefit across the five options.</w:t>
      </w:r>
      <w:r w:rsidR="00032FF4">
        <w:rPr>
          <w:rFonts w:eastAsiaTheme="minorEastAsia"/>
        </w:rPr>
        <w:t xml:space="preserve"> </w:t>
      </w:r>
      <w:r w:rsidR="00032FF4">
        <w:t xml:space="preserve">In relation to the CRBM, it is worth noting that while the </w:t>
      </w:r>
      <w:r w:rsidR="00032FF4" w:rsidRPr="003E4A01">
        <w:t xml:space="preserve">regulatory burden </w:t>
      </w:r>
      <w:r w:rsidR="00032FF4">
        <w:t>associated with Option 3B is higher than options 1, 2 and 3A, the difference is relatively small</w:t>
      </w:r>
      <w:r w:rsidR="00370905">
        <w:rPr>
          <w:rFonts w:ascii="ZWAdobeF" w:hAnsi="ZWAdobeF" w:cs="ZWAdobeF"/>
          <w:sz w:val="2"/>
          <w:szCs w:val="2"/>
        </w:rPr>
        <w:t>17F</w:t>
      </w:r>
      <w:r w:rsidR="00530056">
        <w:rPr>
          <w:rStyle w:val="FootnoteReference"/>
          <w:rFonts w:eastAsiaTheme="minorEastAsia"/>
        </w:rPr>
        <w:footnoteReference w:id="19"/>
      </w:r>
      <w:r w:rsidR="00032FF4">
        <w:t xml:space="preserve"> and is expected to be more than offset by the benefits associated with this option. </w:t>
      </w:r>
      <w:r w:rsidR="00032FF4" w:rsidRPr="003E4A01">
        <w:t xml:space="preserve">This option is therefore expected to yield the greatest net benefit for the community. </w:t>
      </w:r>
    </w:p>
    <w:p w14:paraId="5AC0AEB6" w14:textId="77777777" w:rsidR="00032FF4" w:rsidRDefault="00032FF4" w:rsidP="00BC06B9">
      <w:pPr>
        <w:pStyle w:val="BodyText"/>
        <w:spacing w:line="252" w:lineRule="auto"/>
      </w:pPr>
      <w:r>
        <w:t xml:space="preserve">Further detail on </w:t>
      </w:r>
      <w:r w:rsidR="0018008C">
        <w:t xml:space="preserve">how </w:t>
      </w:r>
      <w:r>
        <w:t xml:space="preserve">the regulatory impact assessment </w:t>
      </w:r>
      <w:r w:rsidR="0018008C">
        <w:t xml:space="preserve">was undertaken and the results of the different analyses </w:t>
      </w:r>
      <w:r>
        <w:t xml:space="preserve">is provided in Chapter 9. </w:t>
      </w:r>
    </w:p>
    <w:p w14:paraId="2CFB6565" w14:textId="77777777" w:rsidR="00E74F66" w:rsidRPr="00262C4C" w:rsidRDefault="00E74F66" w:rsidP="00262C4C">
      <w:pPr>
        <w:pStyle w:val="Heading6"/>
        <w:rPr>
          <w:rFonts w:eastAsiaTheme="minorEastAsia"/>
          <w:sz w:val="26"/>
          <w:szCs w:val="26"/>
        </w:rPr>
      </w:pPr>
      <w:r w:rsidRPr="00262C4C">
        <w:rPr>
          <w:rFonts w:eastAsiaTheme="minorEastAsia"/>
          <w:sz w:val="26"/>
          <w:szCs w:val="26"/>
        </w:rPr>
        <w:t xml:space="preserve">What is the preferred option? </w:t>
      </w:r>
    </w:p>
    <w:p w14:paraId="436D8F09" w14:textId="71058BFD" w:rsidR="00D22DF9" w:rsidRDefault="008E0C01" w:rsidP="00BC06B9">
      <w:pPr>
        <w:pStyle w:val="BodyText"/>
        <w:spacing w:before="120" w:line="252" w:lineRule="auto"/>
      </w:pPr>
      <w:r>
        <w:t xml:space="preserve">Having regard to the </w:t>
      </w:r>
      <w:r w:rsidRPr="006C3D2A">
        <w:t>fe</w:t>
      </w:r>
      <w:r>
        <w:t>edback provided by stakeholders</w:t>
      </w:r>
      <w:r w:rsidRPr="006C3D2A">
        <w:t xml:space="preserve"> </w:t>
      </w:r>
      <w:r>
        <w:t>and the results of the regulatory impact assessment</w:t>
      </w:r>
      <w:r w:rsidRPr="008E0C01">
        <w:t>, the</w:t>
      </w:r>
      <w:r>
        <w:t xml:space="preserve"> </w:t>
      </w:r>
      <w:r w:rsidRPr="00D03762">
        <w:t>preferred option is</w:t>
      </w:r>
      <w:r w:rsidRPr="00A2608F">
        <w:rPr>
          <w:b/>
          <w:bCs/>
        </w:rPr>
        <w:t xml:space="preserve"> Option </w:t>
      </w:r>
      <w:r>
        <w:rPr>
          <w:b/>
          <w:bCs/>
        </w:rPr>
        <w:t>3B</w:t>
      </w:r>
      <w:r w:rsidRPr="004E161D">
        <w:t>.</w:t>
      </w:r>
      <w:r>
        <w:t xml:space="preserve"> </w:t>
      </w:r>
    </w:p>
    <w:p w14:paraId="5D1520B6" w14:textId="2C3214AA" w:rsidR="008E0C01" w:rsidRDefault="00EC543D" w:rsidP="00BC06B9">
      <w:pPr>
        <w:pStyle w:val="BodyText"/>
        <w:spacing w:before="120" w:line="252" w:lineRule="auto"/>
      </w:pPr>
      <w:r>
        <w:t xml:space="preserve">This option </w:t>
      </w:r>
      <w:r w:rsidR="00BD3911">
        <w:t xml:space="preserve">will </w:t>
      </w:r>
      <w:r w:rsidR="008E0C01">
        <w:t xml:space="preserve">address all of the problems identified in </w:t>
      </w:r>
      <w:r w:rsidR="00D22DF9">
        <w:t>Table E.1</w:t>
      </w:r>
      <w:r w:rsidR="008E0C01">
        <w:t xml:space="preserve">, which are having a detrimental effect on economic efficiency (productive, allocative and dynamic) and consumers more generally.  Relative to the other options, Option 3B </w:t>
      </w:r>
      <w:r w:rsidR="00BD3911">
        <w:t>will also</w:t>
      </w:r>
      <w:r w:rsidR="008E0C01">
        <w:t xml:space="preserve">: </w:t>
      </w:r>
    </w:p>
    <w:p w14:paraId="0E94DB29" w14:textId="3E8C105E" w:rsidR="008E0C01" w:rsidRDefault="00A61881" w:rsidP="00AD36B8">
      <w:pPr>
        <w:pStyle w:val="ListBullet"/>
      </w:pPr>
      <w:r>
        <w:t xml:space="preserve">Result </w:t>
      </w:r>
      <w:r w:rsidR="008E0C01">
        <w:t>in a material reduction in the risks associated with the regulatory framework</w:t>
      </w:r>
      <w:r>
        <w:t>.</w:t>
      </w:r>
    </w:p>
    <w:p w14:paraId="7FA85CBA" w14:textId="1E5CCDB4" w:rsidR="008E0C01" w:rsidRDefault="00A61881" w:rsidP="00BD3911">
      <w:pPr>
        <w:pStyle w:val="ListBullet"/>
        <w:spacing w:before="60" w:after="60"/>
      </w:pPr>
      <w:r>
        <w:t xml:space="preserve">Generate </w:t>
      </w:r>
      <w:r w:rsidR="008E0C01">
        <w:t xml:space="preserve">the highest net benefit in terms of the CBA, primarily as a result of: </w:t>
      </w:r>
    </w:p>
    <w:p w14:paraId="78FA4B8B" w14:textId="77777777" w:rsidR="008636D7" w:rsidRDefault="008E0C01" w:rsidP="00BD3911">
      <w:pPr>
        <w:pStyle w:val="ListBullet2"/>
        <w:spacing w:before="60" w:after="60"/>
      </w:pPr>
      <w:r>
        <w:lastRenderedPageBreak/>
        <w:t>the p</w:t>
      </w:r>
      <w:r w:rsidRPr="00A37200">
        <w:t>roductivity</w:t>
      </w:r>
      <w:r w:rsidR="008636D7">
        <w:t>, investment</w:t>
      </w:r>
      <w:r>
        <w:t xml:space="preserve"> and </w:t>
      </w:r>
      <w:r w:rsidR="008636D7">
        <w:t xml:space="preserve">other </w:t>
      </w:r>
      <w:r>
        <w:t xml:space="preserve">efficiency </w:t>
      </w:r>
      <w:r w:rsidRPr="00A37200">
        <w:t xml:space="preserve">benefits </w:t>
      </w:r>
      <w:r>
        <w:t>arising as a result of</w:t>
      </w:r>
      <w:r w:rsidR="008636D7">
        <w:t>:</w:t>
      </w:r>
      <w:r>
        <w:t xml:space="preserve"> </w:t>
      </w:r>
    </w:p>
    <w:p w14:paraId="35311CFE" w14:textId="77777777" w:rsidR="008636D7" w:rsidRDefault="008E0C01" w:rsidP="00BD3911">
      <w:pPr>
        <w:pStyle w:val="ListBullet3"/>
        <w:spacing w:before="60" w:after="60"/>
      </w:pPr>
      <w:r w:rsidRPr="00A37200">
        <w:t>lower transportation costs</w:t>
      </w:r>
      <w:r>
        <w:t xml:space="preserve"> on pipelines subject to either the stronger or lighter forms of regulation; </w:t>
      </w:r>
      <w:r w:rsidR="008636D7">
        <w:t>and</w:t>
      </w:r>
    </w:p>
    <w:p w14:paraId="3831FBBD" w14:textId="77777777" w:rsidR="008E0C01" w:rsidRDefault="008E0C01" w:rsidP="00BD3911">
      <w:pPr>
        <w:pStyle w:val="ListBullet3"/>
        <w:spacing w:before="60" w:after="60"/>
      </w:pPr>
      <w:r>
        <w:t>improved access to pipelines that would not otherwise provide third party access;</w:t>
      </w:r>
    </w:p>
    <w:p w14:paraId="709355BA" w14:textId="77777777" w:rsidR="008E0C01" w:rsidRDefault="008E0C01" w:rsidP="00BD3911">
      <w:pPr>
        <w:pStyle w:val="ListBullet2"/>
        <w:spacing w:before="60" w:after="60"/>
      </w:pPr>
      <w:r>
        <w:t>the reduction in search and transaction costs arising as a result of the proposed improvements to information disclosure; and</w:t>
      </w:r>
    </w:p>
    <w:p w14:paraId="5F4CB921" w14:textId="45DA9C76" w:rsidR="008E0C01" w:rsidRDefault="008E0C01" w:rsidP="00BD3911">
      <w:pPr>
        <w:pStyle w:val="ListBullet2"/>
        <w:spacing w:before="60" w:after="60"/>
      </w:pPr>
      <w:r>
        <w:t xml:space="preserve">the cost savings associated with simplifying the regulatory framework. </w:t>
      </w:r>
    </w:p>
    <w:p w14:paraId="6EB12C89" w14:textId="1E068386" w:rsidR="00A61881" w:rsidRDefault="00A61881" w:rsidP="00BD3911">
      <w:pPr>
        <w:pStyle w:val="ListBullet2"/>
        <w:numPr>
          <w:ilvl w:val="0"/>
          <w:numId w:val="0"/>
        </w:numPr>
        <w:spacing w:before="60" w:after="60"/>
        <w:ind w:left="357"/>
      </w:pPr>
      <w:r>
        <w:t>While it has not been possible to quantify all of the costs and benefits associated with this option, the net economy-wide benefit is expected to exceed $1.18 billion under the high impact scenario and $235 million under the low impact scenario.</w:t>
      </w:r>
    </w:p>
    <w:p w14:paraId="1D670ADF" w14:textId="694C26EA" w:rsidR="008E0C01" w:rsidRDefault="00053D29" w:rsidP="00BD3911">
      <w:pPr>
        <w:pStyle w:val="ListBullet"/>
        <w:spacing w:before="60" w:after="60"/>
      </w:pPr>
      <w:r>
        <w:t xml:space="preserve">Facilitate </w:t>
      </w:r>
      <w:r w:rsidR="008E0C01">
        <w:t xml:space="preserve">more effective competition in the pipeline segment of the supply chain and in upstream and downstream markets. </w:t>
      </w:r>
    </w:p>
    <w:p w14:paraId="1518C55C" w14:textId="77777777" w:rsidR="00ED4E6E" w:rsidRDefault="008E0C01" w:rsidP="00246B7A">
      <w:pPr>
        <w:pStyle w:val="BodyText"/>
        <w:spacing w:line="252" w:lineRule="auto"/>
      </w:pPr>
      <w:r>
        <w:t>Option 3B is therefore expected to yield the greatest net benefit for the community, which is why it is the preferred option.</w:t>
      </w:r>
    </w:p>
    <w:p w14:paraId="725824AC" w14:textId="77777777" w:rsidR="004571AC" w:rsidRDefault="00081DD0" w:rsidP="0023557F">
      <w:pPr>
        <w:pStyle w:val="BodyText"/>
        <w:spacing w:after="60" w:line="252" w:lineRule="auto"/>
      </w:pPr>
      <w:r>
        <w:t xml:space="preserve">Relative to the other options, </w:t>
      </w:r>
      <w:r w:rsidR="0022078B">
        <w:t>Option 3B</w:t>
      </w:r>
      <w:r>
        <w:t xml:space="preserve"> </w:t>
      </w:r>
      <w:r w:rsidR="009C1D56">
        <w:t xml:space="preserve">is also </w:t>
      </w:r>
      <w:r>
        <w:t xml:space="preserve">more </w:t>
      </w:r>
      <w:r w:rsidR="003E4A01" w:rsidRPr="003E4A01">
        <w:t xml:space="preserve">consistent with the NGO, the </w:t>
      </w:r>
      <w:r w:rsidR="0022078B">
        <w:t xml:space="preserve">Vision </w:t>
      </w:r>
      <w:r w:rsidR="003E4A01" w:rsidRPr="003E4A01">
        <w:t xml:space="preserve">for the Australian gas market and the objectives of </w:t>
      </w:r>
      <w:r w:rsidR="00C322D4" w:rsidRPr="00807EA1">
        <w:t>Energy National Cabinet Reform Committee</w:t>
      </w:r>
      <w:r w:rsidR="00C322D4" w:rsidRPr="003E4A01">
        <w:t xml:space="preserve"> </w:t>
      </w:r>
      <w:r w:rsidR="003E4A01" w:rsidRPr="003E4A01">
        <w:t>action, which are to</w:t>
      </w:r>
      <w:r w:rsidR="004571AC">
        <w:t xml:space="preserve"> </w:t>
      </w:r>
      <w:r w:rsidR="004571AC" w:rsidRPr="00623324">
        <w:t>implement a more efficient, effective and integrated regulatory framework that</w:t>
      </w:r>
      <w:r w:rsidR="004571AC">
        <w:t>:</w:t>
      </w:r>
      <w:r w:rsidR="004571AC" w:rsidRPr="00623324">
        <w:t xml:space="preserve"> </w:t>
      </w:r>
    </w:p>
    <w:p w14:paraId="3A83DAEA" w14:textId="77777777" w:rsidR="004571AC" w:rsidRDefault="004571AC" w:rsidP="00BD3911">
      <w:pPr>
        <w:pStyle w:val="ListBullet"/>
        <w:spacing w:before="60" w:after="60"/>
      </w:pPr>
      <w:r w:rsidRPr="00623324">
        <w:t>supports the efficient operation of the gas market and the long term interests of gas users</w:t>
      </w:r>
      <w:r>
        <w:t xml:space="preserve">; and </w:t>
      </w:r>
    </w:p>
    <w:p w14:paraId="6F72035E" w14:textId="22D2A91E" w:rsidR="004571AC" w:rsidRDefault="004571AC" w:rsidP="00BD3911">
      <w:pPr>
        <w:pStyle w:val="ListBullet"/>
        <w:spacing w:before="60" w:after="60"/>
      </w:pPr>
      <w:r w:rsidRPr="00623324">
        <w:t xml:space="preserve">is fit for purpose, targeted and proportionate to the issues it is intended to address. </w:t>
      </w:r>
    </w:p>
    <w:p w14:paraId="646473EC" w14:textId="4D42A791" w:rsidR="00720B79" w:rsidRDefault="00720B79" w:rsidP="00720B79">
      <w:pPr>
        <w:pStyle w:val="BodyText"/>
        <w:spacing w:after="240" w:line="252" w:lineRule="auto"/>
      </w:pPr>
      <w:r>
        <w:t xml:space="preserve">Further detail on what Option 3B entails and the transitional arrangements that would apply under this option can be found in Table E.4. </w:t>
      </w:r>
    </w:p>
    <w:p w14:paraId="102A6339" w14:textId="08927CF2" w:rsidR="00A10DAE" w:rsidRDefault="00A10DAE" w:rsidP="00A10DAE">
      <w:pPr>
        <w:pStyle w:val="Caption"/>
        <w:spacing w:before="0" w:after="0"/>
      </w:pPr>
      <w:r w:rsidRPr="006B4639">
        <w:lastRenderedPageBreak/>
        <w:t xml:space="preserve">Table </w:t>
      </w:r>
      <w:r>
        <w:rPr>
          <w:noProof/>
        </w:rPr>
        <w:t>E.4</w:t>
      </w:r>
      <w:r w:rsidRPr="006B4639">
        <w:t xml:space="preserve">: </w:t>
      </w:r>
      <w:r>
        <w:t>Preferred Option – Option 3B</w:t>
      </w:r>
    </w:p>
    <w:tbl>
      <w:tblPr>
        <w:tblStyle w:val="TableGrid"/>
        <w:tblW w:w="4798" w:type="pct"/>
        <w:tblLook w:val="04A0" w:firstRow="1" w:lastRow="0" w:firstColumn="1" w:lastColumn="0" w:noHBand="0" w:noVBand="1"/>
      </w:tblPr>
      <w:tblGrid>
        <w:gridCol w:w="567"/>
        <w:gridCol w:w="1560"/>
        <w:gridCol w:w="6306"/>
      </w:tblGrid>
      <w:tr w:rsidR="00A10DAE" w:rsidRPr="00720B79" w14:paraId="5EF2C9F5" w14:textId="77777777" w:rsidTr="00720B79">
        <w:trPr>
          <w:cnfStyle w:val="100000000000" w:firstRow="1" w:lastRow="0" w:firstColumn="0" w:lastColumn="0" w:oddVBand="0" w:evenVBand="0" w:oddHBand="0" w:evenHBand="0" w:firstRowFirstColumn="0" w:firstRowLastColumn="0" w:lastRowFirstColumn="0" w:lastRowLastColumn="0"/>
          <w:tblHeader/>
        </w:trPr>
        <w:tc>
          <w:tcPr>
            <w:tcW w:w="2127" w:type="dxa"/>
            <w:gridSpan w:val="2"/>
            <w:shd w:val="clear" w:color="auto" w:fill="002060"/>
          </w:tcPr>
          <w:p w14:paraId="452D2A18" w14:textId="77777777" w:rsidR="00A10DAE" w:rsidRPr="00720B79" w:rsidRDefault="00A10DAE" w:rsidP="005E73A3">
            <w:pPr>
              <w:keepNext/>
              <w:spacing w:line="240" w:lineRule="auto"/>
              <w:rPr>
                <w:rFonts w:cs="Arial"/>
                <w:b w:val="0"/>
                <w:bCs/>
                <w:sz w:val="19"/>
                <w:szCs w:val="19"/>
              </w:rPr>
            </w:pPr>
            <w:r w:rsidRPr="00720B79">
              <w:rPr>
                <w:rFonts w:cs="Arial"/>
                <w:bCs/>
                <w:sz w:val="19"/>
                <w:szCs w:val="19"/>
              </w:rPr>
              <w:t>Element</w:t>
            </w:r>
          </w:p>
        </w:tc>
        <w:tc>
          <w:tcPr>
            <w:tcW w:w="6306" w:type="dxa"/>
            <w:shd w:val="clear" w:color="auto" w:fill="002060"/>
          </w:tcPr>
          <w:p w14:paraId="70B4B0E2" w14:textId="77777777" w:rsidR="00A10DAE" w:rsidRPr="00720B79" w:rsidRDefault="00A10DAE" w:rsidP="005E73A3">
            <w:pPr>
              <w:pStyle w:val="BodyText"/>
              <w:keepNext/>
              <w:spacing w:before="60" w:after="60"/>
              <w:rPr>
                <w:rFonts w:cs="Arial"/>
                <w:bCs/>
                <w:sz w:val="19"/>
                <w:szCs w:val="19"/>
              </w:rPr>
            </w:pPr>
            <w:r w:rsidRPr="00720B79">
              <w:rPr>
                <w:rFonts w:cs="Arial"/>
                <w:bCs/>
                <w:sz w:val="19"/>
                <w:szCs w:val="19"/>
              </w:rPr>
              <w:t xml:space="preserve">Description </w:t>
            </w:r>
          </w:p>
        </w:tc>
      </w:tr>
      <w:tr w:rsidR="00A10DAE" w:rsidRPr="00720B79" w14:paraId="3A1FEA03" w14:textId="77777777" w:rsidTr="00720B79">
        <w:trPr>
          <w:trHeight w:val="210"/>
        </w:trPr>
        <w:tc>
          <w:tcPr>
            <w:tcW w:w="567" w:type="dxa"/>
            <w:vMerge w:val="restart"/>
            <w:textDirection w:val="btLr"/>
          </w:tcPr>
          <w:p w14:paraId="233A9F96" w14:textId="77777777" w:rsidR="00A10DAE" w:rsidRPr="00720B79" w:rsidRDefault="00A10DAE" w:rsidP="005E73A3">
            <w:pPr>
              <w:pStyle w:val="BodyText"/>
              <w:keepNext/>
              <w:spacing w:before="60" w:after="60"/>
              <w:jc w:val="center"/>
              <w:rPr>
                <w:rFonts w:cs="Arial"/>
                <w:b/>
                <w:sz w:val="19"/>
                <w:szCs w:val="19"/>
              </w:rPr>
            </w:pPr>
            <w:r w:rsidRPr="00720B79">
              <w:rPr>
                <w:rFonts w:cs="Arial"/>
                <w:b/>
                <w:sz w:val="19"/>
                <w:szCs w:val="19"/>
              </w:rPr>
              <w:t>When should pipelines be regulated</w:t>
            </w:r>
          </w:p>
        </w:tc>
        <w:tc>
          <w:tcPr>
            <w:tcW w:w="1560" w:type="dxa"/>
            <w:tcBorders>
              <w:bottom w:val="single" w:sz="4" w:space="0" w:color="auto"/>
            </w:tcBorders>
            <w:shd w:val="clear" w:color="auto" w:fill="FFFFFF" w:themeFill="background1"/>
          </w:tcPr>
          <w:p w14:paraId="1B090055" w14:textId="77777777" w:rsidR="00A10DAE" w:rsidRPr="00720B79" w:rsidRDefault="00A10DAE" w:rsidP="005E73A3">
            <w:pPr>
              <w:pStyle w:val="BodyText"/>
              <w:keepNext/>
              <w:spacing w:before="60" w:after="60"/>
              <w:rPr>
                <w:rFonts w:cs="Arial"/>
                <w:b/>
                <w:sz w:val="19"/>
                <w:szCs w:val="19"/>
              </w:rPr>
            </w:pPr>
            <w:r w:rsidRPr="00720B79">
              <w:rPr>
                <w:rFonts w:cs="Arial"/>
                <w:b/>
                <w:sz w:val="19"/>
                <w:szCs w:val="19"/>
              </w:rPr>
              <w:t xml:space="preserve">Access to pipelines </w:t>
            </w:r>
          </w:p>
        </w:tc>
        <w:tc>
          <w:tcPr>
            <w:tcW w:w="6306" w:type="dxa"/>
            <w:tcBorders>
              <w:bottom w:val="single" w:sz="4" w:space="0" w:color="auto"/>
            </w:tcBorders>
            <w:shd w:val="clear" w:color="auto" w:fill="FFFFFF" w:themeFill="background1"/>
          </w:tcPr>
          <w:p w14:paraId="435E7141" w14:textId="77777777" w:rsidR="00A10DAE" w:rsidRPr="00720B79" w:rsidRDefault="00A10DAE" w:rsidP="005E73A3">
            <w:pPr>
              <w:pStyle w:val="BodyText"/>
              <w:keepNext/>
              <w:spacing w:before="60" w:after="60"/>
              <w:rPr>
                <w:rFonts w:cs="Arial"/>
                <w:sz w:val="19"/>
                <w:szCs w:val="19"/>
              </w:rPr>
            </w:pPr>
            <w:r w:rsidRPr="00720B79">
              <w:rPr>
                <w:rFonts w:cs="Arial"/>
                <w:sz w:val="19"/>
                <w:szCs w:val="19"/>
                <w:u w:val="single"/>
              </w:rPr>
              <w:t>All</w:t>
            </w:r>
            <w:r w:rsidRPr="00720B79">
              <w:rPr>
                <w:rFonts w:cs="Arial"/>
                <w:sz w:val="19"/>
                <w:szCs w:val="19"/>
              </w:rPr>
              <w:t xml:space="preserve"> pipelines required to provide 3</w:t>
            </w:r>
            <w:r w:rsidRPr="00720B79">
              <w:rPr>
                <w:rFonts w:cs="Arial"/>
                <w:sz w:val="19"/>
                <w:szCs w:val="19"/>
                <w:vertAlign w:val="superscript"/>
              </w:rPr>
              <w:t>rd</w:t>
            </w:r>
            <w:r w:rsidRPr="00720B79">
              <w:rPr>
                <w:rFonts w:cs="Arial"/>
                <w:sz w:val="19"/>
                <w:szCs w:val="19"/>
              </w:rPr>
              <w:t xml:space="preserve"> party access and subject to some form of regulation. </w:t>
            </w:r>
          </w:p>
          <w:p w14:paraId="192BA32E" w14:textId="77777777" w:rsidR="00A10DAE" w:rsidRPr="00720B79" w:rsidRDefault="00A10DAE" w:rsidP="005E73A3">
            <w:pPr>
              <w:pStyle w:val="BodyText"/>
              <w:keepNext/>
              <w:spacing w:before="60" w:after="60"/>
              <w:rPr>
                <w:sz w:val="19"/>
                <w:szCs w:val="19"/>
                <w:lang w:eastAsia="en-US"/>
              </w:rPr>
            </w:pPr>
            <w:r w:rsidRPr="00720B79">
              <w:rPr>
                <w:sz w:val="19"/>
                <w:szCs w:val="19"/>
              </w:rPr>
              <w:t>For transitional purposes, those pipelines that have already obtained a 15-year no coverage determination and are not providing third party access would be exempt from the obligation to provide third party access for the remaining term of the exemption period</w:t>
            </w:r>
          </w:p>
        </w:tc>
      </w:tr>
      <w:tr w:rsidR="00A10DAE" w:rsidRPr="00720B79" w14:paraId="2398D2DC" w14:textId="77777777" w:rsidTr="00720B79">
        <w:trPr>
          <w:cnfStyle w:val="000000010000" w:firstRow="0" w:lastRow="0" w:firstColumn="0" w:lastColumn="0" w:oddVBand="0" w:evenVBand="0" w:oddHBand="0" w:evenHBand="1" w:firstRowFirstColumn="0" w:firstRowLastColumn="0" w:lastRowFirstColumn="0" w:lastRowLastColumn="0"/>
          <w:trHeight w:val="888"/>
        </w:trPr>
        <w:tc>
          <w:tcPr>
            <w:tcW w:w="567" w:type="dxa"/>
            <w:vMerge/>
            <w:textDirection w:val="btLr"/>
          </w:tcPr>
          <w:p w14:paraId="756147CF" w14:textId="77777777" w:rsidR="00A10DAE" w:rsidRPr="00720B79" w:rsidRDefault="00A10DAE" w:rsidP="005E73A3">
            <w:pPr>
              <w:pStyle w:val="BodyText"/>
              <w:keepNext/>
              <w:spacing w:before="60" w:after="60"/>
              <w:rPr>
                <w:rFonts w:cs="Arial"/>
                <w:b/>
                <w:sz w:val="19"/>
                <w:szCs w:val="19"/>
              </w:rPr>
            </w:pPr>
          </w:p>
        </w:tc>
        <w:tc>
          <w:tcPr>
            <w:tcW w:w="1560" w:type="dxa"/>
            <w:tcBorders>
              <w:bottom w:val="single" w:sz="4" w:space="0" w:color="auto"/>
            </w:tcBorders>
            <w:shd w:val="clear" w:color="auto" w:fill="F2F2F2" w:themeFill="background1" w:themeFillShade="F2"/>
          </w:tcPr>
          <w:p w14:paraId="300CBE6C" w14:textId="77777777" w:rsidR="00A10DAE" w:rsidRPr="00720B79" w:rsidRDefault="00A10DAE" w:rsidP="005E73A3">
            <w:pPr>
              <w:pStyle w:val="BodyText"/>
              <w:keepNext/>
              <w:spacing w:before="60" w:after="60"/>
              <w:rPr>
                <w:rFonts w:cs="Arial"/>
                <w:b/>
                <w:sz w:val="19"/>
                <w:szCs w:val="19"/>
              </w:rPr>
            </w:pPr>
            <w:r w:rsidRPr="00720B79">
              <w:rPr>
                <w:rFonts w:cs="Arial"/>
                <w:b/>
                <w:sz w:val="19"/>
                <w:szCs w:val="19"/>
              </w:rPr>
              <w:t>Greenfield exemption</w:t>
            </w:r>
          </w:p>
        </w:tc>
        <w:tc>
          <w:tcPr>
            <w:tcW w:w="6306" w:type="dxa"/>
            <w:tcBorders>
              <w:bottom w:val="single" w:sz="4" w:space="0" w:color="auto"/>
            </w:tcBorders>
            <w:shd w:val="clear" w:color="auto" w:fill="F2F2F2" w:themeFill="background1" w:themeFillShade="F2"/>
          </w:tcPr>
          <w:p w14:paraId="73F1F033" w14:textId="0EC39126" w:rsidR="00A10DAE" w:rsidRPr="00720B79" w:rsidRDefault="00A10DAE" w:rsidP="005E73A3">
            <w:pPr>
              <w:pStyle w:val="TableBullet10"/>
              <w:keepNext/>
              <w:numPr>
                <w:ilvl w:val="0"/>
                <w:numId w:val="0"/>
              </w:numPr>
              <w:ind w:left="85"/>
              <w:rPr>
                <w:sz w:val="19"/>
                <w:szCs w:val="19"/>
                <w:lang w:eastAsia="en-US"/>
              </w:rPr>
            </w:pPr>
            <w:r w:rsidRPr="00720B79">
              <w:rPr>
                <w:sz w:val="19"/>
                <w:szCs w:val="19"/>
                <w:lang w:eastAsia="en-US"/>
              </w:rPr>
              <w:t xml:space="preserve">A greenfield exemption would be available to new pipelines, </w:t>
            </w:r>
            <w:r w:rsidRPr="00720B79">
              <w:rPr>
                <w:sz w:val="19"/>
                <w:szCs w:val="19"/>
              </w:rPr>
              <w:t>where it can be demonstrated that the pipeline is unlikely to have substantial market power over the exemption period</w:t>
            </w:r>
            <w:r w:rsidRPr="00720B79">
              <w:rPr>
                <w:sz w:val="19"/>
                <w:szCs w:val="19"/>
                <w:lang w:eastAsia="en-US"/>
              </w:rPr>
              <w:t>.</w:t>
            </w:r>
            <w:r w:rsidR="00370905">
              <w:rPr>
                <w:rFonts w:ascii="ZWAdobeF" w:hAnsi="ZWAdobeF" w:cs="ZWAdobeF"/>
                <w:sz w:val="2"/>
                <w:szCs w:val="2"/>
                <w:lang w:eastAsia="en-US"/>
              </w:rPr>
              <w:t>18F</w:t>
            </w:r>
            <w:r w:rsidRPr="00720B79">
              <w:rPr>
                <w:rStyle w:val="FootnoteReference"/>
                <w:sz w:val="19"/>
                <w:szCs w:val="19"/>
                <w:lang w:eastAsia="en-US"/>
              </w:rPr>
              <w:footnoteReference w:id="20"/>
            </w:r>
            <w:r w:rsidRPr="00720B79">
              <w:rPr>
                <w:sz w:val="19"/>
                <w:szCs w:val="19"/>
                <w:lang w:eastAsia="en-US"/>
              </w:rPr>
              <w:t xml:space="preserve"> This incentive would provide the pipeline with an exemption from the stronger form of regulation and give effect to any competitive outcome to develop the pipeline for up to 15-years.</w:t>
            </w:r>
          </w:p>
        </w:tc>
      </w:tr>
      <w:tr w:rsidR="00A10DAE" w:rsidRPr="00720B79" w14:paraId="6140F2FA" w14:textId="77777777" w:rsidTr="00720B79">
        <w:trPr>
          <w:trHeight w:val="1230"/>
        </w:trPr>
        <w:tc>
          <w:tcPr>
            <w:tcW w:w="567" w:type="dxa"/>
            <w:vMerge w:val="restart"/>
            <w:shd w:val="clear" w:color="auto" w:fill="F2F2F2" w:themeFill="background1" w:themeFillShade="F2"/>
            <w:textDirection w:val="btLr"/>
          </w:tcPr>
          <w:p w14:paraId="38DDFEFD" w14:textId="77777777" w:rsidR="00A10DAE" w:rsidRPr="00720B79" w:rsidRDefault="00A10DAE" w:rsidP="002F1B32">
            <w:pPr>
              <w:pStyle w:val="BodyText"/>
              <w:keepNext/>
              <w:spacing w:before="60" w:after="60"/>
              <w:jc w:val="center"/>
              <w:rPr>
                <w:rFonts w:cs="Arial"/>
                <w:b/>
                <w:sz w:val="19"/>
                <w:szCs w:val="19"/>
              </w:rPr>
            </w:pPr>
            <w:r w:rsidRPr="00720B79">
              <w:rPr>
                <w:rFonts w:cs="Arial"/>
                <w:b/>
                <w:bCs/>
                <w:sz w:val="19"/>
                <w:szCs w:val="19"/>
              </w:rPr>
              <w:t>Forms of regulation and the movement between the alternative forms</w:t>
            </w:r>
          </w:p>
        </w:tc>
        <w:tc>
          <w:tcPr>
            <w:tcW w:w="1560" w:type="dxa"/>
            <w:tcBorders>
              <w:bottom w:val="single" w:sz="4" w:space="0" w:color="auto"/>
            </w:tcBorders>
          </w:tcPr>
          <w:p w14:paraId="378C0B2C" w14:textId="77777777" w:rsidR="00A10DAE" w:rsidRPr="00720B79" w:rsidRDefault="00A10DAE" w:rsidP="002F1B32">
            <w:pPr>
              <w:pStyle w:val="BodyText"/>
              <w:keepNext/>
              <w:spacing w:before="60" w:after="60"/>
              <w:rPr>
                <w:rFonts w:cs="Arial"/>
                <w:b/>
                <w:sz w:val="19"/>
                <w:szCs w:val="19"/>
              </w:rPr>
            </w:pPr>
            <w:r w:rsidRPr="00720B79">
              <w:rPr>
                <w:rFonts w:cs="Arial"/>
                <w:b/>
                <w:bCs/>
                <w:sz w:val="19"/>
                <w:szCs w:val="19"/>
              </w:rPr>
              <w:t>Forms of regulation</w:t>
            </w:r>
          </w:p>
        </w:tc>
        <w:tc>
          <w:tcPr>
            <w:tcW w:w="6306" w:type="dxa"/>
            <w:tcBorders>
              <w:bottom w:val="single" w:sz="4" w:space="0" w:color="auto"/>
            </w:tcBorders>
          </w:tcPr>
          <w:p w14:paraId="129579F8" w14:textId="77777777" w:rsidR="00A10DAE" w:rsidRPr="00720B79" w:rsidRDefault="00A10DAE" w:rsidP="002F1B32">
            <w:pPr>
              <w:pStyle w:val="BodyText"/>
              <w:keepNext/>
              <w:spacing w:before="60" w:after="60"/>
              <w:rPr>
                <w:rFonts w:asciiTheme="majorHAnsi" w:hAnsiTheme="majorHAnsi" w:cstheme="majorHAnsi"/>
                <w:sz w:val="19"/>
                <w:szCs w:val="19"/>
              </w:rPr>
            </w:pPr>
            <w:r w:rsidRPr="00720B79">
              <w:rPr>
                <w:rFonts w:asciiTheme="majorHAnsi" w:hAnsiTheme="majorHAnsi" w:cstheme="majorHAnsi"/>
                <w:sz w:val="19"/>
                <w:szCs w:val="19"/>
              </w:rPr>
              <w:t>Pipelines subject to one of two forms of regulation, with the:</w:t>
            </w:r>
          </w:p>
          <w:p w14:paraId="0B74D08D" w14:textId="77777777" w:rsidR="00A10DAE" w:rsidRPr="00720B79" w:rsidRDefault="00A10DAE" w:rsidP="002F1B32">
            <w:pPr>
              <w:pStyle w:val="TableBullet10"/>
              <w:keepNext/>
              <w:spacing w:line="247" w:lineRule="auto"/>
              <w:rPr>
                <w:rFonts w:asciiTheme="majorHAnsi" w:hAnsiTheme="majorHAnsi" w:cstheme="majorHAnsi"/>
                <w:sz w:val="19"/>
                <w:szCs w:val="19"/>
              </w:rPr>
            </w:pPr>
            <w:r w:rsidRPr="00720B79">
              <w:rPr>
                <w:rFonts w:asciiTheme="majorHAnsi" w:hAnsiTheme="majorHAnsi" w:cstheme="majorHAnsi"/>
                <w:sz w:val="19"/>
                <w:szCs w:val="19"/>
              </w:rPr>
              <w:t>Stronger form of regulation based on the existing full regulation (i.e. negotiate-arbitrate with reference tariffs approved by the regulator and a regulatory-oriented dispute resolution mechanism).</w:t>
            </w:r>
          </w:p>
          <w:p w14:paraId="1B716035" w14:textId="7FA42948" w:rsidR="00A10DAE" w:rsidRPr="00720B79" w:rsidRDefault="00A10DAE" w:rsidP="002F1B32">
            <w:pPr>
              <w:pStyle w:val="BodyText"/>
              <w:keepNext/>
              <w:numPr>
                <w:ilvl w:val="0"/>
                <w:numId w:val="55"/>
              </w:numPr>
              <w:spacing w:before="60" w:after="60" w:line="276" w:lineRule="auto"/>
              <w:ind w:left="312" w:hanging="227"/>
              <w:rPr>
                <w:sz w:val="19"/>
                <w:szCs w:val="19"/>
              </w:rPr>
            </w:pPr>
            <w:r w:rsidRPr="00720B79">
              <w:rPr>
                <w:rFonts w:asciiTheme="majorHAnsi" w:hAnsiTheme="majorHAnsi" w:cstheme="majorHAnsi"/>
                <w:sz w:val="19"/>
                <w:szCs w:val="19"/>
              </w:rPr>
              <w:t>Lighter form of regulation based on the existing Part 23 (i.e. a negotiate-arbitrate model with information disclosure and a commercially-oriented dispute resolution mechanism), which would be strengthened through the inclusion of the safeguards that currently apply to light regulation, but not the prohibition on inefficient price discrimination.</w:t>
            </w:r>
            <w:r w:rsidR="00370905">
              <w:rPr>
                <w:rFonts w:ascii="ZWAdobeF" w:hAnsi="ZWAdobeF" w:cs="ZWAdobeF"/>
                <w:sz w:val="2"/>
                <w:szCs w:val="2"/>
              </w:rPr>
              <w:t>19F</w:t>
            </w:r>
            <w:r w:rsidR="00143938" w:rsidRPr="00720B79">
              <w:rPr>
                <w:rStyle w:val="FootnoteReference"/>
                <w:rFonts w:asciiTheme="majorHAnsi" w:hAnsiTheme="majorHAnsi" w:cstheme="majorHAnsi"/>
                <w:sz w:val="19"/>
                <w:szCs w:val="19"/>
              </w:rPr>
              <w:footnoteReference w:id="21"/>
            </w:r>
          </w:p>
          <w:p w14:paraId="4440E070" w14:textId="77777777" w:rsidR="0088104A" w:rsidRPr="00720B79" w:rsidRDefault="00A10DAE" w:rsidP="002F1B32">
            <w:pPr>
              <w:pStyle w:val="BodyText"/>
              <w:keepNext/>
              <w:spacing w:before="60" w:after="60" w:line="276" w:lineRule="auto"/>
              <w:rPr>
                <w:sz w:val="19"/>
                <w:szCs w:val="19"/>
                <w:lang w:eastAsia="en-US"/>
              </w:rPr>
            </w:pPr>
            <w:r w:rsidRPr="00720B79">
              <w:rPr>
                <w:sz w:val="19"/>
                <w:szCs w:val="19"/>
                <w:lang w:eastAsia="en-US"/>
              </w:rPr>
              <w:t>For transitional purposes</w:t>
            </w:r>
            <w:r w:rsidR="0088104A" w:rsidRPr="00720B79">
              <w:rPr>
                <w:sz w:val="19"/>
                <w:szCs w:val="19"/>
                <w:lang w:eastAsia="en-US"/>
              </w:rPr>
              <w:t>:</w:t>
            </w:r>
            <w:r w:rsidRPr="00720B79">
              <w:rPr>
                <w:sz w:val="19"/>
                <w:szCs w:val="19"/>
                <w:lang w:eastAsia="en-US"/>
              </w:rPr>
              <w:t xml:space="preserve"> </w:t>
            </w:r>
          </w:p>
          <w:p w14:paraId="21C4F16F" w14:textId="21358F15" w:rsidR="00A10DAE" w:rsidRPr="00720B79" w:rsidRDefault="0088104A" w:rsidP="0088104A">
            <w:pPr>
              <w:pStyle w:val="TableBullet10"/>
              <w:rPr>
                <w:sz w:val="19"/>
                <w:szCs w:val="19"/>
                <w:lang w:eastAsia="en-US"/>
              </w:rPr>
            </w:pPr>
            <w:r w:rsidRPr="00720B79">
              <w:rPr>
                <w:sz w:val="19"/>
                <w:szCs w:val="19"/>
                <w:lang w:eastAsia="en-US"/>
              </w:rPr>
              <w:t>the pipelines currently subject to full regulation will become subject to the new stronger form of regulation</w:t>
            </w:r>
          </w:p>
          <w:p w14:paraId="427714D1" w14:textId="1EBEE402" w:rsidR="0088104A" w:rsidRPr="00720B79" w:rsidRDefault="0088104A" w:rsidP="0088104A">
            <w:pPr>
              <w:pStyle w:val="TableBullet10"/>
              <w:rPr>
                <w:sz w:val="19"/>
                <w:szCs w:val="19"/>
              </w:rPr>
            </w:pPr>
            <w:r w:rsidRPr="00720B79">
              <w:rPr>
                <w:sz w:val="19"/>
                <w:szCs w:val="19"/>
              </w:rPr>
              <w:t xml:space="preserve">the pipelines currently subject to Part 23 will become subject to the new lighter form of regulation </w:t>
            </w:r>
          </w:p>
          <w:p w14:paraId="67848075" w14:textId="2539111B" w:rsidR="0088104A" w:rsidRPr="00720B79" w:rsidRDefault="0088104A" w:rsidP="0088104A">
            <w:pPr>
              <w:pStyle w:val="TableBullet10"/>
              <w:rPr>
                <w:sz w:val="19"/>
                <w:szCs w:val="19"/>
                <w:lang w:eastAsia="en-US"/>
              </w:rPr>
            </w:pPr>
            <w:r w:rsidRPr="00720B79">
              <w:rPr>
                <w:sz w:val="19"/>
                <w:szCs w:val="19"/>
                <w:lang w:eastAsia="en-US"/>
              </w:rPr>
              <w:t>the 5.5 pipelines currently subject to light regulation would be transitioned to the new lighter form of regulation unless the service provider elects to be subject to the stronger form of regulation.</w:t>
            </w:r>
          </w:p>
        </w:tc>
      </w:tr>
      <w:tr w:rsidR="00A10DAE" w:rsidRPr="00720B79" w14:paraId="56CA2500" w14:textId="77777777" w:rsidTr="00720B79">
        <w:trPr>
          <w:cnfStyle w:val="000000010000" w:firstRow="0" w:lastRow="0" w:firstColumn="0" w:lastColumn="0" w:oddVBand="0" w:evenVBand="0" w:oddHBand="0" w:evenHBand="1" w:firstRowFirstColumn="0" w:firstRowLastColumn="0" w:lastRowFirstColumn="0" w:lastRowLastColumn="0"/>
          <w:trHeight w:val="813"/>
        </w:trPr>
        <w:tc>
          <w:tcPr>
            <w:tcW w:w="567" w:type="dxa"/>
            <w:vMerge/>
            <w:shd w:val="clear" w:color="auto" w:fill="F2F2F2" w:themeFill="background1" w:themeFillShade="F2"/>
          </w:tcPr>
          <w:p w14:paraId="13B63EEF" w14:textId="77777777" w:rsidR="00A10DAE" w:rsidRPr="00720B79" w:rsidRDefault="00A10DAE" w:rsidP="002F1B32">
            <w:pPr>
              <w:pStyle w:val="BodyText"/>
              <w:spacing w:before="60" w:after="60"/>
              <w:rPr>
                <w:rFonts w:cs="Arial"/>
                <w:b/>
                <w:bCs/>
                <w:sz w:val="19"/>
                <w:szCs w:val="19"/>
              </w:rPr>
            </w:pPr>
          </w:p>
        </w:tc>
        <w:tc>
          <w:tcPr>
            <w:tcW w:w="1560" w:type="dxa"/>
            <w:shd w:val="clear" w:color="auto" w:fill="F2F2F2" w:themeFill="background1" w:themeFillShade="F2"/>
          </w:tcPr>
          <w:p w14:paraId="51990FB2" w14:textId="77777777" w:rsidR="00A10DAE" w:rsidRPr="00720B79" w:rsidRDefault="00A10DAE" w:rsidP="002F1B32">
            <w:pPr>
              <w:pStyle w:val="BodyText"/>
              <w:spacing w:before="60" w:after="60"/>
              <w:rPr>
                <w:rFonts w:cs="Arial"/>
                <w:b/>
                <w:bCs/>
                <w:sz w:val="19"/>
                <w:szCs w:val="19"/>
              </w:rPr>
            </w:pPr>
            <w:r w:rsidRPr="00720B79">
              <w:rPr>
                <w:rFonts w:cs="Arial"/>
                <w:b/>
                <w:bCs/>
                <w:sz w:val="19"/>
                <w:szCs w:val="19"/>
              </w:rPr>
              <w:t>Dynamic market power measures</w:t>
            </w:r>
          </w:p>
        </w:tc>
        <w:tc>
          <w:tcPr>
            <w:tcW w:w="6306" w:type="dxa"/>
            <w:shd w:val="clear" w:color="auto" w:fill="F2F2F2" w:themeFill="background1" w:themeFillShade="F2"/>
          </w:tcPr>
          <w:p w14:paraId="77FBF454" w14:textId="77777777" w:rsidR="00A10DAE" w:rsidRPr="00720B79" w:rsidRDefault="00A10DAE" w:rsidP="002F1B32">
            <w:pPr>
              <w:pStyle w:val="BodyText"/>
              <w:spacing w:before="60" w:after="60"/>
              <w:rPr>
                <w:rFonts w:cstheme="minorHAnsi"/>
                <w:sz w:val="19"/>
                <w:szCs w:val="19"/>
              </w:rPr>
            </w:pPr>
            <w:r w:rsidRPr="00720B79">
              <w:rPr>
                <w:rFonts w:cstheme="minorHAnsi"/>
                <w:sz w:val="19"/>
                <w:szCs w:val="19"/>
              </w:rPr>
              <w:t xml:space="preserve">Service providers would be: </w:t>
            </w:r>
          </w:p>
          <w:p w14:paraId="17D94476" w14:textId="77777777" w:rsidR="00A10DAE" w:rsidRPr="00720B79" w:rsidRDefault="00A10DAE" w:rsidP="002F1B32">
            <w:pPr>
              <w:pStyle w:val="BodyText"/>
              <w:numPr>
                <w:ilvl w:val="0"/>
                <w:numId w:val="135"/>
              </w:numPr>
              <w:tabs>
                <w:tab w:val="clear" w:pos="2268"/>
                <w:tab w:val="clear" w:pos="4536"/>
                <w:tab w:val="clear" w:pos="6804"/>
                <w:tab w:val="clear" w:pos="9638"/>
              </w:tabs>
              <w:spacing w:before="60" w:after="60"/>
              <w:ind w:left="312" w:hanging="227"/>
              <w:rPr>
                <w:rFonts w:cstheme="minorHAnsi"/>
                <w:sz w:val="19"/>
                <w:szCs w:val="19"/>
              </w:rPr>
            </w:pPr>
            <w:r w:rsidRPr="00720B79">
              <w:rPr>
                <w:rFonts w:cstheme="minorHAnsi"/>
                <w:sz w:val="19"/>
                <w:szCs w:val="19"/>
              </w:rPr>
              <w:t>required to comply with pipeline interconnection principles set out in the NGR</w:t>
            </w:r>
          </w:p>
          <w:p w14:paraId="052425C8" w14:textId="57D09E20" w:rsidR="00A10DAE" w:rsidRPr="00720B79" w:rsidRDefault="00A10DAE" w:rsidP="002F1B32">
            <w:pPr>
              <w:pStyle w:val="BodyText"/>
              <w:numPr>
                <w:ilvl w:val="0"/>
                <w:numId w:val="75"/>
              </w:numPr>
              <w:spacing w:before="60" w:after="60" w:line="276" w:lineRule="auto"/>
              <w:ind w:left="312" w:hanging="227"/>
              <w:rPr>
                <w:sz w:val="19"/>
                <w:szCs w:val="19"/>
              </w:rPr>
            </w:pPr>
            <w:r w:rsidRPr="00720B79">
              <w:rPr>
                <w:rFonts w:cstheme="minorHAnsi"/>
                <w:sz w:val="19"/>
                <w:szCs w:val="19"/>
              </w:rPr>
              <w:t>prohibited from increasing the charges payable by existing shippers to cross-subsidise the development of new capacity (subject to limited exceptions specified in the NGR)</w:t>
            </w:r>
            <w:r w:rsidR="00370905">
              <w:rPr>
                <w:rFonts w:ascii="ZWAdobeF" w:hAnsi="ZWAdobeF" w:cs="ZWAdobeF"/>
                <w:sz w:val="2"/>
                <w:szCs w:val="2"/>
              </w:rPr>
              <w:t>20F</w:t>
            </w:r>
            <w:r w:rsidR="00DE22DB" w:rsidRPr="00720B79">
              <w:rPr>
                <w:rStyle w:val="FootnoteReference"/>
                <w:rFonts w:cstheme="minorHAnsi"/>
                <w:sz w:val="19"/>
                <w:szCs w:val="19"/>
              </w:rPr>
              <w:footnoteReference w:id="22"/>
            </w:r>
            <w:r w:rsidRPr="00720B79">
              <w:rPr>
                <w:rFonts w:cstheme="minorHAnsi"/>
                <w:sz w:val="19"/>
                <w:szCs w:val="19"/>
              </w:rPr>
              <w:t xml:space="preserve"> and would also be required to disclose more information on extension/expansion costs.</w:t>
            </w:r>
          </w:p>
        </w:tc>
      </w:tr>
      <w:tr w:rsidR="00A10DAE" w:rsidRPr="00720B79" w14:paraId="6A471B33" w14:textId="77777777" w:rsidTr="00720B79">
        <w:trPr>
          <w:trHeight w:val="1073"/>
        </w:trPr>
        <w:tc>
          <w:tcPr>
            <w:tcW w:w="567" w:type="dxa"/>
            <w:vMerge/>
            <w:shd w:val="clear" w:color="auto" w:fill="F2F2F2" w:themeFill="background1" w:themeFillShade="F2"/>
          </w:tcPr>
          <w:p w14:paraId="23FA4572" w14:textId="77777777" w:rsidR="00A10DAE" w:rsidRPr="00720B79" w:rsidRDefault="00A10DAE" w:rsidP="002F1B32">
            <w:pPr>
              <w:pStyle w:val="BodyText"/>
              <w:spacing w:before="60" w:after="60"/>
              <w:rPr>
                <w:rFonts w:cs="Arial"/>
                <w:b/>
                <w:bCs/>
                <w:sz w:val="19"/>
                <w:szCs w:val="19"/>
              </w:rPr>
            </w:pPr>
          </w:p>
        </w:tc>
        <w:tc>
          <w:tcPr>
            <w:tcW w:w="1560" w:type="dxa"/>
            <w:tcBorders>
              <w:bottom w:val="single" w:sz="4" w:space="0" w:color="auto"/>
            </w:tcBorders>
          </w:tcPr>
          <w:p w14:paraId="5346F517" w14:textId="77777777" w:rsidR="00A10DAE" w:rsidRPr="00720B79" w:rsidRDefault="00A10DAE" w:rsidP="002F1B32">
            <w:pPr>
              <w:pStyle w:val="BodyText"/>
              <w:spacing w:before="60" w:after="60"/>
              <w:rPr>
                <w:rFonts w:cs="Arial"/>
                <w:b/>
                <w:bCs/>
                <w:sz w:val="19"/>
                <w:szCs w:val="19"/>
              </w:rPr>
            </w:pPr>
            <w:r w:rsidRPr="00720B79">
              <w:rPr>
                <w:rFonts w:cs="Arial"/>
                <w:b/>
                <w:bCs/>
                <w:sz w:val="19"/>
                <w:szCs w:val="19"/>
              </w:rPr>
              <w:t>Monitoring and referral functions</w:t>
            </w:r>
          </w:p>
        </w:tc>
        <w:tc>
          <w:tcPr>
            <w:tcW w:w="6306" w:type="dxa"/>
            <w:tcBorders>
              <w:bottom w:val="single" w:sz="4" w:space="0" w:color="auto"/>
            </w:tcBorders>
          </w:tcPr>
          <w:p w14:paraId="6435428E" w14:textId="77777777" w:rsidR="00A10DAE" w:rsidRPr="00720B79" w:rsidRDefault="00A10DAE" w:rsidP="002F1B32">
            <w:pPr>
              <w:pStyle w:val="BodyText"/>
              <w:spacing w:before="60" w:after="60"/>
              <w:rPr>
                <w:rFonts w:cs="Arial"/>
                <w:sz w:val="19"/>
                <w:szCs w:val="19"/>
              </w:rPr>
            </w:pPr>
            <w:r w:rsidRPr="00720B79">
              <w:rPr>
                <w:rFonts w:cs="Arial"/>
                <w:sz w:val="19"/>
                <w:szCs w:val="19"/>
              </w:rPr>
              <w:t>The relevant regulator would be required to more actively monitor the behaviour of service providers and to refer pipelines for a form of regulation assessment if it suspects market power is being exercised.</w:t>
            </w:r>
          </w:p>
        </w:tc>
      </w:tr>
      <w:tr w:rsidR="00A10DAE" w:rsidRPr="00720B79" w14:paraId="48A80794" w14:textId="77777777" w:rsidTr="00720B79">
        <w:trPr>
          <w:cnfStyle w:val="000000010000" w:firstRow="0" w:lastRow="0" w:firstColumn="0" w:lastColumn="0" w:oddVBand="0" w:evenVBand="0" w:oddHBand="0" w:evenHBand="1" w:firstRowFirstColumn="0" w:firstRowLastColumn="0" w:lastRowFirstColumn="0" w:lastRowLastColumn="0"/>
          <w:trHeight w:val="70"/>
        </w:trPr>
        <w:tc>
          <w:tcPr>
            <w:tcW w:w="567" w:type="dxa"/>
            <w:vMerge/>
            <w:shd w:val="clear" w:color="auto" w:fill="F2F2F2" w:themeFill="background1" w:themeFillShade="F2"/>
          </w:tcPr>
          <w:p w14:paraId="44EB56A8" w14:textId="77777777" w:rsidR="00A10DAE" w:rsidRPr="00720B79" w:rsidRDefault="00A10DAE" w:rsidP="002F1B32">
            <w:pPr>
              <w:pStyle w:val="BodyText"/>
              <w:spacing w:before="60" w:after="60"/>
              <w:rPr>
                <w:rFonts w:cs="Arial"/>
                <w:b/>
                <w:sz w:val="19"/>
                <w:szCs w:val="19"/>
              </w:rPr>
            </w:pPr>
          </w:p>
        </w:tc>
        <w:tc>
          <w:tcPr>
            <w:tcW w:w="1560" w:type="dxa"/>
            <w:shd w:val="clear" w:color="auto" w:fill="F2F2F2" w:themeFill="background1" w:themeFillShade="F2"/>
          </w:tcPr>
          <w:p w14:paraId="136850C9" w14:textId="77777777" w:rsidR="00A10DAE" w:rsidRPr="00720B79" w:rsidRDefault="00A10DAE" w:rsidP="00720B79">
            <w:pPr>
              <w:pStyle w:val="BodyText"/>
              <w:keepNext/>
              <w:spacing w:before="60" w:after="60"/>
              <w:rPr>
                <w:rFonts w:cs="Arial"/>
                <w:b/>
                <w:sz w:val="19"/>
                <w:szCs w:val="19"/>
              </w:rPr>
            </w:pPr>
            <w:r w:rsidRPr="00720B79">
              <w:rPr>
                <w:rFonts w:cs="Arial"/>
                <w:b/>
                <w:bCs/>
                <w:sz w:val="19"/>
                <w:szCs w:val="19"/>
              </w:rPr>
              <w:t>Form of regulation test</w:t>
            </w:r>
          </w:p>
        </w:tc>
        <w:tc>
          <w:tcPr>
            <w:tcW w:w="6306" w:type="dxa"/>
            <w:shd w:val="clear" w:color="auto" w:fill="F2F2F2" w:themeFill="background1" w:themeFillShade="F2"/>
          </w:tcPr>
          <w:p w14:paraId="23EFFC1F" w14:textId="794F0BE9" w:rsidR="00A10DAE" w:rsidRPr="00720B79" w:rsidRDefault="00A10DAE" w:rsidP="00720B79">
            <w:pPr>
              <w:pStyle w:val="BodyText"/>
              <w:keepNext/>
              <w:spacing w:before="60" w:after="60"/>
              <w:rPr>
                <w:rFonts w:cs="Arial"/>
                <w:sz w:val="19"/>
                <w:szCs w:val="19"/>
              </w:rPr>
            </w:pPr>
            <w:r w:rsidRPr="00720B79">
              <w:rPr>
                <w:rFonts w:cstheme="minorHAnsi"/>
                <w:sz w:val="19"/>
                <w:szCs w:val="19"/>
              </w:rPr>
              <w:t>The coverage test would be removed and the existing form of regulation test would be used to determine whether a stronger or lighter form of regulation should apply (note the test and/or decision-maker’s information gathering powers would be modified to address the concerns raised about the information asymmetries faced by the decision-maker when deciding on the form of regulation and some other minor modifications to the test would also be made</w:t>
            </w:r>
            <w:r w:rsidR="00370905">
              <w:rPr>
                <w:rFonts w:ascii="ZWAdobeF" w:hAnsi="ZWAdobeF" w:cs="ZWAdobeF"/>
                <w:sz w:val="2"/>
                <w:szCs w:val="2"/>
              </w:rPr>
              <w:t>21F</w:t>
            </w:r>
            <w:r w:rsidRPr="00720B79">
              <w:rPr>
                <w:rStyle w:val="FootnoteReference"/>
                <w:rFonts w:cstheme="minorHAnsi"/>
                <w:sz w:val="19"/>
                <w:szCs w:val="19"/>
              </w:rPr>
              <w:footnoteReference w:id="23"/>
            </w:r>
            <w:r w:rsidRPr="00720B79">
              <w:rPr>
                <w:rFonts w:cstheme="minorHAnsi"/>
                <w:sz w:val="19"/>
                <w:szCs w:val="19"/>
              </w:rPr>
              <w:t xml:space="preserve"> – changes to the test will be consulted on as part of the consultation on the legal package).</w:t>
            </w:r>
          </w:p>
        </w:tc>
      </w:tr>
      <w:tr w:rsidR="00A10DAE" w:rsidRPr="00720B79" w14:paraId="4D8D09BA" w14:textId="77777777" w:rsidTr="00720B79">
        <w:trPr>
          <w:trHeight w:val="258"/>
        </w:trPr>
        <w:tc>
          <w:tcPr>
            <w:tcW w:w="2127" w:type="dxa"/>
            <w:gridSpan w:val="2"/>
          </w:tcPr>
          <w:p w14:paraId="71379C31" w14:textId="77777777" w:rsidR="00A10DAE" w:rsidRPr="00720B79" w:rsidRDefault="00A10DAE" w:rsidP="002F1B32">
            <w:pPr>
              <w:pStyle w:val="BodyText"/>
              <w:spacing w:before="60" w:after="60"/>
              <w:rPr>
                <w:rFonts w:cs="Arial"/>
                <w:b/>
                <w:sz w:val="19"/>
                <w:szCs w:val="19"/>
              </w:rPr>
            </w:pPr>
            <w:r w:rsidRPr="00720B79">
              <w:rPr>
                <w:rFonts w:cs="Arial"/>
                <w:b/>
                <w:sz w:val="19"/>
                <w:szCs w:val="19"/>
              </w:rPr>
              <w:t>Governance for when and how to regulate decisions</w:t>
            </w:r>
          </w:p>
        </w:tc>
        <w:tc>
          <w:tcPr>
            <w:tcW w:w="6306" w:type="dxa"/>
            <w:tcBorders>
              <w:bottom w:val="single" w:sz="4" w:space="0" w:color="auto"/>
            </w:tcBorders>
          </w:tcPr>
          <w:p w14:paraId="7D70056C" w14:textId="77777777" w:rsidR="00A10DAE" w:rsidRPr="00720B79" w:rsidRDefault="00A10DAE" w:rsidP="002F1B32">
            <w:pPr>
              <w:pStyle w:val="BodyText"/>
              <w:spacing w:before="60" w:after="60"/>
              <w:rPr>
                <w:rFonts w:cs="Arial"/>
                <w:sz w:val="19"/>
                <w:szCs w:val="19"/>
              </w:rPr>
            </w:pPr>
            <w:r w:rsidRPr="00720B79">
              <w:rPr>
                <w:rFonts w:cs="Arial"/>
                <w:sz w:val="19"/>
                <w:szCs w:val="19"/>
              </w:rPr>
              <w:t xml:space="preserve">The relevant regulator (AER/ERA) would be responsible for deciding whether to grant a </w:t>
            </w:r>
            <w:r w:rsidRPr="00720B79">
              <w:rPr>
                <w:sz w:val="19"/>
                <w:szCs w:val="19"/>
              </w:rPr>
              <w:t>greenfield exemption and for making form of regulation decisions.</w:t>
            </w:r>
          </w:p>
        </w:tc>
      </w:tr>
      <w:tr w:rsidR="00A10DAE" w:rsidRPr="00720B79" w14:paraId="7B1586B6" w14:textId="77777777" w:rsidTr="00720B79">
        <w:trPr>
          <w:cnfStyle w:val="000000010000" w:firstRow="0" w:lastRow="0" w:firstColumn="0" w:lastColumn="0" w:oddVBand="0" w:evenVBand="0" w:oddHBand="0" w:evenHBand="1" w:firstRowFirstColumn="0" w:firstRowLastColumn="0" w:lastRowFirstColumn="0" w:lastRowLastColumn="0"/>
          <w:trHeight w:val="1218"/>
        </w:trPr>
        <w:tc>
          <w:tcPr>
            <w:tcW w:w="567" w:type="dxa"/>
            <w:vMerge w:val="restart"/>
            <w:shd w:val="clear" w:color="auto" w:fill="F2F2F2" w:themeFill="background1" w:themeFillShade="F2"/>
            <w:textDirection w:val="btLr"/>
          </w:tcPr>
          <w:p w14:paraId="36BB0A66" w14:textId="77777777" w:rsidR="00A10DAE" w:rsidRPr="00720B79" w:rsidRDefault="00A10DAE" w:rsidP="002F1B32">
            <w:pPr>
              <w:pStyle w:val="BodyText"/>
              <w:keepNext/>
              <w:spacing w:before="60" w:after="60"/>
              <w:jc w:val="center"/>
              <w:rPr>
                <w:rFonts w:cs="Arial"/>
                <w:b/>
                <w:sz w:val="19"/>
                <w:szCs w:val="19"/>
              </w:rPr>
            </w:pPr>
            <w:r w:rsidRPr="00720B79">
              <w:rPr>
                <w:rFonts w:cs="Arial"/>
                <w:b/>
                <w:sz w:val="19"/>
                <w:szCs w:val="19"/>
              </w:rPr>
              <w:t>Information disclosure requirements</w:t>
            </w:r>
          </w:p>
        </w:tc>
        <w:tc>
          <w:tcPr>
            <w:tcW w:w="1560" w:type="dxa"/>
            <w:shd w:val="clear" w:color="auto" w:fill="F2F2F2" w:themeFill="background1" w:themeFillShade="F2"/>
          </w:tcPr>
          <w:p w14:paraId="408ABF20" w14:textId="77777777" w:rsidR="00A10DAE" w:rsidRPr="00720B79" w:rsidRDefault="00A10DAE" w:rsidP="002F1B32">
            <w:pPr>
              <w:pStyle w:val="BodyText"/>
              <w:keepNext/>
              <w:spacing w:before="60" w:after="60"/>
              <w:rPr>
                <w:rFonts w:cs="Arial"/>
                <w:b/>
                <w:sz w:val="19"/>
                <w:szCs w:val="19"/>
              </w:rPr>
            </w:pPr>
            <w:r w:rsidRPr="00720B79">
              <w:rPr>
                <w:rFonts w:cs="Arial"/>
                <w:b/>
                <w:sz w:val="19"/>
                <w:szCs w:val="19"/>
              </w:rPr>
              <w:t xml:space="preserve">Information to be disclosed by </w:t>
            </w:r>
            <w:r w:rsidRPr="00720B79">
              <w:rPr>
                <w:rFonts w:cs="Arial"/>
                <w:b/>
                <w:sz w:val="19"/>
                <w:szCs w:val="19"/>
                <w:u w:val="single"/>
              </w:rPr>
              <w:t>non-exempt</w:t>
            </w:r>
            <w:r w:rsidRPr="00720B79">
              <w:rPr>
                <w:rFonts w:cs="Arial"/>
                <w:b/>
                <w:sz w:val="19"/>
                <w:szCs w:val="19"/>
              </w:rPr>
              <w:t xml:space="preserve"> service providers</w:t>
            </w:r>
          </w:p>
        </w:tc>
        <w:tc>
          <w:tcPr>
            <w:tcW w:w="6306" w:type="dxa"/>
            <w:shd w:val="clear" w:color="auto" w:fill="F2F2F2" w:themeFill="background1" w:themeFillShade="F2"/>
          </w:tcPr>
          <w:p w14:paraId="25D300D3" w14:textId="77777777" w:rsidR="00A10DAE" w:rsidRPr="00720B79" w:rsidRDefault="00A10DAE" w:rsidP="002F1B32">
            <w:pPr>
              <w:pStyle w:val="BodyText"/>
              <w:keepNext/>
              <w:spacing w:before="60" w:after="60" w:line="247" w:lineRule="auto"/>
              <w:rPr>
                <w:rFonts w:cs="Arial"/>
                <w:sz w:val="19"/>
                <w:szCs w:val="19"/>
              </w:rPr>
            </w:pPr>
            <w:r w:rsidRPr="00720B79">
              <w:rPr>
                <w:rFonts w:cs="Arial"/>
                <w:sz w:val="19"/>
                <w:szCs w:val="19"/>
              </w:rPr>
              <w:t xml:space="preserve">All non-exempt service providers would be required to publish: </w:t>
            </w:r>
          </w:p>
          <w:p w14:paraId="2AD35C18" w14:textId="77777777" w:rsidR="00A10DAE" w:rsidRPr="00720B79" w:rsidRDefault="00A10DAE" w:rsidP="002F1B32">
            <w:pPr>
              <w:pStyle w:val="BodyText"/>
              <w:keepNext/>
              <w:numPr>
                <w:ilvl w:val="0"/>
                <w:numId w:val="69"/>
              </w:numPr>
              <w:spacing w:before="60" w:after="60" w:line="247" w:lineRule="auto"/>
              <w:ind w:left="312" w:hanging="227"/>
              <w:rPr>
                <w:rFonts w:cs="Arial"/>
                <w:sz w:val="19"/>
                <w:szCs w:val="19"/>
              </w:rPr>
            </w:pPr>
            <w:r w:rsidRPr="00720B79">
              <w:rPr>
                <w:rFonts w:cs="Arial"/>
                <w:sz w:val="19"/>
                <w:szCs w:val="19"/>
              </w:rPr>
              <w:t xml:space="preserve">The Basic Information set out in Box 8.1. </w:t>
            </w:r>
          </w:p>
          <w:p w14:paraId="0980DC77" w14:textId="77777777" w:rsidR="00A10DAE" w:rsidRPr="00720B79" w:rsidRDefault="00A10DAE" w:rsidP="002F1B32">
            <w:pPr>
              <w:pStyle w:val="BodyText"/>
              <w:keepNext/>
              <w:numPr>
                <w:ilvl w:val="0"/>
                <w:numId w:val="69"/>
              </w:numPr>
              <w:spacing w:before="60" w:after="60" w:line="247" w:lineRule="auto"/>
              <w:ind w:left="312" w:hanging="227"/>
              <w:rPr>
                <w:rFonts w:cs="Arial"/>
                <w:sz w:val="19"/>
                <w:szCs w:val="19"/>
              </w:rPr>
            </w:pPr>
            <w:r w:rsidRPr="00720B79">
              <w:rPr>
                <w:rFonts w:cs="Arial"/>
                <w:sz w:val="19"/>
                <w:szCs w:val="19"/>
              </w:rPr>
              <w:t xml:space="preserve">Historical financial and demand information. </w:t>
            </w:r>
          </w:p>
          <w:p w14:paraId="2F96693E" w14:textId="77777777" w:rsidR="00A10DAE" w:rsidRPr="00720B79" w:rsidRDefault="00A10DAE" w:rsidP="002F1B32">
            <w:pPr>
              <w:pStyle w:val="BodyText"/>
              <w:keepNext/>
              <w:spacing w:before="60" w:after="60"/>
              <w:rPr>
                <w:rFonts w:cs="Arial"/>
                <w:sz w:val="19"/>
                <w:szCs w:val="19"/>
              </w:rPr>
            </w:pPr>
            <w:r w:rsidRPr="00720B79">
              <w:rPr>
                <w:rFonts w:asciiTheme="majorHAnsi" w:hAnsiTheme="majorHAnsi" w:cstheme="majorHAnsi"/>
                <w:sz w:val="19"/>
                <w:szCs w:val="19"/>
              </w:rPr>
              <w:t>Information on the prices paid by other shippers would be based on the individual prices (including key terms and conditions) paid by shippers (except in SA which proposes to derogate from this aspect of the reforms).</w:t>
            </w:r>
          </w:p>
          <w:p w14:paraId="38504937" w14:textId="77777777" w:rsidR="00A10DAE" w:rsidRPr="00720B79" w:rsidRDefault="00A10DAE" w:rsidP="002F1B32">
            <w:pPr>
              <w:pStyle w:val="BodyText"/>
              <w:keepNext/>
              <w:spacing w:before="60" w:after="60"/>
              <w:rPr>
                <w:rFonts w:cs="Arial"/>
                <w:sz w:val="19"/>
                <w:szCs w:val="19"/>
              </w:rPr>
            </w:pPr>
            <w:r w:rsidRPr="00720B79">
              <w:rPr>
                <w:rFonts w:cs="Arial"/>
                <w:sz w:val="19"/>
                <w:szCs w:val="19"/>
              </w:rPr>
              <w:t>The disclosure requirements would also be amended in the manner set out in Box 8.1 to address the identified information deficiencies and improve the quality and reliability, accessibility and usability of the information.</w:t>
            </w:r>
          </w:p>
        </w:tc>
      </w:tr>
      <w:tr w:rsidR="00A10DAE" w:rsidRPr="00720B79" w14:paraId="674FE184" w14:textId="77777777" w:rsidTr="00720B79">
        <w:trPr>
          <w:trHeight w:val="979"/>
        </w:trPr>
        <w:tc>
          <w:tcPr>
            <w:tcW w:w="567" w:type="dxa"/>
            <w:vMerge/>
            <w:shd w:val="clear" w:color="auto" w:fill="F2F2F2" w:themeFill="background1" w:themeFillShade="F2"/>
          </w:tcPr>
          <w:p w14:paraId="03DDFC1E" w14:textId="77777777" w:rsidR="00A10DAE" w:rsidRPr="00720B79" w:rsidRDefault="00A10DAE" w:rsidP="002F1B32">
            <w:pPr>
              <w:pStyle w:val="BodyText"/>
              <w:spacing w:before="60" w:after="60"/>
              <w:rPr>
                <w:rFonts w:cs="Arial"/>
                <w:b/>
                <w:sz w:val="19"/>
                <w:szCs w:val="19"/>
              </w:rPr>
            </w:pPr>
          </w:p>
        </w:tc>
        <w:tc>
          <w:tcPr>
            <w:tcW w:w="1560" w:type="dxa"/>
            <w:shd w:val="clear" w:color="auto" w:fill="FFFFFF" w:themeFill="background1"/>
          </w:tcPr>
          <w:p w14:paraId="761DB215" w14:textId="77777777" w:rsidR="00A10DAE" w:rsidRPr="00720B79" w:rsidRDefault="00A10DAE" w:rsidP="002F1B32">
            <w:pPr>
              <w:pStyle w:val="BodyText"/>
              <w:keepNext/>
              <w:spacing w:before="60" w:after="60"/>
              <w:rPr>
                <w:rFonts w:cs="Arial"/>
                <w:b/>
                <w:sz w:val="19"/>
                <w:szCs w:val="19"/>
              </w:rPr>
            </w:pPr>
            <w:r w:rsidRPr="00720B79">
              <w:rPr>
                <w:rFonts w:cs="Arial"/>
                <w:b/>
                <w:sz w:val="19"/>
                <w:szCs w:val="19"/>
              </w:rPr>
              <w:t xml:space="preserve">Exemptions from disclosure requirements </w:t>
            </w:r>
          </w:p>
        </w:tc>
        <w:tc>
          <w:tcPr>
            <w:tcW w:w="6306" w:type="dxa"/>
            <w:shd w:val="clear" w:color="auto" w:fill="FFFFFF" w:themeFill="background1"/>
          </w:tcPr>
          <w:p w14:paraId="6C45CFC1" w14:textId="77777777" w:rsidR="00A10DAE" w:rsidRPr="00720B79" w:rsidRDefault="00A10DAE" w:rsidP="002F1B32">
            <w:pPr>
              <w:pStyle w:val="TableBullet10"/>
              <w:numPr>
                <w:ilvl w:val="0"/>
                <w:numId w:val="0"/>
              </w:numPr>
              <w:ind w:left="85"/>
              <w:rPr>
                <w:sz w:val="19"/>
                <w:szCs w:val="19"/>
              </w:rPr>
            </w:pPr>
            <w:r w:rsidRPr="00720B79">
              <w:rPr>
                <w:sz w:val="19"/>
                <w:szCs w:val="19"/>
              </w:rPr>
              <w:t>The following exemptions from the information disclosure obligations would be available:</w:t>
            </w:r>
          </w:p>
          <w:p w14:paraId="4D401054" w14:textId="77777777" w:rsidR="00A10DAE" w:rsidRPr="00720B79" w:rsidRDefault="00A10DAE" w:rsidP="002F1B32">
            <w:pPr>
              <w:pStyle w:val="TableBullet10"/>
              <w:rPr>
                <w:sz w:val="19"/>
                <w:szCs w:val="19"/>
              </w:rPr>
            </w:pPr>
            <w:r w:rsidRPr="00720B79">
              <w:rPr>
                <w:sz w:val="19"/>
                <w:szCs w:val="19"/>
              </w:rPr>
              <w:t xml:space="preserve">Pipelines that are not providing third party access would be able to obtain an exemption from publishing the Basic Information and the historical financial and demand information. </w:t>
            </w:r>
          </w:p>
          <w:p w14:paraId="2DBF520A" w14:textId="77777777" w:rsidR="00A10DAE" w:rsidRPr="00720B79" w:rsidRDefault="00A10DAE" w:rsidP="002F1B32">
            <w:pPr>
              <w:pStyle w:val="TableBullet10"/>
              <w:rPr>
                <w:sz w:val="19"/>
                <w:szCs w:val="19"/>
              </w:rPr>
            </w:pPr>
            <w:r w:rsidRPr="00720B79">
              <w:rPr>
                <w:sz w:val="19"/>
                <w:szCs w:val="19"/>
              </w:rPr>
              <w:t xml:space="preserve">Pipelines that are providing third party access, but have a single user or have a nameplate capacity less than 10 TJ/day would be able to obtain an exemption from the obligation to publish historical financial and service usage information. </w:t>
            </w:r>
          </w:p>
          <w:p w14:paraId="1FBB1636" w14:textId="77777777" w:rsidR="00A10DAE" w:rsidRPr="00720B79" w:rsidRDefault="00A10DAE" w:rsidP="002F1B32">
            <w:pPr>
              <w:pStyle w:val="BodyText"/>
              <w:spacing w:before="60" w:after="60"/>
              <w:rPr>
                <w:rFonts w:cs="Arial"/>
                <w:sz w:val="19"/>
                <w:szCs w:val="19"/>
              </w:rPr>
            </w:pPr>
            <w:r w:rsidRPr="00720B79">
              <w:rPr>
                <w:sz w:val="19"/>
                <w:szCs w:val="19"/>
              </w:rPr>
              <w:t>If a pipeline no longer satisfies the exemption criteria, the exemption would be revoked.</w:t>
            </w:r>
          </w:p>
        </w:tc>
      </w:tr>
      <w:tr w:rsidR="00A10DAE" w:rsidRPr="00720B79" w14:paraId="72354574" w14:textId="77777777" w:rsidTr="00720B79">
        <w:trPr>
          <w:cnfStyle w:val="000000010000" w:firstRow="0" w:lastRow="0" w:firstColumn="0" w:lastColumn="0" w:oddVBand="0" w:evenVBand="0" w:oddHBand="0" w:evenHBand="1" w:firstRowFirstColumn="0" w:firstRowLastColumn="0" w:lastRowFirstColumn="0" w:lastRowLastColumn="0"/>
          <w:trHeight w:val="213"/>
        </w:trPr>
        <w:tc>
          <w:tcPr>
            <w:tcW w:w="567" w:type="dxa"/>
            <w:vMerge w:val="restart"/>
            <w:shd w:val="clear" w:color="auto" w:fill="FFFFFF" w:themeFill="background1"/>
            <w:textDirection w:val="btLr"/>
          </w:tcPr>
          <w:p w14:paraId="7E8B853A" w14:textId="77777777" w:rsidR="00A10DAE" w:rsidRPr="00720B79" w:rsidRDefault="00A10DAE" w:rsidP="002F1B32">
            <w:pPr>
              <w:pStyle w:val="BodyText"/>
              <w:spacing w:before="60" w:after="60"/>
              <w:jc w:val="center"/>
              <w:rPr>
                <w:rFonts w:cs="Arial"/>
                <w:b/>
                <w:sz w:val="19"/>
                <w:szCs w:val="19"/>
              </w:rPr>
            </w:pPr>
            <w:r w:rsidRPr="00720B79">
              <w:rPr>
                <w:rFonts w:cs="Arial"/>
                <w:b/>
                <w:sz w:val="19"/>
                <w:szCs w:val="19"/>
              </w:rPr>
              <w:t>Negotiation frameworks and dispute resolution mechanism*</w:t>
            </w:r>
          </w:p>
        </w:tc>
        <w:tc>
          <w:tcPr>
            <w:tcW w:w="1560" w:type="dxa"/>
            <w:shd w:val="clear" w:color="auto" w:fill="F2F2F2" w:themeFill="background1" w:themeFillShade="F2"/>
          </w:tcPr>
          <w:p w14:paraId="49830113" w14:textId="77777777" w:rsidR="00A10DAE" w:rsidRPr="00720B79" w:rsidRDefault="00A10DAE" w:rsidP="002F1B32">
            <w:pPr>
              <w:pStyle w:val="BodyText"/>
              <w:spacing w:before="60" w:after="60"/>
              <w:rPr>
                <w:rFonts w:cs="Arial"/>
                <w:b/>
                <w:bCs/>
                <w:sz w:val="19"/>
                <w:szCs w:val="19"/>
              </w:rPr>
            </w:pPr>
            <w:r w:rsidRPr="00720B79">
              <w:rPr>
                <w:rFonts w:cs="Arial"/>
                <w:b/>
                <w:sz w:val="19"/>
                <w:szCs w:val="19"/>
              </w:rPr>
              <w:t>Negotiation framework</w:t>
            </w:r>
          </w:p>
        </w:tc>
        <w:tc>
          <w:tcPr>
            <w:tcW w:w="6306" w:type="dxa"/>
            <w:shd w:val="clear" w:color="auto" w:fill="F2F2F2" w:themeFill="background1" w:themeFillShade="F2"/>
          </w:tcPr>
          <w:p w14:paraId="41CD0B3F" w14:textId="77777777" w:rsidR="00A10DAE" w:rsidRPr="00720B79" w:rsidRDefault="00A10DAE" w:rsidP="002F1B32">
            <w:pPr>
              <w:pStyle w:val="BodyText"/>
              <w:spacing w:before="60" w:after="60"/>
              <w:rPr>
                <w:rFonts w:cs="Arial"/>
                <w:sz w:val="19"/>
                <w:szCs w:val="19"/>
              </w:rPr>
            </w:pPr>
            <w:r w:rsidRPr="00720B79">
              <w:rPr>
                <w:rFonts w:cs="Arial"/>
                <w:sz w:val="19"/>
                <w:szCs w:val="19"/>
              </w:rPr>
              <w:t xml:space="preserve">A single negotiation framework would apply under both forms of regulation (see Box 8.2). </w:t>
            </w:r>
          </w:p>
        </w:tc>
      </w:tr>
      <w:tr w:rsidR="00A10DAE" w:rsidRPr="00720B79" w14:paraId="4D270B12" w14:textId="77777777" w:rsidTr="00720B79">
        <w:trPr>
          <w:trHeight w:val="537"/>
        </w:trPr>
        <w:tc>
          <w:tcPr>
            <w:tcW w:w="567" w:type="dxa"/>
            <w:vMerge/>
            <w:shd w:val="clear" w:color="auto" w:fill="FFFFFF" w:themeFill="background1"/>
          </w:tcPr>
          <w:p w14:paraId="00B65D9E" w14:textId="77777777" w:rsidR="00A10DAE" w:rsidRPr="00720B79" w:rsidRDefault="00A10DAE" w:rsidP="002F1B32">
            <w:pPr>
              <w:pStyle w:val="BodyText"/>
              <w:spacing w:before="60" w:after="60"/>
              <w:rPr>
                <w:rFonts w:cs="Arial"/>
                <w:b/>
                <w:sz w:val="19"/>
                <w:szCs w:val="19"/>
              </w:rPr>
            </w:pPr>
          </w:p>
        </w:tc>
        <w:tc>
          <w:tcPr>
            <w:tcW w:w="1560" w:type="dxa"/>
            <w:tcBorders>
              <w:bottom w:val="single" w:sz="4" w:space="0" w:color="auto"/>
            </w:tcBorders>
          </w:tcPr>
          <w:p w14:paraId="6F322E38" w14:textId="77777777" w:rsidR="00A10DAE" w:rsidRPr="00720B79" w:rsidRDefault="00A10DAE" w:rsidP="002F1B32">
            <w:pPr>
              <w:pStyle w:val="BodyText"/>
              <w:spacing w:before="60" w:after="60"/>
              <w:rPr>
                <w:rFonts w:cs="Arial"/>
                <w:b/>
                <w:sz w:val="19"/>
                <w:szCs w:val="19"/>
              </w:rPr>
            </w:pPr>
            <w:r w:rsidRPr="00720B79">
              <w:rPr>
                <w:rFonts w:cs="Arial"/>
                <w:b/>
                <w:sz w:val="19"/>
                <w:szCs w:val="19"/>
              </w:rPr>
              <w:t>Threat of dispute for small shippers</w:t>
            </w:r>
          </w:p>
        </w:tc>
        <w:tc>
          <w:tcPr>
            <w:tcW w:w="6306" w:type="dxa"/>
            <w:tcBorders>
              <w:bottom w:val="single" w:sz="4" w:space="0" w:color="auto"/>
            </w:tcBorders>
          </w:tcPr>
          <w:p w14:paraId="7324008B" w14:textId="77777777" w:rsidR="00A10DAE" w:rsidRPr="00720B79" w:rsidRDefault="00A10DAE" w:rsidP="00720B79">
            <w:pPr>
              <w:pStyle w:val="BodyText"/>
              <w:spacing w:before="20" w:after="20" w:line="247" w:lineRule="auto"/>
              <w:rPr>
                <w:rFonts w:cs="Arial"/>
                <w:sz w:val="19"/>
                <w:szCs w:val="19"/>
              </w:rPr>
            </w:pPr>
            <w:r w:rsidRPr="00720B79">
              <w:rPr>
                <w:rFonts w:cs="Arial"/>
                <w:sz w:val="19"/>
                <w:szCs w:val="19"/>
              </w:rPr>
              <w:t>The credibility of the threat of smaller shippers triggering a dispute would be strengthened by:</w:t>
            </w:r>
          </w:p>
          <w:p w14:paraId="4735D6F2" w14:textId="77777777" w:rsidR="00A10DAE" w:rsidRPr="00720B79" w:rsidRDefault="00A10DAE" w:rsidP="00720B79">
            <w:pPr>
              <w:pStyle w:val="BodyText"/>
              <w:numPr>
                <w:ilvl w:val="0"/>
                <w:numId w:val="58"/>
              </w:numPr>
              <w:spacing w:before="20" w:after="20" w:line="247" w:lineRule="auto"/>
              <w:ind w:left="312" w:hanging="227"/>
              <w:rPr>
                <w:rFonts w:cs="Arial"/>
                <w:sz w:val="19"/>
                <w:szCs w:val="19"/>
              </w:rPr>
            </w:pPr>
            <w:r w:rsidRPr="00720B79">
              <w:rPr>
                <w:rFonts w:cs="Arial"/>
                <w:sz w:val="19"/>
                <w:szCs w:val="19"/>
              </w:rPr>
              <w:t>changing the dispute related cost provisions</w:t>
            </w:r>
          </w:p>
          <w:p w14:paraId="7783E4E4" w14:textId="77777777" w:rsidR="00A10DAE" w:rsidRPr="00720B79" w:rsidRDefault="00A10DAE" w:rsidP="00720B79">
            <w:pPr>
              <w:pStyle w:val="BodyText"/>
              <w:numPr>
                <w:ilvl w:val="0"/>
                <w:numId w:val="58"/>
              </w:numPr>
              <w:spacing w:before="20" w:after="20" w:line="247" w:lineRule="auto"/>
              <w:ind w:left="312" w:hanging="227"/>
              <w:rPr>
                <w:rFonts w:cs="Arial"/>
                <w:sz w:val="19"/>
                <w:szCs w:val="19"/>
              </w:rPr>
            </w:pPr>
            <w:r w:rsidRPr="00720B79">
              <w:rPr>
                <w:rFonts w:cs="Arial"/>
                <w:sz w:val="19"/>
                <w:szCs w:val="19"/>
              </w:rPr>
              <w:t>allowing user bodies to be joined to proceedings involving smaller shippers</w:t>
            </w:r>
          </w:p>
          <w:p w14:paraId="19F0FD03" w14:textId="77777777" w:rsidR="00A10DAE" w:rsidRPr="00720B79" w:rsidRDefault="00A10DAE" w:rsidP="00720B79">
            <w:pPr>
              <w:pStyle w:val="BodyText"/>
              <w:numPr>
                <w:ilvl w:val="0"/>
                <w:numId w:val="58"/>
              </w:numPr>
              <w:spacing w:before="20" w:after="20"/>
              <w:ind w:left="312" w:hanging="227"/>
              <w:rPr>
                <w:sz w:val="19"/>
                <w:szCs w:val="19"/>
              </w:rPr>
            </w:pPr>
            <w:r w:rsidRPr="00720B79">
              <w:rPr>
                <w:rFonts w:cs="Arial"/>
                <w:sz w:val="19"/>
                <w:szCs w:val="19"/>
              </w:rPr>
              <w:t>allowing smaller shippers to elect to have a dispute involving a pipeline subject to the lighter form of regulation mediated by a regulator appointed party (who will be required to report back to the regulator to help inform the monitoring process).</w:t>
            </w:r>
          </w:p>
        </w:tc>
      </w:tr>
      <w:tr w:rsidR="00A10DAE" w:rsidRPr="00720B79" w14:paraId="55D095BF" w14:textId="77777777" w:rsidTr="00720B79">
        <w:trPr>
          <w:cnfStyle w:val="000000010000" w:firstRow="0" w:lastRow="0" w:firstColumn="0" w:lastColumn="0" w:oddVBand="0" w:evenVBand="0" w:oddHBand="0" w:evenHBand="1" w:firstRowFirstColumn="0" w:firstRowLastColumn="0" w:lastRowFirstColumn="0" w:lastRowLastColumn="0"/>
          <w:trHeight w:val="263"/>
        </w:trPr>
        <w:tc>
          <w:tcPr>
            <w:tcW w:w="567" w:type="dxa"/>
            <w:vMerge/>
            <w:shd w:val="clear" w:color="auto" w:fill="FFFFFF" w:themeFill="background1"/>
          </w:tcPr>
          <w:p w14:paraId="6DE0871B" w14:textId="77777777" w:rsidR="00A10DAE" w:rsidRPr="00720B79" w:rsidRDefault="00A10DAE" w:rsidP="002F1B32">
            <w:pPr>
              <w:pStyle w:val="BodyText"/>
              <w:spacing w:before="60" w:after="60"/>
              <w:rPr>
                <w:rFonts w:cs="Arial"/>
                <w:b/>
                <w:sz w:val="19"/>
                <w:szCs w:val="19"/>
              </w:rPr>
            </w:pPr>
          </w:p>
        </w:tc>
        <w:tc>
          <w:tcPr>
            <w:tcW w:w="1560" w:type="dxa"/>
            <w:shd w:val="clear" w:color="auto" w:fill="F2F2F2" w:themeFill="background1" w:themeFillShade="F2"/>
          </w:tcPr>
          <w:p w14:paraId="59AC0148" w14:textId="77777777" w:rsidR="00A10DAE" w:rsidRPr="00720B79" w:rsidRDefault="00A10DAE" w:rsidP="002F1B32">
            <w:pPr>
              <w:pStyle w:val="BodyText"/>
              <w:spacing w:before="60" w:after="60"/>
              <w:rPr>
                <w:rFonts w:cs="Arial"/>
                <w:b/>
                <w:sz w:val="19"/>
                <w:szCs w:val="19"/>
              </w:rPr>
            </w:pPr>
            <w:r w:rsidRPr="00720B79">
              <w:rPr>
                <w:rFonts w:cs="Arial"/>
                <w:b/>
                <w:sz w:val="19"/>
                <w:szCs w:val="19"/>
              </w:rPr>
              <w:t xml:space="preserve">Dispute resolution mechanisms </w:t>
            </w:r>
          </w:p>
        </w:tc>
        <w:tc>
          <w:tcPr>
            <w:tcW w:w="6306" w:type="dxa"/>
            <w:shd w:val="clear" w:color="auto" w:fill="F2F2F2" w:themeFill="background1" w:themeFillShade="F2"/>
          </w:tcPr>
          <w:p w14:paraId="36BA0558" w14:textId="77777777" w:rsidR="00A10DAE" w:rsidRPr="00720B79" w:rsidRDefault="00A10DAE" w:rsidP="002F1B32">
            <w:pPr>
              <w:pStyle w:val="BodyText"/>
              <w:spacing w:before="60" w:after="60"/>
              <w:rPr>
                <w:rFonts w:cs="Arial"/>
                <w:sz w:val="19"/>
                <w:szCs w:val="19"/>
              </w:rPr>
            </w:pPr>
            <w:r w:rsidRPr="00720B79">
              <w:rPr>
                <w:rFonts w:cs="Arial"/>
                <w:sz w:val="19"/>
                <w:szCs w:val="19"/>
              </w:rPr>
              <w:t xml:space="preserve">The Part 23 commercially-oriented mechanism would be maintained for the lighter form of regulation and the scheme pipeline regulatory-oriented mechanism would be used for the stronger form of regulation. </w:t>
            </w:r>
          </w:p>
          <w:p w14:paraId="196BC0CF" w14:textId="77777777" w:rsidR="00A10DAE" w:rsidRPr="00720B79" w:rsidRDefault="00A10DAE" w:rsidP="002F1B32">
            <w:pPr>
              <w:pStyle w:val="BodyText"/>
              <w:spacing w:before="60" w:after="60"/>
              <w:rPr>
                <w:rFonts w:cs="Arial"/>
                <w:sz w:val="19"/>
                <w:szCs w:val="19"/>
              </w:rPr>
            </w:pPr>
            <w:r w:rsidRPr="00720B79">
              <w:rPr>
                <w:rFonts w:cs="Arial"/>
                <w:sz w:val="19"/>
                <w:szCs w:val="19"/>
              </w:rPr>
              <w:t>The scheme pipeline dispute resolution mechanism would be strengthened in the manner set out in Box 8.3.</w:t>
            </w:r>
          </w:p>
        </w:tc>
      </w:tr>
    </w:tbl>
    <w:p w14:paraId="631BC593" w14:textId="77777777" w:rsidR="00D91DDA" w:rsidRPr="00262C4C" w:rsidRDefault="00717AAF" w:rsidP="0023557F">
      <w:pPr>
        <w:pStyle w:val="Heading6"/>
        <w:spacing w:before="0" w:after="60"/>
        <w:rPr>
          <w:rFonts w:eastAsiaTheme="minorEastAsia"/>
          <w:sz w:val="26"/>
          <w:szCs w:val="26"/>
        </w:rPr>
      </w:pPr>
      <w:r w:rsidRPr="00262C4C">
        <w:rPr>
          <w:rFonts w:eastAsiaTheme="minorEastAsia"/>
          <w:sz w:val="26"/>
          <w:szCs w:val="26"/>
        </w:rPr>
        <w:lastRenderedPageBreak/>
        <w:t>What are the next steps?</w:t>
      </w:r>
    </w:p>
    <w:p w14:paraId="3B778EA4" w14:textId="77777777" w:rsidR="00F5606F" w:rsidRPr="0084068B" w:rsidRDefault="00F5606F" w:rsidP="00AE6B24">
      <w:pPr>
        <w:pStyle w:val="BodyText"/>
        <w:spacing w:before="0"/>
      </w:pPr>
      <w:r w:rsidRPr="0084068B">
        <w:t xml:space="preserve">Subject to </w:t>
      </w:r>
      <w:r w:rsidR="00C322D4" w:rsidRPr="00807EA1">
        <w:t>Energy National Cabinet Reform Committee</w:t>
      </w:r>
      <w:r w:rsidR="00C322D4" w:rsidRPr="0084068B">
        <w:t xml:space="preserve"> </w:t>
      </w:r>
      <w:r w:rsidRPr="0084068B">
        <w:t xml:space="preserve">agreeing to implement the </w:t>
      </w:r>
      <w:r w:rsidRPr="0084068B">
        <w:rPr>
          <w:rFonts w:cs="Arial"/>
        </w:rPr>
        <w:t>preferred option,</w:t>
      </w:r>
      <w:r w:rsidRPr="0084068B">
        <w:t xml:space="preserve"> </w:t>
      </w:r>
      <w:r>
        <w:t xml:space="preserve">the </w:t>
      </w:r>
      <w:r w:rsidRPr="0084068B">
        <w:t xml:space="preserve">amendments to the NGL, NGR and </w:t>
      </w:r>
      <w:r w:rsidR="00FF325D" w:rsidRPr="006B4639">
        <w:rPr>
          <w:szCs w:val="18"/>
        </w:rPr>
        <w:t xml:space="preserve">Regulations </w:t>
      </w:r>
      <w:r w:rsidR="009F059B">
        <w:rPr>
          <w:szCs w:val="18"/>
        </w:rPr>
        <w:t xml:space="preserve">that will be </w:t>
      </w:r>
      <w:r w:rsidRPr="0084068B">
        <w:t xml:space="preserve">required to give effect to the option would be prepared for public consultation. Feedback received through this consultation would inform a final package of amendments, </w:t>
      </w:r>
      <w:r>
        <w:t xml:space="preserve">which is </w:t>
      </w:r>
      <w:r w:rsidRPr="0084068B">
        <w:t xml:space="preserve">expected to be considered by the </w:t>
      </w:r>
      <w:r w:rsidR="00C322D4" w:rsidRPr="00807EA1">
        <w:t>Energy National Cabinet Reform Committee</w:t>
      </w:r>
      <w:r w:rsidR="00C322D4" w:rsidRPr="0084068B">
        <w:t xml:space="preserve"> </w:t>
      </w:r>
      <w:r w:rsidRPr="0084068B">
        <w:t xml:space="preserve">in </w:t>
      </w:r>
      <w:r w:rsidR="00E4380A">
        <w:t>2021</w:t>
      </w:r>
      <w:r w:rsidRPr="0084068B">
        <w:t>.</w:t>
      </w:r>
    </w:p>
    <w:p w14:paraId="74A7F52E" w14:textId="17ED34AC" w:rsidR="00F5606F" w:rsidRPr="0084068B" w:rsidRDefault="00F5606F" w:rsidP="0023557F">
      <w:pPr>
        <w:pStyle w:val="BodyText"/>
        <w:spacing w:before="120" w:after="60"/>
      </w:pPr>
      <w:r w:rsidRPr="0084068B">
        <w:t>If the package is approved, then:</w:t>
      </w:r>
    </w:p>
    <w:p w14:paraId="6A75CA1D" w14:textId="77777777" w:rsidR="00F5606F" w:rsidRPr="0084068B" w:rsidRDefault="00F5606F" w:rsidP="00BD3911">
      <w:pPr>
        <w:pStyle w:val="ListBullet"/>
        <w:spacing w:before="60" w:after="60"/>
      </w:pPr>
      <w:r w:rsidRPr="0084068B">
        <w:t>the required changes to the NGL would be progressed through the South Australian Parliament by the South Australian Minister for Energy and Mining; and</w:t>
      </w:r>
    </w:p>
    <w:p w14:paraId="43D7A3A9" w14:textId="77777777" w:rsidR="00F5606F" w:rsidRPr="0084068B" w:rsidRDefault="00F5606F" w:rsidP="00BD3911">
      <w:pPr>
        <w:pStyle w:val="ListBullet"/>
        <w:spacing w:before="60" w:after="60"/>
      </w:pPr>
      <w:r w:rsidRPr="0084068B">
        <w:t xml:space="preserve">following the proclamation of changes to the NGL, the required amendments to: </w:t>
      </w:r>
    </w:p>
    <w:p w14:paraId="42AE5E2A" w14:textId="77777777" w:rsidR="00F5606F" w:rsidRPr="0084068B" w:rsidRDefault="00F5606F" w:rsidP="00BD3911">
      <w:pPr>
        <w:pStyle w:val="BodyText"/>
        <w:numPr>
          <w:ilvl w:val="0"/>
          <w:numId w:val="22"/>
        </w:numPr>
        <w:spacing w:before="60" w:after="60"/>
        <w:ind w:left="714" w:hanging="357"/>
      </w:pPr>
      <w:r w:rsidRPr="0084068B">
        <w:t xml:space="preserve">the Regulations would be made by the South Australian Governor; and </w:t>
      </w:r>
    </w:p>
    <w:p w14:paraId="365F4DF2" w14:textId="77777777" w:rsidR="00F5606F" w:rsidRPr="0084068B" w:rsidRDefault="00F5606F" w:rsidP="00B06E50">
      <w:pPr>
        <w:pStyle w:val="BodyText"/>
        <w:numPr>
          <w:ilvl w:val="0"/>
          <w:numId w:val="22"/>
        </w:numPr>
        <w:spacing w:before="60" w:after="0"/>
        <w:ind w:left="714" w:hanging="357"/>
      </w:pPr>
      <w:r w:rsidRPr="0084068B">
        <w:t>the NGR would be made by the South Australian Minister for Energy and Mining as initial rules.</w:t>
      </w:r>
    </w:p>
    <w:p w14:paraId="0E3A961C" w14:textId="50D1541C" w:rsidR="009D5F4A" w:rsidRPr="00BC06B9" w:rsidRDefault="00BC06B9" w:rsidP="00B06E50">
      <w:pPr>
        <w:pStyle w:val="BodyText"/>
        <w:spacing w:before="120"/>
      </w:pPr>
      <w:r w:rsidRPr="00BC06B9">
        <w:t xml:space="preserve">Unlike other jurisdictions in Australia, NGL changes and Regulations created by South Australian regulatory processes do not automatically apply in Western Australia. Western Australia adopts a modified version of the NGL under the </w:t>
      </w:r>
      <w:r w:rsidRPr="00BC06B9">
        <w:rPr>
          <w:i/>
          <w:iCs/>
        </w:rPr>
        <w:t xml:space="preserve">National Gas Access (WA) Act 2009 </w:t>
      </w:r>
      <w:r w:rsidRPr="00BC06B9">
        <w:t>and Western Australia needs to enact its own legislative instruments for any NGL related reforms to apply.</w:t>
      </w:r>
      <w:r w:rsidR="00B0282A" w:rsidRPr="00BC06B9">
        <w:rPr>
          <w:rFonts w:cs="Arial"/>
        </w:rPr>
        <w:t xml:space="preserve"> </w:t>
      </w:r>
    </w:p>
    <w:p w14:paraId="245E70FB" w14:textId="5621029B" w:rsidR="001E4C55" w:rsidRDefault="001E4C55" w:rsidP="00BD3911">
      <w:pPr>
        <w:pStyle w:val="BodyText"/>
        <w:spacing w:before="60" w:after="60"/>
      </w:pPr>
      <w:r>
        <w:t>Subject to the completion of the regulatory amendment process, it is anticipated that the new framework would commence in 2022.</w:t>
      </w:r>
    </w:p>
    <w:p w14:paraId="013E0AD8" w14:textId="339015B3" w:rsidR="00173F60" w:rsidRPr="006B4639" w:rsidRDefault="00173F60" w:rsidP="00BD3911">
      <w:pPr>
        <w:pStyle w:val="BodyText"/>
        <w:spacing w:before="60" w:after="60"/>
        <w:sectPr w:rsidR="00173F60" w:rsidRPr="006B4639" w:rsidSect="00795317">
          <w:headerReference w:type="default" r:id="rId19"/>
          <w:footerReference w:type="default" r:id="rId20"/>
          <w:pgSz w:w="11907" w:h="16839" w:code="9"/>
          <w:pgMar w:top="1361" w:right="1418" w:bottom="992" w:left="1701" w:header="567" w:footer="397" w:gutter="0"/>
          <w:pgNumType w:fmt="lowerRoman"/>
          <w:cols w:space="708"/>
          <w:docGrid w:linePitch="360"/>
        </w:sectPr>
      </w:pPr>
    </w:p>
    <w:p w14:paraId="4432B059" w14:textId="77777777" w:rsidR="004A0F12" w:rsidRPr="006B4639" w:rsidRDefault="00D91DDA" w:rsidP="00D91DDA">
      <w:pPr>
        <w:pStyle w:val="Heading1"/>
      </w:pPr>
      <w:bookmarkStart w:id="37" w:name="_Toc62219395"/>
      <w:r w:rsidRPr="006B4639">
        <w:lastRenderedPageBreak/>
        <w:t>Introduction</w:t>
      </w:r>
      <w:bookmarkEnd w:id="37"/>
    </w:p>
    <w:p w14:paraId="67A422CB" w14:textId="77777777" w:rsidR="00D91DDA" w:rsidRPr="006B4639" w:rsidRDefault="00D91DDA" w:rsidP="0044471D">
      <w:pPr>
        <w:pStyle w:val="BodyText"/>
      </w:pPr>
      <w:r w:rsidRPr="006B4639">
        <w:t xml:space="preserve">On 10 August 2018, the </w:t>
      </w:r>
      <w:r w:rsidR="000425E7">
        <w:t xml:space="preserve">former </w:t>
      </w:r>
      <w:r w:rsidRPr="006B4639">
        <w:t xml:space="preserve">Council of Australian Governments’ (COAG) Energy Council asked </w:t>
      </w:r>
      <w:r w:rsidR="00A246B6">
        <w:t xml:space="preserve">Senior Officials </w:t>
      </w:r>
      <w:r w:rsidRPr="006B4639">
        <w:t xml:space="preserve">to prepare a RIS to examine options to improve gas pipeline regulation. This request was made in response to concerns </w:t>
      </w:r>
      <w:r w:rsidR="00940CC9">
        <w:t xml:space="preserve">that were raised through a number of reviews </w:t>
      </w:r>
      <w:r w:rsidRPr="006B4639">
        <w:t xml:space="preserve">about whether </w:t>
      </w:r>
      <w:r w:rsidR="00F235A7" w:rsidRPr="006B4639">
        <w:t xml:space="preserve">the </w:t>
      </w:r>
      <w:r w:rsidRPr="006B4639">
        <w:t xml:space="preserve">existing </w:t>
      </w:r>
      <w:r w:rsidR="00F235A7" w:rsidRPr="006B4639">
        <w:t xml:space="preserve">regulatory framework </w:t>
      </w:r>
      <w:r w:rsidR="00D81C75" w:rsidRPr="006B4639">
        <w:t xml:space="preserve">is fit for purpose and </w:t>
      </w:r>
      <w:r w:rsidRPr="006B4639">
        <w:t>provides a coherent and proportiona</w:t>
      </w:r>
      <w:r w:rsidR="003D6B39">
        <w:t>te</w:t>
      </w:r>
      <w:r w:rsidRPr="006B4639">
        <w:t xml:space="preserve"> response to the problems it seeks to address. </w:t>
      </w:r>
    </w:p>
    <w:p w14:paraId="1ED7B099" w14:textId="6888E520" w:rsidR="00D91DDA" w:rsidRPr="006B4639" w:rsidRDefault="000D5262" w:rsidP="00CA5640">
      <w:pPr>
        <w:pStyle w:val="BodyText"/>
      </w:pPr>
      <w:r w:rsidRPr="006B4639">
        <w:t>In keeping with the terms of reference that was approved on 19</w:t>
      </w:r>
      <w:r w:rsidR="00CA5640">
        <w:t> </w:t>
      </w:r>
      <w:r w:rsidRPr="006B4639">
        <w:t>December 2018,</w:t>
      </w:r>
      <w:r w:rsidR="00370905">
        <w:rPr>
          <w:rFonts w:ascii="ZWAdobeF" w:hAnsi="ZWAdobeF" w:cs="ZWAdobeF"/>
          <w:sz w:val="2"/>
          <w:szCs w:val="2"/>
        </w:rPr>
        <w:t>22F</w:t>
      </w:r>
      <w:r w:rsidRPr="006B4639">
        <w:rPr>
          <w:rStyle w:val="FootnoteReference"/>
        </w:rPr>
        <w:footnoteReference w:id="24"/>
      </w:r>
      <w:r w:rsidRPr="006B4639">
        <w:t xml:space="preserve"> </w:t>
      </w:r>
      <w:r w:rsidR="00CA5640">
        <w:t>the RIS has i</w:t>
      </w:r>
      <w:r w:rsidR="00CA5640" w:rsidRPr="006B4639">
        <w:t>dentif</w:t>
      </w:r>
      <w:r w:rsidR="00CA5640">
        <w:t>ied</w:t>
      </w:r>
      <w:r w:rsidR="00CA5640" w:rsidRPr="006B4639">
        <w:t xml:space="preserve"> and evaluate</w:t>
      </w:r>
      <w:r w:rsidR="00CA5640">
        <w:t>d</w:t>
      </w:r>
      <w:r w:rsidR="00CA5640" w:rsidRPr="006B4639">
        <w:t xml:space="preserve"> options to deliver a more efficient, effective and well-integrated regulatory framework for gas pipelines</w:t>
      </w:r>
      <w:r w:rsidR="00CA5640">
        <w:t xml:space="preserve">, which has </w:t>
      </w:r>
      <w:r w:rsidR="00D91DDA" w:rsidRPr="006B4639">
        <w:t>involve</w:t>
      </w:r>
      <w:r w:rsidR="00D85DDA">
        <w:t>d an</w:t>
      </w:r>
      <w:r w:rsidR="00D91DDA" w:rsidRPr="006B4639">
        <w:t xml:space="preserve"> examin</w:t>
      </w:r>
      <w:r w:rsidR="00D85DDA">
        <w:t>ation of</w:t>
      </w:r>
      <w:r w:rsidR="00D91DDA" w:rsidRPr="006B4639">
        <w:t xml:space="preserve">: </w:t>
      </w:r>
    </w:p>
    <w:p w14:paraId="539E91CE" w14:textId="77777777" w:rsidR="00D91DDA" w:rsidRPr="00AD36B8" w:rsidRDefault="00F235A7" w:rsidP="00AD36B8">
      <w:pPr>
        <w:pStyle w:val="ListBullet"/>
      </w:pPr>
      <w:r w:rsidRPr="00AD36B8">
        <w:t xml:space="preserve">the </w:t>
      </w:r>
      <w:r w:rsidR="00D91DDA" w:rsidRPr="00AD36B8">
        <w:t>existing forms of regulation that may be applied to scheme pipelines (i.e. full regulation or light regulation), non-scheme pipelines (i.e. the information disclosure and arbitration framework) and greenfield pipelines, alternatives to these forms of regulation and possible improvements</w:t>
      </w:r>
      <w:r w:rsidR="000D5262" w:rsidRPr="00AD36B8">
        <w:t>;</w:t>
      </w:r>
    </w:p>
    <w:p w14:paraId="054C7CD5" w14:textId="77777777" w:rsidR="00D91DDA" w:rsidRPr="00AD36B8" w:rsidRDefault="00F235A7" w:rsidP="00AD36B8">
      <w:pPr>
        <w:pStyle w:val="ListBullet"/>
      </w:pPr>
      <w:r w:rsidRPr="00AD36B8">
        <w:t xml:space="preserve">the </w:t>
      </w:r>
      <w:r w:rsidR="00D91DDA" w:rsidRPr="00AD36B8">
        <w:t xml:space="preserve">existing tests used to determine </w:t>
      </w:r>
      <w:r w:rsidR="00D81C75" w:rsidRPr="00AD36B8">
        <w:t xml:space="preserve">whether regulation should apply and, if so, what </w:t>
      </w:r>
      <w:r w:rsidR="00D91DDA" w:rsidRPr="00AD36B8">
        <w:t>form of regulation should apply, including the coverage test, the form of regulation test, the 15-year no-coverage test for greenfield pipelines and the exemption regime under the information disclosure and arbitration framework</w:t>
      </w:r>
      <w:r w:rsidR="000D5262" w:rsidRPr="00AD36B8">
        <w:t>; and</w:t>
      </w:r>
      <w:r w:rsidR="00D91DDA" w:rsidRPr="00AD36B8">
        <w:t xml:space="preserve"> </w:t>
      </w:r>
    </w:p>
    <w:p w14:paraId="625DA78E" w14:textId="77777777" w:rsidR="00D91DDA" w:rsidRPr="006B4639" w:rsidRDefault="00D91DDA" w:rsidP="00AD36B8">
      <w:pPr>
        <w:pStyle w:val="ListBullet"/>
      </w:pPr>
      <w:r w:rsidRPr="00AD36B8">
        <w:t>related</w:t>
      </w:r>
      <w:r w:rsidRPr="006B4639">
        <w:t xml:space="preserve"> institutional, governance and process arrangements, including whether the process for applying for and determining </w:t>
      </w:r>
      <w:r w:rsidR="000D5262" w:rsidRPr="006B4639">
        <w:t xml:space="preserve">whether regulation should apply and </w:t>
      </w:r>
      <w:r w:rsidRPr="006B4639">
        <w:t xml:space="preserve">the form of regulation to apply to a pipeline are fit for purpose, timely, accessible, low cost and conform with best practice regulation. </w:t>
      </w:r>
    </w:p>
    <w:p w14:paraId="3DF1EAEC" w14:textId="66CAE3A6" w:rsidR="00D91DDA" w:rsidRDefault="00A248EF" w:rsidP="005C39BA">
      <w:pPr>
        <w:pStyle w:val="BodyText"/>
      </w:pPr>
      <w:r>
        <w:t>As part of t</w:t>
      </w:r>
      <w:r w:rsidR="007823B1">
        <w:t xml:space="preserve">he </w:t>
      </w:r>
      <w:r w:rsidR="00D91DDA" w:rsidRPr="006B4639">
        <w:t>RIS process</w:t>
      </w:r>
      <w:r>
        <w:t xml:space="preserve">, </w:t>
      </w:r>
      <w:r w:rsidR="007823B1">
        <w:t xml:space="preserve">a </w:t>
      </w:r>
      <w:r w:rsidR="00373F5D">
        <w:t xml:space="preserve">review </w:t>
      </w:r>
      <w:r>
        <w:t xml:space="preserve">has also been undertaken </w:t>
      </w:r>
      <w:r w:rsidR="007823B1">
        <w:t xml:space="preserve">of </w:t>
      </w:r>
      <w:r w:rsidR="003650E3">
        <w:t xml:space="preserve">the </w:t>
      </w:r>
      <w:r w:rsidR="007823B1">
        <w:t>effective</w:t>
      </w:r>
      <w:r w:rsidR="003650E3">
        <w:t>ness</w:t>
      </w:r>
      <w:r w:rsidR="007823B1">
        <w:t xml:space="preserve"> </w:t>
      </w:r>
      <w:r w:rsidR="003650E3">
        <w:t xml:space="preserve">of </w:t>
      </w:r>
      <w:r w:rsidR="007823B1">
        <w:t xml:space="preserve">the </w:t>
      </w:r>
      <w:r w:rsidR="00F235A7" w:rsidRPr="006B4639">
        <w:t>i</w:t>
      </w:r>
      <w:r w:rsidR="00D91DDA" w:rsidRPr="006B4639">
        <w:t xml:space="preserve">nformation </w:t>
      </w:r>
      <w:r w:rsidR="00F235A7" w:rsidRPr="006B4639">
        <w:t>d</w:t>
      </w:r>
      <w:r w:rsidR="00D91DDA" w:rsidRPr="006B4639">
        <w:t xml:space="preserve">isclosure and </w:t>
      </w:r>
      <w:r w:rsidR="00F235A7" w:rsidRPr="006B4639">
        <w:t>a</w:t>
      </w:r>
      <w:r w:rsidR="00D91DDA" w:rsidRPr="006B4639">
        <w:t xml:space="preserve">rbitration </w:t>
      </w:r>
      <w:r w:rsidR="00F235A7" w:rsidRPr="006B4639">
        <w:t>f</w:t>
      </w:r>
      <w:r w:rsidR="00D91DDA" w:rsidRPr="006B4639">
        <w:t xml:space="preserve">ramework </w:t>
      </w:r>
      <w:r w:rsidR="00F235A7" w:rsidRPr="006B4639">
        <w:t>set out in c</w:t>
      </w:r>
      <w:r w:rsidR="00D91DDA" w:rsidRPr="006B4639">
        <w:t xml:space="preserve">hapter 6A of the </w:t>
      </w:r>
      <w:r w:rsidR="00F235A7" w:rsidRPr="006B4639">
        <w:t xml:space="preserve">NGL </w:t>
      </w:r>
      <w:r w:rsidR="00D91DDA" w:rsidRPr="006B4639">
        <w:t xml:space="preserve">and Part 23 of the </w:t>
      </w:r>
      <w:r w:rsidR="00F235A7" w:rsidRPr="006B4639">
        <w:t>NGR (for ease of reference this new framework is referred to as Part 23)</w:t>
      </w:r>
      <w:r w:rsidR="00D91DDA" w:rsidRPr="006B4639">
        <w:t>, implemented in August 2017.</w:t>
      </w:r>
      <w:r w:rsidR="00FE4F1E">
        <w:t xml:space="preserve"> </w:t>
      </w:r>
      <w:r w:rsidR="0057772C">
        <w:t xml:space="preserve">This review was carried out in response to a decision by </w:t>
      </w:r>
      <w:r w:rsidR="000425E7">
        <w:t xml:space="preserve">the former </w:t>
      </w:r>
      <w:r w:rsidR="0057772C">
        <w:t xml:space="preserve">Energy Council in </w:t>
      </w:r>
      <w:r w:rsidR="004303D5">
        <w:t>December 2016</w:t>
      </w:r>
      <w:r w:rsidR="00370905">
        <w:rPr>
          <w:rFonts w:ascii="ZWAdobeF" w:hAnsi="ZWAdobeF" w:cs="ZWAdobeF"/>
          <w:sz w:val="2"/>
          <w:szCs w:val="2"/>
        </w:rPr>
        <w:t>23F</w:t>
      </w:r>
      <w:r w:rsidR="004303D5">
        <w:rPr>
          <w:rStyle w:val="FootnoteReference"/>
        </w:rPr>
        <w:footnoteReference w:id="25"/>
      </w:r>
      <w:r w:rsidR="0057772C">
        <w:t xml:space="preserve"> that a review of the new framework </w:t>
      </w:r>
      <w:r w:rsidR="00F235A7" w:rsidRPr="006B4639">
        <w:t xml:space="preserve">should be conducted </w:t>
      </w:r>
      <w:r w:rsidR="00D91DDA" w:rsidRPr="006B4639">
        <w:t xml:space="preserve">two years </w:t>
      </w:r>
      <w:r w:rsidR="00F235A7" w:rsidRPr="006B4639">
        <w:t xml:space="preserve">after the commencement of its </w:t>
      </w:r>
      <w:r w:rsidR="00D91DDA" w:rsidRPr="006B4639">
        <w:t xml:space="preserve">operation. </w:t>
      </w:r>
    </w:p>
    <w:p w14:paraId="04CE2EA3" w14:textId="77777777" w:rsidR="004D73FE" w:rsidRDefault="004D73FE" w:rsidP="004D73FE">
      <w:pPr>
        <w:pStyle w:val="BodyText"/>
        <w:spacing w:before="200"/>
        <w:rPr>
          <w:rFonts w:cs="Arial"/>
        </w:rPr>
      </w:pPr>
      <w:r>
        <w:rPr>
          <w:rFonts w:cs="Arial"/>
        </w:rPr>
        <w:t xml:space="preserve">To facilitate consultation on these issues and to enable the </w:t>
      </w:r>
      <w:r w:rsidR="00150692" w:rsidRPr="00807EA1">
        <w:t xml:space="preserve">Energy </w:t>
      </w:r>
      <w:r w:rsidR="00BA0E89">
        <w:t xml:space="preserve">Ministers </w:t>
      </w:r>
      <w:r>
        <w:rPr>
          <w:rFonts w:cs="Arial"/>
        </w:rPr>
        <w:t xml:space="preserve">to make an informed decision about the options to improve the gas pipeline regulatory framework, a </w:t>
      </w:r>
      <w:r w:rsidRPr="00354961">
        <w:rPr>
          <w:rFonts w:cs="Arial"/>
        </w:rPr>
        <w:t xml:space="preserve">Consultation RIS was published in </w:t>
      </w:r>
      <w:r w:rsidR="00F86176">
        <w:rPr>
          <w:rFonts w:cs="Arial"/>
        </w:rPr>
        <w:t>November</w:t>
      </w:r>
      <w:r w:rsidRPr="00354961">
        <w:rPr>
          <w:rFonts w:cs="Arial"/>
        </w:rPr>
        <w:t xml:space="preserve"> 2019</w:t>
      </w:r>
      <w:r>
        <w:rPr>
          <w:rFonts w:cs="Arial"/>
        </w:rPr>
        <w:t xml:space="preserve"> and a number of public forums were conducted. In </w:t>
      </w:r>
      <w:r w:rsidRPr="00A52F19">
        <w:rPr>
          <w:rFonts w:cs="Arial"/>
        </w:rPr>
        <w:t xml:space="preserve">total </w:t>
      </w:r>
      <w:r w:rsidR="005F13F9" w:rsidRPr="00A52F19">
        <w:rPr>
          <w:rFonts w:cs="Arial"/>
        </w:rPr>
        <w:t>28</w:t>
      </w:r>
      <w:r w:rsidRPr="00A52F19">
        <w:rPr>
          <w:rFonts w:cs="Arial"/>
        </w:rPr>
        <w:t xml:space="preserve"> written</w:t>
      </w:r>
      <w:r>
        <w:rPr>
          <w:rFonts w:cs="Arial"/>
        </w:rPr>
        <w:t xml:space="preserve"> submissions were received from organisations </w:t>
      </w:r>
      <w:r w:rsidRPr="00354961">
        <w:rPr>
          <w:rFonts w:cs="Arial"/>
        </w:rPr>
        <w:t>with interests across the gas supply chain and from the ACCC, AER</w:t>
      </w:r>
      <w:r w:rsidR="00A52F19">
        <w:rPr>
          <w:rFonts w:cs="Arial"/>
        </w:rPr>
        <w:t>,</w:t>
      </w:r>
      <w:r w:rsidR="005F13F9">
        <w:rPr>
          <w:rFonts w:cs="Arial"/>
        </w:rPr>
        <w:t xml:space="preserve"> </w:t>
      </w:r>
      <w:r w:rsidR="00A52F19">
        <w:rPr>
          <w:rFonts w:cs="Arial"/>
        </w:rPr>
        <w:t>NCC and ECA</w:t>
      </w:r>
      <w:r w:rsidRPr="00354961">
        <w:rPr>
          <w:rFonts w:cs="Arial"/>
        </w:rPr>
        <w:t xml:space="preserve">. </w:t>
      </w:r>
      <w:r w:rsidR="00CD50C4">
        <w:rPr>
          <w:rFonts w:cs="Arial"/>
        </w:rPr>
        <w:t xml:space="preserve">A number of one-on-one discussions were also held with </w:t>
      </w:r>
      <w:r w:rsidR="00830F46">
        <w:rPr>
          <w:rFonts w:cs="Arial"/>
        </w:rPr>
        <w:t xml:space="preserve">pipeline operators, producers, retailers, gas users, third party intermediaries and analysts. </w:t>
      </w:r>
    </w:p>
    <w:p w14:paraId="74DFE0F4" w14:textId="77777777" w:rsidR="00666545" w:rsidRPr="006B4639" w:rsidRDefault="00666545" w:rsidP="00666545">
      <w:pPr>
        <w:pStyle w:val="BodyText"/>
        <w:spacing w:before="200"/>
      </w:pPr>
      <w:r>
        <w:rPr>
          <w:rFonts w:cs="Arial"/>
        </w:rPr>
        <w:t xml:space="preserve">In addition to this </w:t>
      </w:r>
      <w:r w:rsidR="00B10F91">
        <w:rPr>
          <w:rFonts w:cs="Arial"/>
        </w:rPr>
        <w:t xml:space="preserve">stakeholder </w:t>
      </w:r>
      <w:r>
        <w:rPr>
          <w:rFonts w:cs="Arial"/>
        </w:rPr>
        <w:t xml:space="preserve">consultation, </w:t>
      </w:r>
      <w:r w:rsidRPr="006B4639">
        <w:t xml:space="preserve">advice </w:t>
      </w:r>
      <w:r>
        <w:t xml:space="preserve">was obtained </w:t>
      </w:r>
      <w:r w:rsidRPr="006B4639">
        <w:t>from a number of independent experts, including:</w:t>
      </w:r>
    </w:p>
    <w:p w14:paraId="4BC5E441" w14:textId="77777777" w:rsidR="00666545" w:rsidRPr="006B4639" w:rsidRDefault="00666545" w:rsidP="00AD36B8">
      <w:pPr>
        <w:pStyle w:val="ListBullet"/>
      </w:pPr>
      <w:r w:rsidRPr="006B4639">
        <w:t>NERA, who was retained to carry out an international review of gas pipeline regulation</w:t>
      </w:r>
      <w:r w:rsidR="00AE2247">
        <w:t>.</w:t>
      </w:r>
    </w:p>
    <w:p w14:paraId="01D275F2" w14:textId="77777777" w:rsidR="00666545" w:rsidRPr="006B4639" w:rsidRDefault="006B5553" w:rsidP="00AD36B8">
      <w:pPr>
        <w:pStyle w:val="ListBullet"/>
      </w:pPr>
      <w:r>
        <w:t>O</w:t>
      </w:r>
      <w:r w:rsidR="00666545" w:rsidRPr="006B4639">
        <w:t>GW, who was retained to conduct a survey of shippers to get their views on how effective Part 23 has been and whether any improvements may be required</w:t>
      </w:r>
      <w:r w:rsidR="00AE2247">
        <w:t>.</w:t>
      </w:r>
      <w:r w:rsidR="00666545" w:rsidRPr="006B4639">
        <w:t xml:space="preserve"> </w:t>
      </w:r>
    </w:p>
    <w:p w14:paraId="020380B6" w14:textId="77777777" w:rsidR="00666545" w:rsidRDefault="009135CA" w:rsidP="00AD36B8">
      <w:pPr>
        <w:pStyle w:val="ListBullet"/>
      </w:pPr>
      <w:r>
        <w:lastRenderedPageBreak/>
        <w:t>Brattle</w:t>
      </w:r>
      <w:r w:rsidR="00666545" w:rsidRPr="006B4639">
        <w:t>, who was retained to carry out a review of the financial information recently reported by service providers subject to Part 23</w:t>
      </w:r>
      <w:r w:rsidR="00AE2247">
        <w:t xml:space="preserve">. </w:t>
      </w:r>
      <w:r w:rsidR="00E44684">
        <w:t>Brattle was also retained to provide advice on the effect that price transparency and a prohibition on inefficient price discrimination could have on the behaviour of service providers.</w:t>
      </w:r>
    </w:p>
    <w:p w14:paraId="5B6D77A5" w14:textId="77777777" w:rsidR="009135CA" w:rsidRPr="006B4639" w:rsidRDefault="009135CA" w:rsidP="00AD36B8">
      <w:pPr>
        <w:pStyle w:val="ListBullet"/>
      </w:pPr>
      <w:r>
        <w:t xml:space="preserve">PWC, who was retained to </w:t>
      </w:r>
      <w:r w:rsidR="0057470E">
        <w:t xml:space="preserve">undertake the quantitative elements of the </w:t>
      </w:r>
      <w:r w:rsidR="002264C4">
        <w:t>CBA</w:t>
      </w:r>
      <w:r w:rsidR="0057470E">
        <w:t xml:space="preserve"> and the </w:t>
      </w:r>
      <w:r w:rsidR="002264C4">
        <w:t xml:space="preserve">CRBM. </w:t>
      </w:r>
    </w:p>
    <w:p w14:paraId="1193E841" w14:textId="77777777" w:rsidR="00666545" w:rsidRDefault="00B10F91" w:rsidP="00666545">
      <w:pPr>
        <w:pStyle w:val="BodyText"/>
      </w:pPr>
      <w:r>
        <w:t xml:space="preserve">Consideration was also given to the </w:t>
      </w:r>
      <w:r w:rsidR="00666545" w:rsidRPr="006B4639">
        <w:t xml:space="preserve">findings of various reviews and inquiries that have been conducted by the ACCC, AEMC and </w:t>
      </w:r>
      <w:r w:rsidR="00FC35A7">
        <w:t>G</w:t>
      </w:r>
      <w:r w:rsidR="00666545" w:rsidRPr="006B4639">
        <w:t xml:space="preserve">MRG over the last </w:t>
      </w:r>
      <w:r w:rsidR="00AE393A">
        <w:t>five</w:t>
      </w:r>
      <w:r w:rsidR="00666545" w:rsidRPr="006B4639">
        <w:t xml:space="preserve"> years.</w:t>
      </w:r>
    </w:p>
    <w:p w14:paraId="7241C659" w14:textId="77777777" w:rsidR="004D73FE" w:rsidRPr="0084068B" w:rsidRDefault="00B10F91" w:rsidP="004D73FE">
      <w:pPr>
        <w:pStyle w:val="BodyText"/>
        <w:spacing w:before="200" w:after="200"/>
        <w:rPr>
          <w:rFonts w:cs="Arial"/>
        </w:rPr>
      </w:pPr>
      <w:r>
        <w:rPr>
          <w:rFonts w:cs="Arial"/>
        </w:rPr>
        <w:t xml:space="preserve">The stakeholder </w:t>
      </w:r>
      <w:r w:rsidR="004D73FE">
        <w:rPr>
          <w:rFonts w:cs="Arial"/>
        </w:rPr>
        <w:t>submissions</w:t>
      </w:r>
      <w:r>
        <w:rPr>
          <w:rFonts w:cs="Arial"/>
        </w:rPr>
        <w:t xml:space="preserve">, together with the advice provided by independent experts and the </w:t>
      </w:r>
      <w:r w:rsidR="00226905">
        <w:rPr>
          <w:rFonts w:cs="Arial"/>
        </w:rPr>
        <w:t xml:space="preserve">findings of the ACCC, AEMC and GMRG </w:t>
      </w:r>
      <w:r w:rsidR="004D73FE">
        <w:rPr>
          <w:rFonts w:cs="Arial"/>
        </w:rPr>
        <w:t xml:space="preserve">have informed the assessment of both the significance of the problems </w:t>
      </w:r>
      <w:r w:rsidR="00452263">
        <w:rPr>
          <w:rFonts w:cs="Arial"/>
        </w:rPr>
        <w:t xml:space="preserve">with the current regulatory framework </w:t>
      </w:r>
      <w:r w:rsidR="004D73FE">
        <w:rPr>
          <w:rFonts w:cs="Arial"/>
        </w:rPr>
        <w:t xml:space="preserve">and the policy options that could be implemented to address the </w:t>
      </w:r>
      <w:r w:rsidR="00452263">
        <w:rPr>
          <w:rFonts w:cs="Arial"/>
        </w:rPr>
        <w:t>problems</w:t>
      </w:r>
      <w:r w:rsidR="004D73FE">
        <w:rPr>
          <w:rFonts w:cs="Arial"/>
        </w:rPr>
        <w:t xml:space="preserve">. They have also informed the regulatory impact assessment that has been carried out to </w:t>
      </w:r>
      <w:r w:rsidR="004D73FE" w:rsidRPr="0084068B">
        <w:rPr>
          <w:rFonts w:cs="Arial"/>
        </w:rPr>
        <w:t xml:space="preserve">identify the preferred option (i.e. the option that </w:t>
      </w:r>
      <w:r w:rsidR="004D73FE" w:rsidRPr="0084068B">
        <w:t>yields the greatest net benefit for the community).</w:t>
      </w:r>
    </w:p>
    <w:p w14:paraId="60634223" w14:textId="77777777" w:rsidR="00D91DDA" w:rsidRPr="006B4639" w:rsidRDefault="00D91DDA" w:rsidP="00D91DDA">
      <w:pPr>
        <w:keepNext/>
        <w:tabs>
          <w:tab w:val="left" w:pos="2268"/>
          <w:tab w:val="left" w:pos="4536"/>
          <w:tab w:val="left" w:pos="6804"/>
          <w:tab w:val="right" w:pos="9638"/>
        </w:tabs>
        <w:spacing w:after="120" w:line="252" w:lineRule="auto"/>
      </w:pPr>
      <w:r w:rsidRPr="006B4639">
        <w:t xml:space="preserve">The remainder of this </w:t>
      </w:r>
      <w:r w:rsidR="00226905">
        <w:t xml:space="preserve">Decision </w:t>
      </w:r>
      <w:r w:rsidRPr="006B4639">
        <w:t>RIS is structured as follows:</w:t>
      </w:r>
    </w:p>
    <w:p w14:paraId="5AED11A7" w14:textId="77777777" w:rsidR="001E2E6A" w:rsidRPr="006B4639" w:rsidRDefault="00D91DDA" w:rsidP="00AD36B8">
      <w:pPr>
        <w:pStyle w:val="ListBullet"/>
      </w:pPr>
      <w:bookmarkStart w:id="38" w:name="_Hlk487650023"/>
      <w:r w:rsidRPr="006B4639">
        <w:t xml:space="preserve">Chapter 2 </w:t>
      </w:r>
      <w:r w:rsidR="001E2E6A" w:rsidRPr="006B4639">
        <w:t xml:space="preserve">outlines </w:t>
      </w:r>
      <w:r w:rsidRPr="006B4639">
        <w:t xml:space="preserve">the </w:t>
      </w:r>
      <w:r w:rsidR="001E2E6A" w:rsidRPr="006B4639">
        <w:t>rationale for regulating gas pipelines</w:t>
      </w:r>
      <w:r w:rsidR="008E6260">
        <w:t xml:space="preserve"> and </w:t>
      </w:r>
      <w:r w:rsidR="001E2E6A" w:rsidRPr="006B4639">
        <w:t>provides an overview of the regulatory framework that currently applies to gas pipelines in Australia and how gas pipelines are regulated in other jurisdictions.</w:t>
      </w:r>
    </w:p>
    <w:p w14:paraId="53CB24CF" w14:textId="77777777" w:rsidR="00D91DDA" w:rsidRPr="00150692" w:rsidRDefault="001E2E6A" w:rsidP="00AD36B8">
      <w:pPr>
        <w:pStyle w:val="ListBullet"/>
      </w:pPr>
      <w:r w:rsidRPr="006B4639">
        <w:t xml:space="preserve">Chapter </w:t>
      </w:r>
      <w:r w:rsidR="008E6260">
        <w:t>3</w:t>
      </w:r>
      <w:r w:rsidRPr="006B4639">
        <w:t xml:space="preserve"> </w:t>
      </w:r>
      <w:r w:rsidR="00452263" w:rsidRPr="00150692">
        <w:t xml:space="preserve">describes the problems that have been identified with the current regulatory framework and </w:t>
      </w:r>
      <w:r w:rsidR="00D421CD" w:rsidRPr="00150692">
        <w:t xml:space="preserve">the objectives of </w:t>
      </w:r>
      <w:r w:rsidR="00150692" w:rsidRPr="00150692">
        <w:t xml:space="preserve">Energy National Cabinet Reform Committee </w:t>
      </w:r>
      <w:r w:rsidR="00E816FA" w:rsidRPr="00150692">
        <w:t>action</w:t>
      </w:r>
      <w:r w:rsidR="00D421CD" w:rsidRPr="00150692">
        <w:t xml:space="preserve"> </w:t>
      </w:r>
      <w:r w:rsidR="00620AF3" w:rsidRPr="00150692">
        <w:t xml:space="preserve">in addressing these problems. </w:t>
      </w:r>
    </w:p>
    <w:bookmarkEnd w:id="38"/>
    <w:p w14:paraId="334FFDAE" w14:textId="77777777" w:rsidR="00D91DDA" w:rsidRPr="006B4639" w:rsidRDefault="00D91DDA" w:rsidP="00AD36B8">
      <w:pPr>
        <w:pStyle w:val="ListBullet"/>
      </w:pPr>
      <w:r w:rsidRPr="006B4639">
        <w:t xml:space="preserve">Chapters </w:t>
      </w:r>
      <w:r w:rsidR="00B95308">
        <w:t>4</w:t>
      </w:r>
      <w:r w:rsidRPr="006B4639">
        <w:t>-</w:t>
      </w:r>
      <w:r w:rsidR="00B95308">
        <w:t>7</w:t>
      </w:r>
      <w:r w:rsidRPr="006B4639">
        <w:t xml:space="preserve"> provide further detail on the problems </w:t>
      </w:r>
      <w:r w:rsidR="00C61ED4" w:rsidRPr="006B4639">
        <w:t xml:space="preserve">with the current regulatory framework and the </w:t>
      </w:r>
      <w:r w:rsidR="004E4259" w:rsidRPr="006B4639">
        <w:t xml:space="preserve">ways in which </w:t>
      </w:r>
      <w:r w:rsidR="00C61ED4" w:rsidRPr="006B4639">
        <w:t>these problems</w:t>
      </w:r>
      <w:r w:rsidR="004E4259" w:rsidRPr="006B4639">
        <w:t xml:space="preserve"> could be addressed</w:t>
      </w:r>
      <w:r w:rsidRPr="006B4639">
        <w:t>, with:</w:t>
      </w:r>
    </w:p>
    <w:p w14:paraId="1EC3C5F1" w14:textId="77777777" w:rsidR="00D91DDA" w:rsidRPr="006B4639" w:rsidRDefault="00D91DDA" w:rsidP="004E7EEE">
      <w:pPr>
        <w:pStyle w:val="ListBullet2"/>
      </w:pPr>
      <w:r w:rsidRPr="006B4639">
        <w:t xml:space="preserve">Chapter </w:t>
      </w:r>
      <w:r w:rsidR="00B95308">
        <w:t>4</w:t>
      </w:r>
      <w:r w:rsidRPr="006B4639">
        <w:t xml:space="preserve"> focusing on </w:t>
      </w:r>
      <w:r w:rsidR="009736B4" w:rsidRPr="006B4639">
        <w:t xml:space="preserve">when </w:t>
      </w:r>
      <w:r w:rsidR="004E4259" w:rsidRPr="006B4639">
        <w:t xml:space="preserve">a </w:t>
      </w:r>
      <w:r w:rsidR="00E816FA" w:rsidRPr="006B4639">
        <w:t xml:space="preserve">pipeline should be </w:t>
      </w:r>
      <w:r w:rsidR="004E4259" w:rsidRPr="006B4639">
        <w:t xml:space="preserve">subject to economic regulation and </w:t>
      </w:r>
      <w:r w:rsidR="0048120D">
        <w:t xml:space="preserve">the </w:t>
      </w:r>
      <w:r w:rsidR="00F0732D" w:rsidRPr="006B4639">
        <w:t>governance arrangements</w:t>
      </w:r>
      <w:r w:rsidR="0006231E">
        <w:t xml:space="preserve"> for when and how to regulate decisions</w:t>
      </w:r>
      <w:r w:rsidR="00C61ED4" w:rsidRPr="006B4639">
        <w:t>;</w:t>
      </w:r>
    </w:p>
    <w:p w14:paraId="578D7E33" w14:textId="77777777" w:rsidR="00D91DDA" w:rsidRPr="006B4639" w:rsidRDefault="00D91DDA" w:rsidP="004E7EEE">
      <w:pPr>
        <w:pStyle w:val="ListBullet2"/>
      </w:pPr>
      <w:r w:rsidRPr="006B4639">
        <w:t xml:space="preserve">Chapter </w:t>
      </w:r>
      <w:r w:rsidR="00B95308">
        <w:t>5</w:t>
      </w:r>
      <w:r w:rsidRPr="006B4639">
        <w:t xml:space="preserve"> focusing on </w:t>
      </w:r>
      <w:r w:rsidR="004E4259" w:rsidRPr="006B4639">
        <w:t xml:space="preserve">the form of regulation that should be applied to a </w:t>
      </w:r>
      <w:r w:rsidR="009736B4" w:rsidRPr="006B4639">
        <w:t xml:space="preserve">pipeline if a decision is made that </w:t>
      </w:r>
      <w:r w:rsidR="004E4259" w:rsidRPr="006B4639">
        <w:t xml:space="preserve">it </w:t>
      </w:r>
      <w:r w:rsidR="009736B4" w:rsidRPr="006B4639">
        <w:t xml:space="preserve">should be regulated and </w:t>
      </w:r>
      <w:r w:rsidR="0006231E">
        <w:t>movements between forms of regulation</w:t>
      </w:r>
      <w:r w:rsidR="00C61ED4" w:rsidRPr="006B4639">
        <w:t>;</w:t>
      </w:r>
    </w:p>
    <w:p w14:paraId="6A2F4796" w14:textId="77777777" w:rsidR="00D91DDA" w:rsidRPr="006B4639" w:rsidRDefault="00D91DDA" w:rsidP="004E7EEE">
      <w:pPr>
        <w:pStyle w:val="ListBullet2"/>
      </w:pPr>
      <w:r w:rsidRPr="006B4639">
        <w:t xml:space="preserve">Chapter </w:t>
      </w:r>
      <w:r w:rsidR="00B95308">
        <w:t>6</w:t>
      </w:r>
      <w:r w:rsidRPr="006B4639">
        <w:t xml:space="preserve"> focusing on </w:t>
      </w:r>
      <w:r w:rsidR="00950237" w:rsidRPr="006B4639">
        <w:t xml:space="preserve">the information disclosure requirements for pipelines that </w:t>
      </w:r>
      <w:r w:rsidR="00C61ED4" w:rsidRPr="006B4639">
        <w:t xml:space="preserve">are subject to </w:t>
      </w:r>
      <w:r w:rsidR="00950237" w:rsidRPr="006B4639">
        <w:t>regulation</w:t>
      </w:r>
      <w:r w:rsidR="00C61ED4" w:rsidRPr="006B4639">
        <w:t>;</w:t>
      </w:r>
      <w:r w:rsidRPr="006B4639">
        <w:t xml:space="preserve"> </w:t>
      </w:r>
      <w:r w:rsidR="00F0732D" w:rsidRPr="006B4639">
        <w:t>and</w:t>
      </w:r>
    </w:p>
    <w:p w14:paraId="32DA3643" w14:textId="77777777" w:rsidR="00950237" w:rsidRPr="006B4639" w:rsidRDefault="00D91DDA" w:rsidP="004E7EEE">
      <w:pPr>
        <w:pStyle w:val="ListBullet2"/>
      </w:pPr>
      <w:r w:rsidRPr="006B4639">
        <w:t xml:space="preserve">Chapter </w:t>
      </w:r>
      <w:r w:rsidR="00B95308">
        <w:t>7</w:t>
      </w:r>
      <w:r w:rsidR="00950237" w:rsidRPr="006B4639">
        <w:t xml:space="preserve"> </w:t>
      </w:r>
      <w:r w:rsidRPr="006B4639">
        <w:t xml:space="preserve">focusing on the </w:t>
      </w:r>
      <w:r w:rsidR="00950237" w:rsidRPr="006B4639">
        <w:t xml:space="preserve">negotiation framework and </w:t>
      </w:r>
      <w:r w:rsidR="009736B4" w:rsidRPr="006B4639">
        <w:t xml:space="preserve">dispute resolution </w:t>
      </w:r>
      <w:r w:rsidR="00950237" w:rsidRPr="006B4639">
        <w:t>mechanisms that apply under the various forms of regulation</w:t>
      </w:r>
      <w:r w:rsidR="00E62051">
        <w:t>.</w:t>
      </w:r>
      <w:r w:rsidR="00C61ED4" w:rsidRPr="006B4639">
        <w:t xml:space="preserve"> </w:t>
      </w:r>
    </w:p>
    <w:p w14:paraId="786069F9" w14:textId="77777777" w:rsidR="004E4259" w:rsidRDefault="00D91DDA" w:rsidP="00AD36B8">
      <w:pPr>
        <w:pStyle w:val="ListBullet"/>
      </w:pPr>
      <w:r w:rsidRPr="006B4639">
        <w:t xml:space="preserve">Chapter </w:t>
      </w:r>
      <w:r w:rsidR="00B95308">
        <w:t>8</w:t>
      </w:r>
      <w:r w:rsidR="00950237" w:rsidRPr="006B4639">
        <w:t xml:space="preserve"> </w:t>
      </w:r>
      <w:r w:rsidRPr="006B4639">
        <w:t xml:space="preserve">provides </w:t>
      </w:r>
      <w:r w:rsidR="004E4259" w:rsidRPr="006B4639">
        <w:t xml:space="preserve">an overview of the </w:t>
      </w:r>
      <w:r w:rsidRPr="006B4639">
        <w:t xml:space="preserve">policy options </w:t>
      </w:r>
      <w:r w:rsidR="00C61ED4" w:rsidRPr="006B4639">
        <w:t xml:space="preserve">that </w:t>
      </w:r>
      <w:r w:rsidR="00B95308">
        <w:t xml:space="preserve">have been identified </w:t>
      </w:r>
      <w:r w:rsidR="004E4259" w:rsidRPr="006B4639">
        <w:t xml:space="preserve">to address the problems identified in chapters </w:t>
      </w:r>
      <w:r w:rsidR="00B95308">
        <w:t>4</w:t>
      </w:r>
      <w:r w:rsidR="004E4259" w:rsidRPr="006B4639">
        <w:t>-</w:t>
      </w:r>
      <w:r w:rsidR="00B95308">
        <w:t>7</w:t>
      </w:r>
      <w:r w:rsidR="004E4259" w:rsidRPr="006B4639">
        <w:t>.</w:t>
      </w:r>
    </w:p>
    <w:p w14:paraId="25CE7A28" w14:textId="77777777" w:rsidR="00675240" w:rsidRPr="006B4639" w:rsidRDefault="00675240" w:rsidP="00AD36B8">
      <w:pPr>
        <w:pStyle w:val="ListBullet"/>
      </w:pPr>
      <w:r>
        <w:t xml:space="preserve">Chapter 9 sets out </w:t>
      </w:r>
      <w:r w:rsidR="0020463E">
        <w:t xml:space="preserve">how the regulatory impact assessment has been undertaken and </w:t>
      </w:r>
      <w:r>
        <w:t xml:space="preserve">the results of </w:t>
      </w:r>
      <w:r w:rsidR="0020463E">
        <w:t>this assessment</w:t>
      </w:r>
      <w:r>
        <w:t>.</w:t>
      </w:r>
    </w:p>
    <w:p w14:paraId="7D311E61" w14:textId="77777777" w:rsidR="00950237" w:rsidRPr="006B4639" w:rsidRDefault="004E4259" w:rsidP="00AD36B8">
      <w:pPr>
        <w:pStyle w:val="ListBullet"/>
      </w:pPr>
      <w:r w:rsidRPr="006B4639">
        <w:t xml:space="preserve">Chapter </w:t>
      </w:r>
      <w:r w:rsidR="00675240">
        <w:t>10 identifies the preferred option and</w:t>
      </w:r>
      <w:r w:rsidRPr="006B4639">
        <w:t xml:space="preserve"> outlines how the </w:t>
      </w:r>
      <w:r w:rsidR="00675240">
        <w:t>preferred option would be implemented, monitored and reviewed</w:t>
      </w:r>
      <w:r w:rsidR="00950237" w:rsidRPr="006B4639">
        <w:t>.</w:t>
      </w:r>
    </w:p>
    <w:p w14:paraId="606764E0" w14:textId="77777777" w:rsidR="00675240" w:rsidRDefault="00D91DDA" w:rsidP="00AD36B8">
      <w:pPr>
        <w:pStyle w:val="ListBullet"/>
      </w:pPr>
      <w:r w:rsidRPr="006B4639">
        <w:t xml:space="preserve">Appendix </w:t>
      </w:r>
      <w:r w:rsidR="00710052" w:rsidRPr="006B4639">
        <w:t>A</w:t>
      </w:r>
      <w:r w:rsidRPr="006B4639">
        <w:t xml:space="preserve"> </w:t>
      </w:r>
      <w:r w:rsidR="00675240">
        <w:t>provides further detail on the gas pipeline regulatory framework that currently applies in Australia.</w:t>
      </w:r>
    </w:p>
    <w:p w14:paraId="7995C61B" w14:textId="77777777" w:rsidR="009C35D7" w:rsidRDefault="00675240" w:rsidP="00AD36B8">
      <w:pPr>
        <w:pStyle w:val="ListBullet"/>
      </w:pPr>
      <w:r>
        <w:t xml:space="preserve">Appendix B </w:t>
      </w:r>
      <w:r w:rsidR="009C35D7">
        <w:t xml:space="preserve">provides an overview of the reviews that have been undertaken </w:t>
      </w:r>
      <w:r w:rsidR="00294965">
        <w:t xml:space="preserve">by the ACCC, AEMC and GRMG </w:t>
      </w:r>
      <w:r w:rsidR="009C35D7">
        <w:t>on the regulatory framework</w:t>
      </w:r>
      <w:r w:rsidR="00294965">
        <w:t>, as well as the findings of the OGW shipper survey and Brattle’s review of the financial reporting</w:t>
      </w:r>
      <w:r w:rsidR="001749F2">
        <w:t xml:space="preserve"> by pipelines subject to Part 23</w:t>
      </w:r>
      <w:r w:rsidR="009C35D7">
        <w:t>.</w:t>
      </w:r>
    </w:p>
    <w:p w14:paraId="01DDE6C2" w14:textId="77777777" w:rsidR="00BA0180" w:rsidRDefault="009C35D7" w:rsidP="00AD36B8">
      <w:pPr>
        <w:pStyle w:val="ListBullet"/>
      </w:pPr>
      <w:r>
        <w:lastRenderedPageBreak/>
        <w:t xml:space="preserve">Appendix C sets out the results of the </w:t>
      </w:r>
      <w:r w:rsidR="00BA0180">
        <w:t xml:space="preserve">risk assessment element of the regulatory impact assessment. </w:t>
      </w:r>
    </w:p>
    <w:p w14:paraId="38EA5826" w14:textId="77777777" w:rsidR="0070172D" w:rsidRDefault="0070172D" w:rsidP="00AD36B8">
      <w:pPr>
        <w:pStyle w:val="ListBullet"/>
      </w:pPr>
      <w:r>
        <w:t xml:space="preserve">Appendix D provides further detail on the CBA that has been undertaken as part of the regulatory impact assessment. </w:t>
      </w:r>
    </w:p>
    <w:p w14:paraId="11448213" w14:textId="77777777" w:rsidR="00D91DDA" w:rsidRPr="006B4639" w:rsidRDefault="00D91DDA" w:rsidP="00AD36B8">
      <w:pPr>
        <w:pStyle w:val="ListBullet"/>
        <w:numPr>
          <w:ilvl w:val="0"/>
          <w:numId w:val="0"/>
        </w:numPr>
      </w:pPr>
      <w:r w:rsidRPr="006B4639">
        <w:br w:type="page"/>
      </w:r>
    </w:p>
    <w:p w14:paraId="0C3EDC56" w14:textId="77777777" w:rsidR="00D91DDA" w:rsidRPr="006B4639" w:rsidRDefault="00D91DDA" w:rsidP="00596AE1">
      <w:pPr>
        <w:pStyle w:val="Heading1"/>
        <w:spacing w:after="120"/>
      </w:pPr>
      <w:bookmarkStart w:id="39" w:name="_Toc62219396"/>
      <w:r w:rsidRPr="006B4639">
        <w:lastRenderedPageBreak/>
        <w:t>Rationale for regulating gas pipelines</w:t>
      </w:r>
      <w:r w:rsidR="00704D45">
        <w:t xml:space="preserve"> </w:t>
      </w:r>
      <w:r w:rsidR="000D153F">
        <w:t>and how pipelines are currently regulated</w:t>
      </w:r>
      <w:bookmarkEnd w:id="39"/>
      <w:r w:rsidR="000D153F">
        <w:t xml:space="preserve"> </w:t>
      </w:r>
    </w:p>
    <w:p w14:paraId="62978304" w14:textId="719E9810" w:rsidR="008C5DAC" w:rsidRDefault="001749F2" w:rsidP="001749F2">
      <w:pPr>
        <w:pStyle w:val="BodyText"/>
        <w:spacing w:before="120"/>
      </w:pPr>
      <w:bookmarkStart w:id="40" w:name="_Hlk17099608"/>
      <w:r w:rsidRPr="006B4639">
        <w:t xml:space="preserve">Gas pipelines </w:t>
      </w:r>
      <w:r w:rsidR="0010064A">
        <w:t xml:space="preserve">are often subject to regulation because they </w:t>
      </w:r>
      <w:r w:rsidRPr="006B4639">
        <w:t>exhibit natural monopoly</w:t>
      </w:r>
      <w:r w:rsidR="00370905">
        <w:rPr>
          <w:rFonts w:ascii="ZWAdobeF" w:hAnsi="ZWAdobeF" w:cs="ZWAdobeF"/>
          <w:sz w:val="2"/>
          <w:szCs w:val="2"/>
        </w:rPr>
        <w:t>24F</w:t>
      </w:r>
      <w:r w:rsidRPr="006B4639">
        <w:rPr>
          <w:rStyle w:val="FootnoteReference"/>
        </w:rPr>
        <w:footnoteReference w:id="26"/>
      </w:r>
      <w:r w:rsidRPr="006B4639">
        <w:t xml:space="preserve"> characteristics </w:t>
      </w:r>
      <w:r w:rsidR="00684B8A">
        <w:t xml:space="preserve">(i.e. because </w:t>
      </w:r>
      <w:r w:rsidRPr="006B4639">
        <w:t>investments in pipelines are indivisible</w:t>
      </w:r>
      <w:r w:rsidR="00684B8A">
        <w:t>,</w:t>
      </w:r>
      <w:r w:rsidRPr="006B4639">
        <w:t xml:space="preserve"> economies of scale exist</w:t>
      </w:r>
      <w:r w:rsidR="00684B8A">
        <w:t>,</w:t>
      </w:r>
      <w:r w:rsidR="00370905">
        <w:rPr>
          <w:rFonts w:ascii="ZWAdobeF" w:hAnsi="ZWAdobeF" w:cs="ZWAdobeF"/>
          <w:sz w:val="2"/>
          <w:szCs w:val="2"/>
        </w:rPr>
        <w:t>25F</w:t>
      </w:r>
      <w:r w:rsidRPr="006B4639">
        <w:rPr>
          <w:rStyle w:val="FootnoteReference"/>
        </w:rPr>
        <w:footnoteReference w:id="27"/>
      </w:r>
      <w:r w:rsidRPr="006B4639">
        <w:t xml:space="preserve"> and sunk costs are large</w:t>
      </w:r>
      <w:r w:rsidR="00684B8A">
        <w:t>)</w:t>
      </w:r>
      <w:r w:rsidRPr="006B4639">
        <w:t xml:space="preserve">. </w:t>
      </w:r>
      <w:r w:rsidR="00684B8A">
        <w:t>The</w:t>
      </w:r>
      <w:r w:rsidR="002A366E">
        <w:t xml:space="preserve">se </w:t>
      </w:r>
      <w:r w:rsidR="00684B8A">
        <w:t xml:space="preserve">characteristics </w:t>
      </w:r>
      <w:r w:rsidR="002C6A7A">
        <w:t xml:space="preserve">mean that </w:t>
      </w:r>
      <w:r w:rsidRPr="006B4639">
        <w:t xml:space="preserve">access to an existing pipeline is often more economically efficient than constructing a new pipeline. </w:t>
      </w:r>
      <w:r w:rsidR="002A366E">
        <w:t xml:space="preserve">They can </w:t>
      </w:r>
      <w:r w:rsidR="0010064A">
        <w:t xml:space="preserve">also </w:t>
      </w:r>
      <w:r w:rsidR="0046515F">
        <w:t xml:space="preserve">accord the service provider with substantial market power, the </w:t>
      </w:r>
      <w:r w:rsidR="008C5DAC" w:rsidRPr="006B4639">
        <w:t>exercise of which can have a detrimental effect on economic efficiency (allocative, productive and dynamic efficiency) and consumers more generally.</w:t>
      </w:r>
    </w:p>
    <w:p w14:paraId="698A1DFF" w14:textId="4DE621B0" w:rsidR="00200D72" w:rsidRDefault="00DE797D" w:rsidP="0014232F">
      <w:pPr>
        <w:pStyle w:val="BodyText"/>
        <w:rPr>
          <w:rFonts w:asciiTheme="majorHAnsi" w:hAnsiTheme="majorHAnsi" w:cstheme="majorHAnsi"/>
        </w:rPr>
      </w:pPr>
      <w:r w:rsidRPr="006B4639">
        <w:t xml:space="preserve">In economic terms, this is referred to </w:t>
      </w:r>
      <w:r w:rsidR="00786B9F">
        <w:t xml:space="preserve">as </w:t>
      </w:r>
      <w:r w:rsidRPr="006B4639">
        <w:t xml:space="preserve">a ‘market failure’ because the market does not work </w:t>
      </w:r>
      <w:r w:rsidRPr="006B4639">
        <w:rPr>
          <w:rFonts w:asciiTheme="majorHAnsi" w:hAnsiTheme="majorHAnsi" w:cstheme="majorHAnsi"/>
        </w:rPr>
        <w:t xml:space="preserve">to allocate resources </w:t>
      </w:r>
      <w:r w:rsidR="004E05A7" w:rsidRPr="006B4639">
        <w:rPr>
          <w:rFonts w:asciiTheme="majorHAnsi" w:hAnsiTheme="majorHAnsi" w:cstheme="majorHAnsi"/>
        </w:rPr>
        <w:t xml:space="preserve">in the most efficient manner </w:t>
      </w:r>
      <w:r w:rsidR="004D364C" w:rsidRPr="006B4639">
        <w:rPr>
          <w:rFonts w:asciiTheme="majorHAnsi" w:hAnsiTheme="majorHAnsi" w:cstheme="majorHAnsi"/>
        </w:rPr>
        <w:t>across the gas transportation market, upstream</w:t>
      </w:r>
      <w:r w:rsidR="00923B45">
        <w:rPr>
          <w:rFonts w:asciiTheme="majorHAnsi" w:hAnsiTheme="majorHAnsi" w:cstheme="majorHAnsi"/>
        </w:rPr>
        <w:t xml:space="preserve"> and</w:t>
      </w:r>
      <w:r w:rsidR="004D364C" w:rsidRPr="006B4639">
        <w:rPr>
          <w:rFonts w:asciiTheme="majorHAnsi" w:hAnsiTheme="majorHAnsi" w:cstheme="majorHAnsi"/>
        </w:rPr>
        <w:t xml:space="preserve"> downstream </w:t>
      </w:r>
      <w:r w:rsidR="00923B45">
        <w:rPr>
          <w:rFonts w:asciiTheme="majorHAnsi" w:hAnsiTheme="majorHAnsi" w:cstheme="majorHAnsi"/>
        </w:rPr>
        <w:t xml:space="preserve">markets, </w:t>
      </w:r>
      <w:r w:rsidR="004D364C" w:rsidRPr="006B4639">
        <w:rPr>
          <w:rFonts w:asciiTheme="majorHAnsi" w:hAnsiTheme="majorHAnsi" w:cstheme="majorHAnsi"/>
        </w:rPr>
        <w:t xml:space="preserve">and </w:t>
      </w:r>
      <w:r w:rsidR="00923B45">
        <w:rPr>
          <w:rFonts w:asciiTheme="majorHAnsi" w:hAnsiTheme="majorHAnsi" w:cstheme="majorHAnsi"/>
        </w:rPr>
        <w:t>the broader economy</w:t>
      </w:r>
      <w:r w:rsidRPr="006B4639">
        <w:rPr>
          <w:rFonts w:asciiTheme="majorHAnsi" w:hAnsiTheme="majorHAnsi" w:cstheme="majorHAnsi"/>
        </w:rPr>
        <w:t xml:space="preserve">. In such circumstances, there may be scope for government to intervene to improve </w:t>
      </w:r>
      <w:r w:rsidR="001E5D77" w:rsidRPr="006B4639">
        <w:rPr>
          <w:rFonts w:asciiTheme="majorHAnsi" w:hAnsiTheme="majorHAnsi" w:cstheme="majorHAnsi"/>
        </w:rPr>
        <w:t>efficiency</w:t>
      </w:r>
      <w:r w:rsidR="006A5089">
        <w:rPr>
          <w:rFonts w:asciiTheme="majorHAnsi" w:hAnsiTheme="majorHAnsi" w:cstheme="majorHAnsi"/>
        </w:rPr>
        <w:t xml:space="preserve"> and to achieve better outcomes for gas shippers and consumers</w:t>
      </w:r>
      <w:r w:rsidR="001E5D77" w:rsidRPr="006B4639">
        <w:rPr>
          <w:rFonts w:asciiTheme="majorHAnsi" w:hAnsiTheme="majorHAnsi" w:cstheme="majorHAnsi"/>
        </w:rPr>
        <w:t xml:space="preserve">. </w:t>
      </w:r>
    </w:p>
    <w:p w14:paraId="72ADAEE7" w14:textId="77777777" w:rsidR="001E5D77" w:rsidRDefault="001E5D77" w:rsidP="0014232F">
      <w:pPr>
        <w:pStyle w:val="BodyText"/>
        <w:rPr>
          <w:rFonts w:asciiTheme="majorHAnsi" w:hAnsiTheme="majorHAnsi" w:cstheme="majorHAnsi"/>
        </w:rPr>
      </w:pPr>
      <w:r w:rsidRPr="006B4639">
        <w:rPr>
          <w:rFonts w:asciiTheme="majorHAnsi" w:hAnsiTheme="majorHAnsi" w:cstheme="majorHAnsi"/>
        </w:rPr>
        <w:t xml:space="preserve">The term ‘may’ is used in this context because the presence of </w:t>
      </w:r>
      <w:r w:rsidR="00F0732D" w:rsidRPr="006B4639">
        <w:rPr>
          <w:rFonts w:asciiTheme="majorHAnsi" w:hAnsiTheme="majorHAnsi" w:cstheme="majorHAnsi"/>
        </w:rPr>
        <w:t xml:space="preserve">a </w:t>
      </w:r>
      <w:r w:rsidRPr="006B4639">
        <w:rPr>
          <w:rFonts w:asciiTheme="majorHAnsi" w:hAnsiTheme="majorHAnsi" w:cstheme="majorHAnsi"/>
        </w:rPr>
        <w:t>market failure is a necessary, but not sufficient condition, for government intervention. Intervention should only occur if it leads to a better outcome than that which would occur in its absence, after accounting for the costs of implementing the intervention.</w:t>
      </w:r>
    </w:p>
    <w:p w14:paraId="0C1BCA02" w14:textId="77777777" w:rsidR="000D153F" w:rsidRDefault="000D153F" w:rsidP="0014232F">
      <w:pPr>
        <w:pStyle w:val="BodyText"/>
        <w:rPr>
          <w:rFonts w:asciiTheme="majorHAnsi" w:hAnsiTheme="majorHAnsi" w:cstheme="majorHAnsi"/>
        </w:rPr>
      </w:pPr>
      <w:r>
        <w:rPr>
          <w:rFonts w:asciiTheme="majorHAnsi" w:hAnsiTheme="majorHAnsi" w:cstheme="majorHAnsi"/>
        </w:rPr>
        <w:t xml:space="preserve">The remainder of this chapter </w:t>
      </w:r>
      <w:r w:rsidR="00A572DE">
        <w:rPr>
          <w:rFonts w:asciiTheme="majorHAnsi" w:hAnsiTheme="majorHAnsi" w:cstheme="majorHAnsi"/>
        </w:rPr>
        <w:t xml:space="preserve">provides further detail on the rationale for regulating gas pipelines and how pipelines are currently regulated in Australia and other jurisdictions. </w:t>
      </w:r>
      <w:r w:rsidR="00BA0180">
        <w:rPr>
          <w:rFonts w:asciiTheme="majorHAnsi" w:hAnsiTheme="majorHAnsi" w:cstheme="majorHAnsi"/>
        </w:rPr>
        <w:t xml:space="preserve">Further detail on the regulatory framework </w:t>
      </w:r>
      <w:r w:rsidR="00CE0295">
        <w:rPr>
          <w:rFonts w:asciiTheme="majorHAnsi" w:hAnsiTheme="majorHAnsi" w:cstheme="majorHAnsi"/>
        </w:rPr>
        <w:t xml:space="preserve">that is currently </w:t>
      </w:r>
      <w:r w:rsidR="00BA0180">
        <w:rPr>
          <w:rFonts w:asciiTheme="majorHAnsi" w:hAnsiTheme="majorHAnsi" w:cstheme="majorHAnsi"/>
        </w:rPr>
        <w:t xml:space="preserve">in </w:t>
      </w:r>
      <w:r w:rsidR="00CE0295">
        <w:rPr>
          <w:rFonts w:asciiTheme="majorHAnsi" w:hAnsiTheme="majorHAnsi" w:cstheme="majorHAnsi"/>
        </w:rPr>
        <w:t xml:space="preserve">operation in </w:t>
      </w:r>
      <w:r w:rsidR="00BA0180">
        <w:rPr>
          <w:rFonts w:asciiTheme="majorHAnsi" w:hAnsiTheme="majorHAnsi" w:cstheme="majorHAnsi"/>
        </w:rPr>
        <w:t xml:space="preserve">Australia can be found in Appendix A. </w:t>
      </w:r>
    </w:p>
    <w:p w14:paraId="21216C65" w14:textId="77777777" w:rsidR="000D153F" w:rsidRPr="006B4639" w:rsidRDefault="001F0F6C" w:rsidP="00F53FF7">
      <w:pPr>
        <w:pStyle w:val="Heading2"/>
        <w:keepNext w:val="0"/>
        <w:keepLines w:val="0"/>
        <w:spacing w:before="240" w:after="120"/>
        <w:ind w:left="0" w:firstLine="0"/>
      </w:pPr>
      <w:bookmarkStart w:id="41" w:name="_Toc62219397"/>
      <w:r>
        <w:t>What is the r</w:t>
      </w:r>
      <w:r w:rsidR="000D153F">
        <w:t>ationale for regulating gas pipelines</w:t>
      </w:r>
      <w:r>
        <w:t>?</w:t>
      </w:r>
      <w:bookmarkEnd w:id="41"/>
    </w:p>
    <w:p w14:paraId="1A4824FA" w14:textId="77777777" w:rsidR="00397C28" w:rsidRPr="006B4639" w:rsidRDefault="0046515F" w:rsidP="0014232F">
      <w:pPr>
        <w:pStyle w:val="BodyText"/>
      </w:pPr>
      <w:r>
        <w:t xml:space="preserve">There are </w:t>
      </w:r>
      <w:r w:rsidR="00397C28" w:rsidRPr="006B4639">
        <w:t>a number of potential ways in which a service provider of an existing pipeline may exercise its market power, which can broadly be categorised as follows:</w:t>
      </w:r>
    </w:p>
    <w:p w14:paraId="5CBF4CD5" w14:textId="77777777" w:rsidR="00397C28" w:rsidRPr="006B4639" w:rsidRDefault="00397C28" w:rsidP="00D73A94">
      <w:pPr>
        <w:pStyle w:val="ListNumber"/>
        <w:numPr>
          <w:ilvl w:val="0"/>
          <w:numId w:val="31"/>
        </w:numPr>
      </w:pPr>
      <w:r w:rsidRPr="006B4639">
        <w:t>Existing pipelines may</w:t>
      </w:r>
      <w:r w:rsidR="004E4259" w:rsidRPr="006B4639">
        <w:t xml:space="preserve"> </w:t>
      </w:r>
      <w:r w:rsidRPr="006B4639">
        <w:t xml:space="preserve">be able to </w:t>
      </w:r>
      <w:r w:rsidR="00F0732D" w:rsidRPr="006B4639">
        <w:t xml:space="preserve">exert </w:t>
      </w:r>
      <w:r w:rsidRPr="006B4639">
        <w:t xml:space="preserve">market power over </w:t>
      </w:r>
      <w:r w:rsidR="00E42304" w:rsidRPr="006B4639">
        <w:t xml:space="preserve">existing capacity </w:t>
      </w:r>
      <w:r w:rsidRPr="006B4639">
        <w:t xml:space="preserve">by, for example, engaging in monopoly pricing, </w:t>
      </w:r>
      <w:r w:rsidR="00E42304" w:rsidRPr="006B4639">
        <w:t xml:space="preserve">or in the case of vertically integrated service providers, </w:t>
      </w:r>
      <w:r w:rsidR="00D85AFC" w:rsidRPr="006B4639">
        <w:t xml:space="preserve">restricting or denying access, </w:t>
      </w:r>
      <w:r w:rsidR="00D85AFC">
        <w:t xml:space="preserve">or </w:t>
      </w:r>
      <w:r w:rsidR="00E42304" w:rsidRPr="006B4639">
        <w:t xml:space="preserve">favouring an upstream or downstream affiliate through discriminatory terms of access </w:t>
      </w:r>
      <w:r w:rsidRPr="006B4639">
        <w:t>(referred to as ‘static market power’).</w:t>
      </w:r>
    </w:p>
    <w:p w14:paraId="31F36231" w14:textId="77777777" w:rsidR="00397C28" w:rsidRPr="006B4639" w:rsidRDefault="00397C28" w:rsidP="00D73A94">
      <w:pPr>
        <w:pStyle w:val="ListNumber"/>
        <w:numPr>
          <w:ilvl w:val="0"/>
          <w:numId w:val="31"/>
        </w:numPr>
      </w:pPr>
      <w:bookmarkStart w:id="42" w:name="_Hlk16075058"/>
      <w:r w:rsidRPr="006B4639">
        <w:t xml:space="preserve">Existing pipelines may </w:t>
      </w:r>
      <w:r w:rsidR="00E42304" w:rsidRPr="006B4639">
        <w:t xml:space="preserve">be able to </w:t>
      </w:r>
      <w:r w:rsidR="00F0732D" w:rsidRPr="006B4639">
        <w:t xml:space="preserve">exert </w:t>
      </w:r>
      <w:r w:rsidR="00E42304" w:rsidRPr="006B4639">
        <w:t xml:space="preserve">market power over new capacity and block </w:t>
      </w:r>
      <w:r w:rsidRPr="006B4639">
        <w:t>competition from other pipelines over time by, for example, restricting or denying interconnections</w:t>
      </w:r>
      <w:r w:rsidR="00200D72">
        <w:t>,</w:t>
      </w:r>
      <w:r w:rsidRPr="006B4639">
        <w:t xml:space="preserve"> or pricing new capacity below the incremental cost </w:t>
      </w:r>
      <w:r w:rsidR="00671DE5">
        <w:t xml:space="preserve">of developing the new capacity </w:t>
      </w:r>
      <w:r w:rsidRPr="006B4639">
        <w:t xml:space="preserve">(referred to as ‘dynamic market power’). </w:t>
      </w:r>
    </w:p>
    <w:bookmarkEnd w:id="42"/>
    <w:p w14:paraId="610AD155" w14:textId="77777777" w:rsidR="00397C28" w:rsidRPr="006B4639" w:rsidRDefault="00397C28" w:rsidP="00D73A94">
      <w:pPr>
        <w:pStyle w:val="ListNumber"/>
        <w:numPr>
          <w:ilvl w:val="0"/>
          <w:numId w:val="31"/>
        </w:numPr>
      </w:pPr>
      <w:r w:rsidRPr="006B4639">
        <w:t xml:space="preserve">Existing pipelines may be able to restrict competition from shippers for the supply of secondary capacity by, for example, </w:t>
      </w:r>
      <w:r w:rsidR="00F0732D" w:rsidRPr="006B4639">
        <w:t xml:space="preserve">restricting </w:t>
      </w:r>
      <w:r w:rsidRPr="006B4639">
        <w:t xml:space="preserve">or </w:t>
      </w:r>
      <w:r w:rsidR="00F0732D" w:rsidRPr="006B4639">
        <w:t xml:space="preserve">prohibiting </w:t>
      </w:r>
      <w:r w:rsidRPr="006B4639">
        <w:t xml:space="preserve">capacity trading. </w:t>
      </w:r>
    </w:p>
    <w:p w14:paraId="770D9A6B" w14:textId="692B57CB" w:rsidR="00397C28" w:rsidRPr="006B4639" w:rsidRDefault="00671DE5" w:rsidP="00AF2801">
      <w:pPr>
        <w:pStyle w:val="BodyText"/>
        <w:widowControl w:val="0"/>
        <w:spacing w:after="240"/>
      </w:pPr>
      <w:r>
        <w:t xml:space="preserve">The latter of these forms of market power </w:t>
      </w:r>
      <w:r w:rsidR="00D85AFC">
        <w:t xml:space="preserve">has been </w:t>
      </w:r>
      <w:r>
        <w:t>addressed in eastern Australia and the Northern Territory</w:t>
      </w:r>
      <w:r w:rsidR="00370905">
        <w:rPr>
          <w:rFonts w:ascii="ZWAdobeF" w:hAnsi="ZWAdobeF" w:cs="ZWAdobeF"/>
          <w:sz w:val="2"/>
          <w:szCs w:val="2"/>
        </w:rPr>
        <w:t>26F</w:t>
      </w:r>
      <w:r w:rsidR="00763050" w:rsidRPr="006B4639">
        <w:rPr>
          <w:rStyle w:val="FootnoteReference"/>
        </w:rPr>
        <w:footnoteReference w:id="28"/>
      </w:r>
      <w:r>
        <w:t xml:space="preserve"> through the capacity trading reforms that were </w:t>
      </w:r>
      <w:r w:rsidR="00397C28" w:rsidRPr="006B4639">
        <w:t>implement</w:t>
      </w:r>
      <w:r>
        <w:t xml:space="preserve">ed in </w:t>
      </w:r>
      <w:r>
        <w:lastRenderedPageBreak/>
        <w:t>late 2018</w:t>
      </w:r>
      <w:r w:rsidR="00200D72">
        <w:t>.</w:t>
      </w:r>
      <w:r w:rsidR="003554A0" w:rsidRPr="003554A0">
        <w:rPr>
          <w:rStyle w:val="FootnoteReference"/>
        </w:rPr>
        <w:t xml:space="preserve"> </w:t>
      </w:r>
      <w:r w:rsidR="00370905">
        <w:rPr>
          <w:rFonts w:ascii="ZWAdobeF" w:hAnsi="ZWAdobeF" w:cs="ZWAdobeF"/>
          <w:sz w:val="2"/>
          <w:szCs w:val="2"/>
        </w:rPr>
        <w:t>27F</w:t>
      </w:r>
      <w:r w:rsidR="003554A0">
        <w:rPr>
          <w:rStyle w:val="FootnoteReference"/>
        </w:rPr>
        <w:footnoteReference w:id="29"/>
      </w:r>
      <w:r w:rsidR="00E157EE" w:rsidRPr="006B4639">
        <w:t xml:space="preserve"> </w:t>
      </w:r>
      <w:r w:rsidR="00397C28" w:rsidRPr="006B4639">
        <w:t xml:space="preserve">The remainder of this </w:t>
      </w:r>
      <w:r w:rsidR="00AE594B">
        <w:t>section</w:t>
      </w:r>
      <w:r w:rsidR="00397C28" w:rsidRPr="006B4639">
        <w:t xml:space="preserve"> therefore focuses on the first two forms of market power</w:t>
      </w:r>
      <w:r w:rsidR="00B67690" w:rsidRPr="006B4639">
        <w:t xml:space="preserve"> and why regulation may be required to address the market failures associated with these forms of market power</w:t>
      </w:r>
      <w:r w:rsidR="00397C28" w:rsidRPr="006B4639">
        <w:t>.</w:t>
      </w:r>
    </w:p>
    <w:p w14:paraId="5FE9F454" w14:textId="77777777" w:rsidR="00397C28" w:rsidRPr="006B4639" w:rsidRDefault="001E5D77" w:rsidP="0014232F">
      <w:pPr>
        <w:pStyle w:val="Heading3"/>
        <w:spacing w:before="120" w:after="120"/>
      </w:pPr>
      <w:bookmarkStart w:id="43" w:name="_Toc15871508"/>
      <w:bookmarkStart w:id="44" w:name="_Hlk15825658"/>
      <w:r w:rsidRPr="006B4639">
        <w:t>E</w:t>
      </w:r>
      <w:r w:rsidR="00577E22" w:rsidRPr="006B4639">
        <w:t>xercise</w:t>
      </w:r>
      <w:r w:rsidRPr="006B4639">
        <w:t>s</w:t>
      </w:r>
      <w:r w:rsidR="00577E22" w:rsidRPr="006B4639">
        <w:t xml:space="preserve"> of </w:t>
      </w:r>
      <w:r w:rsidR="00397C28" w:rsidRPr="006B4639">
        <w:t>static market power</w:t>
      </w:r>
      <w:bookmarkEnd w:id="43"/>
    </w:p>
    <w:p w14:paraId="2D4F254A" w14:textId="28FBB852" w:rsidR="00E77B37" w:rsidRPr="006B4639" w:rsidRDefault="00397C28" w:rsidP="0014232F">
      <w:pPr>
        <w:pStyle w:val="BodyText"/>
      </w:pPr>
      <w:r w:rsidRPr="006B4639">
        <w:t>A service provider can exercise its market power in a number of ways</w:t>
      </w:r>
      <w:r w:rsidR="004E05A7" w:rsidRPr="006B4639">
        <w:t xml:space="preserve">. </w:t>
      </w:r>
      <w:r w:rsidR="00BE074F" w:rsidRPr="006B4639">
        <w:t xml:space="preserve">It </w:t>
      </w:r>
      <w:r w:rsidRPr="006B4639">
        <w:t>can</w:t>
      </w:r>
      <w:r w:rsidR="00BE074F" w:rsidRPr="006B4639">
        <w:t xml:space="preserve">, for example, </w:t>
      </w:r>
      <w:r w:rsidRPr="006B4639">
        <w:t>charg</w:t>
      </w:r>
      <w:r w:rsidR="00BE074F" w:rsidRPr="006B4639">
        <w:t>e</w:t>
      </w:r>
      <w:r w:rsidRPr="006B4639">
        <w:t xml:space="preserve"> monopoly prices for its services, </w:t>
      </w:r>
      <w:r w:rsidR="004E05A7" w:rsidRPr="006B4639">
        <w:t>restrict or deny access to the pipeline, reduce the quality of services</w:t>
      </w:r>
      <w:r w:rsidR="00FE2349" w:rsidRPr="006B4639">
        <w:t>,</w:t>
      </w:r>
      <w:r w:rsidR="004E05A7" w:rsidRPr="006B4639">
        <w:t xml:space="preserve"> </w:t>
      </w:r>
      <w:r w:rsidR="00BE074F" w:rsidRPr="006B4639">
        <w:t xml:space="preserve">impose unreasonable terms and conditions on </w:t>
      </w:r>
      <w:r w:rsidR="004E05A7" w:rsidRPr="006B4639">
        <w:t>shippers</w:t>
      </w:r>
      <w:r w:rsidR="00FE2349" w:rsidRPr="006B4639">
        <w:t xml:space="preserve"> and/or engage in discriminatory behaviour</w:t>
      </w:r>
      <w:r w:rsidRPr="006B4639">
        <w:t xml:space="preserve">. </w:t>
      </w:r>
      <w:r w:rsidR="00BE074F" w:rsidRPr="006B4639">
        <w:t xml:space="preserve">All </w:t>
      </w:r>
      <w:r w:rsidRPr="006B4639">
        <w:t xml:space="preserve">of these </w:t>
      </w:r>
      <w:r w:rsidR="00BE074F" w:rsidRPr="006B4639">
        <w:t xml:space="preserve">behaviours </w:t>
      </w:r>
      <w:r w:rsidRPr="006B4639">
        <w:t xml:space="preserve">can </w:t>
      </w:r>
      <w:r w:rsidR="00E77B37" w:rsidRPr="006B4639">
        <w:t xml:space="preserve">have an </w:t>
      </w:r>
      <w:r w:rsidR="004E05A7" w:rsidRPr="006B4639">
        <w:t xml:space="preserve">adverse </w:t>
      </w:r>
      <w:r w:rsidR="00E77B37" w:rsidRPr="006B4639">
        <w:t xml:space="preserve">effect on </w:t>
      </w:r>
      <w:r w:rsidRPr="006B4639">
        <w:t xml:space="preserve">economic efficiency </w:t>
      </w:r>
      <w:r w:rsidR="00E77B37" w:rsidRPr="006B4639">
        <w:t xml:space="preserve">and consumers more generally, </w:t>
      </w:r>
      <w:r w:rsidR="004E05A7" w:rsidRPr="006B4639">
        <w:t>because they can result in prices being set above, and</w:t>
      </w:r>
      <w:r w:rsidR="005571BD">
        <w:t>/or</w:t>
      </w:r>
      <w:r w:rsidR="004E05A7" w:rsidRPr="006B4639">
        <w:t xml:space="preserve"> the supply of services below, what would </w:t>
      </w:r>
      <w:r w:rsidR="00B130DB">
        <w:t xml:space="preserve">occur </w:t>
      </w:r>
      <w:r w:rsidR="004E05A7" w:rsidRPr="006B4639">
        <w:t xml:space="preserve">in a </w:t>
      </w:r>
      <w:r w:rsidR="00200D72">
        <w:t xml:space="preserve">workably </w:t>
      </w:r>
      <w:r w:rsidR="004E05A7" w:rsidRPr="006B4639">
        <w:t xml:space="preserve">competitive market. </w:t>
      </w:r>
      <w:r w:rsidR="00962EA1">
        <w:t xml:space="preserve">This can, in turn, have a detrimental effect on the efficient operation of the </w:t>
      </w:r>
      <w:r w:rsidR="00D85AFC">
        <w:t xml:space="preserve">gas transportation </w:t>
      </w:r>
      <w:r w:rsidR="00962EA1">
        <w:t>market, upstream and downstream markets and the broader economy</w:t>
      </w:r>
      <w:r w:rsidR="00730B26">
        <w:t xml:space="preserve">, because it can result in lower than efficient levels of production, consumption and investment. </w:t>
      </w:r>
    </w:p>
    <w:p w14:paraId="50565B81" w14:textId="77777777" w:rsidR="004C2AFE" w:rsidRDefault="00E77B37" w:rsidP="0014232F">
      <w:pPr>
        <w:pStyle w:val="BodyText"/>
      </w:pPr>
      <w:r w:rsidRPr="006B4639">
        <w:t>While there are a number of different ways in which market power may be exercised, the two most commonly cited ways are monopoly pricing and the restriction or denial of access</w:t>
      </w:r>
      <w:r w:rsidR="004C2AFE" w:rsidRPr="006B4639">
        <w:t xml:space="preserve"> (see Box 2.1 for more detail on these two forms of market power). </w:t>
      </w:r>
    </w:p>
    <w:p w14:paraId="1C01329E" w14:textId="72BFB896" w:rsidR="00E77B37" w:rsidRPr="006B4639" w:rsidRDefault="00E77B37" w:rsidP="0014232F">
      <w:pPr>
        <w:pStyle w:val="Caption"/>
        <w:spacing w:before="120" w:after="0"/>
      </w:pPr>
      <w:bookmarkStart w:id="45" w:name="_Ref18597889"/>
      <w:r w:rsidRPr="006B4639">
        <w:t xml:space="preserve">Box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2</w:t>
      </w:r>
      <w:r w:rsidR="00F323B2">
        <w:rPr>
          <w:noProof/>
        </w:rPr>
        <w:fldChar w:fldCharType="end"/>
      </w:r>
      <w:r w:rsidR="00B80405">
        <w:t>.</w:t>
      </w:r>
      <w:r w:rsidR="00F323B2">
        <w:rPr>
          <w:noProof/>
        </w:rPr>
        <w:fldChar w:fldCharType="begin"/>
      </w:r>
      <w:r w:rsidR="00F323B2">
        <w:rPr>
          <w:noProof/>
        </w:rPr>
        <w:instrText xml:space="preserve"> SEQ Box \* ARABIC \s 1 </w:instrText>
      </w:r>
      <w:r w:rsidR="00F323B2">
        <w:rPr>
          <w:noProof/>
        </w:rPr>
        <w:fldChar w:fldCharType="separate"/>
      </w:r>
      <w:r w:rsidR="004031E8">
        <w:rPr>
          <w:noProof/>
        </w:rPr>
        <w:t>1</w:t>
      </w:r>
      <w:r w:rsidR="00F323B2">
        <w:rPr>
          <w:noProof/>
        </w:rPr>
        <w:fldChar w:fldCharType="end"/>
      </w:r>
      <w:bookmarkEnd w:id="45"/>
      <w:r w:rsidRPr="006B4639">
        <w:t>: Monopoly pricing and the restriction or denial of access</w:t>
      </w:r>
    </w:p>
    <w:tbl>
      <w:tblPr>
        <w:tblStyle w:val="PullOutBoxTable"/>
        <w:tblW w:w="5000" w:type="pct"/>
        <w:tblLook w:val="0600" w:firstRow="0" w:lastRow="0" w:firstColumn="0" w:lastColumn="0" w:noHBand="1" w:noVBand="1"/>
      </w:tblPr>
      <w:tblGrid>
        <w:gridCol w:w="8788"/>
      </w:tblGrid>
      <w:tr w:rsidR="00E77B37" w:rsidRPr="004E7EEE" w14:paraId="0CD0372A" w14:textId="77777777" w:rsidTr="00E77B37">
        <w:tc>
          <w:tcPr>
            <w:tcW w:w="5000" w:type="pct"/>
          </w:tcPr>
          <w:p w14:paraId="74FF8733" w14:textId="77777777" w:rsidR="00EB25BC" w:rsidRPr="004E7EEE" w:rsidRDefault="00EB25BC" w:rsidP="004E7EEE">
            <w:pPr>
              <w:pStyle w:val="BodyText"/>
              <w:spacing w:before="60" w:after="60" w:line="264" w:lineRule="auto"/>
              <w:rPr>
                <w:b/>
                <w:bCs/>
                <w:sz w:val="20"/>
                <w:szCs w:val="20"/>
              </w:rPr>
            </w:pPr>
            <w:bookmarkStart w:id="46" w:name="_Hlk17093929"/>
            <w:r w:rsidRPr="004E7EEE">
              <w:rPr>
                <w:b/>
                <w:bCs/>
                <w:sz w:val="20"/>
                <w:szCs w:val="20"/>
              </w:rPr>
              <w:t>Monopoly pricing</w:t>
            </w:r>
          </w:p>
          <w:p w14:paraId="09F2AB63" w14:textId="77777777" w:rsidR="00E77B37" w:rsidRPr="004E7EEE" w:rsidRDefault="00EB25BC" w:rsidP="004E7EEE">
            <w:pPr>
              <w:pStyle w:val="BodyText"/>
              <w:spacing w:before="60" w:after="60" w:line="264" w:lineRule="auto"/>
              <w:rPr>
                <w:sz w:val="20"/>
                <w:szCs w:val="20"/>
              </w:rPr>
            </w:pPr>
            <w:r w:rsidRPr="004E7EEE">
              <w:rPr>
                <w:sz w:val="20"/>
                <w:szCs w:val="20"/>
              </w:rPr>
              <w:t xml:space="preserve">The term ‘monopoly pricing’ </w:t>
            </w:r>
            <w:r w:rsidRPr="004E7EEE">
              <w:rPr>
                <w:rFonts w:cs="Gotham Light"/>
                <w:color w:val="000000"/>
                <w:sz w:val="20"/>
                <w:szCs w:val="20"/>
              </w:rPr>
              <w:t>is defined as prices that significantly exceed the long-run average cost of supply for a sustained period, or more simply prices in excess of what would prevail in a workably competitive market.</w:t>
            </w:r>
            <w:r w:rsidRPr="004E7EEE">
              <w:rPr>
                <w:sz w:val="20"/>
                <w:szCs w:val="20"/>
              </w:rPr>
              <w:t xml:space="preserve"> </w:t>
            </w:r>
            <w:r w:rsidR="00E77B37" w:rsidRPr="004E7EEE">
              <w:rPr>
                <w:sz w:val="20"/>
                <w:szCs w:val="20"/>
              </w:rPr>
              <w:t>Monopoly pricing can</w:t>
            </w:r>
            <w:r w:rsidRPr="004E7EEE">
              <w:rPr>
                <w:sz w:val="20"/>
                <w:szCs w:val="20"/>
              </w:rPr>
              <w:t xml:space="preserve"> </w:t>
            </w:r>
            <w:r w:rsidR="00E77B37" w:rsidRPr="004E7EEE">
              <w:rPr>
                <w:sz w:val="20"/>
                <w:szCs w:val="20"/>
              </w:rPr>
              <w:t xml:space="preserve">adversely affect </w:t>
            </w:r>
            <w:r w:rsidR="0091279D" w:rsidRPr="004E7EEE">
              <w:rPr>
                <w:sz w:val="20"/>
                <w:szCs w:val="20"/>
              </w:rPr>
              <w:t xml:space="preserve">gas users </w:t>
            </w:r>
            <w:r w:rsidR="00E77B37" w:rsidRPr="004E7EEE">
              <w:rPr>
                <w:sz w:val="20"/>
                <w:szCs w:val="20"/>
              </w:rPr>
              <w:t>because it can:</w:t>
            </w:r>
          </w:p>
          <w:p w14:paraId="3DA5B22F" w14:textId="77777777" w:rsidR="00E77B37" w:rsidRPr="004E7EEE" w:rsidRDefault="00E77B37" w:rsidP="004E7EEE">
            <w:pPr>
              <w:pStyle w:val="ListBullet"/>
              <w:numPr>
                <w:ilvl w:val="0"/>
                <w:numId w:val="48"/>
              </w:numPr>
              <w:spacing w:before="60" w:after="60"/>
              <w:rPr>
                <w:sz w:val="20"/>
                <w:szCs w:val="20"/>
              </w:rPr>
            </w:pPr>
            <w:r w:rsidRPr="004E7EEE">
              <w:rPr>
                <w:sz w:val="20"/>
                <w:szCs w:val="20"/>
              </w:rPr>
              <w:t xml:space="preserve">result in higher delivered gas prices being paid by users and/or lower ex-plant gas prices being received by producers; and </w:t>
            </w:r>
          </w:p>
          <w:p w14:paraId="18B177EA" w14:textId="77777777" w:rsidR="00E77B37" w:rsidRPr="004E7EEE" w:rsidRDefault="00E77B37" w:rsidP="004E7EEE">
            <w:pPr>
              <w:pStyle w:val="ListBullet"/>
              <w:numPr>
                <w:ilvl w:val="0"/>
                <w:numId w:val="48"/>
              </w:numPr>
              <w:spacing w:before="60" w:after="60"/>
              <w:rPr>
                <w:sz w:val="20"/>
                <w:szCs w:val="20"/>
              </w:rPr>
            </w:pPr>
            <w:r w:rsidRPr="004E7EEE">
              <w:rPr>
                <w:sz w:val="20"/>
                <w:szCs w:val="20"/>
              </w:rPr>
              <w:t>cause significant transfers of wealth from producers</w:t>
            </w:r>
            <w:r w:rsidR="008F75B1" w:rsidRPr="004E7EEE">
              <w:rPr>
                <w:sz w:val="20"/>
                <w:szCs w:val="20"/>
              </w:rPr>
              <w:t xml:space="preserve"> </w:t>
            </w:r>
            <w:r w:rsidRPr="004E7EEE">
              <w:rPr>
                <w:sz w:val="20"/>
                <w:szCs w:val="20"/>
              </w:rPr>
              <w:t xml:space="preserve">and </w:t>
            </w:r>
            <w:r w:rsidR="0091279D" w:rsidRPr="004E7EEE">
              <w:rPr>
                <w:sz w:val="20"/>
                <w:szCs w:val="20"/>
              </w:rPr>
              <w:t>gas users</w:t>
            </w:r>
            <w:r w:rsidRPr="004E7EEE">
              <w:rPr>
                <w:sz w:val="20"/>
                <w:szCs w:val="20"/>
              </w:rPr>
              <w:t xml:space="preserve"> to service providers. </w:t>
            </w:r>
          </w:p>
          <w:p w14:paraId="6B520061" w14:textId="77777777" w:rsidR="00E77B37" w:rsidRPr="004E7EEE" w:rsidRDefault="00E77B37" w:rsidP="004E7EEE">
            <w:pPr>
              <w:pStyle w:val="ListBullet"/>
              <w:numPr>
                <w:ilvl w:val="0"/>
                <w:numId w:val="0"/>
              </w:numPr>
              <w:spacing w:before="60" w:after="60"/>
              <w:rPr>
                <w:sz w:val="20"/>
                <w:szCs w:val="20"/>
              </w:rPr>
            </w:pPr>
            <w:r w:rsidRPr="004E7EEE">
              <w:rPr>
                <w:sz w:val="20"/>
                <w:szCs w:val="20"/>
              </w:rPr>
              <w:t xml:space="preserve">Monopoly pricing can also have adverse consequences for </w:t>
            </w:r>
            <w:r w:rsidR="0091279D" w:rsidRPr="004E7EEE">
              <w:rPr>
                <w:sz w:val="20"/>
                <w:szCs w:val="20"/>
              </w:rPr>
              <w:t xml:space="preserve">the productive, allocative and dynamic efficiency of the </w:t>
            </w:r>
            <w:r w:rsidRPr="004E7EEE">
              <w:rPr>
                <w:sz w:val="20"/>
                <w:szCs w:val="20"/>
              </w:rPr>
              <w:t>gas</w:t>
            </w:r>
            <w:r w:rsidR="0091279D" w:rsidRPr="004E7EEE">
              <w:rPr>
                <w:sz w:val="20"/>
                <w:szCs w:val="20"/>
              </w:rPr>
              <w:t>,</w:t>
            </w:r>
            <w:r w:rsidRPr="004E7EEE">
              <w:rPr>
                <w:sz w:val="20"/>
                <w:szCs w:val="20"/>
              </w:rPr>
              <w:t xml:space="preserve"> upstream and downstream markets</w:t>
            </w:r>
            <w:r w:rsidR="00F0732D" w:rsidRPr="004E7EEE">
              <w:rPr>
                <w:sz w:val="20"/>
                <w:szCs w:val="20"/>
              </w:rPr>
              <w:t xml:space="preserve"> and the broader economy</w:t>
            </w:r>
            <w:r w:rsidRPr="004E7EEE">
              <w:rPr>
                <w:sz w:val="20"/>
                <w:szCs w:val="20"/>
              </w:rPr>
              <w:t xml:space="preserve">, because it can result in: </w:t>
            </w:r>
          </w:p>
          <w:p w14:paraId="43E5882B" w14:textId="77777777" w:rsidR="00E77B37" w:rsidRPr="004E7EEE" w:rsidRDefault="00E77B37" w:rsidP="004E7EEE">
            <w:pPr>
              <w:pStyle w:val="ListBullet"/>
              <w:numPr>
                <w:ilvl w:val="0"/>
                <w:numId w:val="48"/>
              </w:numPr>
              <w:spacing w:before="60" w:after="60"/>
              <w:rPr>
                <w:sz w:val="20"/>
                <w:szCs w:val="20"/>
              </w:rPr>
            </w:pPr>
            <w:r w:rsidRPr="004E7EEE">
              <w:rPr>
                <w:sz w:val="20"/>
                <w:szCs w:val="20"/>
              </w:rPr>
              <w:t xml:space="preserve">lower than efficient levels of gas use and investment in downstream facilities; </w:t>
            </w:r>
          </w:p>
          <w:p w14:paraId="57A5A812" w14:textId="77777777" w:rsidR="00E77B37" w:rsidRPr="004E7EEE" w:rsidRDefault="00E77B37" w:rsidP="004E7EEE">
            <w:pPr>
              <w:pStyle w:val="ListBullet"/>
              <w:numPr>
                <w:ilvl w:val="0"/>
                <w:numId w:val="48"/>
              </w:numPr>
              <w:spacing w:before="60" w:after="60"/>
              <w:rPr>
                <w:sz w:val="20"/>
                <w:szCs w:val="20"/>
              </w:rPr>
            </w:pPr>
            <w:r w:rsidRPr="004E7EEE">
              <w:rPr>
                <w:sz w:val="20"/>
                <w:szCs w:val="20"/>
              </w:rPr>
              <w:t xml:space="preserve">lower than efficient levels of gas production and investment in exploration and reserves; </w:t>
            </w:r>
          </w:p>
          <w:p w14:paraId="092D9B33" w14:textId="77777777" w:rsidR="00EB25BC" w:rsidRPr="004E7EEE" w:rsidRDefault="00E77B37" w:rsidP="004E7EEE">
            <w:pPr>
              <w:pStyle w:val="ListBullet"/>
              <w:numPr>
                <w:ilvl w:val="0"/>
                <w:numId w:val="48"/>
              </w:numPr>
              <w:spacing w:before="60" w:after="60"/>
              <w:rPr>
                <w:sz w:val="20"/>
                <w:szCs w:val="20"/>
              </w:rPr>
            </w:pPr>
            <w:r w:rsidRPr="004E7EEE">
              <w:rPr>
                <w:sz w:val="20"/>
                <w:szCs w:val="20"/>
              </w:rPr>
              <w:t xml:space="preserve">inefficient utilisation of </w:t>
            </w:r>
            <w:r w:rsidR="00EB25BC" w:rsidRPr="004E7EEE">
              <w:rPr>
                <w:sz w:val="20"/>
                <w:szCs w:val="20"/>
              </w:rPr>
              <w:t xml:space="preserve">and investment in </w:t>
            </w:r>
            <w:r w:rsidRPr="004E7EEE">
              <w:rPr>
                <w:sz w:val="20"/>
                <w:szCs w:val="20"/>
              </w:rPr>
              <w:t>pipelines</w:t>
            </w:r>
            <w:r w:rsidR="00EB25BC" w:rsidRPr="004E7EEE">
              <w:rPr>
                <w:sz w:val="20"/>
                <w:szCs w:val="20"/>
              </w:rPr>
              <w:t xml:space="preserve">; and </w:t>
            </w:r>
          </w:p>
          <w:p w14:paraId="35A7B324" w14:textId="77777777" w:rsidR="00E77B37" w:rsidRPr="004E7EEE" w:rsidRDefault="00E77B37" w:rsidP="004E7EEE">
            <w:pPr>
              <w:pStyle w:val="ListBullet"/>
              <w:numPr>
                <w:ilvl w:val="0"/>
                <w:numId w:val="48"/>
              </w:numPr>
              <w:spacing w:before="60" w:after="160"/>
              <w:rPr>
                <w:sz w:val="20"/>
                <w:szCs w:val="20"/>
              </w:rPr>
            </w:pPr>
            <w:r w:rsidRPr="004E7EEE">
              <w:rPr>
                <w:sz w:val="20"/>
                <w:szCs w:val="20"/>
              </w:rPr>
              <w:t xml:space="preserve">potential distortions in gas flows across the market, which can prevent gas from flowing to where it is valued most. </w:t>
            </w:r>
          </w:p>
          <w:p w14:paraId="7D904E15" w14:textId="77777777" w:rsidR="00EB25BC" w:rsidRPr="004E7EEE" w:rsidRDefault="00EB25BC" w:rsidP="004E7EEE">
            <w:pPr>
              <w:pStyle w:val="BodyText"/>
              <w:keepNext/>
              <w:spacing w:before="60" w:after="60" w:line="264" w:lineRule="auto"/>
              <w:rPr>
                <w:b/>
                <w:bCs/>
                <w:sz w:val="20"/>
                <w:szCs w:val="20"/>
              </w:rPr>
            </w:pPr>
            <w:r w:rsidRPr="004E7EEE">
              <w:rPr>
                <w:b/>
                <w:bCs/>
                <w:sz w:val="20"/>
                <w:szCs w:val="20"/>
              </w:rPr>
              <w:t xml:space="preserve">Restriction or denial of access </w:t>
            </w:r>
          </w:p>
          <w:p w14:paraId="24106BF3" w14:textId="77777777" w:rsidR="00EB25BC" w:rsidRPr="004E7EEE" w:rsidRDefault="00E77B37" w:rsidP="004E7EEE">
            <w:pPr>
              <w:pStyle w:val="PullOutBoxBodyText"/>
              <w:spacing w:before="60" w:after="60" w:line="264" w:lineRule="auto"/>
              <w:rPr>
                <w:sz w:val="20"/>
                <w:szCs w:val="20"/>
              </w:rPr>
            </w:pPr>
            <w:r w:rsidRPr="004E7EEE">
              <w:rPr>
                <w:sz w:val="20"/>
                <w:szCs w:val="20"/>
              </w:rPr>
              <w:t xml:space="preserve">Similar inefficiencies </w:t>
            </w:r>
            <w:r w:rsidR="00EB25BC" w:rsidRPr="004E7EEE">
              <w:rPr>
                <w:sz w:val="20"/>
                <w:szCs w:val="20"/>
              </w:rPr>
              <w:t xml:space="preserve">to those described for monopoly pricing </w:t>
            </w:r>
            <w:r w:rsidRPr="004E7EEE">
              <w:rPr>
                <w:sz w:val="20"/>
                <w:szCs w:val="20"/>
              </w:rPr>
              <w:t xml:space="preserve">can arise if a service provider restricts or denies access to a pipeline. The other concern that is usually associated with </w:t>
            </w:r>
            <w:r w:rsidR="00EB25BC" w:rsidRPr="004E7EEE">
              <w:rPr>
                <w:sz w:val="20"/>
                <w:szCs w:val="20"/>
              </w:rPr>
              <w:t>this type of behaviour is that if it is engaged in by a vertically integrated service provider, it may limit competition in the upstream or downstream market in which the service provider competes</w:t>
            </w:r>
            <w:r w:rsidR="00C60196" w:rsidRPr="004E7EEE">
              <w:rPr>
                <w:sz w:val="20"/>
                <w:szCs w:val="20"/>
              </w:rPr>
              <w:t>, which can have adverse consequences for economic efficiency in those markets</w:t>
            </w:r>
            <w:r w:rsidR="00EB25BC" w:rsidRPr="004E7EEE">
              <w:rPr>
                <w:sz w:val="20"/>
                <w:szCs w:val="20"/>
              </w:rPr>
              <w:t xml:space="preserve">. </w:t>
            </w:r>
          </w:p>
          <w:p w14:paraId="250A078B" w14:textId="77777777" w:rsidR="00E77B37" w:rsidRPr="004E7EEE" w:rsidRDefault="00EB25BC" w:rsidP="004E7EEE">
            <w:pPr>
              <w:pStyle w:val="PullOutBoxBodyText"/>
              <w:spacing w:before="60" w:after="60" w:line="264" w:lineRule="auto"/>
              <w:rPr>
                <w:sz w:val="20"/>
                <w:szCs w:val="20"/>
              </w:rPr>
            </w:pPr>
            <w:r w:rsidRPr="004E7EEE">
              <w:rPr>
                <w:sz w:val="20"/>
                <w:szCs w:val="20"/>
              </w:rPr>
              <w:t xml:space="preserve">Even if a vertically integrated service provider does </w:t>
            </w:r>
            <w:r w:rsidR="00772489" w:rsidRPr="004E7EEE">
              <w:rPr>
                <w:sz w:val="20"/>
                <w:szCs w:val="20"/>
              </w:rPr>
              <w:t xml:space="preserve">provide </w:t>
            </w:r>
            <w:r w:rsidRPr="004E7EEE">
              <w:rPr>
                <w:sz w:val="20"/>
                <w:szCs w:val="20"/>
              </w:rPr>
              <w:t>access</w:t>
            </w:r>
            <w:r w:rsidR="00772489" w:rsidRPr="004E7EEE">
              <w:rPr>
                <w:sz w:val="20"/>
                <w:szCs w:val="20"/>
              </w:rPr>
              <w:t xml:space="preserve"> to the pipeline</w:t>
            </w:r>
            <w:r w:rsidRPr="004E7EEE">
              <w:rPr>
                <w:sz w:val="20"/>
                <w:szCs w:val="20"/>
              </w:rPr>
              <w:t xml:space="preserve">, it may still use its market power to </w:t>
            </w:r>
            <w:r w:rsidR="00772489" w:rsidRPr="004E7EEE">
              <w:rPr>
                <w:sz w:val="20"/>
                <w:szCs w:val="20"/>
              </w:rPr>
              <w:t xml:space="preserve">limit </w:t>
            </w:r>
            <w:r w:rsidRPr="004E7EEE">
              <w:rPr>
                <w:sz w:val="20"/>
                <w:szCs w:val="20"/>
              </w:rPr>
              <w:t xml:space="preserve">competition in </w:t>
            </w:r>
            <w:r w:rsidR="00772489" w:rsidRPr="004E7EEE">
              <w:rPr>
                <w:sz w:val="20"/>
                <w:szCs w:val="20"/>
              </w:rPr>
              <w:t xml:space="preserve">the upstream or downstream market </w:t>
            </w:r>
            <w:r w:rsidR="00F0732D" w:rsidRPr="004E7EEE">
              <w:rPr>
                <w:sz w:val="20"/>
                <w:szCs w:val="20"/>
              </w:rPr>
              <w:t xml:space="preserve">in which it competes </w:t>
            </w:r>
            <w:r w:rsidR="00772489" w:rsidRPr="004E7EEE">
              <w:rPr>
                <w:sz w:val="20"/>
                <w:szCs w:val="20"/>
              </w:rPr>
              <w:t xml:space="preserve">by </w:t>
            </w:r>
            <w:r w:rsidR="00546BD8" w:rsidRPr="004E7EEE">
              <w:rPr>
                <w:sz w:val="20"/>
                <w:szCs w:val="20"/>
              </w:rPr>
              <w:t xml:space="preserve">providing access to </w:t>
            </w:r>
            <w:r w:rsidR="00772489" w:rsidRPr="004E7EEE">
              <w:rPr>
                <w:sz w:val="20"/>
                <w:szCs w:val="20"/>
              </w:rPr>
              <w:t xml:space="preserve">its affiliate </w:t>
            </w:r>
            <w:r w:rsidR="00546BD8" w:rsidRPr="004E7EEE">
              <w:rPr>
                <w:sz w:val="20"/>
                <w:szCs w:val="20"/>
              </w:rPr>
              <w:t xml:space="preserve">on more favourable terms </w:t>
            </w:r>
            <w:r w:rsidR="00223149" w:rsidRPr="004E7EEE">
              <w:rPr>
                <w:sz w:val="20"/>
                <w:szCs w:val="20"/>
              </w:rPr>
              <w:t xml:space="preserve">(e.g. </w:t>
            </w:r>
            <w:r w:rsidR="00772489" w:rsidRPr="004E7EEE">
              <w:rPr>
                <w:sz w:val="20"/>
                <w:szCs w:val="20"/>
              </w:rPr>
              <w:t xml:space="preserve">through discriminatory </w:t>
            </w:r>
            <w:r w:rsidR="00223149" w:rsidRPr="004E7EEE">
              <w:rPr>
                <w:sz w:val="20"/>
                <w:szCs w:val="20"/>
              </w:rPr>
              <w:t xml:space="preserve">prices </w:t>
            </w:r>
            <w:r w:rsidR="00C60196" w:rsidRPr="004E7EEE">
              <w:rPr>
                <w:sz w:val="20"/>
                <w:szCs w:val="20"/>
              </w:rPr>
              <w:t>and</w:t>
            </w:r>
            <w:r w:rsidR="00223149" w:rsidRPr="004E7EEE">
              <w:rPr>
                <w:sz w:val="20"/>
                <w:szCs w:val="20"/>
              </w:rPr>
              <w:t>/or</w:t>
            </w:r>
            <w:r w:rsidR="00C60196" w:rsidRPr="004E7EEE">
              <w:rPr>
                <w:sz w:val="20"/>
                <w:szCs w:val="20"/>
              </w:rPr>
              <w:t xml:space="preserve"> non-p</w:t>
            </w:r>
            <w:r w:rsidR="00223149" w:rsidRPr="004E7EEE">
              <w:rPr>
                <w:sz w:val="20"/>
                <w:szCs w:val="20"/>
              </w:rPr>
              <w:t xml:space="preserve">rice terms and conditions) </w:t>
            </w:r>
            <w:r w:rsidR="00C2242D" w:rsidRPr="004E7EEE">
              <w:rPr>
                <w:sz w:val="20"/>
                <w:szCs w:val="20"/>
              </w:rPr>
              <w:t xml:space="preserve">or </w:t>
            </w:r>
            <w:r w:rsidR="00772489" w:rsidRPr="004E7EEE">
              <w:rPr>
                <w:sz w:val="20"/>
                <w:szCs w:val="20"/>
              </w:rPr>
              <w:t>other anti-competitive behaviours</w:t>
            </w:r>
            <w:r w:rsidR="00D85AFC" w:rsidRPr="004E7EEE">
              <w:rPr>
                <w:sz w:val="20"/>
                <w:szCs w:val="20"/>
              </w:rPr>
              <w:t>)</w:t>
            </w:r>
            <w:r w:rsidR="00772489" w:rsidRPr="004E7EEE">
              <w:rPr>
                <w:sz w:val="20"/>
                <w:szCs w:val="20"/>
              </w:rPr>
              <w:t xml:space="preserve">. </w:t>
            </w:r>
            <w:bookmarkEnd w:id="46"/>
          </w:p>
        </w:tc>
      </w:tr>
    </w:tbl>
    <w:bookmarkEnd w:id="40"/>
    <w:p w14:paraId="2AE10DAB" w14:textId="3ED3E4C8" w:rsidR="003554A0" w:rsidRDefault="003554A0" w:rsidP="003554A0">
      <w:pPr>
        <w:pStyle w:val="BodyText"/>
      </w:pPr>
      <w:r w:rsidRPr="006B4639">
        <w:lastRenderedPageBreak/>
        <w:t>In its 2015-16 Inquiry into the east coast gas market</w:t>
      </w:r>
      <w:r w:rsidRPr="006B4639">
        <w:rPr>
          <w:i/>
          <w:iCs/>
        </w:rPr>
        <w:t xml:space="preserve"> </w:t>
      </w:r>
      <w:r w:rsidRPr="006B4639">
        <w:t>(the ‘2015-16 Inquiry’)</w:t>
      </w:r>
      <w:r w:rsidRPr="006B4639">
        <w:rPr>
          <w:i/>
          <w:iCs/>
        </w:rPr>
        <w:t xml:space="preserve">, </w:t>
      </w:r>
      <w:r w:rsidRPr="006B4639">
        <w:t>the ACCC examined the prevalence of these two forms of market power and found that monopoly pricing was far more prevalent than</w:t>
      </w:r>
      <w:r w:rsidRPr="006B4639">
        <w:rPr>
          <w:i/>
          <w:iCs/>
        </w:rPr>
        <w:t xml:space="preserve"> </w:t>
      </w:r>
      <w:r w:rsidRPr="006B4639">
        <w:t>the restriction or denial of access. Elaborating on this further, the ACCC noted that the majority of pipelines in Australia are vertically separated and operating on an open access basis and do not therefore have an incentive to discourage access.</w:t>
      </w:r>
      <w:r w:rsidR="00370905">
        <w:rPr>
          <w:rFonts w:ascii="ZWAdobeF" w:hAnsi="ZWAdobeF" w:cs="ZWAdobeF"/>
          <w:sz w:val="2"/>
          <w:szCs w:val="2"/>
        </w:rPr>
        <w:t>28F</w:t>
      </w:r>
      <w:r w:rsidRPr="006B4639">
        <w:rPr>
          <w:rStyle w:val="FootnoteReference"/>
        </w:rPr>
        <w:footnoteReference w:id="30"/>
      </w:r>
      <w:r w:rsidRPr="006B4639">
        <w:t xml:space="preserve">  </w:t>
      </w:r>
    </w:p>
    <w:p w14:paraId="16D61092" w14:textId="344FCA87" w:rsidR="008F75B1" w:rsidRPr="006B4639" w:rsidRDefault="00397C28" w:rsidP="0014232F">
      <w:pPr>
        <w:pStyle w:val="BodyText"/>
        <w:rPr>
          <w:rFonts w:cs="Gotham Light"/>
          <w:color w:val="000000"/>
        </w:rPr>
      </w:pPr>
      <w:r w:rsidRPr="006B4639">
        <w:t xml:space="preserve">In principle, a service provider’s ability and/or incentive to </w:t>
      </w:r>
      <w:r w:rsidR="0058659F" w:rsidRPr="006B4639">
        <w:t xml:space="preserve">exercise market power </w:t>
      </w:r>
      <w:r w:rsidRPr="006B4639">
        <w:t>may be constrained in some way</w:t>
      </w:r>
      <w:r w:rsidR="00BE074F" w:rsidRPr="006B4639">
        <w:t xml:space="preserve">. It may, for example, be constrained by the </w:t>
      </w:r>
      <w:r w:rsidRPr="006B4639">
        <w:t>countervailing power</w:t>
      </w:r>
      <w:r w:rsidR="00370905">
        <w:rPr>
          <w:rFonts w:ascii="ZWAdobeF" w:hAnsi="ZWAdobeF" w:cs="ZWAdobeF"/>
          <w:sz w:val="2"/>
          <w:szCs w:val="2"/>
        </w:rPr>
        <w:t>29F</w:t>
      </w:r>
      <w:r w:rsidR="0061742A" w:rsidRPr="006B4639">
        <w:rPr>
          <w:rStyle w:val="FootnoteReference"/>
        </w:rPr>
        <w:footnoteReference w:id="31"/>
      </w:r>
      <w:r w:rsidRPr="006B4639">
        <w:t xml:space="preserve"> held by shippers</w:t>
      </w:r>
      <w:r w:rsidR="00772489" w:rsidRPr="006B4639">
        <w:t>,</w:t>
      </w:r>
      <w:r w:rsidRPr="006B4639">
        <w:t xml:space="preserve"> or </w:t>
      </w:r>
      <w:r w:rsidR="00BE074F" w:rsidRPr="006B4639">
        <w:t xml:space="preserve">competition from </w:t>
      </w:r>
      <w:r w:rsidR="00772489" w:rsidRPr="006B4639">
        <w:t xml:space="preserve">either </w:t>
      </w:r>
      <w:r w:rsidR="00BE074F" w:rsidRPr="006B4639">
        <w:t xml:space="preserve">another </w:t>
      </w:r>
      <w:r w:rsidRPr="006B4639">
        <w:t>pipeline</w:t>
      </w:r>
      <w:r w:rsidR="0061742A" w:rsidRPr="006B4639">
        <w:t xml:space="preserve"> </w:t>
      </w:r>
      <w:r w:rsidR="0061742A" w:rsidRPr="006B4639">
        <w:rPr>
          <w:rFonts w:cs="Gotham Light"/>
          <w:color w:val="000000"/>
        </w:rPr>
        <w:t>(see Box 2.</w:t>
      </w:r>
      <w:r w:rsidR="0058659F" w:rsidRPr="006B4639">
        <w:rPr>
          <w:rFonts w:cs="Gotham Light"/>
          <w:color w:val="000000"/>
        </w:rPr>
        <w:t>2</w:t>
      </w:r>
      <w:r w:rsidR="0061742A" w:rsidRPr="006B4639">
        <w:rPr>
          <w:rFonts w:cs="Gotham Light"/>
          <w:color w:val="000000"/>
        </w:rPr>
        <w:t xml:space="preserve">) or </w:t>
      </w:r>
      <w:r w:rsidR="00772489" w:rsidRPr="006B4639">
        <w:rPr>
          <w:rFonts w:cs="Gotham Light"/>
          <w:color w:val="000000"/>
        </w:rPr>
        <w:t xml:space="preserve">an </w:t>
      </w:r>
      <w:r w:rsidR="0061742A" w:rsidRPr="006B4639">
        <w:rPr>
          <w:rFonts w:cs="Gotham Light"/>
          <w:color w:val="000000"/>
        </w:rPr>
        <w:t>alternative energy source</w:t>
      </w:r>
      <w:r w:rsidRPr="006B4639">
        <w:t xml:space="preserve">. </w:t>
      </w:r>
      <w:r w:rsidR="008F75B1" w:rsidRPr="006B4639">
        <w:t xml:space="preserve">The strengths of these constraints were examined by the ACCC as part of its 2015-16 </w:t>
      </w:r>
      <w:r w:rsidR="00E42304" w:rsidRPr="006B4639">
        <w:t>Inquiry</w:t>
      </w:r>
      <w:r w:rsidR="008F75B1" w:rsidRPr="006B4639">
        <w:t xml:space="preserve">. In short, the ACCC found that the countervailing power of shippers and </w:t>
      </w:r>
      <w:r w:rsidR="008F75B1" w:rsidRPr="006B4639">
        <w:rPr>
          <w:rFonts w:cs="Gotham Light"/>
          <w:color w:val="000000"/>
        </w:rPr>
        <w:t>competition from other pipelines and alternative energy sources, were not posing an effective constraint on service providers in the east coast.</w:t>
      </w:r>
      <w:r w:rsidR="00370905">
        <w:rPr>
          <w:rFonts w:ascii="ZWAdobeF" w:hAnsi="ZWAdobeF" w:cs="ZWAdobeF"/>
          <w:sz w:val="2"/>
          <w:szCs w:val="2"/>
        </w:rPr>
        <w:t>30F</w:t>
      </w:r>
      <w:r w:rsidR="008F75B1" w:rsidRPr="006B4639">
        <w:rPr>
          <w:rStyle w:val="FootnoteReference"/>
        </w:rPr>
        <w:footnoteReference w:id="32"/>
      </w:r>
      <w:r w:rsidR="008F75B1" w:rsidRPr="006B4639">
        <w:rPr>
          <w:rFonts w:cs="Gotham Light"/>
          <w:color w:val="000000"/>
        </w:rPr>
        <w:t xml:space="preserve"> </w:t>
      </w:r>
    </w:p>
    <w:p w14:paraId="2D467467" w14:textId="741959E2" w:rsidR="008F75B1" w:rsidRPr="006B4639" w:rsidRDefault="008F75B1" w:rsidP="0014232F">
      <w:pPr>
        <w:pStyle w:val="BodyText"/>
      </w:pPr>
      <w:r w:rsidRPr="006B4639">
        <w:rPr>
          <w:rFonts w:cs="Gotham Light"/>
          <w:color w:val="000000"/>
        </w:rPr>
        <w:t>Similar views have been reached in other jurisdictions</w:t>
      </w:r>
      <w:r w:rsidR="00700B00" w:rsidRPr="006B4639">
        <w:rPr>
          <w:rFonts w:cs="Gotham Light"/>
          <w:color w:val="000000"/>
        </w:rPr>
        <w:t xml:space="preserve">, such as New Zealand, the United States, </w:t>
      </w:r>
      <w:r w:rsidR="00D57172" w:rsidRPr="006B4639">
        <w:rPr>
          <w:rFonts w:cs="Gotham Light"/>
          <w:color w:val="000000"/>
        </w:rPr>
        <w:t xml:space="preserve">Canada, </w:t>
      </w:r>
      <w:r w:rsidR="00700B00" w:rsidRPr="006B4639">
        <w:rPr>
          <w:rFonts w:cs="Gotham Light"/>
          <w:color w:val="000000"/>
        </w:rPr>
        <w:t>Great Britain and the European Union</w:t>
      </w:r>
      <w:r w:rsidR="00F0732D" w:rsidRPr="006B4639">
        <w:rPr>
          <w:rFonts w:cs="Gotham Light"/>
          <w:color w:val="000000"/>
        </w:rPr>
        <w:t xml:space="preserve">. In these </w:t>
      </w:r>
      <w:r w:rsidRPr="006B4639">
        <w:t xml:space="preserve">jurisdictions </w:t>
      </w:r>
      <w:r w:rsidR="00F0732D" w:rsidRPr="006B4639">
        <w:t xml:space="preserve">gas pipelines </w:t>
      </w:r>
      <w:r w:rsidRPr="006B4639">
        <w:t>are regulated by default through sector specific legislation</w:t>
      </w:r>
      <w:r w:rsidR="00F0732D" w:rsidRPr="006B4639">
        <w:t xml:space="preserve"> and while </w:t>
      </w:r>
      <w:r w:rsidR="003C4225" w:rsidRPr="006B4639">
        <w:t xml:space="preserve">some jurisdictions provide for </w:t>
      </w:r>
      <w:r w:rsidRPr="006B4639">
        <w:t xml:space="preserve">exemptions </w:t>
      </w:r>
      <w:r w:rsidR="003C4225" w:rsidRPr="006B4639">
        <w:t xml:space="preserve">to be obtained if a pipeline </w:t>
      </w:r>
      <w:r w:rsidRPr="006B4639">
        <w:t>lack</w:t>
      </w:r>
      <w:r w:rsidR="003C4225" w:rsidRPr="006B4639">
        <w:t>s</w:t>
      </w:r>
      <w:r w:rsidRPr="006B4639">
        <w:t xml:space="preserve"> market power</w:t>
      </w:r>
      <w:r w:rsidR="00F0732D" w:rsidRPr="006B4639">
        <w:t xml:space="preserve"> (or for smaller </w:t>
      </w:r>
      <w:r w:rsidR="000C1430" w:rsidRPr="006B4639">
        <w:t xml:space="preserve">or single user </w:t>
      </w:r>
      <w:r w:rsidR="00F0732D" w:rsidRPr="006B4639">
        <w:t>dedicated pipelines)</w:t>
      </w:r>
      <w:r w:rsidRPr="006B4639">
        <w:t xml:space="preserve">, there are few, if any, examples of major transmission pipelines being unregulated because they </w:t>
      </w:r>
      <w:r w:rsidR="00200D72">
        <w:t xml:space="preserve">lack </w:t>
      </w:r>
      <w:r w:rsidRPr="006B4639">
        <w:t>market power.</w:t>
      </w:r>
      <w:r w:rsidR="00370905">
        <w:rPr>
          <w:rFonts w:ascii="ZWAdobeF" w:hAnsi="ZWAdobeF" w:cs="ZWAdobeF"/>
          <w:sz w:val="2"/>
          <w:szCs w:val="2"/>
        </w:rPr>
        <w:t>31F</w:t>
      </w:r>
      <w:r w:rsidRPr="006B4639">
        <w:rPr>
          <w:rStyle w:val="FootnoteReference"/>
        </w:rPr>
        <w:footnoteReference w:id="33"/>
      </w:r>
      <w:r w:rsidRPr="006B4639">
        <w:t xml:space="preserve"> </w:t>
      </w:r>
    </w:p>
    <w:p w14:paraId="02EC5236" w14:textId="01984304" w:rsidR="00397C28" w:rsidRPr="006B4639" w:rsidRDefault="00397C28" w:rsidP="0014232F">
      <w:pPr>
        <w:pStyle w:val="Caption"/>
        <w:spacing w:before="120" w:after="0"/>
      </w:pPr>
      <w:r w:rsidRPr="006B4639">
        <w:t xml:space="preserve">Box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2</w:t>
      </w:r>
      <w:r w:rsidR="00F323B2">
        <w:rPr>
          <w:noProof/>
        </w:rPr>
        <w:fldChar w:fldCharType="end"/>
      </w:r>
      <w:r w:rsidR="00B80405">
        <w:t>.</w:t>
      </w:r>
      <w:r w:rsidR="00F323B2">
        <w:rPr>
          <w:noProof/>
        </w:rPr>
        <w:fldChar w:fldCharType="begin"/>
      </w:r>
      <w:r w:rsidR="00F323B2">
        <w:rPr>
          <w:noProof/>
        </w:rPr>
        <w:instrText xml:space="preserve"> SEQ Box \* ARABIC \s 1 </w:instrText>
      </w:r>
      <w:r w:rsidR="00F323B2">
        <w:rPr>
          <w:noProof/>
        </w:rPr>
        <w:fldChar w:fldCharType="separate"/>
      </w:r>
      <w:r w:rsidR="004031E8">
        <w:rPr>
          <w:noProof/>
        </w:rPr>
        <w:t>2</w:t>
      </w:r>
      <w:r w:rsidR="00F323B2">
        <w:rPr>
          <w:noProof/>
        </w:rPr>
        <w:fldChar w:fldCharType="end"/>
      </w:r>
      <w:r w:rsidRPr="006B4639">
        <w:t>: Competition from other pipelines</w:t>
      </w:r>
    </w:p>
    <w:tbl>
      <w:tblPr>
        <w:tblStyle w:val="PullOutBoxTable"/>
        <w:tblW w:w="5000" w:type="pct"/>
        <w:tblLook w:val="0600" w:firstRow="0" w:lastRow="0" w:firstColumn="0" w:lastColumn="0" w:noHBand="1" w:noVBand="1"/>
      </w:tblPr>
      <w:tblGrid>
        <w:gridCol w:w="8788"/>
      </w:tblGrid>
      <w:tr w:rsidR="00397C28" w:rsidRPr="006D2951" w14:paraId="29C75DF7" w14:textId="77777777" w:rsidTr="00397C28">
        <w:tc>
          <w:tcPr>
            <w:tcW w:w="5000" w:type="pct"/>
            <w:hideMark/>
          </w:tcPr>
          <w:p w14:paraId="3F1A9D56" w14:textId="77777777" w:rsidR="00397C28" w:rsidRPr="006D2951" w:rsidRDefault="00397C28" w:rsidP="0014232F">
            <w:pPr>
              <w:keepNext/>
              <w:autoSpaceDE w:val="0"/>
              <w:autoSpaceDN w:val="0"/>
              <w:adjustRightInd w:val="0"/>
              <w:spacing w:after="60" w:line="264" w:lineRule="auto"/>
              <w:rPr>
                <w:rFonts w:asciiTheme="majorHAnsi" w:hAnsiTheme="majorHAnsi" w:cstheme="majorHAnsi"/>
                <w:color w:val="000000"/>
                <w:sz w:val="20"/>
                <w:szCs w:val="20"/>
              </w:rPr>
            </w:pPr>
            <w:r w:rsidRPr="006D2951">
              <w:rPr>
                <w:rFonts w:asciiTheme="majorHAnsi" w:hAnsiTheme="majorHAnsi" w:cstheme="majorHAnsi"/>
                <w:color w:val="000000"/>
                <w:sz w:val="20"/>
                <w:szCs w:val="20"/>
              </w:rPr>
              <w:t xml:space="preserve">A pipeline can potentially face two types of competition from other gas pipelines: </w:t>
            </w:r>
          </w:p>
          <w:p w14:paraId="7B12BD2A" w14:textId="77777777" w:rsidR="00397C28" w:rsidRPr="006D2951" w:rsidRDefault="00397C28" w:rsidP="00AD36B8">
            <w:pPr>
              <w:pStyle w:val="ListBullet"/>
              <w:rPr>
                <w:sz w:val="20"/>
                <w:szCs w:val="20"/>
              </w:rPr>
            </w:pPr>
            <w:r w:rsidRPr="006D2951">
              <w:rPr>
                <w:sz w:val="20"/>
                <w:szCs w:val="20"/>
              </w:rPr>
              <w:t xml:space="preserve">direct competition, which involves two or more independently owned pipelines transporting gas from the same gas field to the same destination, or </w:t>
            </w:r>
          </w:p>
          <w:p w14:paraId="18EFEBB2" w14:textId="77777777" w:rsidR="00397C28" w:rsidRPr="006D2951" w:rsidRDefault="00397C28" w:rsidP="00AD36B8">
            <w:pPr>
              <w:pStyle w:val="ListBullet"/>
              <w:rPr>
                <w:sz w:val="20"/>
                <w:szCs w:val="20"/>
              </w:rPr>
            </w:pPr>
            <w:r w:rsidRPr="006D2951">
              <w:rPr>
                <w:sz w:val="20"/>
                <w:szCs w:val="20"/>
              </w:rPr>
              <w:t xml:space="preserve">indirect competition, which involves two or more independently owned pipelines competing to supply gas from different fields to the same destination. </w:t>
            </w:r>
          </w:p>
          <w:p w14:paraId="4731D3D2" w14:textId="77777777" w:rsidR="00397C28" w:rsidRPr="006D2951" w:rsidRDefault="00397C28" w:rsidP="0014232F">
            <w:pPr>
              <w:pStyle w:val="BodyText"/>
              <w:keepNext/>
              <w:spacing w:after="60" w:line="264" w:lineRule="auto"/>
              <w:rPr>
                <w:sz w:val="20"/>
                <w:szCs w:val="20"/>
              </w:rPr>
            </w:pPr>
            <w:r w:rsidRPr="006D2951">
              <w:rPr>
                <w:sz w:val="20"/>
                <w:szCs w:val="20"/>
              </w:rPr>
              <w:t xml:space="preserve">Both direct and indirect pipeline competition can create conditions for competition in the market, depending on factors such as geographic location of supply and demand centers. The mere presence of alternative routes for the source of supply or connections to the same demand point of alternative supply sources does not in and of itself imply that pipeline competition is effective (i.e. will eliminate market power). </w:t>
            </w:r>
          </w:p>
          <w:p w14:paraId="5D97F60E" w14:textId="77777777" w:rsidR="00397C28" w:rsidRPr="006D2951" w:rsidRDefault="00397C28" w:rsidP="0014232F">
            <w:pPr>
              <w:pStyle w:val="BodyText"/>
              <w:keepNext/>
              <w:spacing w:after="60" w:line="264" w:lineRule="auto"/>
              <w:rPr>
                <w:rFonts w:asciiTheme="majorHAnsi" w:hAnsiTheme="majorHAnsi" w:cstheme="majorHAnsi"/>
                <w:sz w:val="20"/>
                <w:szCs w:val="20"/>
              </w:rPr>
            </w:pPr>
            <w:r w:rsidRPr="006D2951">
              <w:rPr>
                <w:sz w:val="20"/>
                <w:szCs w:val="20"/>
              </w:rPr>
              <w:t xml:space="preserve">The extent of this constraint will depend on the relative costs of the gas supply sources involved, the distance it must be transported and the capacity of the pipeline and gas field in question. Furthermore, if competition comes from alternate routes or sources of supply, it may not result in competition for any offtakes along the route. </w:t>
            </w:r>
            <w:r w:rsidR="00761323" w:rsidRPr="006D2951">
              <w:rPr>
                <w:sz w:val="20"/>
                <w:szCs w:val="20"/>
              </w:rPr>
              <w:t xml:space="preserve">For example, while Sydney and Canberra are both served by the Moomba to Sydney Pipeline and the Eastern Gas Pipeline other delivery points on these two pipelines are only serviced by a single pipeline. </w:t>
            </w:r>
          </w:p>
        </w:tc>
      </w:tr>
    </w:tbl>
    <w:p w14:paraId="606C8F44" w14:textId="0B9A1FD3" w:rsidR="003C4225" w:rsidRPr="006B4639" w:rsidRDefault="003C4225" w:rsidP="000C2A3A">
      <w:pPr>
        <w:pStyle w:val="BodyText"/>
        <w:spacing w:line="252" w:lineRule="auto"/>
      </w:pPr>
      <w:r w:rsidRPr="006B4639">
        <w:t xml:space="preserve">While the ACCC found that there were few constraints on the behaviour of </w:t>
      </w:r>
      <w:r w:rsidRPr="006B4639">
        <w:rPr>
          <w:i/>
          <w:iCs/>
        </w:rPr>
        <w:t>existing</w:t>
      </w:r>
      <w:r w:rsidRPr="006B4639">
        <w:t xml:space="preserve"> pipelines, it did note the potential for </w:t>
      </w:r>
      <w:r w:rsidR="00FD7433" w:rsidRPr="006B4639">
        <w:t xml:space="preserve">the market power of </w:t>
      </w:r>
      <w:r w:rsidR="00FD7433" w:rsidRPr="006B4639">
        <w:rPr>
          <w:i/>
          <w:iCs/>
        </w:rPr>
        <w:t>new</w:t>
      </w:r>
      <w:r w:rsidR="00FD7433" w:rsidRPr="006B4639">
        <w:t xml:space="preserve"> pipelines to be constrained for a period of time where there has been </w:t>
      </w:r>
      <w:r w:rsidRPr="006B4639">
        <w:t xml:space="preserve">competition </w:t>
      </w:r>
      <w:r w:rsidR="00FD7433" w:rsidRPr="006B4639">
        <w:rPr>
          <w:i/>
          <w:iCs/>
        </w:rPr>
        <w:t>for</w:t>
      </w:r>
      <w:r w:rsidR="00FD7433" w:rsidRPr="006B4639">
        <w:t xml:space="preserve"> the market. </w:t>
      </w:r>
      <w:r w:rsidRPr="006B4639">
        <w:t>Provided there is effective competition to develop and build the new capacity, then shippers should</w:t>
      </w:r>
      <w:r w:rsidR="00FD7433" w:rsidRPr="006B4639">
        <w:t>, as the ACCC noted,</w:t>
      </w:r>
      <w:r w:rsidRPr="006B4639">
        <w:t xml:space="preserve"> be able to use the competitive tension between prospective service </w:t>
      </w:r>
      <w:r w:rsidRPr="006B4639">
        <w:lastRenderedPageBreak/>
        <w:t>providers to negotiate long-term transportation contracts that are not affected by the exercise of market power.</w:t>
      </w:r>
      <w:r w:rsidR="00370905">
        <w:rPr>
          <w:rFonts w:ascii="ZWAdobeF" w:hAnsi="ZWAdobeF" w:cs="ZWAdobeF"/>
          <w:sz w:val="2"/>
          <w:szCs w:val="2"/>
        </w:rPr>
        <w:t>32F</w:t>
      </w:r>
      <w:r w:rsidRPr="006B4639">
        <w:rPr>
          <w:rStyle w:val="FootnoteReference"/>
        </w:rPr>
        <w:footnoteReference w:id="34"/>
      </w:r>
      <w:r w:rsidRPr="006B4639">
        <w:t xml:space="preserve"> </w:t>
      </w:r>
    </w:p>
    <w:p w14:paraId="3FC108EE" w14:textId="77777777" w:rsidR="003C4225" w:rsidRPr="006B4639" w:rsidRDefault="00FD7433" w:rsidP="000C2A3A">
      <w:pPr>
        <w:pStyle w:val="BodyText"/>
        <w:spacing w:line="252" w:lineRule="auto"/>
      </w:pPr>
      <w:r w:rsidRPr="006B4639">
        <w:t xml:space="preserve">Although </w:t>
      </w:r>
      <w:r w:rsidR="003C4225" w:rsidRPr="006B4639">
        <w:t xml:space="preserve">competition for the market is possible, once it has occurred and the investment made, the service provider may be able to exercise its static market power when entering into new contracts (or varying existing contracts) with shippers. That is, while foundation shippers may be protected in relation to the services they have procured for the term of the </w:t>
      </w:r>
      <w:r w:rsidR="00B96CCB">
        <w:t xml:space="preserve">foundation </w:t>
      </w:r>
      <w:r w:rsidR="003C4225" w:rsidRPr="006B4639">
        <w:t>contract, other shippers that were not a party to the original competitive process may still be exposed to exercise</w:t>
      </w:r>
      <w:r w:rsidR="006B095E">
        <w:t>s</w:t>
      </w:r>
      <w:r w:rsidR="003C4225" w:rsidRPr="006B4639">
        <w:t xml:space="preserve"> of market power. Foundation shippers may also be exposed to market power when procuring additional services, or when entering into new contracts. Competition for the market cannot therefore be relied upon to constrain the exercise of static market power over the longer term. </w:t>
      </w:r>
    </w:p>
    <w:p w14:paraId="6B807B82" w14:textId="77777777" w:rsidR="000B668B" w:rsidRPr="006B4639" w:rsidRDefault="000B668B" w:rsidP="000C2A3A">
      <w:pPr>
        <w:pStyle w:val="BodyText"/>
        <w:spacing w:line="252" w:lineRule="auto"/>
      </w:pPr>
      <w:r w:rsidRPr="006B4639">
        <w:t xml:space="preserve">As noted above, exercises of market power by a service provider can have an adverse effect on economic efficiency and consumers more generally. </w:t>
      </w:r>
      <w:r w:rsidR="00FD7433" w:rsidRPr="006B4639">
        <w:t xml:space="preserve">Regulation may therefore be required </w:t>
      </w:r>
      <w:r w:rsidRPr="006B4639">
        <w:t>where the market itself does not provide sufficient limits on the incentive and/or ability of service providers to exercise market power.</w:t>
      </w:r>
      <w:r w:rsidR="00F0732D" w:rsidRPr="006B4639">
        <w:t xml:space="preserve"> </w:t>
      </w:r>
    </w:p>
    <w:p w14:paraId="3B0F1D64" w14:textId="77777777" w:rsidR="00397C28" w:rsidRPr="006B4639" w:rsidRDefault="001E5D77" w:rsidP="000C2A3A">
      <w:pPr>
        <w:pStyle w:val="Heading3"/>
        <w:spacing w:before="240" w:line="252" w:lineRule="auto"/>
      </w:pPr>
      <w:bookmarkStart w:id="47" w:name="_Toc15871509"/>
      <w:r w:rsidRPr="006B4639">
        <w:t xml:space="preserve">Exercises of </w:t>
      </w:r>
      <w:r w:rsidR="00CD6F88" w:rsidRPr="006B4639">
        <w:t>d</w:t>
      </w:r>
      <w:r w:rsidR="00397C28" w:rsidRPr="006B4639">
        <w:t>ynamic market power</w:t>
      </w:r>
      <w:bookmarkEnd w:id="47"/>
    </w:p>
    <w:p w14:paraId="4DE76636" w14:textId="4D101FF7" w:rsidR="00397C28" w:rsidRPr="006B4639" w:rsidRDefault="00397C28" w:rsidP="000C2A3A">
      <w:pPr>
        <w:pStyle w:val="BodyText"/>
        <w:spacing w:before="120" w:line="252" w:lineRule="auto"/>
      </w:pPr>
      <w:r w:rsidRPr="006B4639">
        <w:t xml:space="preserve">In addition to exercising market power over shippers, service providers may be able to use their market power to block efficient competition from new pipelines </w:t>
      </w:r>
      <w:r w:rsidR="003554A0">
        <w:t>(</w:t>
      </w:r>
      <w:r w:rsidRPr="006B4639">
        <w:t>or future rounds of competition for the market</w:t>
      </w:r>
      <w:r w:rsidR="003554A0">
        <w:t>)</w:t>
      </w:r>
      <w:r w:rsidR="0061742A" w:rsidRPr="006B4639">
        <w:t xml:space="preserve"> </w:t>
      </w:r>
      <w:r w:rsidR="003F1B44">
        <w:t>whe</w:t>
      </w:r>
      <w:r w:rsidR="00810F8D">
        <w:t>re</w:t>
      </w:r>
      <w:r w:rsidR="003F1B44">
        <w:t xml:space="preserve"> competition is viable (see </w:t>
      </w:r>
      <w:r w:rsidR="00CA0701">
        <w:fldChar w:fldCharType="begin" w:fldLock="1"/>
      </w:r>
      <w:r w:rsidR="00CA0701">
        <w:instrText xml:space="preserve"> REF _Ref52336398 \h </w:instrText>
      </w:r>
      <w:r w:rsidR="00CA0701">
        <w:fldChar w:fldCharType="separate"/>
      </w:r>
      <w:r w:rsidR="00036405">
        <w:t xml:space="preserve">Box </w:t>
      </w:r>
      <w:r w:rsidR="00036405">
        <w:rPr>
          <w:noProof/>
        </w:rPr>
        <w:t>2</w:t>
      </w:r>
      <w:r w:rsidR="00036405">
        <w:t>.</w:t>
      </w:r>
      <w:r w:rsidR="00036405">
        <w:rPr>
          <w:noProof/>
        </w:rPr>
        <w:t>3</w:t>
      </w:r>
      <w:r w:rsidR="00CA0701">
        <w:fldChar w:fldCharType="end"/>
      </w:r>
      <w:r w:rsidR="00CA0701">
        <w:t xml:space="preserve">) </w:t>
      </w:r>
      <w:r w:rsidR="0061742A" w:rsidRPr="006B4639">
        <w:t>and, in so doing, further entrench their static market power</w:t>
      </w:r>
      <w:r w:rsidRPr="006B4639">
        <w:t>. The service provider could, for example</w:t>
      </w:r>
      <w:r w:rsidR="00033127" w:rsidRPr="006B4639">
        <w:t>, block the entry of a new pipeline by</w:t>
      </w:r>
      <w:r w:rsidRPr="006B4639">
        <w:t>:</w:t>
      </w:r>
    </w:p>
    <w:p w14:paraId="4148FA23" w14:textId="77777777" w:rsidR="00397C28" w:rsidRPr="006B4639" w:rsidRDefault="00CA0701" w:rsidP="003E4F05">
      <w:pPr>
        <w:pStyle w:val="ListBullet"/>
      </w:pPr>
      <w:r>
        <w:t>preventing</w:t>
      </w:r>
      <w:r w:rsidR="00397C28" w:rsidRPr="006B4639">
        <w:t xml:space="preserve"> other service providers </w:t>
      </w:r>
      <w:r>
        <w:t xml:space="preserve">from </w:t>
      </w:r>
      <w:r w:rsidR="00397C28" w:rsidRPr="006B4639">
        <w:t>interconnect</w:t>
      </w:r>
      <w:r>
        <w:t>ing</w:t>
      </w:r>
      <w:r w:rsidR="00397C28" w:rsidRPr="006B4639">
        <w:t xml:space="preserve"> to </w:t>
      </w:r>
      <w:r w:rsidR="001E5D77" w:rsidRPr="006B4639">
        <w:t>the</w:t>
      </w:r>
      <w:r w:rsidR="00033127" w:rsidRPr="006B4639">
        <w:t>ir</w:t>
      </w:r>
      <w:r w:rsidR="001E5D77" w:rsidRPr="006B4639">
        <w:t xml:space="preserve"> </w:t>
      </w:r>
      <w:r w:rsidR="00CD6F88" w:rsidRPr="006B4639">
        <w:t>pipeline</w:t>
      </w:r>
      <w:r w:rsidR="00397C28" w:rsidRPr="006B4639">
        <w:t>, or by charging excessive prices for doing so; and</w:t>
      </w:r>
      <w:r w:rsidR="005F2586">
        <w:t>/or</w:t>
      </w:r>
    </w:p>
    <w:p w14:paraId="27B0E65C" w14:textId="77777777" w:rsidR="00397C28" w:rsidRPr="006B4639" w:rsidRDefault="00397C28" w:rsidP="003E4F05">
      <w:pPr>
        <w:pStyle w:val="ListBullet"/>
      </w:pPr>
      <w:r w:rsidRPr="006B4639">
        <w:t xml:space="preserve">pricing </w:t>
      </w:r>
      <w:r w:rsidR="005F2586">
        <w:t xml:space="preserve">extensions or expansions </w:t>
      </w:r>
      <w:r w:rsidRPr="006B4639">
        <w:t xml:space="preserve">below the incremental cost of providing </w:t>
      </w:r>
      <w:r w:rsidR="005F2586">
        <w:t xml:space="preserve">the </w:t>
      </w:r>
      <w:r w:rsidRPr="006B4639">
        <w:t>new capacity</w:t>
      </w:r>
      <w:r w:rsidR="00200D72">
        <w:t xml:space="preserve"> and recouping the difference from existing shippers</w:t>
      </w:r>
      <w:r w:rsidRPr="006B4639">
        <w:t>.</w:t>
      </w:r>
    </w:p>
    <w:p w14:paraId="48822280" w14:textId="2740C974" w:rsidR="00CA0701" w:rsidRDefault="00CA0701" w:rsidP="00CA0701">
      <w:pPr>
        <w:pStyle w:val="Caption"/>
        <w:spacing w:after="0"/>
      </w:pPr>
      <w:bookmarkStart w:id="48" w:name="_Ref52336398"/>
      <w:r>
        <w:t xml:space="preserve">Box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2</w:t>
      </w:r>
      <w:r w:rsidR="00F323B2">
        <w:rPr>
          <w:noProof/>
        </w:rPr>
        <w:fldChar w:fldCharType="end"/>
      </w:r>
      <w:r w:rsidR="00B80405">
        <w:t>.</w:t>
      </w:r>
      <w:r w:rsidR="00F323B2">
        <w:rPr>
          <w:noProof/>
        </w:rPr>
        <w:fldChar w:fldCharType="begin"/>
      </w:r>
      <w:r w:rsidR="00F323B2">
        <w:rPr>
          <w:noProof/>
        </w:rPr>
        <w:instrText xml:space="preserve"> SEQ Box \* ARABIC \s 1 </w:instrText>
      </w:r>
      <w:r w:rsidR="00F323B2">
        <w:rPr>
          <w:noProof/>
        </w:rPr>
        <w:fldChar w:fldCharType="separate"/>
      </w:r>
      <w:r w:rsidR="004031E8">
        <w:rPr>
          <w:noProof/>
        </w:rPr>
        <w:t>3</w:t>
      </w:r>
      <w:r w:rsidR="00F323B2">
        <w:rPr>
          <w:noProof/>
        </w:rPr>
        <w:fldChar w:fldCharType="end"/>
      </w:r>
      <w:bookmarkEnd w:id="48"/>
      <w:r>
        <w:t>: When could competition be viable?</w:t>
      </w:r>
    </w:p>
    <w:tbl>
      <w:tblPr>
        <w:tblStyle w:val="PullOutBoxTable"/>
        <w:tblW w:w="5000" w:type="pct"/>
        <w:tblLook w:val="0600" w:firstRow="0" w:lastRow="0" w:firstColumn="0" w:lastColumn="0" w:noHBand="1" w:noVBand="1"/>
      </w:tblPr>
      <w:tblGrid>
        <w:gridCol w:w="8788"/>
      </w:tblGrid>
      <w:tr w:rsidR="00CA0701" w:rsidRPr="003E4F05" w14:paraId="4D67695C" w14:textId="77777777" w:rsidTr="00CF688C">
        <w:tc>
          <w:tcPr>
            <w:tcW w:w="5000" w:type="pct"/>
          </w:tcPr>
          <w:p w14:paraId="4372627D" w14:textId="77777777" w:rsidR="00CA0701" w:rsidRPr="003E4F05" w:rsidRDefault="00CA0701" w:rsidP="000C2A3A">
            <w:pPr>
              <w:pStyle w:val="BodyText"/>
              <w:spacing w:before="60" w:after="60"/>
              <w:rPr>
                <w:sz w:val="20"/>
                <w:szCs w:val="20"/>
              </w:rPr>
            </w:pPr>
            <w:r w:rsidRPr="003E4F05">
              <w:rPr>
                <w:sz w:val="20"/>
                <w:szCs w:val="20"/>
              </w:rPr>
              <w:t>Outside the Victorian Transmission System</w:t>
            </w:r>
            <w:r w:rsidR="00B96CCB" w:rsidRPr="003E4F05">
              <w:rPr>
                <w:sz w:val="20"/>
                <w:szCs w:val="20"/>
              </w:rPr>
              <w:t xml:space="preserve"> (VS)</w:t>
            </w:r>
            <w:r w:rsidRPr="003E4F05">
              <w:rPr>
                <w:sz w:val="20"/>
                <w:szCs w:val="20"/>
              </w:rPr>
              <w:t xml:space="preserve">, competition can occur between pipeline operators to construct new transmission capacity. For example: </w:t>
            </w:r>
          </w:p>
          <w:p w14:paraId="16393506" w14:textId="77777777" w:rsidR="00CA0701" w:rsidRPr="003E4F05" w:rsidRDefault="00CA0701" w:rsidP="00AD36B8">
            <w:pPr>
              <w:pStyle w:val="ListBullet"/>
              <w:rPr>
                <w:sz w:val="20"/>
                <w:szCs w:val="20"/>
              </w:rPr>
            </w:pPr>
            <w:r w:rsidRPr="003E4F05">
              <w:rPr>
                <w:sz w:val="20"/>
                <w:szCs w:val="20"/>
              </w:rPr>
              <w:t>if incremental demand is located in close proximity to an existing pipeline, but it could not be met by the existing capacity of the pipeline, then this demand could either be met by the development of a new pipeline by an alternative operator or an expansion of the existing pipeline by the incumbent service provider;</w:t>
            </w:r>
          </w:p>
          <w:p w14:paraId="2BB3D1F7" w14:textId="77777777" w:rsidR="00CA0701" w:rsidRPr="003E4F05" w:rsidRDefault="00CA0701" w:rsidP="00AD36B8">
            <w:pPr>
              <w:pStyle w:val="ListBullet"/>
              <w:rPr>
                <w:sz w:val="20"/>
                <w:szCs w:val="20"/>
              </w:rPr>
            </w:pPr>
            <w:bookmarkStart w:id="49" w:name="_Hlk16593123"/>
            <w:r w:rsidRPr="003E4F05">
              <w:rPr>
                <w:sz w:val="20"/>
                <w:szCs w:val="20"/>
              </w:rPr>
              <w:t xml:space="preserve">if incremental demand is located in close proximity to two pipelines (owned by different parties), but it could not be met by the existing capacity of either pipeline, then this demand could potentially be met by the development of a new pipeline by an alternative operator or one of the existing pipelines being expanded by the relevant service provider; </w:t>
            </w:r>
            <w:bookmarkEnd w:id="49"/>
            <w:r w:rsidRPr="003E4F05">
              <w:rPr>
                <w:sz w:val="20"/>
                <w:szCs w:val="20"/>
              </w:rPr>
              <w:t>and</w:t>
            </w:r>
          </w:p>
          <w:p w14:paraId="2C8ABFB5" w14:textId="77777777" w:rsidR="00CA0701" w:rsidRPr="003E4F05" w:rsidRDefault="00CA0701" w:rsidP="00AD36B8">
            <w:pPr>
              <w:pStyle w:val="ListBullet"/>
              <w:rPr>
                <w:sz w:val="20"/>
                <w:szCs w:val="20"/>
              </w:rPr>
            </w:pPr>
            <w:r w:rsidRPr="003E4F05">
              <w:rPr>
                <w:sz w:val="20"/>
                <w:szCs w:val="20"/>
              </w:rPr>
              <w:t xml:space="preserve">if incremental demand was located some distance from an existing pipeline, then it could either be met by the development of a new pipeline by an alternative operator that would interconnect with the existing pipeline, or by an extension of the existing pipeline by the incumbent service provider. </w:t>
            </w:r>
          </w:p>
          <w:p w14:paraId="61E94776" w14:textId="32C3AAB5" w:rsidR="00CA0701" w:rsidRPr="003E4F05" w:rsidRDefault="00CA0701" w:rsidP="000C2A3A">
            <w:pPr>
              <w:pStyle w:val="BodyText"/>
              <w:spacing w:before="60" w:after="60"/>
              <w:rPr>
                <w:sz w:val="20"/>
                <w:szCs w:val="20"/>
              </w:rPr>
            </w:pPr>
            <w:r w:rsidRPr="003E4F05">
              <w:rPr>
                <w:sz w:val="20"/>
                <w:szCs w:val="20"/>
              </w:rPr>
              <w:t xml:space="preserve">In each of these examples there could be competition </w:t>
            </w:r>
            <w:r w:rsidRPr="003E4F05">
              <w:rPr>
                <w:i/>
                <w:sz w:val="20"/>
                <w:szCs w:val="20"/>
              </w:rPr>
              <w:t>for</w:t>
            </w:r>
            <w:r w:rsidRPr="003E4F05">
              <w:rPr>
                <w:sz w:val="20"/>
                <w:szCs w:val="20"/>
              </w:rPr>
              <w:t xml:space="preserve"> the development of new capacity, although competition between expansions and new pipelines is only likely to occur where the existing pipeline has exhausted its economies of scale (given its initial design), or is attempting to exercise market power.</w:t>
            </w:r>
            <w:r w:rsidR="00370905">
              <w:rPr>
                <w:rFonts w:ascii="ZWAdobeF" w:hAnsi="ZWAdobeF" w:cs="ZWAdobeF"/>
                <w:sz w:val="2"/>
                <w:szCs w:val="2"/>
              </w:rPr>
              <w:t>33F</w:t>
            </w:r>
            <w:r w:rsidRPr="003E4F05">
              <w:rPr>
                <w:rStyle w:val="FootnoteReference"/>
                <w:sz w:val="20"/>
                <w:szCs w:val="20"/>
              </w:rPr>
              <w:footnoteReference w:id="35"/>
            </w:r>
            <w:r w:rsidRPr="003E4F05">
              <w:rPr>
                <w:sz w:val="20"/>
                <w:szCs w:val="20"/>
              </w:rPr>
              <w:t xml:space="preserve">  </w:t>
            </w:r>
          </w:p>
        </w:tc>
      </w:tr>
    </w:tbl>
    <w:p w14:paraId="1341D30E" w14:textId="77777777" w:rsidR="00397C28" w:rsidRPr="006B4639" w:rsidRDefault="00CD6F88" w:rsidP="0014232F">
      <w:pPr>
        <w:pStyle w:val="BodyText"/>
        <w:rPr>
          <w:rFonts w:eastAsiaTheme="minorHAnsi"/>
        </w:rPr>
      </w:pPr>
      <w:r w:rsidRPr="006B4639">
        <w:lastRenderedPageBreak/>
        <w:t>R</w:t>
      </w:r>
      <w:r w:rsidR="00397C28" w:rsidRPr="006B4639">
        <w:t xml:space="preserve">egulation may </w:t>
      </w:r>
      <w:r w:rsidRPr="006B4639">
        <w:t xml:space="preserve">therefore </w:t>
      </w:r>
      <w:r w:rsidR="00397C28" w:rsidRPr="006B4639">
        <w:t xml:space="preserve">be required to limit a service provider’s ability to use </w:t>
      </w:r>
      <w:r w:rsidRPr="006B4639">
        <w:t xml:space="preserve">its </w:t>
      </w:r>
      <w:r w:rsidR="00397C28" w:rsidRPr="006B4639">
        <w:t xml:space="preserve">market power </w:t>
      </w:r>
      <w:r w:rsidRPr="006B4639">
        <w:t xml:space="preserve">to </w:t>
      </w:r>
      <w:r w:rsidR="00577E22" w:rsidRPr="006B4639">
        <w:t xml:space="preserve">restrict </w:t>
      </w:r>
      <w:r w:rsidRPr="006B4639">
        <w:t xml:space="preserve">competition </w:t>
      </w:r>
      <w:r w:rsidR="00577E22" w:rsidRPr="006B4639">
        <w:t xml:space="preserve">from other pipelines over time and the </w:t>
      </w:r>
      <w:r w:rsidR="00B67690" w:rsidRPr="006B4639">
        <w:t xml:space="preserve">productive, allocative and dynamic </w:t>
      </w:r>
      <w:r w:rsidR="00577E22" w:rsidRPr="006B4639">
        <w:t>efficiency benefits that could flow from this</w:t>
      </w:r>
      <w:r w:rsidR="00B67690" w:rsidRPr="006B4639">
        <w:t xml:space="preserve"> competition. </w:t>
      </w:r>
      <w:r w:rsidRPr="006B4639">
        <w:t>R</w:t>
      </w:r>
      <w:r w:rsidR="00397C28" w:rsidRPr="006B4639">
        <w:t xml:space="preserve">egulatory intervention may </w:t>
      </w:r>
      <w:r w:rsidRPr="006B4639">
        <w:t xml:space="preserve">also </w:t>
      </w:r>
      <w:r w:rsidR="00397C28" w:rsidRPr="006B4639">
        <w:t xml:space="preserve">be required to facilitate future rounds of competition for the market so that </w:t>
      </w:r>
      <w:r w:rsidRPr="006B4639">
        <w:t xml:space="preserve">the </w:t>
      </w:r>
      <w:r w:rsidR="00397C28" w:rsidRPr="006B4639">
        <w:t xml:space="preserve">service provider </w:t>
      </w:r>
      <w:r w:rsidRPr="006B4639">
        <w:t xml:space="preserve">of an existing pipeline </w:t>
      </w:r>
      <w:r w:rsidR="00397C28" w:rsidRPr="006B4639">
        <w:t xml:space="preserve">does not become the de-facto sole builder of all pipelines connected to </w:t>
      </w:r>
      <w:r w:rsidRPr="006B4639">
        <w:t xml:space="preserve">that </w:t>
      </w:r>
      <w:r w:rsidR="00397C28" w:rsidRPr="006B4639">
        <w:t xml:space="preserve">existing pipeline. </w:t>
      </w:r>
      <w:bookmarkEnd w:id="44"/>
      <w:r w:rsidR="00F0732D" w:rsidRPr="006B4639">
        <w:t xml:space="preserve"> </w:t>
      </w:r>
    </w:p>
    <w:p w14:paraId="5F4A7163" w14:textId="77777777" w:rsidR="00044484" w:rsidRPr="006B4639" w:rsidRDefault="001F0F6C" w:rsidP="0014232F">
      <w:pPr>
        <w:pStyle w:val="Heading2"/>
        <w:spacing w:before="240" w:after="120"/>
        <w:contextualSpacing/>
        <w:rPr>
          <w:rFonts w:eastAsiaTheme="minorHAnsi"/>
        </w:rPr>
      </w:pPr>
      <w:bookmarkStart w:id="50" w:name="_Toc62219398"/>
      <w:r>
        <w:rPr>
          <w:rFonts w:eastAsiaTheme="minorHAnsi"/>
        </w:rPr>
        <w:t xml:space="preserve">How are gas pipelines regulated </w:t>
      </w:r>
      <w:r w:rsidR="00044484" w:rsidRPr="006B4639">
        <w:rPr>
          <w:rFonts w:eastAsiaTheme="minorHAnsi"/>
        </w:rPr>
        <w:t>in Australia</w:t>
      </w:r>
      <w:r>
        <w:rPr>
          <w:rFonts w:eastAsiaTheme="minorHAnsi"/>
        </w:rPr>
        <w:t>?</w:t>
      </w:r>
      <w:bookmarkEnd w:id="50"/>
    </w:p>
    <w:p w14:paraId="45ECD0BC" w14:textId="77777777" w:rsidR="001E1A31" w:rsidRDefault="001E1A31" w:rsidP="0014232F">
      <w:pPr>
        <w:pStyle w:val="Heading3"/>
        <w:spacing w:before="240"/>
      </w:pPr>
      <w:r>
        <w:t>Background</w:t>
      </w:r>
    </w:p>
    <w:p w14:paraId="29109A1C" w14:textId="1778BF6B" w:rsidR="007811E0" w:rsidRPr="006B4639" w:rsidRDefault="00BA29CC" w:rsidP="0014232F">
      <w:pPr>
        <w:pStyle w:val="BodyText"/>
        <w:spacing w:before="120"/>
      </w:pPr>
      <w:r w:rsidRPr="006B4639">
        <w:t xml:space="preserve">The </w:t>
      </w:r>
      <w:r w:rsidR="00EC0D3C" w:rsidRPr="006B4639">
        <w:t xml:space="preserve">national </w:t>
      </w:r>
      <w:r w:rsidRPr="006B4639">
        <w:t>gas access regime was originally implemented by state</w:t>
      </w:r>
      <w:r w:rsidR="003554A0">
        <w:t>,</w:t>
      </w:r>
      <w:r w:rsidRPr="006B4639">
        <w:t xml:space="preserve"> territory </w:t>
      </w:r>
      <w:r w:rsidR="003554A0">
        <w:t xml:space="preserve">and Commonwealth </w:t>
      </w:r>
      <w:r w:rsidRPr="006B4639">
        <w:t xml:space="preserve">governments in 1997 through the </w:t>
      </w:r>
      <w:r w:rsidRPr="006B4639">
        <w:rPr>
          <w:i/>
          <w:iCs/>
        </w:rPr>
        <w:t xml:space="preserve">Gas Pipeline Access (South Australia) Act 1997 </w:t>
      </w:r>
      <w:r w:rsidRPr="006B4639">
        <w:t>(GPAL) and the National Third Party Access Code for Natural Gas Pipeline Systems (the Gas Code). The stated objective of the Gas Code was</w:t>
      </w:r>
      <w:r w:rsidR="007811E0" w:rsidRPr="006B4639">
        <w:t xml:space="preserve"> to:</w:t>
      </w:r>
      <w:r w:rsidR="00370905">
        <w:rPr>
          <w:rFonts w:ascii="ZWAdobeF" w:hAnsi="ZWAdobeF" w:cs="ZWAdobeF"/>
          <w:sz w:val="2"/>
          <w:szCs w:val="2"/>
        </w:rPr>
        <w:t>34F</w:t>
      </w:r>
      <w:r w:rsidR="007811E0" w:rsidRPr="006B4639">
        <w:rPr>
          <w:rStyle w:val="FootnoteReference"/>
        </w:rPr>
        <w:footnoteReference w:id="36"/>
      </w:r>
    </w:p>
    <w:p w14:paraId="7CF4E787" w14:textId="77777777" w:rsidR="007811E0" w:rsidRPr="006B4639" w:rsidRDefault="007811E0" w:rsidP="0014232F">
      <w:pPr>
        <w:pStyle w:val="Quote"/>
        <w:spacing w:before="20" w:after="20"/>
      </w:pPr>
      <w:r w:rsidRPr="006B4639">
        <w:t xml:space="preserve">“…establish a framework for third party access to gas pipelines that: </w:t>
      </w:r>
    </w:p>
    <w:p w14:paraId="5A63318F" w14:textId="77777777" w:rsidR="007811E0" w:rsidRPr="006B4639" w:rsidRDefault="007811E0" w:rsidP="0014232F">
      <w:pPr>
        <w:pStyle w:val="Quote"/>
        <w:spacing w:before="20" w:after="20"/>
        <w:ind w:left="782" w:hanging="357"/>
      </w:pPr>
      <w:r w:rsidRPr="006B4639">
        <w:t xml:space="preserve">(a) facilitates the development and operation of a national market for natural gas; and </w:t>
      </w:r>
    </w:p>
    <w:p w14:paraId="2A711D2F" w14:textId="77777777" w:rsidR="007811E0" w:rsidRPr="006B4639" w:rsidRDefault="007811E0" w:rsidP="0014232F">
      <w:pPr>
        <w:pStyle w:val="Quote"/>
        <w:spacing w:before="20" w:after="20"/>
        <w:ind w:left="782" w:hanging="357"/>
      </w:pPr>
      <w:r w:rsidRPr="006B4639">
        <w:t xml:space="preserve">(b) prevents abuse of monopoly power; and </w:t>
      </w:r>
    </w:p>
    <w:p w14:paraId="50794C92" w14:textId="77777777" w:rsidR="007811E0" w:rsidRPr="006B4639" w:rsidRDefault="007811E0" w:rsidP="0014232F">
      <w:pPr>
        <w:pStyle w:val="Quote"/>
        <w:spacing w:before="20" w:after="20"/>
        <w:ind w:left="782" w:hanging="357"/>
      </w:pPr>
      <w:r w:rsidRPr="006B4639">
        <w:t xml:space="preserve">(c) promotes a competitive market for natural gas in which customers may choose suppliers, including producers, retailers and traders; and </w:t>
      </w:r>
    </w:p>
    <w:p w14:paraId="587B553A" w14:textId="77777777" w:rsidR="007811E0" w:rsidRPr="006B4639" w:rsidRDefault="007811E0" w:rsidP="0014232F">
      <w:pPr>
        <w:pStyle w:val="Quote"/>
        <w:spacing w:before="20" w:after="20"/>
        <w:ind w:left="782" w:hanging="357"/>
      </w:pPr>
      <w:r w:rsidRPr="006B4639">
        <w:t xml:space="preserve">(d) provides rights of access to natural gas pipelines on conditions that are fair and reasonable for both Service Providers and Users; and </w:t>
      </w:r>
    </w:p>
    <w:p w14:paraId="0E818A42" w14:textId="77777777" w:rsidR="007811E0" w:rsidRPr="006B4639" w:rsidRDefault="007811E0" w:rsidP="0014232F">
      <w:pPr>
        <w:pStyle w:val="Quote"/>
        <w:spacing w:before="20" w:after="20"/>
        <w:ind w:left="782" w:hanging="357"/>
      </w:pPr>
      <w:r w:rsidRPr="006B4639">
        <w:t>(e) provides for resolution of disputes.”</w:t>
      </w:r>
    </w:p>
    <w:p w14:paraId="1AA1C6F1" w14:textId="2E6A859D" w:rsidR="00C33035" w:rsidRDefault="00BA29CC" w:rsidP="0014232F">
      <w:pPr>
        <w:pStyle w:val="BodyText"/>
        <w:widowControl w:val="0"/>
        <w:spacing w:after="60"/>
      </w:pPr>
      <w:r w:rsidRPr="006B4639">
        <w:t>Following a number of reviews in the early 2000s</w:t>
      </w:r>
      <w:r w:rsidR="00607433">
        <w:t xml:space="preserve"> by the Productivity Commission,</w:t>
      </w:r>
      <w:r w:rsidR="00370905">
        <w:rPr>
          <w:rFonts w:ascii="ZWAdobeF" w:hAnsi="ZWAdobeF" w:cs="ZWAdobeF"/>
          <w:sz w:val="2"/>
          <w:szCs w:val="2"/>
        </w:rPr>
        <w:t>35F</w:t>
      </w:r>
      <w:r w:rsidR="00545663">
        <w:rPr>
          <w:rStyle w:val="FootnoteReference"/>
        </w:rPr>
        <w:footnoteReference w:id="37"/>
      </w:r>
      <w:r w:rsidR="00607433">
        <w:t xml:space="preserve"> </w:t>
      </w:r>
      <w:r w:rsidR="007C569E">
        <w:t>Warwick R. Parer,</w:t>
      </w:r>
      <w:r w:rsidR="00370905">
        <w:rPr>
          <w:rFonts w:ascii="ZWAdobeF" w:hAnsi="ZWAdobeF" w:cs="ZWAdobeF"/>
          <w:sz w:val="2"/>
          <w:szCs w:val="2"/>
        </w:rPr>
        <w:t>36F</w:t>
      </w:r>
      <w:r w:rsidR="00545663">
        <w:rPr>
          <w:rStyle w:val="FootnoteReference"/>
        </w:rPr>
        <w:footnoteReference w:id="38"/>
      </w:r>
      <w:r w:rsidR="007C569E">
        <w:t xml:space="preserve"> and the Expert Panel on Energy Access Pricing</w:t>
      </w:r>
      <w:r w:rsidRPr="006B4639">
        <w:t>,</w:t>
      </w:r>
      <w:r w:rsidR="00370905">
        <w:rPr>
          <w:rFonts w:ascii="ZWAdobeF" w:hAnsi="ZWAdobeF" w:cs="ZWAdobeF"/>
          <w:sz w:val="2"/>
          <w:szCs w:val="2"/>
        </w:rPr>
        <w:t>37F</w:t>
      </w:r>
      <w:r w:rsidR="00545663">
        <w:rPr>
          <w:rStyle w:val="FootnoteReference"/>
        </w:rPr>
        <w:footnoteReference w:id="39"/>
      </w:r>
      <w:r w:rsidRPr="006B4639">
        <w:t xml:space="preserve"> the </w:t>
      </w:r>
      <w:r w:rsidR="001677C7">
        <w:t xml:space="preserve">former </w:t>
      </w:r>
      <w:r w:rsidR="00A25331">
        <w:t>Ministerial Council on Energy</w:t>
      </w:r>
      <w:r w:rsidR="00136B08">
        <w:t xml:space="preserve"> </w:t>
      </w:r>
      <w:r w:rsidR="00514B1A">
        <w:t xml:space="preserve">agreed </w:t>
      </w:r>
      <w:r w:rsidR="00817BFB">
        <w:t xml:space="preserve">in 2006 </w:t>
      </w:r>
      <w:r w:rsidRPr="006B4639">
        <w:t>to</w:t>
      </w:r>
      <w:r w:rsidR="00C33035">
        <w:t>:</w:t>
      </w:r>
      <w:r w:rsidR="00370905">
        <w:rPr>
          <w:rFonts w:ascii="ZWAdobeF" w:hAnsi="ZWAdobeF" w:cs="ZWAdobeF"/>
          <w:sz w:val="2"/>
          <w:szCs w:val="2"/>
        </w:rPr>
        <w:t>38F</w:t>
      </w:r>
      <w:r w:rsidR="00A25331">
        <w:rPr>
          <w:rStyle w:val="FootnoteReference"/>
        </w:rPr>
        <w:footnoteReference w:id="40"/>
      </w:r>
      <w:r w:rsidRPr="006B4639">
        <w:t xml:space="preserve"> </w:t>
      </w:r>
    </w:p>
    <w:p w14:paraId="4B59D189" w14:textId="77777777" w:rsidR="00C33035" w:rsidRDefault="00BA29CC" w:rsidP="003E4F05">
      <w:pPr>
        <w:pStyle w:val="ListBullet"/>
      </w:pPr>
      <w:r w:rsidRPr="006B4639">
        <w:t>implement a new legal, governance and regulatory framework</w:t>
      </w:r>
      <w:r w:rsidR="004E0C97">
        <w:t xml:space="preserve"> for gas pipelines</w:t>
      </w:r>
      <w:r w:rsidR="00C33035">
        <w:t>;</w:t>
      </w:r>
      <w:r w:rsidR="00817BFB">
        <w:t xml:space="preserve"> and </w:t>
      </w:r>
    </w:p>
    <w:p w14:paraId="4FC84145" w14:textId="77777777" w:rsidR="00FB4D36" w:rsidRDefault="00817BFB" w:rsidP="003E4F05">
      <w:pPr>
        <w:pStyle w:val="ListBullet"/>
      </w:pPr>
      <w:r>
        <w:t xml:space="preserve">make a number of </w:t>
      </w:r>
      <w:r w:rsidR="000F4C87">
        <w:t>refinements</w:t>
      </w:r>
      <w:r>
        <w:t xml:space="preserve"> to the </w:t>
      </w:r>
      <w:r w:rsidR="00CD1FE0">
        <w:t xml:space="preserve">regulatory </w:t>
      </w:r>
      <w:r>
        <w:t>framework</w:t>
      </w:r>
      <w:r w:rsidR="004E0C97">
        <w:t xml:space="preserve"> to introduce</w:t>
      </w:r>
      <w:r w:rsidR="00FB4D36">
        <w:t>:</w:t>
      </w:r>
    </w:p>
    <w:p w14:paraId="507CDF5D" w14:textId="479494F4" w:rsidR="00BC0357" w:rsidRPr="00BC0357" w:rsidRDefault="00BC0357" w:rsidP="003E4F05">
      <w:pPr>
        <w:pStyle w:val="ListBullet2"/>
      </w:pPr>
      <w:r w:rsidRPr="00BC0357">
        <w:t>an objects clause (the NGO) and revenue and pricing principles,</w:t>
      </w:r>
      <w:r w:rsidR="00370905">
        <w:rPr>
          <w:rFonts w:ascii="ZWAdobeF" w:hAnsi="ZWAdobeF" w:cs="ZWAdobeF"/>
          <w:sz w:val="2"/>
          <w:szCs w:val="2"/>
        </w:rPr>
        <w:t>39F</w:t>
      </w:r>
      <w:r w:rsidR="00F723B4">
        <w:rPr>
          <w:rStyle w:val="FootnoteReference"/>
        </w:rPr>
        <w:footnoteReference w:id="41"/>
      </w:r>
      <w:r w:rsidRPr="00BC0357">
        <w:t xml:space="preserve"> which were implemented to provide </w:t>
      </w:r>
      <w:r w:rsidR="00A70C00">
        <w:t>decision-maker</w:t>
      </w:r>
      <w:r w:rsidRPr="00BC0357">
        <w:t>s with greater guidance on the matters to be considered when making decisions and to limit the risk of regulatory error</w:t>
      </w:r>
      <w:r w:rsidR="006417CD">
        <w:t>;</w:t>
      </w:r>
      <w:r w:rsidRPr="00BC0357">
        <w:t xml:space="preserve"> </w:t>
      </w:r>
    </w:p>
    <w:p w14:paraId="6191D0D2" w14:textId="77777777" w:rsidR="006D6A3E" w:rsidRPr="006D6A3E" w:rsidRDefault="00881E83" w:rsidP="003E4F05">
      <w:pPr>
        <w:pStyle w:val="ListBullet2"/>
      </w:pPr>
      <w:r>
        <w:t>a light handed regulatory option for scheme (covered) pipelines</w:t>
      </w:r>
      <w:r w:rsidR="006D6A3E">
        <w:t xml:space="preserve">, </w:t>
      </w:r>
      <w:r w:rsidR="006D6A3E" w:rsidRPr="006D6A3E">
        <w:t>which was implemented to minimise regulatory costs and reduce the risk of regulatory error in cases where the pipeline’s market power is constrained in some way</w:t>
      </w:r>
      <w:r w:rsidR="00C25D02">
        <w:t>; and</w:t>
      </w:r>
      <w:r w:rsidR="006D6A3E" w:rsidRPr="006D6A3E">
        <w:t xml:space="preserve"> </w:t>
      </w:r>
    </w:p>
    <w:p w14:paraId="3204E08E" w14:textId="2A2321F8" w:rsidR="00C33035" w:rsidRDefault="00817BFB" w:rsidP="003E4F05">
      <w:pPr>
        <w:pStyle w:val="ListBullet2"/>
      </w:pPr>
      <w:r>
        <w:t xml:space="preserve">a 15-year </w:t>
      </w:r>
      <w:r w:rsidR="006B5FFD">
        <w:t xml:space="preserve">no coverage option for </w:t>
      </w:r>
      <w:r>
        <w:t>greenfield pipelines</w:t>
      </w:r>
      <w:r w:rsidR="004E0C97">
        <w:t xml:space="preserve"> and a 15-year exemption from price regulation for international pipelines</w:t>
      </w:r>
      <w:r w:rsidR="006B5FFD">
        <w:t xml:space="preserve">, which </w:t>
      </w:r>
      <w:r w:rsidR="004E0C97">
        <w:t xml:space="preserve">were </w:t>
      </w:r>
      <w:r w:rsidR="006B5FFD">
        <w:t>implemented to counter the adverse effect regulation may have on greenfield investments</w:t>
      </w:r>
      <w:r w:rsidR="00C25D02">
        <w:t>.</w:t>
      </w:r>
      <w:r w:rsidR="00370905">
        <w:rPr>
          <w:rFonts w:ascii="ZWAdobeF" w:hAnsi="ZWAdobeF" w:cs="ZWAdobeF"/>
          <w:sz w:val="2"/>
          <w:szCs w:val="2"/>
        </w:rPr>
        <w:t>40F</w:t>
      </w:r>
      <w:r w:rsidR="004E0C97">
        <w:rPr>
          <w:rStyle w:val="FootnoteReference"/>
        </w:rPr>
        <w:footnoteReference w:id="42"/>
      </w:r>
    </w:p>
    <w:p w14:paraId="00278061" w14:textId="77777777" w:rsidR="00BA29CC" w:rsidRPr="006B4639" w:rsidRDefault="00F77376" w:rsidP="0014232F">
      <w:pPr>
        <w:pStyle w:val="BodyText"/>
        <w:spacing w:before="120"/>
        <w:rPr>
          <w:rStyle w:val="A7"/>
          <w:sz w:val="22"/>
          <w:szCs w:val="22"/>
        </w:rPr>
      </w:pPr>
      <w:r>
        <w:lastRenderedPageBreak/>
        <w:t xml:space="preserve">The new </w:t>
      </w:r>
      <w:r w:rsidR="00C33035">
        <w:t xml:space="preserve">regulatory </w:t>
      </w:r>
      <w:r w:rsidR="00BA29CC" w:rsidRPr="006B4639">
        <w:t xml:space="preserve">framework commenced on 1 July </w:t>
      </w:r>
      <w:r w:rsidR="00BA29CC" w:rsidRPr="006B4639">
        <w:rPr>
          <w:rStyle w:val="A7"/>
          <w:sz w:val="22"/>
          <w:szCs w:val="22"/>
        </w:rPr>
        <w:t>2008 and was given effect through Chapters 3-6 of the NGL</w:t>
      </w:r>
      <w:r w:rsidR="00466E2F">
        <w:rPr>
          <w:rStyle w:val="A7"/>
          <w:sz w:val="22"/>
          <w:szCs w:val="22"/>
        </w:rPr>
        <w:t xml:space="preserve"> </w:t>
      </w:r>
      <w:r w:rsidR="00BA29CC" w:rsidRPr="006B4639">
        <w:rPr>
          <w:rStyle w:val="A7"/>
          <w:sz w:val="22"/>
          <w:szCs w:val="22"/>
        </w:rPr>
        <w:t xml:space="preserve">and Parts 4-12 of the NGR. </w:t>
      </w:r>
    </w:p>
    <w:p w14:paraId="0674C615" w14:textId="11C5EA25" w:rsidR="0056763B" w:rsidRDefault="00BC2C08" w:rsidP="0014232F">
      <w:pPr>
        <w:pStyle w:val="BodyText"/>
        <w:spacing w:after="240"/>
        <w:rPr>
          <w:rStyle w:val="A7"/>
          <w:sz w:val="22"/>
          <w:szCs w:val="22"/>
        </w:rPr>
      </w:pPr>
      <w:r>
        <w:rPr>
          <w:rStyle w:val="A7"/>
          <w:sz w:val="22"/>
          <w:szCs w:val="22"/>
        </w:rPr>
        <w:t>The next major change to the regulatory framework occurred in 2017</w:t>
      </w:r>
      <w:r w:rsidR="004F6084">
        <w:rPr>
          <w:rStyle w:val="A7"/>
          <w:sz w:val="22"/>
          <w:szCs w:val="22"/>
        </w:rPr>
        <w:t xml:space="preserve"> in response to review</w:t>
      </w:r>
      <w:r w:rsidR="00A020F2">
        <w:rPr>
          <w:rStyle w:val="A7"/>
          <w:sz w:val="22"/>
          <w:szCs w:val="22"/>
        </w:rPr>
        <w:t>s</w:t>
      </w:r>
      <w:r w:rsidR="004F6084">
        <w:rPr>
          <w:rStyle w:val="A7"/>
          <w:sz w:val="22"/>
          <w:szCs w:val="22"/>
        </w:rPr>
        <w:t xml:space="preserve"> by the ACCC</w:t>
      </w:r>
      <w:r w:rsidR="00D45265">
        <w:rPr>
          <w:rStyle w:val="A7"/>
          <w:sz w:val="22"/>
          <w:szCs w:val="22"/>
        </w:rPr>
        <w:t>,</w:t>
      </w:r>
      <w:r w:rsidR="00370905">
        <w:rPr>
          <w:rStyle w:val="A7"/>
          <w:rFonts w:ascii="ZWAdobeF" w:hAnsi="ZWAdobeF" w:cs="ZWAdobeF"/>
          <w:color w:val="auto"/>
          <w:sz w:val="2"/>
          <w:szCs w:val="2"/>
        </w:rPr>
        <w:t>41F</w:t>
      </w:r>
      <w:r w:rsidR="00D45265">
        <w:rPr>
          <w:rStyle w:val="FootnoteReference"/>
          <w:rFonts w:cs="Gotham Light"/>
          <w:color w:val="000000"/>
        </w:rPr>
        <w:footnoteReference w:id="43"/>
      </w:r>
      <w:r w:rsidR="00D45265">
        <w:rPr>
          <w:rStyle w:val="A7"/>
          <w:sz w:val="22"/>
          <w:szCs w:val="22"/>
        </w:rPr>
        <w:t xml:space="preserve"> AEMC</w:t>
      </w:r>
      <w:r w:rsidR="00370905">
        <w:rPr>
          <w:rStyle w:val="A7"/>
          <w:rFonts w:ascii="ZWAdobeF" w:hAnsi="ZWAdobeF" w:cs="ZWAdobeF"/>
          <w:color w:val="auto"/>
          <w:sz w:val="2"/>
          <w:szCs w:val="2"/>
        </w:rPr>
        <w:t>42F</w:t>
      </w:r>
      <w:r w:rsidR="00D45265">
        <w:rPr>
          <w:rStyle w:val="FootnoteReference"/>
          <w:rFonts w:cs="Gotham Light"/>
          <w:color w:val="000000"/>
        </w:rPr>
        <w:footnoteReference w:id="44"/>
      </w:r>
      <w:r w:rsidR="004F6084">
        <w:rPr>
          <w:rStyle w:val="A7"/>
          <w:sz w:val="22"/>
          <w:szCs w:val="22"/>
        </w:rPr>
        <w:t xml:space="preserve"> and Dr Michael Vertigan</w:t>
      </w:r>
      <w:r w:rsidR="00D45265">
        <w:rPr>
          <w:rStyle w:val="A7"/>
          <w:sz w:val="22"/>
          <w:szCs w:val="22"/>
        </w:rPr>
        <w:t xml:space="preserve"> AC</w:t>
      </w:r>
      <w:r w:rsidR="00200A74">
        <w:rPr>
          <w:rStyle w:val="A7"/>
          <w:sz w:val="22"/>
          <w:szCs w:val="22"/>
        </w:rPr>
        <w:t>,</w:t>
      </w:r>
      <w:r w:rsidR="00370905">
        <w:rPr>
          <w:rStyle w:val="A7"/>
          <w:rFonts w:ascii="ZWAdobeF" w:hAnsi="ZWAdobeF" w:cs="ZWAdobeF"/>
          <w:color w:val="auto"/>
          <w:sz w:val="2"/>
          <w:szCs w:val="2"/>
        </w:rPr>
        <w:t>43F</w:t>
      </w:r>
      <w:r w:rsidR="00D45265">
        <w:rPr>
          <w:rStyle w:val="FootnoteReference"/>
          <w:rFonts w:cs="Gotham Light"/>
          <w:color w:val="000000"/>
        </w:rPr>
        <w:footnoteReference w:id="45"/>
      </w:r>
      <w:r w:rsidR="00200A74">
        <w:rPr>
          <w:rStyle w:val="A7"/>
          <w:sz w:val="22"/>
          <w:szCs w:val="22"/>
        </w:rPr>
        <w:t xml:space="preserve"> which found that </w:t>
      </w:r>
      <w:r w:rsidR="00DF4E0E">
        <w:rPr>
          <w:rStyle w:val="A7"/>
          <w:sz w:val="22"/>
          <w:szCs w:val="22"/>
        </w:rPr>
        <w:t xml:space="preserve">the </w:t>
      </w:r>
      <w:r w:rsidR="004304B2">
        <w:rPr>
          <w:rStyle w:val="A7"/>
          <w:sz w:val="22"/>
          <w:szCs w:val="22"/>
        </w:rPr>
        <w:t xml:space="preserve">threat of </w:t>
      </w:r>
      <w:r w:rsidR="00DF4E0E">
        <w:rPr>
          <w:rStyle w:val="A7"/>
          <w:sz w:val="22"/>
          <w:szCs w:val="22"/>
        </w:rPr>
        <w:t xml:space="preserve">regulation </w:t>
      </w:r>
      <w:r w:rsidR="0087745A">
        <w:rPr>
          <w:rStyle w:val="A7"/>
          <w:sz w:val="22"/>
          <w:szCs w:val="22"/>
        </w:rPr>
        <w:t xml:space="preserve">was not posing </w:t>
      </w:r>
      <w:r w:rsidR="004304B2">
        <w:rPr>
          <w:rStyle w:val="A7"/>
          <w:sz w:val="22"/>
          <w:szCs w:val="22"/>
        </w:rPr>
        <w:t xml:space="preserve">an effective constraint on the </w:t>
      </w:r>
      <w:r w:rsidR="00451CB5">
        <w:rPr>
          <w:rStyle w:val="A7"/>
          <w:sz w:val="22"/>
          <w:szCs w:val="22"/>
        </w:rPr>
        <w:t xml:space="preserve">use of market power by </w:t>
      </w:r>
      <w:r w:rsidR="00AE1A84">
        <w:rPr>
          <w:rStyle w:val="A7"/>
          <w:sz w:val="22"/>
          <w:szCs w:val="22"/>
        </w:rPr>
        <w:t xml:space="preserve">unregulated (non-scheme) </w:t>
      </w:r>
      <w:r w:rsidR="0087745A">
        <w:rPr>
          <w:rStyle w:val="A7"/>
          <w:sz w:val="22"/>
          <w:szCs w:val="22"/>
        </w:rPr>
        <w:t>pipeline</w:t>
      </w:r>
      <w:r w:rsidR="00AE1A84">
        <w:rPr>
          <w:rStyle w:val="A7"/>
          <w:sz w:val="22"/>
          <w:szCs w:val="22"/>
        </w:rPr>
        <w:t>s</w:t>
      </w:r>
      <w:r w:rsidR="00A020F2">
        <w:rPr>
          <w:rStyle w:val="A7"/>
          <w:sz w:val="22"/>
          <w:szCs w:val="22"/>
        </w:rPr>
        <w:t xml:space="preserve">. In response to these reviews, the </w:t>
      </w:r>
      <w:r w:rsidR="0076664F">
        <w:rPr>
          <w:rStyle w:val="A7"/>
          <w:sz w:val="22"/>
          <w:szCs w:val="22"/>
        </w:rPr>
        <w:t xml:space="preserve">former </w:t>
      </w:r>
      <w:r w:rsidR="00150692">
        <w:rPr>
          <w:rStyle w:val="A7"/>
          <w:sz w:val="22"/>
          <w:szCs w:val="22"/>
        </w:rPr>
        <w:t xml:space="preserve">COAG </w:t>
      </w:r>
      <w:r w:rsidR="00BA29CC" w:rsidRPr="006B4639">
        <w:rPr>
          <w:rStyle w:val="A7"/>
          <w:sz w:val="22"/>
          <w:szCs w:val="22"/>
        </w:rPr>
        <w:t>Energy Council</w:t>
      </w:r>
      <w:r w:rsidR="00136B08">
        <w:rPr>
          <w:rStyle w:val="A7"/>
          <w:sz w:val="22"/>
          <w:szCs w:val="22"/>
        </w:rPr>
        <w:t xml:space="preserve"> </w:t>
      </w:r>
      <w:r w:rsidR="00BA29CC" w:rsidRPr="006B4639">
        <w:rPr>
          <w:rStyle w:val="A7"/>
          <w:sz w:val="22"/>
          <w:szCs w:val="22"/>
        </w:rPr>
        <w:t>agreed to amend the regulatory framework to implement a new information disclosure and arbitration framework for non-scheme pipelines. This was given effect through the inclusion of Chapter 6A in the NGL and Part 23 in the NGR</w:t>
      </w:r>
      <w:r w:rsidR="0056763B" w:rsidRPr="006B4639">
        <w:rPr>
          <w:rStyle w:val="A7"/>
          <w:sz w:val="22"/>
          <w:szCs w:val="22"/>
        </w:rPr>
        <w:t xml:space="preserve">. </w:t>
      </w:r>
    </w:p>
    <w:p w14:paraId="48DFD9FD" w14:textId="77777777" w:rsidR="00B91514" w:rsidRDefault="00973244" w:rsidP="0014232F">
      <w:pPr>
        <w:pStyle w:val="BodyText"/>
        <w:spacing w:after="240"/>
        <w:rPr>
          <w:rStyle w:val="A7"/>
          <w:sz w:val="22"/>
          <w:szCs w:val="22"/>
        </w:rPr>
      </w:pPr>
      <w:r>
        <w:rPr>
          <w:rStyle w:val="A7"/>
          <w:sz w:val="22"/>
          <w:szCs w:val="22"/>
        </w:rPr>
        <w:t xml:space="preserve">More recently, the AEMC </w:t>
      </w:r>
      <w:r w:rsidR="00FE1F23">
        <w:rPr>
          <w:rStyle w:val="A7"/>
          <w:sz w:val="22"/>
          <w:szCs w:val="22"/>
        </w:rPr>
        <w:t xml:space="preserve">has </w:t>
      </w:r>
      <w:r>
        <w:rPr>
          <w:rStyle w:val="A7"/>
          <w:sz w:val="22"/>
          <w:szCs w:val="22"/>
        </w:rPr>
        <w:t xml:space="preserve">made a number of changes to the NGR </w:t>
      </w:r>
      <w:r w:rsidR="00DF2EC1">
        <w:rPr>
          <w:rStyle w:val="A7"/>
          <w:sz w:val="22"/>
          <w:szCs w:val="22"/>
        </w:rPr>
        <w:t xml:space="preserve">and has also recommended a number of changes to the NGL </w:t>
      </w:r>
      <w:r>
        <w:rPr>
          <w:rStyle w:val="A7"/>
          <w:sz w:val="22"/>
          <w:szCs w:val="22"/>
        </w:rPr>
        <w:t xml:space="preserve">to </w:t>
      </w:r>
      <w:r w:rsidR="007514E3">
        <w:rPr>
          <w:rStyle w:val="A7"/>
          <w:sz w:val="22"/>
          <w:szCs w:val="22"/>
        </w:rPr>
        <w:t xml:space="preserve">strengthen </w:t>
      </w:r>
      <w:r>
        <w:rPr>
          <w:rStyle w:val="A7"/>
          <w:sz w:val="22"/>
          <w:szCs w:val="22"/>
        </w:rPr>
        <w:t xml:space="preserve">various aspects of </w:t>
      </w:r>
      <w:r w:rsidR="00777094">
        <w:rPr>
          <w:rStyle w:val="A7"/>
          <w:sz w:val="22"/>
          <w:szCs w:val="22"/>
        </w:rPr>
        <w:t xml:space="preserve">the </w:t>
      </w:r>
      <w:r w:rsidR="00CF1535">
        <w:rPr>
          <w:rStyle w:val="A7"/>
          <w:sz w:val="22"/>
          <w:szCs w:val="22"/>
        </w:rPr>
        <w:t xml:space="preserve">regulatory framework </w:t>
      </w:r>
      <w:r w:rsidR="00DF2EC1">
        <w:rPr>
          <w:rStyle w:val="A7"/>
          <w:sz w:val="22"/>
          <w:szCs w:val="22"/>
        </w:rPr>
        <w:t xml:space="preserve">that applies to </w:t>
      </w:r>
      <w:r w:rsidR="00CF1535">
        <w:rPr>
          <w:rStyle w:val="A7"/>
          <w:sz w:val="22"/>
          <w:szCs w:val="22"/>
        </w:rPr>
        <w:t xml:space="preserve">scheme </w:t>
      </w:r>
      <w:r>
        <w:rPr>
          <w:rStyle w:val="A7"/>
          <w:sz w:val="22"/>
          <w:szCs w:val="22"/>
        </w:rPr>
        <w:t xml:space="preserve">(covered) </w:t>
      </w:r>
      <w:r w:rsidR="00CF1535">
        <w:rPr>
          <w:rStyle w:val="A7"/>
          <w:sz w:val="22"/>
          <w:szCs w:val="22"/>
        </w:rPr>
        <w:t>pipelines</w:t>
      </w:r>
      <w:r w:rsidR="00C16993">
        <w:rPr>
          <w:rStyle w:val="A7"/>
          <w:sz w:val="22"/>
          <w:szCs w:val="22"/>
        </w:rPr>
        <w:t xml:space="preserve"> (see </w:t>
      </w:r>
      <w:r w:rsidR="00DF2EC1">
        <w:rPr>
          <w:rStyle w:val="A7"/>
          <w:sz w:val="22"/>
          <w:szCs w:val="22"/>
        </w:rPr>
        <w:t>Appendix B</w:t>
      </w:r>
      <w:r w:rsidR="00C16993">
        <w:rPr>
          <w:rStyle w:val="A7"/>
          <w:sz w:val="22"/>
          <w:szCs w:val="22"/>
        </w:rPr>
        <w:t>)</w:t>
      </w:r>
      <w:r>
        <w:rPr>
          <w:rStyle w:val="A7"/>
          <w:sz w:val="22"/>
          <w:szCs w:val="22"/>
        </w:rPr>
        <w:t>.</w:t>
      </w:r>
    </w:p>
    <w:p w14:paraId="4EBA9643" w14:textId="77777777" w:rsidR="00211F06" w:rsidRDefault="00922C33" w:rsidP="0014232F">
      <w:pPr>
        <w:pStyle w:val="BodyText"/>
        <w:rPr>
          <w:rStyle w:val="A7"/>
          <w:sz w:val="22"/>
          <w:szCs w:val="22"/>
        </w:rPr>
      </w:pPr>
      <w:r>
        <w:rPr>
          <w:rStyle w:val="A7"/>
          <w:sz w:val="22"/>
          <w:szCs w:val="22"/>
        </w:rPr>
        <w:t>The remainder of this section provides an overview of the regulatory framework that currently applies to gas pipelines.</w:t>
      </w:r>
      <w:r w:rsidR="003A6ED1">
        <w:rPr>
          <w:rStyle w:val="A7"/>
          <w:sz w:val="22"/>
          <w:szCs w:val="22"/>
        </w:rPr>
        <w:t xml:space="preserve"> Further detail can be found in Appendix A.</w:t>
      </w:r>
    </w:p>
    <w:p w14:paraId="672369BF" w14:textId="77777777" w:rsidR="00A20130" w:rsidRDefault="00800980" w:rsidP="00CE0DD5">
      <w:pPr>
        <w:pStyle w:val="Heading3"/>
        <w:spacing w:after="120"/>
      </w:pPr>
      <w:bookmarkStart w:id="51" w:name="_Ref52807127"/>
      <w:r>
        <w:t>Key elements of the regulatory framework</w:t>
      </w:r>
      <w:bookmarkEnd w:id="51"/>
      <w:r>
        <w:t xml:space="preserve"> </w:t>
      </w:r>
    </w:p>
    <w:p w14:paraId="549CA352" w14:textId="70B43F7E" w:rsidR="006B2E3B" w:rsidRDefault="00274F37" w:rsidP="00CE0DD5">
      <w:pPr>
        <w:pStyle w:val="BodyText"/>
        <w:spacing w:before="0" w:line="252" w:lineRule="auto"/>
        <w:rPr>
          <w:rStyle w:val="A7"/>
          <w:sz w:val="22"/>
          <w:szCs w:val="22"/>
        </w:rPr>
      </w:pPr>
      <w:r>
        <w:rPr>
          <w:rStyle w:val="A7"/>
          <w:sz w:val="22"/>
          <w:szCs w:val="22"/>
        </w:rPr>
        <w:t>Following t</w:t>
      </w:r>
      <w:r w:rsidRPr="006B4639">
        <w:rPr>
          <w:rStyle w:val="A7"/>
          <w:sz w:val="22"/>
          <w:szCs w:val="22"/>
        </w:rPr>
        <w:t xml:space="preserve">he introduction of </w:t>
      </w:r>
      <w:r>
        <w:rPr>
          <w:rStyle w:val="A7"/>
          <w:sz w:val="22"/>
          <w:szCs w:val="22"/>
        </w:rPr>
        <w:t>Part 23 in August 2017,</w:t>
      </w:r>
      <w:r w:rsidRPr="006B4639">
        <w:rPr>
          <w:rStyle w:val="A7"/>
          <w:sz w:val="22"/>
          <w:szCs w:val="22"/>
        </w:rPr>
        <w:t xml:space="preserve"> all pipelines that are providing third party access</w:t>
      </w:r>
      <w:r w:rsidR="00370905">
        <w:rPr>
          <w:rStyle w:val="A7"/>
          <w:rFonts w:ascii="ZWAdobeF" w:hAnsi="ZWAdobeF" w:cs="ZWAdobeF"/>
          <w:color w:val="auto"/>
          <w:sz w:val="2"/>
          <w:szCs w:val="2"/>
        </w:rPr>
        <w:t>44F</w:t>
      </w:r>
      <w:r w:rsidR="001E4ABC">
        <w:rPr>
          <w:rStyle w:val="FootnoteReference"/>
          <w:rFonts w:cs="Gotham Light"/>
          <w:color w:val="000000"/>
        </w:rPr>
        <w:footnoteReference w:id="46"/>
      </w:r>
      <w:r w:rsidRPr="006B4639">
        <w:rPr>
          <w:rStyle w:val="A7"/>
          <w:sz w:val="22"/>
          <w:szCs w:val="22"/>
        </w:rPr>
        <w:t xml:space="preserve"> </w:t>
      </w:r>
      <w:r>
        <w:rPr>
          <w:rStyle w:val="A7"/>
          <w:sz w:val="22"/>
          <w:szCs w:val="22"/>
        </w:rPr>
        <w:t xml:space="preserve">are now </w:t>
      </w:r>
      <w:r w:rsidRPr="006B4639">
        <w:rPr>
          <w:rStyle w:val="A7"/>
          <w:sz w:val="22"/>
          <w:szCs w:val="22"/>
        </w:rPr>
        <w:t>subject to some form of economic regulation</w:t>
      </w:r>
      <w:r w:rsidR="006B2E3B">
        <w:rPr>
          <w:rStyle w:val="A7"/>
          <w:sz w:val="22"/>
          <w:szCs w:val="22"/>
        </w:rPr>
        <w:t>, with pipelines that are classified as:</w:t>
      </w:r>
    </w:p>
    <w:p w14:paraId="18325FF3" w14:textId="77777777" w:rsidR="00F377A5" w:rsidRDefault="0038294B" w:rsidP="00AD36B8">
      <w:pPr>
        <w:pStyle w:val="ListBullet"/>
        <w:rPr>
          <w:rStyle w:val="A7"/>
          <w:sz w:val="22"/>
          <w:szCs w:val="22"/>
        </w:rPr>
      </w:pPr>
      <w:r>
        <w:rPr>
          <w:rStyle w:val="A7"/>
          <w:b/>
          <w:bCs/>
          <w:sz w:val="22"/>
          <w:szCs w:val="22"/>
        </w:rPr>
        <w:t>S</w:t>
      </w:r>
      <w:r w:rsidR="006B2E3B" w:rsidRPr="00883EAA">
        <w:rPr>
          <w:rStyle w:val="A7"/>
          <w:b/>
          <w:bCs/>
          <w:sz w:val="22"/>
          <w:szCs w:val="22"/>
        </w:rPr>
        <w:t>cheme</w:t>
      </w:r>
      <w:r w:rsidR="006B2E3B" w:rsidRPr="00A8114C">
        <w:rPr>
          <w:rStyle w:val="A7"/>
          <w:sz w:val="22"/>
          <w:szCs w:val="22"/>
        </w:rPr>
        <w:t xml:space="preserve"> </w:t>
      </w:r>
      <w:r w:rsidR="006B2E3B" w:rsidRPr="000D780A">
        <w:rPr>
          <w:rStyle w:val="A7"/>
          <w:b/>
          <w:bCs/>
          <w:sz w:val="22"/>
          <w:szCs w:val="22"/>
        </w:rPr>
        <w:t>pipelines</w:t>
      </w:r>
      <w:r w:rsidR="006B2E3B">
        <w:rPr>
          <w:rStyle w:val="A7"/>
          <w:sz w:val="22"/>
          <w:szCs w:val="22"/>
        </w:rPr>
        <w:t xml:space="preserve"> </w:t>
      </w:r>
      <w:r w:rsidR="000D780A">
        <w:rPr>
          <w:rStyle w:val="A7"/>
          <w:sz w:val="22"/>
          <w:szCs w:val="22"/>
        </w:rPr>
        <w:t>(</w:t>
      </w:r>
      <w:r w:rsidR="00AE3C1D">
        <w:rPr>
          <w:rStyle w:val="A7"/>
          <w:sz w:val="22"/>
          <w:szCs w:val="22"/>
        </w:rPr>
        <w:t xml:space="preserve">also </w:t>
      </w:r>
      <w:r w:rsidR="000D780A">
        <w:rPr>
          <w:rStyle w:val="A7"/>
          <w:sz w:val="22"/>
          <w:szCs w:val="22"/>
        </w:rPr>
        <w:t xml:space="preserve">referred to as ‘covered pipelines’) </w:t>
      </w:r>
      <w:r w:rsidR="006B2E3B">
        <w:rPr>
          <w:rStyle w:val="A7"/>
          <w:sz w:val="22"/>
          <w:szCs w:val="22"/>
        </w:rPr>
        <w:t>subject to either</w:t>
      </w:r>
      <w:r w:rsidR="00F377A5">
        <w:rPr>
          <w:rStyle w:val="A7"/>
          <w:sz w:val="22"/>
          <w:szCs w:val="22"/>
        </w:rPr>
        <w:t>:</w:t>
      </w:r>
      <w:r w:rsidR="006B2E3B">
        <w:rPr>
          <w:rStyle w:val="A7"/>
          <w:sz w:val="22"/>
          <w:szCs w:val="22"/>
        </w:rPr>
        <w:t xml:space="preserve"> </w:t>
      </w:r>
    </w:p>
    <w:p w14:paraId="5F97BAFA" w14:textId="4DF4AB80" w:rsidR="007A336F" w:rsidRDefault="008B1A61" w:rsidP="00AD36B8">
      <w:pPr>
        <w:pStyle w:val="ListBullet2"/>
      </w:pPr>
      <w:r>
        <w:rPr>
          <w:rStyle w:val="A7"/>
          <w:b/>
          <w:bCs/>
          <w:sz w:val="22"/>
          <w:szCs w:val="22"/>
        </w:rPr>
        <w:t>F</w:t>
      </w:r>
      <w:r w:rsidR="006B2E3B" w:rsidRPr="00CA2E41">
        <w:rPr>
          <w:rStyle w:val="A7"/>
          <w:b/>
          <w:bCs/>
          <w:sz w:val="22"/>
          <w:szCs w:val="22"/>
        </w:rPr>
        <w:t>ull regulation</w:t>
      </w:r>
      <w:r w:rsidR="00CA2E41">
        <w:rPr>
          <w:rStyle w:val="A7"/>
          <w:b/>
          <w:bCs/>
          <w:sz w:val="22"/>
          <w:szCs w:val="22"/>
        </w:rPr>
        <w:t>:</w:t>
      </w:r>
      <w:r w:rsidR="006B2E3B" w:rsidRPr="00CA2E41">
        <w:rPr>
          <w:rStyle w:val="A7"/>
          <w:sz w:val="22"/>
          <w:szCs w:val="22"/>
        </w:rPr>
        <w:t xml:space="preserve"> </w:t>
      </w:r>
      <w:r>
        <w:rPr>
          <w:rStyle w:val="A7"/>
          <w:sz w:val="22"/>
          <w:szCs w:val="22"/>
        </w:rPr>
        <w:t xml:space="preserve">Pipelines subject to this form of regulation must </w:t>
      </w:r>
      <w:r w:rsidR="00CA2E41" w:rsidRPr="00CA2E41">
        <w:t xml:space="preserve">periodically submit an access arrangement </w:t>
      </w:r>
      <w:r w:rsidR="005A1AB7">
        <w:t xml:space="preserve">(AA) </w:t>
      </w:r>
      <w:r w:rsidR="00CA2E41" w:rsidRPr="00CA2E41">
        <w:t xml:space="preserve">to the </w:t>
      </w:r>
      <w:r w:rsidR="00CA2E41">
        <w:t xml:space="preserve">relevant </w:t>
      </w:r>
      <w:r w:rsidR="00FB7306">
        <w:t xml:space="preserve">regulator </w:t>
      </w:r>
      <w:r w:rsidR="00CA2E41" w:rsidRPr="00CA2E41">
        <w:t xml:space="preserve">for approval of the price and </w:t>
      </w:r>
      <w:r w:rsidR="00D14687">
        <w:t xml:space="preserve">non-price </w:t>
      </w:r>
      <w:r w:rsidR="00CA2E41" w:rsidRPr="00CA2E41">
        <w:t xml:space="preserve">terms and conditions of access to the reference service(s). While </w:t>
      </w:r>
      <w:r w:rsidR="002675C7">
        <w:t xml:space="preserve">regulatory </w:t>
      </w:r>
      <w:r w:rsidR="00CA2E41" w:rsidRPr="00CA2E41">
        <w:t xml:space="preserve">approval </w:t>
      </w:r>
      <w:r w:rsidR="00514A14">
        <w:t xml:space="preserve">of the </w:t>
      </w:r>
      <w:r w:rsidR="005A1AB7">
        <w:t>AA</w:t>
      </w:r>
      <w:r w:rsidR="00514A14">
        <w:t xml:space="preserve"> </w:t>
      </w:r>
      <w:r w:rsidR="00CA2E41" w:rsidRPr="00CA2E41">
        <w:t xml:space="preserve">is required, </w:t>
      </w:r>
      <w:r w:rsidR="00937777">
        <w:t xml:space="preserve">the regulatory framework allows </w:t>
      </w:r>
      <w:r w:rsidR="002675C7">
        <w:t>service provider</w:t>
      </w:r>
      <w:r w:rsidR="00937777">
        <w:t>s</w:t>
      </w:r>
      <w:r w:rsidR="002675C7">
        <w:t xml:space="preserve"> </w:t>
      </w:r>
      <w:r w:rsidR="00CA2E41" w:rsidRPr="00CA2E41">
        <w:t xml:space="preserve">and shippers </w:t>
      </w:r>
      <w:r w:rsidR="002F1DDD">
        <w:t xml:space="preserve">to </w:t>
      </w:r>
      <w:r w:rsidR="00937777">
        <w:t xml:space="preserve">agree to </w:t>
      </w:r>
      <w:r w:rsidR="002F1DDD">
        <w:t xml:space="preserve">different </w:t>
      </w:r>
      <w:r w:rsidR="00646B87">
        <w:t xml:space="preserve">conditions </w:t>
      </w:r>
      <w:r w:rsidR="00514A14">
        <w:t>of access</w:t>
      </w:r>
      <w:r w:rsidR="007D23E9">
        <w:t xml:space="preserve">, but if a </w:t>
      </w:r>
      <w:r w:rsidR="00CA2E41" w:rsidRPr="00CA2E41">
        <w:t xml:space="preserve">dispute arises, the </w:t>
      </w:r>
      <w:r w:rsidR="00227232">
        <w:t>dispute resolution body</w:t>
      </w:r>
      <w:r w:rsidR="00370905">
        <w:rPr>
          <w:rFonts w:ascii="ZWAdobeF" w:hAnsi="ZWAdobeF" w:cs="ZWAdobeF"/>
          <w:sz w:val="2"/>
          <w:szCs w:val="2"/>
        </w:rPr>
        <w:t>45F</w:t>
      </w:r>
      <w:r w:rsidR="00227232">
        <w:rPr>
          <w:rStyle w:val="FootnoteReference"/>
          <w:color w:val="000000"/>
        </w:rPr>
        <w:footnoteReference w:id="47"/>
      </w:r>
      <w:r w:rsidR="00227232">
        <w:t xml:space="preserve"> </w:t>
      </w:r>
      <w:r w:rsidR="00D60F54">
        <w:t xml:space="preserve">is required to </w:t>
      </w:r>
      <w:r w:rsidR="00CA2E41" w:rsidRPr="00CA2E41">
        <w:t xml:space="preserve">give effect to the </w:t>
      </w:r>
      <w:r w:rsidR="005A1AB7">
        <w:t>AA</w:t>
      </w:r>
      <w:r w:rsidR="00E54547">
        <w:t xml:space="preserve">. </w:t>
      </w:r>
    </w:p>
    <w:p w14:paraId="5AECF085" w14:textId="3E64288A" w:rsidR="00227232" w:rsidRPr="00BA5DA5" w:rsidRDefault="007A336F" w:rsidP="00AD36B8">
      <w:pPr>
        <w:pStyle w:val="ListBullet2"/>
        <w:rPr>
          <w:color w:val="000000"/>
        </w:rPr>
      </w:pPr>
      <w:r w:rsidRPr="00227232">
        <w:rPr>
          <w:rStyle w:val="A7"/>
          <w:rFonts w:asciiTheme="majorHAnsi" w:hAnsiTheme="majorHAnsi" w:cstheme="majorHAnsi"/>
          <w:b/>
          <w:bCs/>
          <w:sz w:val="22"/>
          <w:szCs w:val="22"/>
        </w:rPr>
        <w:t>L</w:t>
      </w:r>
      <w:r w:rsidR="006B2E3B" w:rsidRPr="00227232">
        <w:rPr>
          <w:rStyle w:val="A7"/>
          <w:rFonts w:asciiTheme="majorHAnsi" w:hAnsiTheme="majorHAnsi" w:cstheme="majorHAnsi"/>
          <w:b/>
          <w:bCs/>
          <w:sz w:val="22"/>
          <w:szCs w:val="22"/>
        </w:rPr>
        <w:t>ight regulation</w:t>
      </w:r>
      <w:r w:rsidR="00A15DAD" w:rsidRPr="00227232">
        <w:rPr>
          <w:rStyle w:val="A7"/>
          <w:rFonts w:asciiTheme="majorHAnsi" w:hAnsiTheme="majorHAnsi" w:cstheme="majorHAnsi"/>
          <w:sz w:val="22"/>
          <w:szCs w:val="22"/>
        </w:rPr>
        <w:t xml:space="preserve">: </w:t>
      </w:r>
      <w:r w:rsidR="0076650C" w:rsidRPr="00227232">
        <w:t>Pipelines subject to this form of regulation do not require regulatory approval of their prices or terms and conditions of access. They are, however, required to comply with a number of provisions in the NGR that are intended to facilitate commercial negotiations</w:t>
      </w:r>
      <w:r w:rsidR="00D60F54">
        <w:t>,</w:t>
      </w:r>
      <w:r w:rsidR="0076650C" w:rsidRPr="00227232">
        <w:t xml:space="preserve"> reduce the information asymmetries shippers can face in negotiations</w:t>
      </w:r>
      <w:r w:rsidR="00D60F54">
        <w:t xml:space="preserve"> and </w:t>
      </w:r>
      <w:r w:rsidR="00D60F54">
        <w:rPr>
          <w:color w:val="000000"/>
        </w:rPr>
        <w:t xml:space="preserve">prohibit </w:t>
      </w:r>
      <w:r w:rsidR="00A15DAD" w:rsidRPr="00A15DAD">
        <w:rPr>
          <w:color w:val="000000"/>
        </w:rPr>
        <w:t>price discrimination</w:t>
      </w:r>
      <w:r w:rsidR="00D60F54">
        <w:rPr>
          <w:color w:val="000000"/>
        </w:rPr>
        <w:t xml:space="preserve"> unless it is conducive to do so</w:t>
      </w:r>
      <w:r w:rsidR="00227232" w:rsidRPr="00227232">
        <w:rPr>
          <w:color w:val="000000"/>
        </w:rPr>
        <w:t xml:space="preserve">. </w:t>
      </w:r>
      <w:r w:rsidR="00242234">
        <w:rPr>
          <w:color w:val="000000"/>
        </w:rPr>
        <w:t xml:space="preserve">A regulatory oriented </w:t>
      </w:r>
      <w:r w:rsidR="00227232" w:rsidRPr="00227232">
        <w:t xml:space="preserve">dispute </w:t>
      </w:r>
      <w:r w:rsidR="00242234">
        <w:t>re</w:t>
      </w:r>
      <w:r w:rsidR="00A3087B">
        <w:t xml:space="preserve">solution </w:t>
      </w:r>
      <w:r w:rsidR="00242234">
        <w:t xml:space="preserve">mechanism </w:t>
      </w:r>
      <w:r w:rsidR="00A3087B">
        <w:t xml:space="preserve">is also available if a dispute about </w:t>
      </w:r>
      <w:r w:rsidR="00A75D5A">
        <w:t xml:space="preserve">access </w:t>
      </w:r>
      <w:r w:rsidR="00227232" w:rsidRPr="00227232">
        <w:t>arises</w:t>
      </w:r>
      <w:r w:rsidR="00A3087B">
        <w:t>.</w:t>
      </w:r>
      <w:r w:rsidR="00370905">
        <w:rPr>
          <w:rFonts w:ascii="ZWAdobeF" w:hAnsi="ZWAdobeF" w:cs="ZWAdobeF"/>
          <w:sz w:val="2"/>
          <w:szCs w:val="2"/>
        </w:rPr>
        <w:t>46F</w:t>
      </w:r>
      <w:r w:rsidR="00C8283C">
        <w:rPr>
          <w:rStyle w:val="FootnoteReference"/>
          <w:color w:val="000000"/>
        </w:rPr>
        <w:footnoteReference w:id="48"/>
      </w:r>
    </w:p>
    <w:p w14:paraId="4ED40724" w14:textId="0257FB8C" w:rsidR="004138A2" w:rsidRDefault="00952965" w:rsidP="00AD36B8">
      <w:pPr>
        <w:pStyle w:val="ListBullet2"/>
        <w:numPr>
          <w:ilvl w:val="0"/>
          <w:numId w:val="0"/>
        </w:numPr>
        <w:ind w:left="357"/>
      </w:pPr>
      <w:r>
        <w:rPr>
          <w:color w:val="000000"/>
        </w:rPr>
        <w:t xml:space="preserve">In addition to these measures, which are </w:t>
      </w:r>
      <w:r w:rsidR="002221E7">
        <w:rPr>
          <w:color w:val="000000"/>
        </w:rPr>
        <w:t xml:space="preserve">intended </w:t>
      </w:r>
      <w:r>
        <w:rPr>
          <w:color w:val="000000"/>
        </w:rPr>
        <w:t xml:space="preserve">to pose a constraint on monopoly pricing, </w:t>
      </w:r>
      <w:r w:rsidR="00EC5A21">
        <w:rPr>
          <w:color w:val="000000"/>
        </w:rPr>
        <w:t xml:space="preserve">scheme </w:t>
      </w:r>
      <w:r w:rsidR="00A10B48">
        <w:rPr>
          <w:color w:val="000000"/>
        </w:rPr>
        <w:t xml:space="preserve">pipelines are </w:t>
      </w:r>
      <w:r w:rsidR="00E55535">
        <w:t xml:space="preserve">prohibited from </w:t>
      </w:r>
      <w:r w:rsidR="002D273A">
        <w:t xml:space="preserve">engaging in conduct that would prevent </w:t>
      </w:r>
      <w:r w:rsidR="004138A2" w:rsidRPr="004138A2">
        <w:t xml:space="preserve">or </w:t>
      </w:r>
      <w:r w:rsidR="002D273A">
        <w:t xml:space="preserve">hinder </w:t>
      </w:r>
      <w:r w:rsidR="004138A2" w:rsidRPr="004138A2">
        <w:t>access</w:t>
      </w:r>
      <w:r w:rsidR="00E55535">
        <w:t>.</w:t>
      </w:r>
      <w:r w:rsidR="00370905">
        <w:rPr>
          <w:rFonts w:ascii="ZWAdobeF" w:hAnsi="ZWAdobeF" w:cs="ZWAdobeF"/>
          <w:sz w:val="2"/>
          <w:szCs w:val="2"/>
        </w:rPr>
        <w:t>47F</w:t>
      </w:r>
      <w:r w:rsidR="0048649F">
        <w:rPr>
          <w:rStyle w:val="FootnoteReference"/>
        </w:rPr>
        <w:footnoteReference w:id="49"/>
      </w:r>
      <w:r w:rsidR="00EC5A21" w:rsidRPr="00EC5A21">
        <w:rPr>
          <w:vertAlign w:val="superscript"/>
        </w:rPr>
        <w:t>,</w:t>
      </w:r>
      <w:r w:rsidR="00370905">
        <w:rPr>
          <w:rFonts w:ascii="ZWAdobeF" w:hAnsi="ZWAdobeF" w:cs="ZWAdobeF"/>
          <w:sz w:val="2"/>
          <w:szCs w:val="2"/>
        </w:rPr>
        <w:t>48F</w:t>
      </w:r>
      <w:r w:rsidR="00A3087B">
        <w:rPr>
          <w:rStyle w:val="FootnoteReference"/>
        </w:rPr>
        <w:footnoteReference w:id="50"/>
      </w:r>
      <w:r w:rsidR="00E55535">
        <w:t xml:space="preserve"> They are also subject to </w:t>
      </w:r>
      <w:r w:rsidR="004138A2" w:rsidRPr="004138A2">
        <w:t xml:space="preserve">ring fencing and associate contract </w:t>
      </w:r>
      <w:r w:rsidR="004138A2" w:rsidRPr="004138A2">
        <w:lastRenderedPageBreak/>
        <w:t>provisions</w:t>
      </w:r>
      <w:r w:rsidR="004F1114">
        <w:t xml:space="preserve"> in the NGL</w:t>
      </w:r>
      <w:r w:rsidR="004138A2" w:rsidRPr="004138A2">
        <w:t>,</w:t>
      </w:r>
      <w:r w:rsidR="00370905">
        <w:rPr>
          <w:rFonts w:ascii="ZWAdobeF" w:hAnsi="ZWAdobeF" w:cs="ZWAdobeF"/>
          <w:sz w:val="2"/>
          <w:szCs w:val="2"/>
        </w:rPr>
        <w:t>49F</w:t>
      </w:r>
      <w:r w:rsidR="004F1114">
        <w:rPr>
          <w:rStyle w:val="FootnoteReference"/>
        </w:rPr>
        <w:footnoteReference w:id="51"/>
      </w:r>
      <w:r w:rsidR="004138A2" w:rsidRPr="004138A2">
        <w:t xml:space="preserve"> </w:t>
      </w:r>
      <w:r w:rsidR="004138A2">
        <w:t xml:space="preserve">which </w:t>
      </w:r>
      <w:r w:rsidR="004138A2" w:rsidRPr="004138A2">
        <w:t xml:space="preserve">are </w:t>
      </w:r>
      <w:r w:rsidR="00915812">
        <w:t xml:space="preserve">intended to </w:t>
      </w:r>
      <w:r w:rsidR="00A73081">
        <w:t>prevent vertically integrated service provider</w:t>
      </w:r>
      <w:r w:rsidR="008700A6">
        <w:t xml:space="preserve">s </w:t>
      </w:r>
      <w:r w:rsidR="00A73081">
        <w:t xml:space="preserve">from </w:t>
      </w:r>
      <w:r w:rsidR="00915812">
        <w:t xml:space="preserve">adversely affecting competition in related markets (e.g. by </w:t>
      </w:r>
      <w:r w:rsidR="00101951">
        <w:t xml:space="preserve">providing access to </w:t>
      </w:r>
      <w:r w:rsidR="00915812">
        <w:t xml:space="preserve">an associate </w:t>
      </w:r>
      <w:r w:rsidR="00101951">
        <w:t xml:space="preserve">on more favourable terms than </w:t>
      </w:r>
      <w:r w:rsidR="00957FA8">
        <w:t>its competitors</w:t>
      </w:r>
      <w:r w:rsidR="00CE08D9">
        <w:t>)</w:t>
      </w:r>
      <w:r w:rsidR="00350E54">
        <w:t>.</w:t>
      </w:r>
      <w:r w:rsidR="00A73081">
        <w:t xml:space="preserve"> </w:t>
      </w:r>
    </w:p>
    <w:p w14:paraId="3722CE57" w14:textId="70B62FBB" w:rsidR="004D1D0A" w:rsidRPr="004138A2" w:rsidRDefault="004D1D0A" w:rsidP="00AD36B8">
      <w:pPr>
        <w:pStyle w:val="ListBullet2"/>
        <w:numPr>
          <w:ilvl w:val="0"/>
          <w:numId w:val="0"/>
        </w:numPr>
        <w:ind w:left="357"/>
      </w:pPr>
      <w:r>
        <w:t xml:space="preserve">The NCC is currently responsible for determining what form of regulation should apply to scheme pipelines (see </w:t>
      </w:r>
      <w:r>
        <w:fldChar w:fldCharType="begin" w:fldLock="1"/>
      </w:r>
      <w:r>
        <w:instrText xml:space="preserve"> REF _Ref18328964 \h </w:instrText>
      </w:r>
      <w:r>
        <w:fldChar w:fldCharType="separate"/>
      </w:r>
      <w:r w:rsidR="00036405" w:rsidRPr="006B4639">
        <w:t xml:space="preserve">Box </w:t>
      </w:r>
      <w:r w:rsidR="00036405">
        <w:rPr>
          <w:noProof/>
        </w:rPr>
        <w:t>2</w:t>
      </w:r>
      <w:r w:rsidR="00036405">
        <w:t>.</w:t>
      </w:r>
      <w:r w:rsidR="00036405">
        <w:rPr>
          <w:noProof/>
        </w:rPr>
        <w:t>5</w:t>
      </w:r>
      <w:r>
        <w:fldChar w:fldCharType="end"/>
      </w:r>
      <w:r>
        <w:t xml:space="preserve"> for more detail).</w:t>
      </w:r>
    </w:p>
    <w:p w14:paraId="4D52A66A" w14:textId="0459E3A2" w:rsidR="001742B6" w:rsidRPr="001742B6" w:rsidRDefault="0038294B" w:rsidP="00AD36B8">
      <w:pPr>
        <w:pStyle w:val="ListBullet"/>
        <w:rPr>
          <w:color w:val="000000"/>
        </w:rPr>
      </w:pPr>
      <w:r>
        <w:rPr>
          <w:rStyle w:val="A7"/>
          <w:b/>
          <w:bCs/>
          <w:sz w:val="22"/>
          <w:szCs w:val="22"/>
        </w:rPr>
        <w:t>N</w:t>
      </w:r>
      <w:r w:rsidR="006B2E3B" w:rsidRPr="001742B6">
        <w:rPr>
          <w:rStyle w:val="A7"/>
          <w:b/>
          <w:bCs/>
          <w:sz w:val="22"/>
          <w:szCs w:val="22"/>
        </w:rPr>
        <w:t>on-scheme pipelines</w:t>
      </w:r>
      <w:r w:rsidR="006B2E3B" w:rsidRPr="001742B6">
        <w:rPr>
          <w:rStyle w:val="A7"/>
          <w:sz w:val="22"/>
          <w:szCs w:val="22"/>
        </w:rPr>
        <w:t xml:space="preserve"> subject to </w:t>
      </w:r>
      <w:r w:rsidR="006B2E3B" w:rsidRPr="001742B6">
        <w:rPr>
          <w:rStyle w:val="A7"/>
          <w:b/>
          <w:bCs/>
          <w:sz w:val="22"/>
          <w:szCs w:val="22"/>
        </w:rPr>
        <w:t>Part 23</w:t>
      </w:r>
      <w:r w:rsidR="001742B6" w:rsidRPr="001742B6">
        <w:rPr>
          <w:rStyle w:val="A7"/>
          <w:sz w:val="22"/>
          <w:szCs w:val="22"/>
        </w:rPr>
        <w:t>:</w:t>
      </w:r>
      <w:r w:rsidR="00370905">
        <w:rPr>
          <w:rStyle w:val="A7"/>
          <w:rFonts w:ascii="ZWAdobeF" w:hAnsi="ZWAdobeF" w:cs="ZWAdobeF"/>
          <w:color w:val="auto"/>
          <w:sz w:val="2"/>
          <w:szCs w:val="2"/>
        </w:rPr>
        <w:t>50F</w:t>
      </w:r>
      <w:r w:rsidR="006B2E3B" w:rsidRPr="001742B6">
        <w:rPr>
          <w:rStyle w:val="FootnoteReference"/>
          <w:rFonts w:cs="Gotham Light"/>
          <w:color w:val="000000"/>
        </w:rPr>
        <w:footnoteReference w:id="52"/>
      </w:r>
      <w:r w:rsidR="00694066" w:rsidRPr="001742B6">
        <w:rPr>
          <w:rStyle w:val="FootnoteReference"/>
          <w:rFonts w:cs="Gotham Light"/>
          <w:color w:val="000000"/>
        </w:rPr>
        <w:t>,</w:t>
      </w:r>
      <w:r w:rsidR="006B2E3B" w:rsidRPr="001742B6">
        <w:rPr>
          <w:rStyle w:val="A7"/>
          <w:sz w:val="22"/>
          <w:szCs w:val="22"/>
        </w:rPr>
        <w:t xml:space="preserve"> </w:t>
      </w:r>
      <w:r w:rsidR="00AF67BD">
        <w:rPr>
          <w:rStyle w:val="A7"/>
          <w:sz w:val="22"/>
          <w:szCs w:val="22"/>
        </w:rPr>
        <w:t>Like light regulation, p</w:t>
      </w:r>
      <w:r w:rsidR="00794A15">
        <w:rPr>
          <w:rStyle w:val="A7"/>
          <w:sz w:val="22"/>
          <w:szCs w:val="22"/>
        </w:rPr>
        <w:t xml:space="preserve">ipelines subject to </w:t>
      </w:r>
      <w:r w:rsidR="00A503E0">
        <w:rPr>
          <w:rStyle w:val="A7"/>
          <w:sz w:val="22"/>
          <w:szCs w:val="22"/>
        </w:rPr>
        <w:t xml:space="preserve">Part 23 </w:t>
      </w:r>
      <w:r w:rsidR="00794A15">
        <w:rPr>
          <w:color w:val="000000"/>
        </w:rPr>
        <w:t xml:space="preserve">are required </w:t>
      </w:r>
      <w:r w:rsidR="001742B6" w:rsidRPr="001742B6">
        <w:rPr>
          <w:color w:val="000000"/>
        </w:rPr>
        <w:t xml:space="preserve">to </w:t>
      </w:r>
      <w:r w:rsidR="00AF67BD">
        <w:rPr>
          <w:color w:val="000000"/>
        </w:rPr>
        <w:t xml:space="preserve">comply with </w:t>
      </w:r>
      <w:r w:rsidR="00AF67BD" w:rsidRPr="00227232">
        <w:t>provisions in the NGR that are intended to facilitate commercial negotiations and reduce the information asymmetries shippers can face in negotiations.</w:t>
      </w:r>
      <w:r w:rsidR="00AF67BD">
        <w:t xml:space="preserve"> </w:t>
      </w:r>
      <w:r w:rsidR="007605A6">
        <w:t>A commercially</w:t>
      </w:r>
      <w:r w:rsidR="005A1AB7">
        <w:t>-</w:t>
      </w:r>
      <w:r w:rsidR="007605A6">
        <w:t xml:space="preserve">oriented arbitration mechanism </w:t>
      </w:r>
      <w:r w:rsidR="001C25DF">
        <w:t xml:space="preserve">is also available </w:t>
      </w:r>
      <w:r w:rsidR="00AB5DF8">
        <w:rPr>
          <w:color w:val="000000"/>
        </w:rPr>
        <w:t>i</w:t>
      </w:r>
      <w:r w:rsidR="00A236BF">
        <w:rPr>
          <w:color w:val="000000"/>
        </w:rPr>
        <w:t>f a dispute about access arises</w:t>
      </w:r>
      <w:r w:rsidR="002B4303">
        <w:rPr>
          <w:color w:val="000000"/>
        </w:rPr>
        <w:t xml:space="preserve">, </w:t>
      </w:r>
      <w:r w:rsidR="00A503E0">
        <w:rPr>
          <w:color w:val="000000"/>
        </w:rPr>
        <w:t xml:space="preserve">which </w:t>
      </w:r>
      <w:r w:rsidR="004569C9">
        <w:rPr>
          <w:color w:val="000000"/>
        </w:rPr>
        <w:t xml:space="preserve">must be </w:t>
      </w:r>
      <w:r w:rsidR="00C67B32">
        <w:rPr>
          <w:color w:val="000000"/>
        </w:rPr>
        <w:t xml:space="preserve">conducted </w:t>
      </w:r>
      <w:r w:rsidR="002B4303">
        <w:rPr>
          <w:color w:val="000000"/>
        </w:rPr>
        <w:t xml:space="preserve">by </w:t>
      </w:r>
      <w:r w:rsidR="00646B87">
        <w:rPr>
          <w:color w:val="000000"/>
        </w:rPr>
        <w:t xml:space="preserve">a commercial </w:t>
      </w:r>
      <w:r w:rsidR="001742B6" w:rsidRPr="001742B6">
        <w:rPr>
          <w:color w:val="000000"/>
        </w:rPr>
        <w:t xml:space="preserve">arbitrator </w:t>
      </w:r>
      <w:r w:rsidR="00646B87">
        <w:rPr>
          <w:color w:val="000000"/>
        </w:rPr>
        <w:t>(</w:t>
      </w:r>
      <w:r w:rsidR="001742B6" w:rsidRPr="001742B6">
        <w:rPr>
          <w:color w:val="000000"/>
        </w:rPr>
        <w:t xml:space="preserve">selected from a pool </w:t>
      </w:r>
      <w:r w:rsidR="00646B87">
        <w:rPr>
          <w:color w:val="000000"/>
        </w:rPr>
        <w:t xml:space="preserve">established by the relevant regulator) </w:t>
      </w:r>
      <w:r w:rsidR="00AA31C4">
        <w:rPr>
          <w:color w:val="000000"/>
        </w:rPr>
        <w:t>and completed within 50-90 business days</w:t>
      </w:r>
      <w:r w:rsidR="001742B6" w:rsidRPr="001742B6">
        <w:rPr>
          <w:color w:val="000000"/>
        </w:rPr>
        <w:t xml:space="preserve">. </w:t>
      </w:r>
    </w:p>
    <w:p w14:paraId="76C6FCEF" w14:textId="77777777" w:rsidR="00726AA1" w:rsidRDefault="00726AA1" w:rsidP="00CE0DD5">
      <w:pPr>
        <w:pStyle w:val="BodyText"/>
        <w:spacing w:before="120" w:line="252" w:lineRule="auto"/>
      </w:pPr>
      <w:r>
        <w:t xml:space="preserve">The relevant regulator under each of these forms of regulation is the </w:t>
      </w:r>
      <w:r w:rsidRPr="00CA2E41">
        <w:rPr>
          <w:rFonts w:cs="Arial"/>
          <w:color w:val="000000"/>
        </w:rPr>
        <w:t>AER</w:t>
      </w:r>
      <w:r>
        <w:rPr>
          <w:rFonts w:cs="Arial"/>
          <w:color w:val="000000"/>
        </w:rPr>
        <w:t xml:space="preserve"> in the east coast and NT</w:t>
      </w:r>
      <w:r w:rsidR="00957FA8">
        <w:rPr>
          <w:rFonts w:cs="Arial"/>
          <w:color w:val="000000"/>
        </w:rPr>
        <w:t>,</w:t>
      </w:r>
      <w:r>
        <w:rPr>
          <w:rFonts w:cs="Arial"/>
          <w:color w:val="000000"/>
        </w:rPr>
        <w:t xml:space="preserve"> and the Economic Regulation Authority (ERA) in WA.</w:t>
      </w:r>
    </w:p>
    <w:p w14:paraId="4AE24127" w14:textId="18571245" w:rsidR="00100B4C" w:rsidRPr="00227232" w:rsidRDefault="0038294B" w:rsidP="00CE0DD5">
      <w:pPr>
        <w:pStyle w:val="BodyText"/>
        <w:spacing w:line="252" w:lineRule="auto"/>
        <w:rPr>
          <w:rFonts w:asciiTheme="majorHAnsi" w:hAnsiTheme="majorHAnsi" w:cstheme="majorHAnsi"/>
          <w:color w:val="000000"/>
        </w:rPr>
      </w:pPr>
      <w:r>
        <w:t xml:space="preserve">Further insight into the </w:t>
      </w:r>
      <w:r w:rsidR="00396E93">
        <w:t>differences between these three forms of regulation</w:t>
      </w:r>
      <w:r w:rsidR="00D74DF1">
        <w:t xml:space="preserve">, which are all variants of the negotiate-arbitrate </w:t>
      </w:r>
      <w:r w:rsidR="00CE0DD5">
        <w:t xml:space="preserve">regulatory </w:t>
      </w:r>
      <w:r w:rsidR="00D74DF1">
        <w:t>model,</w:t>
      </w:r>
      <w:r w:rsidR="00396E93">
        <w:t xml:space="preserve"> </w:t>
      </w:r>
      <w:r w:rsidR="003A6ED1">
        <w:t xml:space="preserve">can be found in </w:t>
      </w:r>
      <w:r w:rsidR="00396E93">
        <w:fldChar w:fldCharType="begin" w:fldLock="1"/>
      </w:r>
      <w:r w:rsidR="00396E93">
        <w:instrText xml:space="preserve"> REF _Ref49702813 \h </w:instrText>
      </w:r>
      <w:r w:rsidR="00396E93">
        <w:fldChar w:fldCharType="separate"/>
      </w:r>
      <w:r w:rsidR="00036405" w:rsidRPr="006B4639">
        <w:t xml:space="preserve">Figure </w:t>
      </w:r>
      <w:r w:rsidR="00036405">
        <w:rPr>
          <w:noProof/>
        </w:rPr>
        <w:t>2</w:t>
      </w:r>
      <w:r w:rsidR="00036405">
        <w:t>.</w:t>
      </w:r>
      <w:r w:rsidR="00036405">
        <w:rPr>
          <w:noProof/>
        </w:rPr>
        <w:t>1</w:t>
      </w:r>
      <w:r w:rsidR="00396E93">
        <w:fldChar w:fldCharType="end"/>
      </w:r>
      <w:r w:rsidR="0073072C">
        <w:t xml:space="preserve">. </w:t>
      </w:r>
      <w:r w:rsidR="00100B4C">
        <w:fldChar w:fldCharType="begin" w:fldLock="1"/>
      </w:r>
      <w:r w:rsidR="00100B4C">
        <w:instrText xml:space="preserve"> REF _Ref49700216 \h </w:instrText>
      </w:r>
      <w:r w:rsidR="00100B4C">
        <w:fldChar w:fldCharType="separate"/>
      </w:r>
      <w:r w:rsidR="00036405">
        <w:t xml:space="preserve">Box </w:t>
      </w:r>
      <w:r w:rsidR="00036405">
        <w:rPr>
          <w:noProof/>
        </w:rPr>
        <w:t>2</w:t>
      </w:r>
      <w:r w:rsidR="00036405">
        <w:t>.</w:t>
      </w:r>
      <w:r w:rsidR="00036405">
        <w:rPr>
          <w:noProof/>
        </w:rPr>
        <w:t>4</w:t>
      </w:r>
      <w:r w:rsidR="00100B4C">
        <w:fldChar w:fldCharType="end"/>
      </w:r>
      <w:r w:rsidR="00100B4C">
        <w:t xml:space="preserve"> provides further detail on how a pipeline can </w:t>
      </w:r>
      <w:r w:rsidR="001A2B25">
        <w:t xml:space="preserve">become </w:t>
      </w:r>
      <w:r w:rsidR="00100B4C">
        <w:t xml:space="preserve">a </w:t>
      </w:r>
      <w:r w:rsidR="0073072C">
        <w:t>‘</w:t>
      </w:r>
      <w:r w:rsidR="00100B4C">
        <w:t>scheme</w:t>
      </w:r>
      <w:r w:rsidR="0073072C">
        <w:t>’</w:t>
      </w:r>
      <w:r w:rsidR="00100B4C">
        <w:t xml:space="preserve"> pipeline</w:t>
      </w:r>
      <w:r w:rsidR="00AE7B45">
        <w:t xml:space="preserve"> and who is responsible for making this decision. </w:t>
      </w:r>
      <w:r w:rsidR="00100B4C">
        <w:t xml:space="preserve"> </w:t>
      </w:r>
    </w:p>
    <w:p w14:paraId="64EA5766" w14:textId="10D83A61" w:rsidR="00ED52AF" w:rsidRPr="006B4639" w:rsidRDefault="00ED52AF" w:rsidP="00ED52AF">
      <w:pPr>
        <w:pStyle w:val="Caption"/>
        <w:spacing w:after="0"/>
      </w:pPr>
      <w:bookmarkStart w:id="52" w:name="_Ref49702813"/>
      <w:r w:rsidRPr="006B4639">
        <w:lastRenderedPageBreak/>
        <w:t xml:space="preserve">Figure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2</w:t>
      </w:r>
      <w:r w:rsidR="00F323B2">
        <w:rPr>
          <w:noProof/>
        </w:rPr>
        <w:fldChar w:fldCharType="end"/>
      </w:r>
      <w:r w:rsidR="001B5C8A">
        <w:t>.</w:t>
      </w:r>
      <w:r w:rsidR="00F323B2">
        <w:rPr>
          <w:noProof/>
        </w:rPr>
        <w:fldChar w:fldCharType="begin"/>
      </w:r>
      <w:r w:rsidR="00F323B2">
        <w:rPr>
          <w:noProof/>
        </w:rPr>
        <w:instrText xml:space="preserve"> SEQ Figure \* ARABIC \s 1 </w:instrText>
      </w:r>
      <w:r w:rsidR="00F323B2">
        <w:rPr>
          <w:noProof/>
        </w:rPr>
        <w:fldChar w:fldCharType="separate"/>
      </w:r>
      <w:r w:rsidR="004031E8">
        <w:rPr>
          <w:noProof/>
        </w:rPr>
        <w:t>1</w:t>
      </w:r>
      <w:r w:rsidR="00F323B2">
        <w:rPr>
          <w:noProof/>
        </w:rPr>
        <w:fldChar w:fldCharType="end"/>
      </w:r>
      <w:bookmarkEnd w:id="52"/>
      <w:r w:rsidRPr="006B4639">
        <w:t xml:space="preserve">: </w:t>
      </w:r>
      <w:r>
        <w:t>Main d</w:t>
      </w:r>
      <w:r w:rsidRPr="006B4639">
        <w:t xml:space="preserve">ifferences between the alternative forms of </w:t>
      </w:r>
      <w:r w:rsidR="00BD7DA4">
        <w:t xml:space="preserve">existing </w:t>
      </w:r>
      <w:r w:rsidRPr="006B4639">
        <w:t>regulation</w:t>
      </w:r>
    </w:p>
    <w:p w14:paraId="0D27C2EB" w14:textId="77777777" w:rsidR="00ED52AF" w:rsidRDefault="00ED52AF" w:rsidP="00ED52AF">
      <w:pPr>
        <w:pStyle w:val="BodyText"/>
        <w:spacing w:before="0"/>
      </w:pPr>
      <w:r w:rsidRPr="006B4639">
        <w:rPr>
          <w:noProof/>
        </w:rPr>
        <w:drawing>
          <wp:inline distT="0" distB="0" distL="0" distR="0" wp14:anchorId="7FA7FAF7" wp14:editId="696FED3D">
            <wp:extent cx="5624423" cy="8885208"/>
            <wp:effectExtent l="0" t="0" r="0" b="0"/>
            <wp:docPr id="7" name="Picture 7" descr="P720#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720#yIS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1873" cy="8896978"/>
                    </a:xfrm>
                    <a:prstGeom prst="rect">
                      <a:avLst/>
                    </a:prstGeom>
                    <a:noFill/>
                  </pic:spPr>
                </pic:pic>
              </a:graphicData>
            </a:graphic>
          </wp:inline>
        </w:drawing>
      </w:r>
    </w:p>
    <w:p w14:paraId="496D6333" w14:textId="2A9BA43A" w:rsidR="00067B3A" w:rsidRPr="00524F54" w:rsidRDefault="00067B3A" w:rsidP="00067B3A">
      <w:pPr>
        <w:pStyle w:val="Caption"/>
        <w:spacing w:before="0" w:after="0"/>
        <w:rPr>
          <w:rFonts w:cstheme="majorHAnsi"/>
        </w:rPr>
      </w:pPr>
      <w:bookmarkStart w:id="53" w:name="_Ref49700216"/>
      <w:r>
        <w:lastRenderedPageBreak/>
        <w:t xml:space="preserve">Box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2</w:t>
      </w:r>
      <w:r w:rsidR="00F323B2">
        <w:rPr>
          <w:noProof/>
        </w:rPr>
        <w:fldChar w:fldCharType="end"/>
      </w:r>
      <w:r w:rsidR="00B80405">
        <w:t>.</w:t>
      </w:r>
      <w:r w:rsidR="00F323B2">
        <w:rPr>
          <w:noProof/>
        </w:rPr>
        <w:fldChar w:fldCharType="begin"/>
      </w:r>
      <w:r w:rsidR="00F323B2">
        <w:rPr>
          <w:noProof/>
        </w:rPr>
        <w:instrText xml:space="preserve"> SEQ Box \* ARABIC \s 1 </w:instrText>
      </w:r>
      <w:r w:rsidR="00F323B2">
        <w:rPr>
          <w:noProof/>
        </w:rPr>
        <w:fldChar w:fldCharType="separate"/>
      </w:r>
      <w:r w:rsidR="004031E8">
        <w:rPr>
          <w:noProof/>
        </w:rPr>
        <w:t>4</w:t>
      </w:r>
      <w:r w:rsidR="00F323B2">
        <w:rPr>
          <w:noProof/>
        </w:rPr>
        <w:fldChar w:fldCharType="end"/>
      </w:r>
      <w:bookmarkEnd w:id="53"/>
      <w:r w:rsidRPr="00524F54">
        <w:rPr>
          <w:rFonts w:cstheme="majorHAnsi"/>
        </w:rPr>
        <w:t xml:space="preserve">: </w:t>
      </w:r>
      <w:r>
        <w:rPr>
          <w:rFonts w:cstheme="majorHAnsi"/>
        </w:rPr>
        <w:t xml:space="preserve">How a pipeline can become a scheme (covered) pipeline </w:t>
      </w:r>
    </w:p>
    <w:tbl>
      <w:tblPr>
        <w:tblStyle w:val="PullOutBoxTable"/>
        <w:tblW w:w="5000" w:type="pct"/>
        <w:tblLook w:val="0600" w:firstRow="0" w:lastRow="0" w:firstColumn="0" w:lastColumn="0" w:noHBand="1" w:noVBand="1"/>
      </w:tblPr>
      <w:tblGrid>
        <w:gridCol w:w="8788"/>
      </w:tblGrid>
      <w:tr w:rsidR="00067B3A" w:rsidRPr="00CF0D6E" w14:paraId="3F001DA2" w14:textId="77777777" w:rsidTr="001A440E">
        <w:trPr>
          <w:trHeight w:val="151"/>
        </w:trPr>
        <w:tc>
          <w:tcPr>
            <w:tcW w:w="5000" w:type="pct"/>
          </w:tcPr>
          <w:p w14:paraId="04836D5A" w14:textId="077E730F" w:rsidR="00067B3A" w:rsidRPr="00CF0D6E" w:rsidRDefault="00067B3A" w:rsidP="005E4270">
            <w:pPr>
              <w:pStyle w:val="BodyText"/>
              <w:widowControl w:val="0"/>
              <w:spacing w:before="20" w:after="20"/>
              <w:rPr>
                <w:rStyle w:val="A7"/>
                <w:rFonts w:asciiTheme="majorHAnsi" w:hAnsiTheme="majorHAnsi" w:cstheme="majorHAnsi"/>
                <w:sz w:val="19"/>
                <w:szCs w:val="19"/>
              </w:rPr>
            </w:pPr>
            <w:r w:rsidRPr="00CF0D6E">
              <w:rPr>
                <w:rStyle w:val="A7"/>
                <w:rFonts w:asciiTheme="majorHAnsi" w:hAnsiTheme="majorHAnsi" w:cstheme="majorHAnsi"/>
                <w:sz w:val="19"/>
                <w:szCs w:val="19"/>
              </w:rPr>
              <w:t>A pipeline can become a scheme pipeline in one of four ways under the NGL:</w:t>
            </w:r>
            <w:r w:rsidR="00370905">
              <w:rPr>
                <w:rStyle w:val="A7"/>
                <w:rFonts w:ascii="ZWAdobeF" w:hAnsi="ZWAdobeF" w:cs="ZWAdobeF"/>
                <w:color w:val="auto"/>
                <w:sz w:val="2"/>
                <w:szCs w:val="2"/>
              </w:rPr>
              <w:t>51F</w:t>
            </w:r>
            <w:r w:rsidRPr="00CF0D6E">
              <w:rPr>
                <w:rStyle w:val="FootnoteReference"/>
                <w:rFonts w:asciiTheme="majorHAnsi" w:hAnsiTheme="majorHAnsi" w:cstheme="majorHAnsi"/>
                <w:sz w:val="19"/>
                <w:szCs w:val="19"/>
              </w:rPr>
              <w:footnoteReference w:id="53"/>
            </w:r>
          </w:p>
          <w:p w14:paraId="4106D6A9" w14:textId="77777777" w:rsidR="00067B3A" w:rsidRPr="00CF0D6E" w:rsidRDefault="00067B3A" w:rsidP="005E4270">
            <w:pPr>
              <w:pStyle w:val="TableListNumber"/>
              <w:numPr>
                <w:ilvl w:val="0"/>
                <w:numId w:val="80"/>
              </w:numPr>
              <w:ind w:left="442" w:hanging="357"/>
              <w:rPr>
                <w:sz w:val="19"/>
                <w:szCs w:val="19"/>
              </w:rPr>
            </w:pPr>
            <w:r w:rsidRPr="00CF0D6E">
              <w:rPr>
                <w:sz w:val="19"/>
                <w:szCs w:val="19"/>
              </w:rPr>
              <w:t xml:space="preserve">if the pipeline was deemed to be a covered pipeline when the Gas Code came into effect and coverage has not subsequently been revoked; </w:t>
            </w:r>
          </w:p>
          <w:p w14:paraId="3E65D761" w14:textId="1910A936" w:rsidR="00067B3A" w:rsidRPr="00CF0D6E" w:rsidRDefault="00067B3A" w:rsidP="005E4270">
            <w:pPr>
              <w:pStyle w:val="TableListNumber"/>
              <w:numPr>
                <w:ilvl w:val="0"/>
                <w:numId w:val="80"/>
              </w:numPr>
              <w:ind w:left="442" w:hanging="357"/>
              <w:rPr>
                <w:sz w:val="19"/>
                <w:szCs w:val="19"/>
              </w:rPr>
            </w:pPr>
            <w:r w:rsidRPr="00CF0D6E">
              <w:rPr>
                <w:sz w:val="19"/>
                <w:szCs w:val="19"/>
              </w:rPr>
              <w:t>if a coverage application is made to the NCC and the relevant Minister,</w:t>
            </w:r>
            <w:r w:rsidR="00370905">
              <w:rPr>
                <w:rFonts w:ascii="ZWAdobeF" w:hAnsi="ZWAdobeF" w:cs="ZWAdobeF"/>
                <w:sz w:val="2"/>
                <w:szCs w:val="2"/>
              </w:rPr>
              <w:t>52F</w:t>
            </w:r>
            <w:r w:rsidR="002B32D6" w:rsidRPr="00CF0D6E">
              <w:rPr>
                <w:rStyle w:val="FootnoteReference"/>
                <w:sz w:val="19"/>
                <w:szCs w:val="19"/>
              </w:rPr>
              <w:footnoteReference w:id="54"/>
            </w:r>
            <w:r w:rsidRPr="00CF0D6E">
              <w:rPr>
                <w:sz w:val="19"/>
                <w:szCs w:val="19"/>
              </w:rPr>
              <w:t xml:space="preserve"> having regard to the NCC’s recommendation, is satisfied the coverage test is met;</w:t>
            </w:r>
          </w:p>
          <w:p w14:paraId="640470BD" w14:textId="77777777" w:rsidR="00067B3A" w:rsidRPr="00CF0D6E" w:rsidRDefault="00067B3A" w:rsidP="005E4270">
            <w:pPr>
              <w:pStyle w:val="TableListNumber"/>
              <w:numPr>
                <w:ilvl w:val="0"/>
                <w:numId w:val="80"/>
              </w:numPr>
              <w:ind w:left="442" w:hanging="357"/>
              <w:rPr>
                <w:sz w:val="19"/>
                <w:szCs w:val="19"/>
              </w:rPr>
            </w:pPr>
            <w:r w:rsidRPr="00CF0D6E">
              <w:rPr>
                <w:sz w:val="19"/>
                <w:szCs w:val="19"/>
              </w:rPr>
              <w:t>if the pipeline is developed through a regulator approved competitive tender process; or</w:t>
            </w:r>
          </w:p>
          <w:p w14:paraId="1965EDF6" w14:textId="77777777" w:rsidR="00067B3A" w:rsidRPr="00CF0D6E" w:rsidRDefault="00067B3A" w:rsidP="005E4270">
            <w:pPr>
              <w:pStyle w:val="TableListNumber"/>
              <w:numPr>
                <w:ilvl w:val="0"/>
                <w:numId w:val="80"/>
              </w:numPr>
              <w:ind w:left="442" w:hanging="357"/>
              <w:rPr>
                <w:sz w:val="19"/>
                <w:szCs w:val="19"/>
              </w:rPr>
            </w:pPr>
            <w:r w:rsidRPr="00CF0D6E">
              <w:rPr>
                <w:sz w:val="19"/>
                <w:szCs w:val="19"/>
              </w:rPr>
              <w:t xml:space="preserve">if an unregulated pipeline voluntarily submits an </w:t>
            </w:r>
            <w:r w:rsidR="005A1AB7" w:rsidRPr="00CF0D6E">
              <w:rPr>
                <w:sz w:val="19"/>
                <w:szCs w:val="19"/>
              </w:rPr>
              <w:t>AA</w:t>
            </w:r>
            <w:r w:rsidRPr="00CF0D6E">
              <w:rPr>
                <w:sz w:val="19"/>
                <w:szCs w:val="19"/>
              </w:rPr>
              <w:t xml:space="preserve"> to the regulator</w:t>
            </w:r>
            <w:r w:rsidR="006E1509" w:rsidRPr="00CF0D6E">
              <w:rPr>
                <w:sz w:val="19"/>
                <w:szCs w:val="19"/>
              </w:rPr>
              <w:t xml:space="preserve"> and the approved </w:t>
            </w:r>
            <w:r w:rsidR="005A1AB7" w:rsidRPr="00CF0D6E">
              <w:rPr>
                <w:sz w:val="19"/>
                <w:szCs w:val="19"/>
              </w:rPr>
              <w:t>AA</w:t>
            </w:r>
            <w:r w:rsidR="006E1509" w:rsidRPr="00CF0D6E">
              <w:rPr>
                <w:sz w:val="19"/>
                <w:szCs w:val="19"/>
              </w:rPr>
              <w:t xml:space="preserve"> is in place</w:t>
            </w:r>
            <w:r w:rsidRPr="00CF0D6E">
              <w:rPr>
                <w:sz w:val="19"/>
                <w:szCs w:val="19"/>
              </w:rPr>
              <w:t xml:space="preserve">. </w:t>
            </w:r>
          </w:p>
          <w:p w14:paraId="7666AE09" w14:textId="77777777" w:rsidR="00067B3A" w:rsidRPr="00CF0D6E" w:rsidRDefault="00067B3A" w:rsidP="005E4270">
            <w:pPr>
              <w:pStyle w:val="Pa9"/>
              <w:autoSpaceDE/>
              <w:autoSpaceDN/>
              <w:adjustRightInd/>
              <w:spacing w:before="20" w:after="20" w:line="240" w:lineRule="auto"/>
              <w:rPr>
                <w:rFonts w:asciiTheme="majorHAnsi" w:hAnsiTheme="majorHAnsi" w:cstheme="majorHAnsi"/>
                <w:color w:val="000000"/>
                <w:sz w:val="19"/>
                <w:szCs w:val="19"/>
              </w:rPr>
            </w:pPr>
            <w:r w:rsidRPr="00CF0D6E">
              <w:rPr>
                <w:rFonts w:asciiTheme="majorHAnsi" w:hAnsiTheme="majorHAnsi" w:cstheme="majorHAnsi"/>
                <w:color w:val="000000"/>
                <w:sz w:val="19"/>
                <w:szCs w:val="19"/>
              </w:rPr>
              <w:t xml:space="preserve">The </w:t>
            </w:r>
            <w:r w:rsidRPr="00CF0D6E">
              <w:rPr>
                <w:rFonts w:asciiTheme="majorHAnsi" w:hAnsiTheme="majorHAnsi" w:cstheme="majorHAnsi"/>
                <w:b/>
                <w:bCs/>
                <w:color w:val="000000"/>
                <w:sz w:val="19"/>
                <w:szCs w:val="19"/>
              </w:rPr>
              <w:t>coverage test</w:t>
            </w:r>
            <w:r w:rsidRPr="00CF0D6E">
              <w:rPr>
                <w:rFonts w:asciiTheme="majorHAnsi" w:hAnsiTheme="majorHAnsi" w:cstheme="majorHAnsi"/>
                <w:color w:val="000000"/>
                <w:sz w:val="19"/>
                <w:szCs w:val="19"/>
              </w:rPr>
              <w:t xml:space="preserve"> referred to in (b) is set out in </w:t>
            </w:r>
            <w:r w:rsidR="00735B9E" w:rsidRPr="00CF0D6E">
              <w:rPr>
                <w:rFonts w:asciiTheme="majorHAnsi" w:hAnsiTheme="majorHAnsi" w:cstheme="majorHAnsi"/>
                <w:color w:val="000000"/>
                <w:sz w:val="19"/>
                <w:szCs w:val="19"/>
              </w:rPr>
              <w:t>s.</w:t>
            </w:r>
            <w:r w:rsidRPr="00CF0D6E">
              <w:rPr>
                <w:rFonts w:asciiTheme="majorHAnsi" w:hAnsiTheme="majorHAnsi" w:cstheme="majorHAnsi"/>
                <w:color w:val="000000"/>
                <w:sz w:val="19"/>
                <w:szCs w:val="19"/>
              </w:rPr>
              <w:t xml:space="preserve"> 15 of the NGL and requires the relevant Minister, having regard to the NCC’s recommendation, to be satisfied the following criteria are satisfied: </w:t>
            </w:r>
          </w:p>
          <w:p w14:paraId="5C2F8DE6" w14:textId="77777777" w:rsidR="00067B3A" w:rsidRPr="00CF0D6E" w:rsidRDefault="00067B3A" w:rsidP="005E4270">
            <w:pPr>
              <w:pStyle w:val="ListBullet"/>
              <w:spacing w:before="20" w:after="20"/>
              <w:rPr>
                <w:sz w:val="19"/>
                <w:szCs w:val="19"/>
              </w:rPr>
            </w:pPr>
            <w:r w:rsidRPr="00CF0D6E">
              <w:rPr>
                <w:sz w:val="19"/>
                <w:szCs w:val="19"/>
              </w:rPr>
              <w:t xml:space="preserve">access (or increased access) to the services provided by means of the pipeline would promote a material increase in competition in at least one other market (criterion (a)); </w:t>
            </w:r>
          </w:p>
          <w:p w14:paraId="2763897F" w14:textId="77777777" w:rsidR="00067B3A" w:rsidRPr="00CF0D6E" w:rsidRDefault="00067B3A" w:rsidP="005E4270">
            <w:pPr>
              <w:pStyle w:val="ListBullet"/>
              <w:spacing w:before="20" w:after="20"/>
              <w:rPr>
                <w:sz w:val="19"/>
                <w:szCs w:val="19"/>
              </w:rPr>
            </w:pPr>
            <w:r w:rsidRPr="00CF0D6E">
              <w:rPr>
                <w:sz w:val="19"/>
                <w:szCs w:val="19"/>
              </w:rPr>
              <w:t xml:space="preserve">it would be uneconomic to develop another pipeline to provide the services provided by means of the pipeline (criterion (b)); </w:t>
            </w:r>
          </w:p>
          <w:p w14:paraId="309E97EB" w14:textId="77777777" w:rsidR="00067B3A" w:rsidRPr="00CF0D6E" w:rsidRDefault="00067B3A" w:rsidP="005E4270">
            <w:pPr>
              <w:pStyle w:val="ListBullet"/>
              <w:spacing w:before="20" w:after="20"/>
              <w:rPr>
                <w:sz w:val="19"/>
                <w:szCs w:val="19"/>
              </w:rPr>
            </w:pPr>
            <w:r w:rsidRPr="00CF0D6E">
              <w:rPr>
                <w:sz w:val="19"/>
                <w:szCs w:val="19"/>
              </w:rPr>
              <w:t xml:space="preserve">access (or increased access) to the services provided by means of the pipeline can be provided without undue risk to human health or safety (criterion (c)); and </w:t>
            </w:r>
          </w:p>
          <w:p w14:paraId="4F36D07C" w14:textId="77777777" w:rsidR="00067B3A" w:rsidRPr="00CF0D6E" w:rsidRDefault="00067B3A" w:rsidP="005E4270">
            <w:pPr>
              <w:pStyle w:val="ListBullet"/>
              <w:spacing w:before="20" w:after="20"/>
              <w:rPr>
                <w:sz w:val="19"/>
                <w:szCs w:val="19"/>
              </w:rPr>
            </w:pPr>
            <w:r w:rsidRPr="00CF0D6E">
              <w:rPr>
                <w:sz w:val="19"/>
                <w:szCs w:val="19"/>
              </w:rPr>
              <w:t xml:space="preserve">access (or increased access) to the services provided by means of the pipeline would not be contrary to the public interest (criterion (d)). </w:t>
            </w:r>
          </w:p>
          <w:p w14:paraId="04E91525" w14:textId="77777777" w:rsidR="00067B3A" w:rsidRPr="00CF0D6E" w:rsidRDefault="00067B3A" w:rsidP="005E4270">
            <w:pPr>
              <w:pStyle w:val="ListBullet"/>
              <w:numPr>
                <w:ilvl w:val="0"/>
                <w:numId w:val="0"/>
              </w:numPr>
              <w:spacing w:before="20" w:after="20"/>
              <w:rPr>
                <w:sz w:val="19"/>
                <w:szCs w:val="19"/>
              </w:rPr>
            </w:pPr>
            <w:r w:rsidRPr="00CF0D6E">
              <w:rPr>
                <w:sz w:val="19"/>
                <w:szCs w:val="19"/>
              </w:rPr>
              <w:t>In deciding whether or not the coverage criteria are satisfied, the NCC and Minister are required to have regard to the NGO.</w:t>
            </w:r>
          </w:p>
          <w:p w14:paraId="7CDCD5B9" w14:textId="77777777" w:rsidR="00821406" w:rsidRPr="00CF0D6E" w:rsidRDefault="00067B3A" w:rsidP="005E4270">
            <w:pPr>
              <w:pStyle w:val="ListBullet"/>
              <w:numPr>
                <w:ilvl w:val="0"/>
                <w:numId w:val="0"/>
              </w:numPr>
              <w:spacing w:before="20" w:after="20"/>
              <w:rPr>
                <w:sz w:val="19"/>
                <w:szCs w:val="19"/>
              </w:rPr>
            </w:pPr>
            <w:r w:rsidRPr="00CF0D6E">
              <w:rPr>
                <w:sz w:val="19"/>
                <w:szCs w:val="19"/>
              </w:rPr>
              <w:t xml:space="preserve">The regulatory framework also provides for coverage to be revoked if the relevant Minister, having regard to the NCC’s recommendation, finds that at least one of the coverage criteria is not satisfied. </w:t>
            </w:r>
          </w:p>
        </w:tc>
      </w:tr>
    </w:tbl>
    <w:p w14:paraId="027D9A69" w14:textId="4A97C0A2" w:rsidR="00067B3A" w:rsidRPr="006B4639" w:rsidRDefault="00067B3A" w:rsidP="00067B3A">
      <w:pPr>
        <w:pStyle w:val="Caption"/>
        <w:spacing w:before="160" w:after="0"/>
      </w:pPr>
      <w:bookmarkStart w:id="54" w:name="_Ref18328964"/>
      <w:r w:rsidRPr="006B4639">
        <w:t xml:space="preserve">Box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2</w:t>
      </w:r>
      <w:r w:rsidR="00F323B2">
        <w:rPr>
          <w:noProof/>
        </w:rPr>
        <w:fldChar w:fldCharType="end"/>
      </w:r>
      <w:r w:rsidR="00B80405">
        <w:t>.</w:t>
      </w:r>
      <w:r w:rsidR="00F323B2">
        <w:rPr>
          <w:noProof/>
        </w:rPr>
        <w:fldChar w:fldCharType="begin"/>
      </w:r>
      <w:r w:rsidR="00F323B2">
        <w:rPr>
          <w:noProof/>
        </w:rPr>
        <w:instrText xml:space="preserve"> SEQ Box \* ARABIC \s 1 </w:instrText>
      </w:r>
      <w:r w:rsidR="00F323B2">
        <w:rPr>
          <w:noProof/>
        </w:rPr>
        <w:fldChar w:fldCharType="separate"/>
      </w:r>
      <w:r w:rsidR="004031E8">
        <w:rPr>
          <w:noProof/>
        </w:rPr>
        <w:t>5</w:t>
      </w:r>
      <w:r w:rsidR="00F323B2">
        <w:rPr>
          <w:noProof/>
        </w:rPr>
        <w:fldChar w:fldCharType="end"/>
      </w:r>
      <w:bookmarkEnd w:id="54"/>
      <w:r w:rsidRPr="006B4639">
        <w:t xml:space="preserve">: </w:t>
      </w:r>
      <w:bookmarkStart w:id="55" w:name="_Ref18328960"/>
      <w:r>
        <w:t xml:space="preserve">How form of regulation decisions are made for scheme pipelines </w:t>
      </w:r>
      <w:bookmarkEnd w:id="55"/>
    </w:p>
    <w:tbl>
      <w:tblPr>
        <w:tblStyle w:val="PullOutBoxTable"/>
        <w:tblW w:w="5000" w:type="pct"/>
        <w:tblLook w:val="0600" w:firstRow="0" w:lastRow="0" w:firstColumn="0" w:lastColumn="0" w:noHBand="1" w:noVBand="1"/>
      </w:tblPr>
      <w:tblGrid>
        <w:gridCol w:w="8788"/>
      </w:tblGrid>
      <w:tr w:rsidR="00067B3A" w:rsidRPr="00CF0D6E" w14:paraId="287420D4" w14:textId="77777777" w:rsidTr="001A440E">
        <w:tc>
          <w:tcPr>
            <w:tcW w:w="5000" w:type="pct"/>
          </w:tcPr>
          <w:p w14:paraId="2799575B" w14:textId="0F35F9F9" w:rsidR="00067B3A" w:rsidRPr="00CF0D6E" w:rsidRDefault="00067B3A" w:rsidP="005E4270">
            <w:pPr>
              <w:pStyle w:val="BodyText"/>
              <w:spacing w:before="20" w:after="20"/>
              <w:rPr>
                <w:rFonts w:asciiTheme="majorHAnsi" w:hAnsiTheme="majorHAnsi" w:cstheme="majorHAnsi"/>
                <w:color w:val="000000"/>
                <w:sz w:val="19"/>
                <w:szCs w:val="19"/>
              </w:rPr>
            </w:pPr>
            <w:r w:rsidRPr="00CF0D6E">
              <w:rPr>
                <w:rFonts w:asciiTheme="majorHAnsi" w:hAnsiTheme="majorHAnsi" w:cstheme="majorHAnsi"/>
                <w:sz w:val="19"/>
                <w:szCs w:val="19"/>
                <w:lang w:eastAsia="fr-CA"/>
              </w:rPr>
              <w:t xml:space="preserve">The NCC is responsible for deciding what form of regulation should apply to a pipeline that: (a) becomes a scheme pipeline; or (b) is already a scheme pipeline </w:t>
            </w:r>
            <w:r w:rsidR="00F2538D" w:rsidRPr="00CF0D6E">
              <w:rPr>
                <w:rFonts w:asciiTheme="majorHAnsi" w:hAnsiTheme="majorHAnsi" w:cstheme="majorHAnsi"/>
                <w:sz w:val="19"/>
                <w:szCs w:val="19"/>
                <w:lang w:eastAsia="fr-CA"/>
              </w:rPr>
              <w:t>but</w:t>
            </w:r>
            <w:r w:rsidRPr="00CF0D6E">
              <w:rPr>
                <w:rFonts w:asciiTheme="majorHAnsi" w:hAnsiTheme="majorHAnsi" w:cstheme="majorHAnsi"/>
                <w:sz w:val="19"/>
                <w:szCs w:val="19"/>
                <w:lang w:eastAsia="fr-CA"/>
              </w:rPr>
              <w:t xml:space="preserve"> an application is made for </w:t>
            </w:r>
            <w:r w:rsidR="005D02F7" w:rsidRPr="00CF0D6E">
              <w:rPr>
                <w:rFonts w:asciiTheme="majorHAnsi" w:hAnsiTheme="majorHAnsi" w:cstheme="majorHAnsi"/>
                <w:sz w:val="19"/>
                <w:szCs w:val="19"/>
                <w:lang w:eastAsia="fr-CA"/>
              </w:rPr>
              <w:t xml:space="preserve">light regulation </w:t>
            </w:r>
            <w:r w:rsidR="002F31AA" w:rsidRPr="00CF0D6E">
              <w:rPr>
                <w:rFonts w:asciiTheme="majorHAnsi" w:hAnsiTheme="majorHAnsi" w:cstheme="majorHAnsi"/>
                <w:sz w:val="19"/>
                <w:szCs w:val="19"/>
                <w:lang w:eastAsia="fr-CA"/>
              </w:rPr>
              <w:t>to be applied or revoked</w:t>
            </w:r>
            <w:r w:rsidRPr="00CF0D6E">
              <w:rPr>
                <w:rFonts w:asciiTheme="majorHAnsi" w:hAnsiTheme="majorHAnsi" w:cstheme="majorHAnsi"/>
                <w:sz w:val="19"/>
                <w:szCs w:val="19"/>
                <w:lang w:eastAsia="fr-CA"/>
              </w:rPr>
              <w:t>.</w:t>
            </w:r>
            <w:r w:rsidR="00370905">
              <w:rPr>
                <w:rFonts w:ascii="ZWAdobeF" w:hAnsi="ZWAdobeF" w:cs="ZWAdobeF"/>
                <w:sz w:val="2"/>
                <w:szCs w:val="2"/>
                <w:lang w:eastAsia="fr-CA"/>
              </w:rPr>
              <w:t>53F</w:t>
            </w:r>
            <w:r w:rsidRPr="00CF0D6E">
              <w:rPr>
                <w:rStyle w:val="FootnoteReference"/>
                <w:rFonts w:asciiTheme="majorHAnsi" w:hAnsiTheme="majorHAnsi" w:cstheme="majorHAnsi"/>
                <w:sz w:val="19"/>
                <w:szCs w:val="19"/>
                <w:lang w:eastAsia="fr-CA"/>
              </w:rPr>
              <w:footnoteReference w:id="55"/>
            </w:r>
            <w:r w:rsidRPr="00CF0D6E">
              <w:rPr>
                <w:rFonts w:asciiTheme="majorHAnsi" w:hAnsiTheme="majorHAnsi" w:cstheme="majorHAnsi"/>
                <w:sz w:val="19"/>
                <w:szCs w:val="19"/>
                <w:vertAlign w:val="superscript"/>
                <w:lang w:eastAsia="fr-CA"/>
              </w:rPr>
              <w:t>,</w:t>
            </w:r>
            <w:r w:rsidRPr="00CF0D6E">
              <w:rPr>
                <w:rStyle w:val="FootnoteReference"/>
                <w:rFonts w:asciiTheme="majorHAnsi" w:hAnsiTheme="majorHAnsi" w:cstheme="majorHAnsi"/>
                <w:sz w:val="19"/>
                <w:szCs w:val="19"/>
                <w:lang w:eastAsia="fr-CA"/>
              </w:rPr>
              <w:t xml:space="preserve"> </w:t>
            </w:r>
            <w:r w:rsidR="00370905">
              <w:rPr>
                <w:rFonts w:ascii="ZWAdobeF" w:hAnsi="ZWAdobeF" w:cs="ZWAdobeF"/>
                <w:sz w:val="2"/>
                <w:szCs w:val="2"/>
              </w:rPr>
              <w:t>54F</w:t>
            </w:r>
            <w:r w:rsidRPr="00CF0D6E">
              <w:rPr>
                <w:rStyle w:val="FootnoteReference"/>
                <w:rFonts w:asciiTheme="majorHAnsi" w:hAnsiTheme="majorHAnsi" w:cstheme="majorHAnsi"/>
                <w:sz w:val="19"/>
                <w:szCs w:val="19"/>
                <w:lang w:eastAsia="fr-CA"/>
              </w:rPr>
              <w:footnoteReference w:id="56"/>
            </w:r>
            <w:r w:rsidRPr="00CF0D6E">
              <w:rPr>
                <w:rFonts w:asciiTheme="majorHAnsi" w:hAnsiTheme="majorHAnsi" w:cstheme="majorHAnsi"/>
                <w:sz w:val="19"/>
                <w:szCs w:val="19"/>
                <w:lang w:eastAsia="fr-CA"/>
              </w:rPr>
              <w:t xml:space="preserve"> </w:t>
            </w:r>
            <w:r w:rsidRPr="00CF0D6E">
              <w:rPr>
                <w:rFonts w:asciiTheme="majorHAnsi" w:hAnsiTheme="majorHAnsi" w:cstheme="majorHAnsi"/>
                <w:color w:val="000000"/>
                <w:sz w:val="19"/>
                <w:szCs w:val="19"/>
              </w:rPr>
              <w:t xml:space="preserve">When making its determination, the NCC must </w:t>
            </w:r>
            <w:r w:rsidR="005D0E79" w:rsidRPr="00CF0D6E">
              <w:rPr>
                <w:rFonts w:asciiTheme="majorHAnsi" w:hAnsiTheme="majorHAnsi" w:cstheme="majorHAnsi"/>
                <w:color w:val="000000"/>
                <w:sz w:val="19"/>
                <w:szCs w:val="19"/>
              </w:rPr>
              <w:t xml:space="preserve">apply the form of regulation test. This test requires the NCC to </w:t>
            </w:r>
            <w:r w:rsidRPr="00CF0D6E">
              <w:rPr>
                <w:rFonts w:asciiTheme="majorHAnsi" w:hAnsiTheme="majorHAnsi" w:cstheme="majorHAnsi"/>
                <w:color w:val="000000"/>
                <w:sz w:val="19"/>
                <w:szCs w:val="19"/>
              </w:rPr>
              <w:t>consider:</w:t>
            </w:r>
            <w:r w:rsidR="00370905">
              <w:rPr>
                <w:rFonts w:ascii="ZWAdobeF" w:hAnsi="ZWAdobeF" w:cs="ZWAdobeF"/>
                <w:sz w:val="2"/>
                <w:szCs w:val="2"/>
              </w:rPr>
              <w:t>55F</w:t>
            </w:r>
            <w:r w:rsidRPr="00CF0D6E">
              <w:rPr>
                <w:rStyle w:val="FootnoteReference"/>
                <w:rFonts w:asciiTheme="majorHAnsi" w:hAnsiTheme="majorHAnsi" w:cstheme="majorHAnsi"/>
                <w:color w:val="000000"/>
                <w:sz w:val="19"/>
                <w:szCs w:val="19"/>
              </w:rPr>
              <w:footnoteReference w:id="57"/>
            </w:r>
            <w:r w:rsidRPr="00CF0D6E">
              <w:rPr>
                <w:rFonts w:asciiTheme="majorHAnsi" w:hAnsiTheme="majorHAnsi" w:cstheme="majorHAnsi"/>
                <w:color w:val="000000"/>
                <w:sz w:val="19"/>
                <w:szCs w:val="19"/>
              </w:rPr>
              <w:t xml:space="preserve"> </w:t>
            </w:r>
          </w:p>
          <w:p w14:paraId="40B91427" w14:textId="77777777" w:rsidR="00067B3A" w:rsidRPr="00CF0D6E" w:rsidRDefault="00067B3A" w:rsidP="005E4270">
            <w:pPr>
              <w:pStyle w:val="ListBullet"/>
              <w:spacing w:before="20" w:after="20"/>
              <w:rPr>
                <w:sz w:val="19"/>
                <w:szCs w:val="19"/>
              </w:rPr>
            </w:pPr>
            <w:r w:rsidRPr="00CF0D6E">
              <w:rPr>
                <w:sz w:val="19"/>
                <w:szCs w:val="19"/>
              </w:rPr>
              <w:t>the likely effectiveness of full and light regulation in promoting access to services, and</w:t>
            </w:r>
          </w:p>
          <w:p w14:paraId="174701B3" w14:textId="77777777" w:rsidR="00067B3A" w:rsidRPr="00CF0D6E" w:rsidRDefault="00067B3A" w:rsidP="005E4270">
            <w:pPr>
              <w:pStyle w:val="ListBullet"/>
              <w:spacing w:before="20" w:after="20"/>
              <w:rPr>
                <w:sz w:val="19"/>
                <w:szCs w:val="19"/>
              </w:rPr>
            </w:pPr>
            <w:r w:rsidRPr="00CF0D6E">
              <w:rPr>
                <w:sz w:val="19"/>
                <w:szCs w:val="19"/>
              </w:rPr>
              <w:t xml:space="preserve">the effect of full and light regulation on the costs that may be incurred by an efficient service provider, efficient users and prospective users, and end-users. </w:t>
            </w:r>
          </w:p>
          <w:p w14:paraId="1A18E83A" w14:textId="77777777" w:rsidR="00067B3A" w:rsidRPr="00CF0D6E" w:rsidRDefault="00067B3A" w:rsidP="005E4270">
            <w:pPr>
              <w:pStyle w:val="Pa9"/>
              <w:autoSpaceDE/>
              <w:autoSpaceDN/>
              <w:adjustRightInd/>
              <w:spacing w:before="20" w:after="20" w:line="240" w:lineRule="auto"/>
              <w:rPr>
                <w:rFonts w:asciiTheme="majorHAnsi" w:hAnsiTheme="majorHAnsi" w:cstheme="majorHAnsi"/>
                <w:color w:val="000000"/>
                <w:sz w:val="19"/>
                <w:szCs w:val="19"/>
              </w:rPr>
            </w:pPr>
            <w:r w:rsidRPr="00CF0D6E">
              <w:rPr>
                <w:rFonts w:asciiTheme="majorHAnsi" w:hAnsiTheme="majorHAnsi" w:cstheme="majorHAnsi"/>
                <w:sz w:val="19"/>
                <w:szCs w:val="19"/>
              </w:rPr>
              <w:t xml:space="preserve">In doing so, the NCC must have regard to the following </w:t>
            </w:r>
            <w:r w:rsidRPr="00CF0D6E">
              <w:rPr>
                <w:rFonts w:asciiTheme="majorHAnsi" w:hAnsiTheme="majorHAnsi" w:cstheme="majorHAnsi"/>
                <w:b/>
                <w:bCs/>
                <w:sz w:val="19"/>
                <w:szCs w:val="19"/>
              </w:rPr>
              <w:t>form of regulation factors</w:t>
            </w:r>
            <w:r w:rsidR="002F31AA" w:rsidRPr="00CF0D6E">
              <w:rPr>
                <w:rFonts w:asciiTheme="majorHAnsi" w:hAnsiTheme="majorHAnsi" w:cstheme="majorHAnsi"/>
                <w:b/>
                <w:bCs/>
                <w:sz w:val="19"/>
                <w:szCs w:val="19"/>
              </w:rPr>
              <w:t xml:space="preserve"> </w:t>
            </w:r>
            <w:r w:rsidR="002F31AA" w:rsidRPr="00CF0D6E">
              <w:rPr>
                <w:rFonts w:asciiTheme="majorHAnsi" w:hAnsiTheme="majorHAnsi" w:cstheme="majorHAnsi"/>
                <w:sz w:val="19"/>
                <w:szCs w:val="19"/>
              </w:rPr>
              <w:t>(s. 16 of NGL)</w:t>
            </w:r>
            <w:r w:rsidRPr="00CF0D6E">
              <w:rPr>
                <w:rFonts w:asciiTheme="majorHAnsi" w:hAnsiTheme="majorHAnsi" w:cstheme="majorHAnsi"/>
                <w:color w:val="000000"/>
                <w:sz w:val="19"/>
                <w:szCs w:val="19"/>
              </w:rPr>
              <w:t xml:space="preserve">: </w:t>
            </w:r>
          </w:p>
          <w:p w14:paraId="4891B563" w14:textId="77777777" w:rsidR="00067B3A" w:rsidRPr="00CF0D6E" w:rsidRDefault="00067B3A" w:rsidP="005E4270">
            <w:pPr>
              <w:pStyle w:val="ListBullet"/>
              <w:spacing w:before="20" w:after="20"/>
              <w:rPr>
                <w:sz w:val="19"/>
                <w:szCs w:val="19"/>
              </w:rPr>
            </w:pPr>
            <w:r w:rsidRPr="00CF0D6E">
              <w:rPr>
                <w:sz w:val="19"/>
                <w:szCs w:val="19"/>
              </w:rPr>
              <w:t xml:space="preserve">the presence and extent of any barriers to entry in a market for pipeline services; </w:t>
            </w:r>
          </w:p>
          <w:p w14:paraId="18E87946" w14:textId="77777777" w:rsidR="00067B3A" w:rsidRPr="00CF0D6E" w:rsidRDefault="00067B3A" w:rsidP="005E4270">
            <w:pPr>
              <w:pStyle w:val="ListBullet"/>
              <w:spacing w:before="20" w:after="20"/>
              <w:rPr>
                <w:sz w:val="19"/>
                <w:szCs w:val="19"/>
              </w:rPr>
            </w:pPr>
            <w:r w:rsidRPr="00CF0D6E">
              <w:rPr>
                <w:sz w:val="19"/>
                <w:szCs w:val="19"/>
              </w:rPr>
              <w:t>the presence and extent of any network externalities between a service provided by the service provider and other natural gas services it provides, or other service</w:t>
            </w:r>
            <w:r w:rsidR="005B4FF2" w:rsidRPr="00CF0D6E">
              <w:rPr>
                <w:sz w:val="19"/>
                <w:szCs w:val="19"/>
              </w:rPr>
              <w:t>s</w:t>
            </w:r>
            <w:r w:rsidRPr="00CF0D6E">
              <w:rPr>
                <w:sz w:val="19"/>
                <w:szCs w:val="19"/>
              </w:rPr>
              <w:t xml:space="preserve"> </w:t>
            </w:r>
            <w:r w:rsidR="00A66D4C" w:rsidRPr="00CF0D6E">
              <w:rPr>
                <w:sz w:val="19"/>
                <w:szCs w:val="19"/>
              </w:rPr>
              <w:t xml:space="preserve">provided </w:t>
            </w:r>
            <w:r w:rsidRPr="00CF0D6E">
              <w:rPr>
                <w:sz w:val="19"/>
                <w:szCs w:val="19"/>
              </w:rPr>
              <w:t xml:space="preserve">in other markets; </w:t>
            </w:r>
          </w:p>
          <w:p w14:paraId="298131E5" w14:textId="77777777" w:rsidR="00067B3A" w:rsidRPr="00CF0D6E" w:rsidRDefault="00067B3A" w:rsidP="005E4270">
            <w:pPr>
              <w:pStyle w:val="ListBullet"/>
              <w:spacing w:before="20" w:after="20"/>
              <w:rPr>
                <w:sz w:val="19"/>
                <w:szCs w:val="19"/>
              </w:rPr>
            </w:pPr>
            <w:r w:rsidRPr="00CF0D6E">
              <w:rPr>
                <w:sz w:val="19"/>
                <w:szCs w:val="19"/>
              </w:rPr>
              <w:t xml:space="preserve">the extent to which any market power possessed by a service provider is, or is likely to be, mitigated by any countervailing market power possessed by a user or prospective user; </w:t>
            </w:r>
          </w:p>
          <w:p w14:paraId="5C63F242" w14:textId="77777777" w:rsidR="00067B3A" w:rsidRPr="00CF0D6E" w:rsidRDefault="00067B3A" w:rsidP="005E4270">
            <w:pPr>
              <w:pStyle w:val="ListBullet"/>
              <w:spacing w:before="20" w:after="20"/>
              <w:rPr>
                <w:sz w:val="19"/>
                <w:szCs w:val="19"/>
              </w:rPr>
            </w:pPr>
            <w:r w:rsidRPr="00CF0D6E">
              <w:rPr>
                <w:sz w:val="19"/>
                <w:szCs w:val="19"/>
              </w:rPr>
              <w:t xml:space="preserve">the presence and extent of any substitute, and the elasticity of demand, in: </w:t>
            </w:r>
          </w:p>
          <w:p w14:paraId="0151C68A" w14:textId="77777777" w:rsidR="00067B3A" w:rsidRPr="00CF0D6E" w:rsidRDefault="00067B3A" w:rsidP="005E4270">
            <w:pPr>
              <w:pStyle w:val="TableBullet2"/>
              <w:spacing w:before="20" w:after="20"/>
              <w:rPr>
                <w:rFonts w:asciiTheme="majorHAnsi" w:hAnsiTheme="majorHAnsi" w:cstheme="majorHAnsi"/>
                <w:sz w:val="19"/>
                <w:szCs w:val="19"/>
              </w:rPr>
            </w:pPr>
            <w:r w:rsidRPr="00CF0D6E">
              <w:rPr>
                <w:sz w:val="19"/>
                <w:szCs w:val="19"/>
              </w:rPr>
              <w:t>a market for a pipeline service in which a service provider provides that service; and</w:t>
            </w:r>
          </w:p>
          <w:p w14:paraId="393A5993" w14:textId="77777777" w:rsidR="00067B3A" w:rsidRPr="00CF0D6E" w:rsidRDefault="00067B3A" w:rsidP="005E4270">
            <w:pPr>
              <w:pStyle w:val="TableBullet2"/>
              <w:spacing w:before="20" w:after="20"/>
              <w:rPr>
                <w:rFonts w:asciiTheme="majorHAnsi" w:hAnsiTheme="majorHAnsi" w:cstheme="majorHAnsi"/>
                <w:sz w:val="19"/>
                <w:szCs w:val="19"/>
              </w:rPr>
            </w:pPr>
            <w:r w:rsidRPr="00CF0D6E">
              <w:rPr>
                <w:rFonts w:asciiTheme="majorHAnsi" w:hAnsiTheme="majorHAnsi" w:cstheme="majorHAnsi"/>
                <w:sz w:val="19"/>
                <w:szCs w:val="19"/>
              </w:rPr>
              <w:t xml:space="preserve">a market for, electricity or gas (as the case may be); and </w:t>
            </w:r>
          </w:p>
          <w:p w14:paraId="0E8B3426" w14:textId="77777777" w:rsidR="00067B3A" w:rsidRPr="00CF0D6E" w:rsidRDefault="00067B3A" w:rsidP="005E4270">
            <w:pPr>
              <w:pStyle w:val="ListBullet"/>
              <w:spacing w:before="20" w:after="20"/>
              <w:rPr>
                <w:sz w:val="19"/>
                <w:szCs w:val="19"/>
              </w:rPr>
            </w:pPr>
            <w:r w:rsidRPr="00CF0D6E">
              <w:rPr>
                <w:sz w:val="19"/>
                <w:szCs w:val="19"/>
              </w:rPr>
              <w:t xml:space="preserve">the extent to which there is information available to a prospective user or user, and whether that information is adequate, to enable the prospective user or user to negotiate on an informed basis with a service provider for the provision of a pipeline service. </w:t>
            </w:r>
          </w:p>
          <w:p w14:paraId="0D5C4949" w14:textId="77777777" w:rsidR="00067B3A" w:rsidRPr="00CF0D6E" w:rsidRDefault="00067B3A" w:rsidP="005E4270">
            <w:pPr>
              <w:pStyle w:val="BodyText"/>
              <w:widowControl w:val="0"/>
              <w:spacing w:before="20" w:after="20"/>
              <w:rPr>
                <w:rFonts w:asciiTheme="majorHAnsi" w:hAnsiTheme="majorHAnsi" w:cstheme="majorHAnsi"/>
                <w:sz w:val="19"/>
                <w:szCs w:val="19"/>
              </w:rPr>
            </w:pPr>
            <w:r w:rsidRPr="00CF0D6E">
              <w:rPr>
                <w:sz w:val="19"/>
                <w:szCs w:val="19"/>
              </w:rPr>
              <w:t>The NCC must also have regard to the NGO and any other matters it considers relevant. Like a coverage decision, the form of regulation can change over time if conditions change.</w:t>
            </w:r>
          </w:p>
        </w:tc>
      </w:tr>
    </w:tbl>
    <w:p w14:paraId="0A1C3E69" w14:textId="05C64134" w:rsidR="0029644F" w:rsidRDefault="0029644F" w:rsidP="0029644F">
      <w:pPr>
        <w:pStyle w:val="BodyText"/>
      </w:pPr>
      <w:r>
        <w:lastRenderedPageBreak/>
        <w:t xml:space="preserve">For those pipelines that are </w:t>
      </w:r>
      <w:r w:rsidRPr="001F6F4E">
        <w:rPr>
          <w:b/>
          <w:bCs/>
        </w:rPr>
        <w:t>not</w:t>
      </w:r>
      <w:r>
        <w:t xml:space="preserve"> voluntarily providing third party access, the regulatory framework currently allows prospective shippers to submit an application to have the pipeline classified as a scheme pipeline and compelled to provide third party access if the coverage test is satisfied (see </w:t>
      </w:r>
      <w:r>
        <w:fldChar w:fldCharType="begin" w:fldLock="1"/>
      </w:r>
      <w:r>
        <w:instrText xml:space="preserve"> REF _Ref49700216 \h </w:instrText>
      </w:r>
      <w:r>
        <w:fldChar w:fldCharType="separate"/>
      </w:r>
      <w:r w:rsidR="00036405">
        <w:t xml:space="preserve">Box </w:t>
      </w:r>
      <w:r w:rsidR="00036405">
        <w:rPr>
          <w:noProof/>
        </w:rPr>
        <w:t>2</w:t>
      </w:r>
      <w:r w:rsidR="00036405">
        <w:t>.</w:t>
      </w:r>
      <w:r w:rsidR="00036405">
        <w:rPr>
          <w:noProof/>
        </w:rPr>
        <w:t>4</w:t>
      </w:r>
      <w:r>
        <w:fldChar w:fldCharType="end"/>
      </w:r>
      <w:r>
        <w:t>). If the coverage test is satisfied, the pipeline will be subject to either full regulation or light regulation.</w:t>
      </w:r>
    </w:p>
    <w:p w14:paraId="7892EA01" w14:textId="7CC09AF0" w:rsidR="0029644F" w:rsidRDefault="0029644F" w:rsidP="0029644F">
      <w:pPr>
        <w:pStyle w:val="BodyText"/>
      </w:pPr>
      <w:r>
        <w:t xml:space="preserve">The regulatory framework also includes the following mechanisms, which have been introduced at various points to try and counter the adverse effects that </w:t>
      </w:r>
      <w:r w:rsidR="00531979">
        <w:t>stronger</w:t>
      </w:r>
      <w:r>
        <w:t xml:space="preserve"> forms of regulation may have on new pipeline developments</w:t>
      </w:r>
      <w:r w:rsidR="00C670D4">
        <w:t xml:space="preserve"> and, in the case of the first mechanism, to lock in the benefits of competition for the market for all shippers</w:t>
      </w:r>
      <w:r>
        <w:t>:</w:t>
      </w:r>
      <w:r w:rsidR="00370905">
        <w:rPr>
          <w:rFonts w:ascii="ZWAdobeF" w:hAnsi="ZWAdobeF" w:cs="ZWAdobeF"/>
          <w:sz w:val="2"/>
          <w:szCs w:val="2"/>
        </w:rPr>
        <w:t>56F</w:t>
      </w:r>
      <w:r>
        <w:rPr>
          <w:rStyle w:val="FootnoteReference"/>
        </w:rPr>
        <w:footnoteReference w:id="58"/>
      </w:r>
      <w:r w:rsidRPr="00E720F5">
        <w:rPr>
          <w:vertAlign w:val="superscript"/>
        </w:rPr>
        <w:t>,</w:t>
      </w:r>
      <w:r w:rsidR="00370905">
        <w:rPr>
          <w:rFonts w:ascii="ZWAdobeF" w:hAnsi="ZWAdobeF" w:cs="ZWAdobeF"/>
          <w:sz w:val="2"/>
          <w:szCs w:val="2"/>
        </w:rPr>
        <w:t>57F</w:t>
      </w:r>
      <w:r>
        <w:rPr>
          <w:rStyle w:val="FootnoteReference"/>
          <w:rFonts w:asciiTheme="majorHAnsi" w:hAnsiTheme="majorHAnsi" w:cstheme="majorHAnsi"/>
        </w:rPr>
        <w:footnoteReference w:id="59"/>
      </w:r>
    </w:p>
    <w:p w14:paraId="37281A7B" w14:textId="4A32C1D1" w:rsidR="0029644F" w:rsidRPr="008C794B" w:rsidRDefault="0029644F" w:rsidP="005E4270">
      <w:pPr>
        <w:pStyle w:val="ListBullet"/>
        <w:spacing w:before="60" w:after="60"/>
        <w:ind w:left="357" w:hanging="357"/>
        <w:rPr>
          <w:sz w:val="20"/>
          <w:szCs w:val="20"/>
        </w:rPr>
      </w:pPr>
      <w:r w:rsidRPr="005D09E4">
        <w:t xml:space="preserve">The </w:t>
      </w:r>
      <w:r w:rsidRPr="008C794B">
        <w:rPr>
          <w:b/>
          <w:bCs/>
        </w:rPr>
        <w:t>Competitive Tender Process (CTP),</w:t>
      </w:r>
      <w:r w:rsidRPr="005D09E4">
        <w:t xml:space="preserve"> which allows proponents of new pipelines</w:t>
      </w:r>
      <w:r>
        <w:t xml:space="preserve"> (e.g. governments, local councils or shippers) </w:t>
      </w:r>
      <w:r w:rsidRPr="005D09E4">
        <w:t>to apply to have a proposed tender approved as a competitive tender</w:t>
      </w:r>
      <w:r>
        <w:t xml:space="preserve">. If approved by the regulator, </w:t>
      </w:r>
      <w:r w:rsidRPr="005D09E4">
        <w:t xml:space="preserve">the price and other </w:t>
      </w:r>
      <w:r w:rsidRPr="008C794B">
        <w:t xml:space="preserve">conditions of access determined through the tender can form the basis of an </w:t>
      </w:r>
      <w:r w:rsidR="005A1AB7">
        <w:t>AA</w:t>
      </w:r>
      <w:r w:rsidRPr="008C794B">
        <w:t xml:space="preserve"> that can apply for up to 15 years. </w:t>
      </w:r>
      <w:r w:rsidR="008C794B" w:rsidRPr="008C794B">
        <w:rPr>
          <w:rFonts w:asciiTheme="majorHAnsi" w:hAnsiTheme="majorHAnsi" w:cstheme="majorHAnsi"/>
          <w:lang w:eastAsia="en-US"/>
        </w:rPr>
        <w:t>A pipeline developed through an approved CTP becomes a scheme pipeline</w:t>
      </w:r>
      <w:r w:rsidR="00370905">
        <w:rPr>
          <w:rFonts w:ascii="ZWAdobeF" w:hAnsi="ZWAdobeF" w:cs="ZWAdobeF"/>
          <w:sz w:val="2"/>
          <w:szCs w:val="2"/>
          <w:lang w:eastAsia="en-US"/>
        </w:rPr>
        <w:t>58F</w:t>
      </w:r>
      <w:r w:rsidR="008C794B" w:rsidRPr="008C794B">
        <w:rPr>
          <w:rStyle w:val="FootnoteReference"/>
          <w:rFonts w:asciiTheme="majorHAnsi" w:eastAsiaTheme="minorEastAsia" w:hAnsiTheme="majorHAnsi" w:cstheme="majorHAnsi"/>
          <w:lang w:eastAsia="en-US"/>
        </w:rPr>
        <w:footnoteReference w:id="60"/>
      </w:r>
      <w:r w:rsidR="008C794B" w:rsidRPr="008C794B">
        <w:rPr>
          <w:rFonts w:asciiTheme="majorHAnsi" w:hAnsiTheme="majorHAnsi" w:cstheme="majorHAnsi"/>
          <w:lang w:eastAsia="en-US"/>
        </w:rPr>
        <w:t xml:space="preserve"> and subject to the same negotiation framework, dispute resolution mechanism and other safeguards applying to full regulation pipelines, but not the same information disclosure obligations. </w:t>
      </w:r>
      <w:r w:rsidRPr="006B4639">
        <w:t>To date, two pipelines have been developed using these provisions.</w:t>
      </w:r>
      <w:r w:rsidR="00370905">
        <w:rPr>
          <w:rFonts w:ascii="ZWAdobeF" w:hAnsi="ZWAdobeF" w:cs="ZWAdobeF"/>
          <w:sz w:val="2"/>
          <w:szCs w:val="2"/>
        </w:rPr>
        <w:t>59F</w:t>
      </w:r>
      <w:r w:rsidRPr="006B4639">
        <w:rPr>
          <w:rStyle w:val="FootnoteReference"/>
        </w:rPr>
        <w:footnoteReference w:id="61"/>
      </w:r>
    </w:p>
    <w:p w14:paraId="188CACBD" w14:textId="184258BA" w:rsidR="0029644F" w:rsidRPr="00D07E26" w:rsidRDefault="0029644F" w:rsidP="005E4270">
      <w:pPr>
        <w:pStyle w:val="ListBullet"/>
        <w:spacing w:before="60" w:after="60"/>
        <w:ind w:left="357" w:hanging="357"/>
        <w:rPr>
          <w:rFonts w:cstheme="majorHAnsi"/>
          <w:i/>
          <w:iCs/>
          <w:sz w:val="19"/>
          <w:szCs w:val="19"/>
        </w:rPr>
      </w:pPr>
      <w:r w:rsidRPr="00206596">
        <w:t xml:space="preserve">The </w:t>
      </w:r>
      <w:r w:rsidRPr="00AD1407">
        <w:rPr>
          <w:b/>
          <w:bCs/>
        </w:rPr>
        <w:t>15-year no coverage determination,</w:t>
      </w:r>
      <w:r w:rsidRPr="00206596">
        <w:t xml:space="preserve"> which allows pipelines that are yet to be commissioned to obtain an exemption from coverage if </w:t>
      </w:r>
      <w:r>
        <w:t xml:space="preserve">the relevant Minister, having regard to the NCC’s recommendation, is satisfied the coverage test is not </w:t>
      </w:r>
      <w:r w:rsidRPr="00206596">
        <w:t>met</w:t>
      </w:r>
      <w:r>
        <w:t xml:space="preserve"> (see </w:t>
      </w:r>
      <w:r>
        <w:fldChar w:fldCharType="begin" w:fldLock="1"/>
      </w:r>
      <w:r>
        <w:instrText xml:space="preserve"> REF _Ref49700216 \h </w:instrText>
      </w:r>
      <w:r>
        <w:fldChar w:fldCharType="separate"/>
      </w:r>
      <w:r w:rsidR="00036405">
        <w:t xml:space="preserve">Box </w:t>
      </w:r>
      <w:r w:rsidR="00036405">
        <w:rPr>
          <w:noProof/>
        </w:rPr>
        <w:t>2</w:t>
      </w:r>
      <w:r w:rsidR="00036405">
        <w:t>.</w:t>
      </w:r>
      <w:r w:rsidR="00036405">
        <w:rPr>
          <w:noProof/>
        </w:rPr>
        <w:t>4</w:t>
      </w:r>
      <w:r>
        <w:fldChar w:fldCharType="end"/>
      </w:r>
      <w:r>
        <w:t>)</w:t>
      </w:r>
      <w:r w:rsidRPr="00206596">
        <w:t>. In effect, this determination means the pipeline is exempt from full and light regulation and cannot be compelled to provide third party access</w:t>
      </w:r>
      <w:r>
        <w:t xml:space="preserve">. It </w:t>
      </w:r>
      <w:r w:rsidRPr="00206596">
        <w:t>can</w:t>
      </w:r>
      <w:r>
        <w:t>, however,</w:t>
      </w:r>
      <w:r w:rsidRPr="00206596">
        <w:t xml:space="preserve"> be subject to Part 23 if it </w:t>
      </w:r>
      <w:r w:rsidR="00687598">
        <w:t xml:space="preserve">voluntarily </w:t>
      </w:r>
      <w:r>
        <w:t xml:space="preserve">provides </w:t>
      </w:r>
      <w:r w:rsidRPr="00206596">
        <w:t>third party access.</w:t>
      </w:r>
      <w:r>
        <w:t xml:space="preserve"> </w:t>
      </w:r>
      <w:r w:rsidRPr="006B4639">
        <w:t xml:space="preserve">To date, four pipelines have been granted such an exemption, one of which </w:t>
      </w:r>
      <w:r w:rsidR="00C61D1F">
        <w:t xml:space="preserve">has subsequently become </w:t>
      </w:r>
      <w:r w:rsidRPr="006B4639">
        <w:t>subject to Part 23.</w:t>
      </w:r>
      <w:r w:rsidR="00370905">
        <w:rPr>
          <w:rFonts w:ascii="ZWAdobeF" w:hAnsi="ZWAdobeF" w:cs="ZWAdobeF"/>
          <w:sz w:val="2"/>
          <w:szCs w:val="2"/>
        </w:rPr>
        <w:t>60F</w:t>
      </w:r>
      <w:r w:rsidRPr="006B4639">
        <w:rPr>
          <w:rStyle w:val="FootnoteReference"/>
        </w:rPr>
        <w:footnoteReference w:id="62"/>
      </w:r>
    </w:p>
    <w:p w14:paraId="67CB9025" w14:textId="44529D54" w:rsidR="0029644F" w:rsidRPr="001D33BA" w:rsidRDefault="0029644F" w:rsidP="005E4270">
      <w:pPr>
        <w:pStyle w:val="ListBullet"/>
        <w:spacing w:before="60" w:after="60"/>
        <w:ind w:left="357" w:hanging="357"/>
        <w:rPr>
          <w:i/>
          <w:iCs/>
          <w:sz w:val="19"/>
          <w:szCs w:val="19"/>
        </w:rPr>
      </w:pPr>
      <w:r>
        <w:t xml:space="preserve">The </w:t>
      </w:r>
      <w:r w:rsidRPr="00AC7004">
        <w:rPr>
          <w:b/>
          <w:bCs/>
        </w:rPr>
        <w:t xml:space="preserve">voluntary </w:t>
      </w:r>
      <w:r w:rsidR="005A1AB7">
        <w:rPr>
          <w:b/>
          <w:bCs/>
        </w:rPr>
        <w:t>AA</w:t>
      </w:r>
      <w:r>
        <w:t xml:space="preserve"> provisions, which allow </w:t>
      </w:r>
      <w:r w:rsidRPr="008A7ED2">
        <w:t xml:space="preserve">service providers of non-scheme pipelines (proposed and existing) to submit a voluntary </w:t>
      </w:r>
      <w:r w:rsidR="005A1AB7">
        <w:t>AA</w:t>
      </w:r>
      <w:r>
        <w:t xml:space="preserve"> </w:t>
      </w:r>
      <w:r w:rsidRPr="008A7ED2">
        <w:t>(setting out the terms and conditions on which it proposes to provide access) to the relevant regulator who must then assess the proposal applying the same rules that apply to full regulation pipelines.</w:t>
      </w:r>
      <w:r w:rsidRPr="00AC7004">
        <w:t xml:space="preserve"> </w:t>
      </w:r>
      <w:r w:rsidRPr="008A7ED2">
        <w:t>If approved</w:t>
      </w:r>
      <w:r>
        <w:t xml:space="preserve"> by the regulator</w:t>
      </w:r>
      <w:r w:rsidRPr="008A7ED2">
        <w:t xml:space="preserve">, the pipeline becomes a scheme pipeline and subject to the same information disclosure obligations, negotiation </w:t>
      </w:r>
      <w:r w:rsidR="00F53C6D">
        <w:t xml:space="preserve">framework, </w:t>
      </w:r>
      <w:r w:rsidRPr="008A7ED2">
        <w:t xml:space="preserve">dispute resolution </w:t>
      </w:r>
      <w:r w:rsidR="00F53C6D">
        <w:t xml:space="preserve">mechanism, </w:t>
      </w:r>
      <w:r w:rsidRPr="008A7ED2">
        <w:t>and other safeguards as full regulation pipelines.</w:t>
      </w:r>
      <w:r w:rsidR="00370905">
        <w:rPr>
          <w:rFonts w:ascii="ZWAdobeF" w:hAnsi="ZWAdobeF" w:cs="ZWAdobeF"/>
          <w:sz w:val="2"/>
          <w:szCs w:val="2"/>
        </w:rPr>
        <w:t>61F</w:t>
      </w:r>
      <w:r>
        <w:rPr>
          <w:rStyle w:val="FootnoteReference"/>
          <w:rFonts w:cstheme="majorHAnsi"/>
          <w:szCs w:val="20"/>
        </w:rPr>
        <w:footnoteReference w:id="63"/>
      </w:r>
      <w:r>
        <w:t xml:space="preserve"> To date, no pipelines have used this mechanism. </w:t>
      </w:r>
    </w:p>
    <w:p w14:paraId="0765D235" w14:textId="04F5D70A" w:rsidR="003A350C" w:rsidRPr="006B4639" w:rsidRDefault="003A350C" w:rsidP="00142766">
      <w:pPr>
        <w:pStyle w:val="BodyText"/>
        <w:spacing w:before="60" w:after="60"/>
      </w:pPr>
      <w:r w:rsidRPr="003A350C">
        <w:fldChar w:fldCharType="begin" w:fldLock="1"/>
      </w:r>
      <w:r w:rsidRPr="003A350C">
        <w:instrText xml:space="preserve"> REF _Ref18150489 \h  \* MERGEFORMAT </w:instrText>
      </w:r>
      <w:r w:rsidRPr="003A350C">
        <w:fldChar w:fldCharType="separate"/>
      </w:r>
      <w:r w:rsidR="00036405" w:rsidRPr="00036405">
        <w:t xml:space="preserve">Figure </w:t>
      </w:r>
      <w:r w:rsidR="00036405" w:rsidRPr="00036405">
        <w:rPr>
          <w:noProof/>
        </w:rPr>
        <w:t>2.2</w:t>
      </w:r>
      <w:r w:rsidRPr="003A350C">
        <w:fldChar w:fldCharType="end"/>
      </w:r>
      <w:r w:rsidRPr="003A350C">
        <w:t xml:space="preserve"> </w:t>
      </w:r>
      <w:r w:rsidR="00357A94">
        <w:t xml:space="preserve">shows how all of these elements of the regulatory framework </w:t>
      </w:r>
      <w:r w:rsidR="0040235C">
        <w:t xml:space="preserve">currently operate.  </w:t>
      </w:r>
    </w:p>
    <w:p w14:paraId="683DEAE8" w14:textId="77777777" w:rsidR="00E55596" w:rsidRPr="006B4639" w:rsidRDefault="00E55596" w:rsidP="00AD36B8">
      <w:pPr>
        <w:pStyle w:val="ListBullet"/>
        <w:numPr>
          <w:ilvl w:val="0"/>
          <w:numId w:val="0"/>
        </w:numPr>
        <w:ind w:left="357"/>
        <w:sectPr w:rsidR="00E55596" w:rsidRPr="006B4639" w:rsidSect="00CA37B3">
          <w:headerReference w:type="default" r:id="rId22"/>
          <w:footerReference w:type="default" r:id="rId23"/>
          <w:pgSz w:w="11907" w:h="16839" w:code="9"/>
          <w:pgMar w:top="1361" w:right="1418" w:bottom="992" w:left="1701" w:header="567" w:footer="397" w:gutter="0"/>
          <w:pgNumType w:start="1"/>
          <w:cols w:space="708"/>
          <w:docGrid w:linePitch="360"/>
        </w:sectPr>
      </w:pPr>
    </w:p>
    <w:p w14:paraId="2A69B434" w14:textId="5BFCE6DA" w:rsidR="00E55596" w:rsidRPr="005E4270" w:rsidRDefault="00E55596" w:rsidP="001517BA">
      <w:pPr>
        <w:pStyle w:val="ListBullet"/>
        <w:numPr>
          <w:ilvl w:val="0"/>
          <w:numId w:val="0"/>
        </w:numPr>
        <w:spacing w:before="60" w:after="60"/>
        <w:ind w:left="357"/>
        <w:rPr>
          <w:b/>
          <w:bCs/>
        </w:rPr>
      </w:pPr>
      <w:bookmarkStart w:id="56" w:name="_Ref18150489"/>
      <w:bookmarkStart w:id="57" w:name="_Ref18242592"/>
      <w:r w:rsidRPr="005E4270">
        <w:rPr>
          <w:b/>
          <w:bCs/>
        </w:rPr>
        <w:lastRenderedPageBreak/>
        <w:t xml:space="preserve">Figure </w:t>
      </w:r>
      <w:r w:rsidR="001B5C8A" w:rsidRPr="005E4270">
        <w:rPr>
          <w:b/>
          <w:bCs/>
        </w:rPr>
        <w:fldChar w:fldCharType="begin" w:fldLock="1"/>
      </w:r>
      <w:r w:rsidR="001B5C8A" w:rsidRPr="005E4270">
        <w:rPr>
          <w:b/>
          <w:bCs/>
        </w:rPr>
        <w:instrText xml:space="preserve"> STYLEREF 1 \s </w:instrText>
      </w:r>
      <w:r w:rsidR="001B5C8A" w:rsidRPr="005E4270">
        <w:rPr>
          <w:b/>
          <w:bCs/>
        </w:rPr>
        <w:fldChar w:fldCharType="separate"/>
      </w:r>
      <w:r w:rsidR="00036405">
        <w:rPr>
          <w:b/>
          <w:bCs/>
          <w:noProof/>
        </w:rPr>
        <w:t>2</w:t>
      </w:r>
      <w:r w:rsidR="001B5C8A" w:rsidRPr="005E4270">
        <w:rPr>
          <w:b/>
          <w:bCs/>
        </w:rPr>
        <w:fldChar w:fldCharType="end"/>
      </w:r>
      <w:r w:rsidR="001B5C8A" w:rsidRPr="005E4270">
        <w:rPr>
          <w:b/>
          <w:bCs/>
        </w:rPr>
        <w:t>.</w:t>
      </w:r>
      <w:r w:rsidR="001B5C8A" w:rsidRPr="005E4270">
        <w:rPr>
          <w:b/>
          <w:bCs/>
        </w:rPr>
        <w:fldChar w:fldCharType="begin"/>
      </w:r>
      <w:r w:rsidR="001B5C8A" w:rsidRPr="005E4270">
        <w:rPr>
          <w:b/>
          <w:bCs/>
        </w:rPr>
        <w:instrText xml:space="preserve"> SEQ Figure \* ARABIC \s 1 </w:instrText>
      </w:r>
      <w:r w:rsidR="001B5C8A" w:rsidRPr="005E4270">
        <w:rPr>
          <w:b/>
          <w:bCs/>
        </w:rPr>
        <w:fldChar w:fldCharType="separate"/>
      </w:r>
      <w:r w:rsidR="004031E8">
        <w:rPr>
          <w:b/>
          <w:bCs/>
          <w:noProof/>
        </w:rPr>
        <w:t>2</w:t>
      </w:r>
      <w:r w:rsidR="001B5C8A" w:rsidRPr="005E4270">
        <w:rPr>
          <w:b/>
          <w:bCs/>
        </w:rPr>
        <w:fldChar w:fldCharType="end"/>
      </w:r>
      <w:bookmarkEnd w:id="56"/>
      <w:r w:rsidRPr="005E4270">
        <w:rPr>
          <w:b/>
          <w:bCs/>
        </w:rPr>
        <w:t xml:space="preserve">: How a pipeline can become a scheme or non-scheme pipeline </w:t>
      </w:r>
      <w:bookmarkEnd w:id="57"/>
      <w:r w:rsidR="003A350C" w:rsidRPr="005E4270">
        <w:rPr>
          <w:b/>
          <w:bCs/>
        </w:rPr>
        <w:t>and subject to different forms of regulation</w:t>
      </w:r>
    </w:p>
    <w:p w14:paraId="3432F446" w14:textId="77777777" w:rsidR="00E55596" w:rsidRPr="005E4270" w:rsidRDefault="00A55813" w:rsidP="005E4270">
      <w:pPr>
        <w:pStyle w:val="ListBullet"/>
        <w:numPr>
          <w:ilvl w:val="0"/>
          <w:numId w:val="0"/>
        </w:numPr>
        <w:spacing w:before="0" w:after="0"/>
        <w:rPr>
          <w:sz w:val="16"/>
          <w:szCs w:val="16"/>
        </w:rPr>
      </w:pPr>
      <w:r>
        <w:rPr>
          <w:noProof/>
        </w:rPr>
        <w:drawing>
          <wp:inline distT="0" distB="0" distL="0" distR="0" wp14:anchorId="2F25EDD8" wp14:editId="5D225607">
            <wp:extent cx="9134148" cy="5276850"/>
            <wp:effectExtent l="0" t="0" r="0" b="0"/>
            <wp:docPr id="49" name="Picture 49" descr="P7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757#yIS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39726" cy="5280073"/>
                    </a:xfrm>
                    <a:prstGeom prst="rect">
                      <a:avLst/>
                    </a:prstGeom>
                    <a:noFill/>
                  </pic:spPr>
                </pic:pic>
              </a:graphicData>
            </a:graphic>
          </wp:inline>
        </w:drawing>
      </w:r>
      <w:r w:rsidR="00DA6888" w:rsidRPr="00DA6888">
        <w:t xml:space="preserve"> </w:t>
      </w:r>
      <w:r w:rsidR="00DA6888">
        <w:br/>
      </w:r>
      <w:r w:rsidR="00E55596" w:rsidRPr="005E4270">
        <w:rPr>
          <w:sz w:val="16"/>
          <w:szCs w:val="16"/>
        </w:rPr>
        <w:t xml:space="preserve">Notes: </w:t>
      </w:r>
    </w:p>
    <w:p w14:paraId="21D202EA" w14:textId="77777777" w:rsidR="00E55596" w:rsidRPr="005E4270" w:rsidRDefault="00E55596" w:rsidP="005E4270">
      <w:pPr>
        <w:pStyle w:val="ListBullet"/>
        <w:numPr>
          <w:ilvl w:val="0"/>
          <w:numId w:val="0"/>
        </w:numPr>
        <w:spacing w:before="0" w:after="0"/>
        <w:rPr>
          <w:sz w:val="16"/>
          <w:szCs w:val="16"/>
        </w:rPr>
      </w:pPr>
      <w:r w:rsidRPr="005E4270">
        <w:rPr>
          <w:sz w:val="16"/>
          <w:szCs w:val="16"/>
        </w:rPr>
        <w:t>* A pipeline can become a scheme pipeline if it is developed through a competitive tender process approved by the relevant regulator</w:t>
      </w:r>
    </w:p>
    <w:p w14:paraId="10C68A8D" w14:textId="77777777" w:rsidR="00E55596" w:rsidRPr="005E4270" w:rsidRDefault="00E55596" w:rsidP="005E4270">
      <w:pPr>
        <w:pStyle w:val="ListBullet"/>
        <w:numPr>
          <w:ilvl w:val="0"/>
          <w:numId w:val="0"/>
        </w:numPr>
        <w:spacing w:before="0" w:after="0"/>
        <w:rPr>
          <w:sz w:val="16"/>
          <w:szCs w:val="16"/>
        </w:rPr>
      </w:pPr>
      <w:r w:rsidRPr="005E4270">
        <w:rPr>
          <w:sz w:val="16"/>
          <w:szCs w:val="16"/>
        </w:rPr>
        <w:t>** If a service provider of a non-scheme pipeline or light regulation pipeline wants the pipeline to be subject to full regulation it may submit a voluntary AA.</w:t>
      </w:r>
    </w:p>
    <w:p w14:paraId="2BBDF7E6" w14:textId="77777777" w:rsidR="00E55596" w:rsidRPr="005E4270" w:rsidRDefault="00E55596" w:rsidP="005E4270">
      <w:pPr>
        <w:pStyle w:val="ListBullet"/>
        <w:numPr>
          <w:ilvl w:val="0"/>
          <w:numId w:val="0"/>
        </w:numPr>
        <w:spacing w:before="0" w:after="0"/>
        <w:rPr>
          <w:sz w:val="16"/>
          <w:szCs w:val="16"/>
        </w:rPr>
      </w:pPr>
      <w:r w:rsidRPr="005E4270">
        <w:rPr>
          <w:sz w:val="16"/>
          <w:szCs w:val="16"/>
        </w:rPr>
        <w:t>***If a pipeline is a designated pipeline, then it cannot apply to have the form of regulation changed.</w:t>
      </w:r>
    </w:p>
    <w:p w14:paraId="31DC00A2" w14:textId="77777777" w:rsidR="00E55596" w:rsidRPr="005E4270" w:rsidRDefault="00E55596" w:rsidP="005E4270">
      <w:pPr>
        <w:pStyle w:val="ListBullet"/>
        <w:spacing w:before="0" w:after="0"/>
        <w:rPr>
          <w:sz w:val="16"/>
          <w:szCs w:val="16"/>
        </w:rPr>
        <w:sectPr w:rsidR="00E55596" w:rsidRPr="005E4270" w:rsidSect="00795317">
          <w:pgSz w:w="16839" w:h="11907" w:orient="landscape" w:code="9"/>
          <w:pgMar w:top="1361" w:right="1418" w:bottom="992" w:left="1701" w:header="567" w:footer="397" w:gutter="0"/>
          <w:cols w:space="708"/>
          <w:docGrid w:linePitch="360"/>
        </w:sectPr>
      </w:pPr>
    </w:p>
    <w:p w14:paraId="601104AA" w14:textId="46EC225D" w:rsidR="00142766" w:rsidRPr="006B4639" w:rsidRDefault="00142766" w:rsidP="008E1671">
      <w:pPr>
        <w:pStyle w:val="BodyText"/>
        <w:spacing w:before="60" w:after="60" w:line="252" w:lineRule="auto"/>
      </w:pPr>
      <w:r w:rsidRPr="006B4639">
        <w:lastRenderedPageBreak/>
        <w:t xml:space="preserve">As this figure shows, the coverage test </w:t>
      </w:r>
      <w:r>
        <w:t xml:space="preserve">(see </w:t>
      </w:r>
      <w:r>
        <w:fldChar w:fldCharType="begin" w:fldLock="1"/>
      </w:r>
      <w:r>
        <w:instrText xml:space="preserve"> REF _Ref49700216 \h </w:instrText>
      </w:r>
      <w:r>
        <w:fldChar w:fldCharType="separate"/>
      </w:r>
      <w:r w:rsidR="00036405">
        <w:t xml:space="preserve">Box </w:t>
      </w:r>
      <w:r w:rsidR="00036405">
        <w:rPr>
          <w:noProof/>
        </w:rPr>
        <w:t>2</w:t>
      </w:r>
      <w:r w:rsidR="00036405">
        <w:t>.</w:t>
      </w:r>
      <w:r w:rsidR="00036405">
        <w:rPr>
          <w:noProof/>
        </w:rPr>
        <w:t>4</w:t>
      </w:r>
      <w:r>
        <w:fldChar w:fldCharType="end"/>
      </w:r>
      <w:r>
        <w:t xml:space="preserve">) plays a critical role </w:t>
      </w:r>
      <w:r w:rsidRPr="006B4639">
        <w:t>under the current regulatory framework, with the test used to determine whether:</w:t>
      </w:r>
    </w:p>
    <w:p w14:paraId="07ECE858" w14:textId="77777777" w:rsidR="00142766" w:rsidRDefault="00142766" w:rsidP="00AD36B8">
      <w:pPr>
        <w:pStyle w:val="ListBullet"/>
      </w:pPr>
      <w:r w:rsidRPr="006B4639">
        <w:t xml:space="preserve">a pipeline that is not providing third party access should be required to do so, </w:t>
      </w:r>
    </w:p>
    <w:p w14:paraId="269A31BE" w14:textId="77777777" w:rsidR="006B7A72" w:rsidRPr="006B4639" w:rsidRDefault="006B7A72" w:rsidP="00AD36B8">
      <w:pPr>
        <w:pStyle w:val="ListBullet"/>
      </w:pPr>
      <w:r>
        <w:t>a pipeline can obtain a 15-year no coverage determination; and</w:t>
      </w:r>
    </w:p>
    <w:p w14:paraId="0472FB3A" w14:textId="77777777" w:rsidR="00142766" w:rsidRDefault="00142766" w:rsidP="00AD36B8">
      <w:pPr>
        <w:pStyle w:val="ListBullet"/>
      </w:pPr>
      <w:r w:rsidRPr="006B4639">
        <w:t>a non-scheme pipeline that is subject to Part 23 should become a scheme pipeline and subject to either full or light regulation and vice versa</w:t>
      </w:r>
      <w:r w:rsidR="006B7A72">
        <w:t>.</w:t>
      </w:r>
    </w:p>
    <w:p w14:paraId="4A1C9232" w14:textId="77777777" w:rsidR="003D15F8" w:rsidRDefault="00063B0B" w:rsidP="008E1671">
      <w:pPr>
        <w:pStyle w:val="Heading3"/>
        <w:spacing w:before="0" w:after="120" w:line="252" w:lineRule="auto"/>
      </w:pPr>
      <w:r>
        <w:t>Regulatory status of pipelines</w:t>
      </w:r>
      <w:r w:rsidR="003655C5">
        <w:t xml:space="preserve"> in Australia </w:t>
      </w:r>
    </w:p>
    <w:p w14:paraId="452175DC" w14:textId="0CFA34FB" w:rsidR="004E120F" w:rsidRPr="006B4639" w:rsidRDefault="009F5064" w:rsidP="008E1671">
      <w:pPr>
        <w:pStyle w:val="BodyText"/>
        <w:spacing w:before="0" w:line="252" w:lineRule="auto"/>
        <w:rPr>
          <w:rFonts w:eastAsiaTheme="minorHAnsi" w:cs="Arial"/>
        </w:rPr>
      </w:pPr>
      <w:r w:rsidRPr="006B4639">
        <w:rPr>
          <w:rFonts w:eastAsiaTheme="minorHAnsi" w:cs="Arial"/>
        </w:rPr>
        <w:t>The map on the following page shows the regulatory status of the major pipelines in Australia</w:t>
      </w:r>
      <w:r w:rsidR="004E120F">
        <w:rPr>
          <w:rFonts w:eastAsiaTheme="minorHAnsi" w:cs="Arial"/>
        </w:rPr>
        <w:t xml:space="preserve">, while </w:t>
      </w:r>
      <w:r w:rsidR="004E120F" w:rsidRPr="006B4639">
        <w:rPr>
          <w:rFonts w:eastAsiaTheme="minorHAnsi" w:cs="Arial"/>
        </w:rPr>
        <w:fldChar w:fldCharType="begin" w:fldLock="1"/>
      </w:r>
      <w:r w:rsidR="004E120F" w:rsidRPr="006B4639">
        <w:rPr>
          <w:rFonts w:eastAsiaTheme="minorHAnsi" w:cs="Arial"/>
        </w:rPr>
        <w:instrText xml:space="preserve"> REF _Ref18851814 \h </w:instrText>
      </w:r>
      <w:r w:rsidR="004E120F" w:rsidRPr="006B4639">
        <w:rPr>
          <w:rFonts w:eastAsiaTheme="minorHAnsi" w:cs="Arial"/>
        </w:rPr>
      </w:r>
      <w:r w:rsidR="004E120F" w:rsidRPr="006B4639">
        <w:rPr>
          <w:rFonts w:eastAsiaTheme="minorHAnsi" w:cs="Arial"/>
        </w:rPr>
        <w:fldChar w:fldCharType="separate"/>
      </w:r>
      <w:r w:rsidR="00036405" w:rsidRPr="006B4639">
        <w:t xml:space="preserve">Table </w:t>
      </w:r>
      <w:r w:rsidR="00036405">
        <w:rPr>
          <w:noProof/>
        </w:rPr>
        <w:t>2</w:t>
      </w:r>
      <w:r w:rsidR="00036405">
        <w:t>.</w:t>
      </w:r>
      <w:r w:rsidR="00036405">
        <w:rPr>
          <w:noProof/>
        </w:rPr>
        <w:t>1</w:t>
      </w:r>
      <w:r w:rsidR="004E120F" w:rsidRPr="006B4639">
        <w:rPr>
          <w:rFonts w:eastAsiaTheme="minorHAnsi" w:cs="Arial"/>
        </w:rPr>
        <w:fldChar w:fldCharType="end"/>
      </w:r>
      <w:r w:rsidR="004E120F" w:rsidRPr="006B4639">
        <w:rPr>
          <w:rFonts w:eastAsiaTheme="minorHAnsi" w:cs="Arial"/>
        </w:rPr>
        <w:t xml:space="preserve"> provides further detail on the number of pipelines that are subject to each form of regulation and those that are not subject to any form of regulation. </w:t>
      </w:r>
    </w:p>
    <w:p w14:paraId="2FB34FC4" w14:textId="35943C95" w:rsidR="004E120F" w:rsidRPr="006B4639" w:rsidRDefault="004E120F" w:rsidP="004E120F">
      <w:pPr>
        <w:pStyle w:val="Caption"/>
        <w:keepNext w:val="0"/>
        <w:keepLines w:val="0"/>
        <w:spacing w:before="0" w:after="0"/>
        <w:rPr>
          <w:rFonts w:cs="Arial"/>
        </w:rPr>
      </w:pPr>
      <w:bookmarkStart w:id="58" w:name="_Ref18851814"/>
      <w:r w:rsidRPr="006B4639">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2</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1</w:t>
      </w:r>
      <w:r w:rsidR="00F323B2">
        <w:rPr>
          <w:noProof/>
        </w:rPr>
        <w:fldChar w:fldCharType="end"/>
      </w:r>
      <w:bookmarkEnd w:id="58"/>
      <w:r w:rsidRPr="006B4639">
        <w:t xml:space="preserve">: </w:t>
      </w:r>
      <w:r>
        <w:t xml:space="preserve">Regulatory status of </w:t>
      </w:r>
      <w:r w:rsidRPr="006B4639">
        <w:rPr>
          <w:rFonts w:cs="Arial"/>
        </w:rPr>
        <w:t>pipelines</w:t>
      </w:r>
      <w:r>
        <w:rPr>
          <w:rFonts w:cs="Arial"/>
        </w:rPr>
        <w:t xml:space="preserve">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117"/>
        <w:gridCol w:w="1559"/>
        <w:gridCol w:w="1701"/>
        <w:gridCol w:w="1741"/>
        <w:gridCol w:w="1650"/>
      </w:tblGrid>
      <w:tr w:rsidR="004E120F" w:rsidRPr="008E1671" w14:paraId="30C5AE24" w14:textId="77777777" w:rsidTr="001A440E">
        <w:trPr>
          <w:trHeight w:val="271"/>
        </w:trPr>
        <w:tc>
          <w:tcPr>
            <w:tcW w:w="2117" w:type="dxa"/>
            <w:vMerge w:val="restart"/>
            <w:shd w:val="clear" w:color="auto" w:fill="002060"/>
            <w:vAlign w:val="bottom"/>
          </w:tcPr>
          <w:p w14:paraId="0D07D9B0" w14:textId="77777777" w:rsidR="004E120F" w:rsidRPr="008E1671" w:rsidRDefault="004E120F" w:rsidP="002D5185">
            <w:pPr>
              <w:pStyle w:val="BodyText"/>
              <w:spacing w:before="0" w:after="0" w:line="240" w:lineRule="auto"/>
              <w:ind w:left="85" w:right="85"/>
              <w:rPr>
                <w:rFonts w:cs="Arial"/>
                <w:b/>
                <w:bCs/>
                <w:color w:val="FFFFFF"/>
                <w:sz w:val="16"/>
                <w:szCs w:val="16"/>
              </w:rPr>
            </w:pPr>
          </w:p>
        </w:tc>
        <w:tc>
          <w:tcPr>
            <w:tcW w:w="3260" w:type="dxa"/>
            <w:gridSpan w:val="2"/>
            <w:shd w:val="clear" w:color="auto" w:fill="002060"/>
            <w:vAlign w:val="bottom"/>
          </w:tcPr>
          <w:p w14:paraId="0136F35B" w14:textId="77777777" w:rsidR="004E120F" w:rsidRPr="008E1671" w:rsidRDefault="004E120F" w:rsidP="002D5185">
            <w:pPr>
              <w:pStyle w:val="BodyText"/>
              <w:spacing w:before="0" w:after="0" w:line="240" w:lineRule="auto"/>
              <w:ind w:left="85"/>
              <w:jc w:val="center"/>
              <w:rPr>
                <w:rFonts w:cs="Arial"/>
                <w:b/>
                <w:bCs/>
                <w:color w:val="FFFFFF"/>
                <w:sz w:val="16"/>
                <w:szCs w:val="16"/>
              </w:rPr>
            </w:pPr>
            <w:r w:rsidRPr="008E1671">
              <w:rPr>
                <w:rFonts w:cs="Arial"/>
                <w:b/>
                <w:bCs/>
                <w:color w:val="FFFFFF"/>
                <w:sz w:val="16"/>
                <w:szCs w:val="16"/>
              </w:rPr>
              <w:t>Scheme pipelines</w:t>
            </w:r>
          </w:p>
        </w:tc>
        <w:tc>
          <w:tcPr>
            <w:tcW w:w="3391" w:type="dxa"/>
            <w:gridSpan w:val="2"/>
            <w:shd w:val="clear" w:color="auto" w:fill="002060"/>
            <w:vAlign w:val="bottom"/>
          </w:tcPr>
          <w:p w14:paraId="3422A94D" w14:textId="77777777" w:rsidR="004E120F" w:rsidRPr="008E1671" w:rsidRDefault="004E120F" w:rsidP="002D5185">
            <w:pPr>
              <w:spacing w:line="240" w:lineRule="auto"/>
              <w:ind w:left="85"/>
              <w:jc w:val="center"/>
              <w:rPr>
                <w:rFonts w:cs="Arial"/>
                <w:b/>
                <w:bCs/>
                <w:color w:val="FFFFFF"/>
                <w:sz w:val="16"/>
                <w:szCs w:val="16"/>
              </w:rPr>
            </w:pPr>
            <w:r w:rsidRPr="008E1671">
              <w:rPr>
                <w:rFonts w:cs="Arial"/>
                <w:b/>
                <w:bCs/>
                <w:color w:val="FFFFFF"/>
                <w:sz w:val="16"/>
                <w:szCs w:val="16"/>
              </w:rPr>
              <w:t>Non-scheme pipelines</w:t>
            </w:r>
            <w:r w:rsidR="00381919" w:rsidRPr="008E1671">
              <w:rPr>
                <w:rFonts w:cs="Arial"/>
                <w:b/>
                <w:bCs/>
                <w:color w:val="FFFFFF"/>
                <w:sz w:val="16"/>
                <w:szCs w:val="16"/>
                <w:vertAlign w:val="superscript"/>
              </w:rPr>
              <w:t>b</w:t>
            </w:r>
          </w:p>
        </w:tc>
      </w:tr>
      <w:tr w:rsidR="004E120F" w:rsidRPr="008E1671" w14:paraId="76D28BB5" w14:textId="77777777" w:rsidTr="001A440E">
        <w:trPr>
          <w:trHeight w:val="270"/>
        </w:trPr>
        <w:tc>
          <w:tcPr>
            <w:tcW w:w="2117" w:type="dxa"/>
            <w:vMerge/>
            <w:shd w:val="clear" w:color="auto" w:fill="002060"/>
            <w:vAlign w:val="bottom"/>
          </w:tcPr>
          <w:p w14:paraId="2AB65EC7" w14:textId="77777777" w:rsidR="004E120F" w:rsidRPr="008E1671" w:rsidRDefault="004E120F" w:rsidP="002D5185">
            <w:pPr>
              <w:pStyle w:val="BodyText"/>
              <w:spacing w:before="0" w:after="0" w:line="240" w:lineRule="auto"/>
              <w:ind w:left="85" w:right="85"/>
              <w:rPr>
                <w:rFonts w:cs="Arial"/>
                <w:b/>
                <w:bCs/>
                <w:color w:val="FFFFFF"/>
                <w:sz w:val="16"/>
                <w:szCs w:val="16"/>
              </w:rPr>
            </w:pPr>
          </w:p>
        </w:tc>
        <w:tc>
          <w:tcPr>
            <w:tcW w:w="1559" w:type="dxa"/>
            <w:shd w:val="clear" w:color="auto" w:fill="002060"/>
            <w:vAlign w:val="bottom"/>
          </w:tcPr>
          <w:p w14:paraId="315EC343" w14:textId="77777777" w:rsidR="004E120F" w:rsidRPr="008E1671" w:rsidRDefault="004E120F" w:rsidP="002D5185">
            <w:pPr>
              <w:pStyle w:val="BodyText"/>
              <w:spacing w:before="0" w:after="0" w:line="240" w:lineRule="auto"/>
              <w:ind w:left="85"/>
              <w:jc w:val="center"/>
              <w:rPr>
                <w:rFonts w:cs="Arial"/>
                <w:b/>
                <w:bCs/>
                <w:color w:val="FFFFFF"/>
                <w:sz w:val="16"/>
                <w:szCs w:val="16"/>
              </w:rPr>
            </w:pPr>
            <w:r w:rsidRPr="008E1671">
              <w:rPr>
                <w:rFonts w:cs="Arial"/>
                <w:b/>
                <w:bCs/>
                <w:color w:val="FFFFFF"/>
                <w:sz w:val="16"/>
                <w:szCs w:val="16"/>
              </w:rPr>
              <w:t>Full regulation</w:t>
            </w:r>
          </w:p>
        </w:tc>
        <w:tc>
          <w:tcPr>
            <w:tcW w:w="1701" w:type="dxa"/>
            <w:shd w:val="clear" w:color="auto" w:fill="002060"/>
            <w:vAlign w:val="bottom"/>
          </w:tcPr>
          <w:p w14:paraId="1B759DB2" w14:textId="77777777" w:rsidR="004E120F" w:rsidRPr="008E1671" w:rsidRDefault="004E120F" w:rsidP="002D5185">
            <w:pPr>
              <w:pStyle w:val="BodyText"/>
              <w:spacing w:before="0" w:after="0" w:line="240" w:lineRule="auto"/>
              <w:ind w:left="85"/>
              <w:jc w:val="center"/>
              <w:rPr>
                <w:rFonts w:cs="Arial"/>
                <w:b/>
                <w:bCs/>
                <w:color w:val="FFFFFF"/>
                <w:sz w:val="16"/>
                <w:szCs w:val="16"/>
              </w:rPr>
            </w:pPr>
            <w:r w:rsidRPr="008E1671">
              <w:rPr>
                <w:rFonts w:cs="Arial"/>
                <w:b/>
                <w:bCs/>
                <w:color w:val="FFFFFF"/>
                <w:sz w:val="16"/>
                <w:szCs w:val="16"/>
              </w:rPr>
              <w:t>Light regulation</w:t>
            </w:r>
          </w:p>
        </w:tc>
        <w:tc>
          <w:tcPr>
            <w:tcW w:w="1741" w:type="dxa"/>
            <w:shd w:val="clear" w:color="auto" w:fill="002060"/>
            <w:vAlign w:val="bottom"/>
          </w:tcPr>
          <w:p w14:paraId="0A2F8847" w14:textId="77777777" w:rsidR="004E120F" w:rsidRPr="008E1671" w:rsidRDefault="004E120F" w:rsidP="002D5185">
            <w:pPr>
              <w:spacing w:line="240" w:lineRule="auto"/>
              <w:ind w:left="85"/>
              <w:jc w:val="center"/>
              <w:rPr>
                <w:rFonts w:cs="Arial"/>
                <w:b/>
                <w:bCs/>
                <w:color w:val="FFFFFF"/>
                <w:sz w:val="16"/>
                <w:szCs w:val="16"/>
              </w:rPr>
            </w:pPr>
            <w:r w:rsidRPr="008E1671">
              <w:rPr>
                <w:rFonts w:cs="Arial"/>
                <w:b/>
                <w:bCs/>
                <w:color w:val="FFFFFF"/>
                <w:sz w:val="16"/>
                <w:szCs w:val="16"/>
              </w:rPr>
              <w:t>Part 23</w:t>
            </w:r>
          </w:p>
        </w:tc>
        <w:tc>
          <w:tcPr>
            <w:tcW w:w="1650" w:type="dxa"/>
            <w:shd w:val="clear" w:color="auto" w:fill="002060"/>
            <w:vAlign w:val="bottom"/>
          </w:tcPr>
          <w:p w14:paraId="5C8BB603" w14:textId="07C8B65B" w:rsidR="004E120F" w:rsidRPr="008E1671" w:rsidRDefault="00E945FF" w:rsidP="002D5185">
            <w:pPr>
              <w:spacing w:line="240" w:lineRule="auto"/>
              <w:ind w:left="85"/>
              <w:jc w:val="center"/>
              <w:rPr>
                <w:rFonts w:cs="Arial"/>
                <w:b/>
                <w:bCs/>
                <w:color w:val="FFFFFF"/>
                <w:sz w:val="16"/>
                <w:szCs w:val="16"/>
              </w:rPr>
            </w:pPr>
            <w:r>
              <w:rPr>
                <w:rFonts w:cs="Arial"/>
                <w:b/>
                <w:bCs/>
                <w:color w:val="FFFFFF"/>
                <w:sz w:val="16"/>
                <w:szCs w:val="16"/>
              </w:rPr>
              <w:t>N</w:t>
            </w:r>
            <w:r w:rsidR="004E120F" w:rsidRPr="008E1671">
              <w:rPr>
                <w:rFonts w:cs="Arial"/>
                <w:b/>
                <w:bCs/>
                <w:color w:val="FFFFFF"/>
                <w:sz w:val="16"/>
                <w:szCs w:val="16"/>
              </w:rPr>
              <w:t>ot providing 3</w:t>
            </w:r>
            <w:r w:rsidR="004E120F" w:rsidRPr="008E1671">
              <w:rPr>
                <w:rFonts w:cs="Arial"/>
                <w:b/>
                <w:bCs/>
                <w:color w:val="FFFFFF"/>
                <w:sz w:val="16"/>
                <w:szCs w:val="16"/>
                <w:vertAlign w:val="superscript"/>
              </w:rPr>
              <w:t>rd</w:t>
            </w:r>
            <w:r w:rsidR="004E120F" w:rsidRPr="008E1671">
              <w:rPr>
                <w:rFonts w:cs="Arial"/>
                <w:b/>
                <w:bCs/>
                <w:color w:val="FFFFFF"/>
                <w:sz w:val="16"/>
                <w:szCs w:val="16"/>
              </w:rPr>
              <w:t xml:space="preserve"> party access  </w:t>
            </w:r>
          </w:p>
        </w:tc>
      </w:tr>
      <w:tr w:rsidR="004E120F" w:rsidRPr="008E1671" w14:paraId="7C54ED1F" w14:textId="77777777" w:rsidTr="001A440E">
        <w:tc>
          <w:tcPr>
            <w:tcW w:w="2117" w:type="dxa"/>
            <w:tcBorders>
              <w:top w:val="single" w:sz="4" w:space="0" w:color="auto"/>
              <w:left w:val="single" w:sz="4" w:space="0" w:color="auto"/>
              <w:bottom w:val="single" w:sz="4" w:space="0" w:color="auto"/>
              <w:right w:val="single" w:sz="4" w:space="0" w:color="auto"/>
            </w:tcBorders>
            <w:vAlign w:val="bottom"/>
            <w:hideMark/>
          </w:tcPr>
          <w:p w14:paraId="06469598" w14:textId="0B75E3E4" w:rsidR="004E120F" w:rsidRPr="008E1671" w:rsidRDefault="004E120F" w:rsidP="002D5185">
            <w:pPr>
              <w:pStyle w:val="BodyText"/>
              <w:spacing w:before="0" w:after="0" w:line="240" w:lineRule="auto"/>
              <w:ind w:left="85" w:right="85"/>
              <w:rPr>
                <w:rFonts w:cs="Arial"/>
                <w:sz w:val="16"/>
                <w:szCs w:val="16"/>
              </w:rPr>
            </w:pPr>
            <w:r w:rsidRPr="008E1671">
              <w:rPr>
                <w:rFonts w:cs="Arial"/>
                <w:sz w:val="16"/>
                <w:szCs w:val="16"/>
              </w:rPr>
              <w:t>Eastern Australia and Northern Territory</w:t>
            </w:r>
            <w:r w:rsidR="00F801ED">
              <w:rPr>
                <w:rFonts w:cs="Arial"/>
                <w:color w:val="000000"/>
                <w:sz w:val="16"/>
                <w:szCs w:val="16"/>
                <w:vertAlign w:val="superscript"/>
              </w:rPr>
              <w:t>c</w:t>
            </w:r>
            <w:r w:rsidRPr="008E1671">
              <w:rPr>
                <w:rFonts w:cs="Arial"/>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CE59EFD" w14:textId="77777777" w:rsidR="004E120F" w:rsidRPr="008E1671" w:rsidRDefault="004E120F" w:rsidP="002D5185">
            <w:pPr>
              <w:pStyle w:val="BodyText"/>
              <w:spacing w:before="0" w:after="0" w:line="240" w:lineRule="auto"/>
              <w:ind w:left="85" w:right="85"/>
              <w:jc w:val="center"/>
              <w:rPr>
                <w:rFonts w:cs="Arial"/>
                <w:sz w:val="16"/>
                <w:szCs w:val="16"/>
              </w:rPr>
            </w:pPr>
            <w:r w:rsidRPr="008E1671">
              <w:rPr>
                <w:rFonts w:cs="Arial"/>
                <w:sz w:val="16"/>
                <w:szCs w:val="16"/>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01147A5" w14:textId="77777777" w:rsidR="004E120F" w:rsidRPr="008E1671" w:rsidRDefault="004E120F" w:rsidP="002D5185">
            <w:pPr>
              <w:pStyle w:val="BodyText"/>
              <w:spacing w:before="0" w:after="0" w:line="240" w:lineRule="auto"/>
              <w:ind w:left="85" w:right="85"/>
              <w:jc w:val="center"/>
              <w:rPr>
                <w:rFonts w:cs="Arial"/>
                <w:sz w:val="16"/>
                <w:szCs w:val="16"/>
              </w:rPr>
            </w:pPr>
            <w:r w:rsidRPr="008E1671">
              <w:rPr>
                <w:rFonts w:cs="Arial"/>
                <w:sz w:val="16"/>
                <w:szCs w:val="16"/>
              </w:rPr>
              <w:t>4.5</w:t>
            </w:r>
          </w:p>
        </w:tc>
        <w:tc>
          <w:tcPr>
            <w:tcW w:w="1741" w:type="dxa"/>
            <w:tcBorders>
              <w:top w:val="single" w:sz="4" w:space="0" w:color="auto"/>
              <w:left w:val="single" w:sz="4" w:space="0" w:color="auto"/>
              <w:bottom w:val="single" w:sz="4" w:space="0" w:color="auto"/>
              <w:right w:val="single" w:sz="4" w:space="0" w:color="auto"/>
            </w:tcBorders>
            <w:vAlign w:val="bottom"/>
          </w:tcPr>
          <w:p w14:paraId="61F668D2" w14:textId="77777777" w:rsidR="004E120F" w:rsidRPr="008E1671" w:rsidRDefault="004E120F" w:rsidP="002D5185">
            <w:pPr>
              <w:pStyle w:val="BodyText"/>
              <w:spacing w:before="0" w:after="0" w:line="240" w:lineRule="auto"/>
              <w:ind w:left="85" w:right="85"/>
              <w:jc w:val="center"/>
              <w:rPr>
                <w:rFonts w:cs="Arial"/>
                <w:sz w:val="16"/>
                <w:szCs w:val="16"/>
              </w:rPr>
            </w:pPr>
            <w:r w:rsidRPr="008E1671">
              <w:rPr>
                <w:rFonts w:cs="Arial"/>
                <w:sz w:val="16"/>
                <w:szCs w:val="16"/>
              </w:rPr>
              <w:t>51.5</w:t>
            </w:r>
          </w:p>
        </w:tc>
        <w:tc>
          <w:tcPr>
            <w:tcW w:w="1650" w:type="dxa"/>
            <w:tcBorders>
              <w:top w:val="single" w:sz="4" w:space="0" w:color="auto"/>
              <w:left w:val="single" w:sz="4" w:space="0" w:color="auto"/>
              <w:bottom w:val="single" w:sz="4" w:space="0" w:color="auto"/>
              <w:right w:val="single" w:sz="4" w:space="0" w:color="auto"/>
            </w:tcBorders>
            <w:vAlign w:val="bottom"/>
          </w:tcPr>
          <w:p w14:paraId="45201F13" w14:textId="77777777" w:rsidR="004E120F" w:rsidRPr="008E1671" w:rsidRDefault="004E120F" w:rsidP="002D5185">
            <w:pPr>
              <w:pStyle w:val="BodyText"/>
              <w:spacing w:before="0" w:after="0" w:line="240" w:lineRule="auto"/>
              <w:ind w:left="85" w:right="85"/>
              <w:jc w:val="center"/>
              <w:rPr>
                <w:rFonts w:cs="Arial"/>
                <w:sz w:val="16"/>
                <w:szCs w:val="16"/>
              </w:rPr>
            </w:pPr>
            <w:r w:rsidRPr="008E1671">
              <w:rPr>
                <w:rFonts w:cs="Arial"/>
                <w:sz w:val="16"/>
                <w:szCs w:val="16"/>
              </w:rPr>
              <w:t>37</w:t>
            </w:r>
          </w:p>
        </w:tc>
      </w:tr>
      <w:tr w:rsidR="004E120F" w:rsidRPr="008E1671" w14:paraId="27CDED69" w14:textId="77777777" w:rsidTr="001A440E">
        <w:tc>
          <w:tcPr>
            <w:tcW w:w="21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119BA91" w14:textId="3440F242" w:rsidR="004E120F" w:rsidRPr="008E1671" w:rsidRDefault="004E120F" w:rsidP="002D5185">
            <w:pPr>
              <w:pStyle w:val="BodyText"/>
              <w:spacing w:before="0" w:after="0" w:line="240" w:lineRule="auto"/>
              <w:ind w:left="85" w:right="85"/>
              <w:rPr>
                <w:rFonts w:cs="Arial"/>
                <w:sz w:val="16"/>
                <w:szCs w:val="16"/>
              </w:rPr>
            </w:pPr>
            <w:r w:rsidRPr="008E1671">
              <w:rPr>
                <w:rFonts w:cs="Arial"/>
                <w:color w:val="000000"/>
                <w:sz w:val="16"/>
                <w:szCs w:val="16"/>
              </w:rPr>
              <w:t>Western Australia</w:t>
            </w:r>
            <w:r w:rsidR="00592E50">
              <w:rPr>
                <w:rFonts w:cs="Arial"/>
                <w:color w:val="000000"/>
                <w:sz w:val="16"/>
                <w:szCs w:val="16"/>
                <w:vertAlign w:val="superscript"/>
              </w:rPr>
              <w:t>c</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31733B4" w14:textId="77777777" w:rsidR="004E120F" w:rsidRPr="008E1671" w:rsidRDefault="004E120F" w:rsidP="002D5185">
            <w:pPr>
              <w:pStyle w:val="BodyText"/>
              <w:spacing w:before="0" w:after="0" w:line="240" w:lineRule="auto"/>
              <w:ind w:left="85" w:right="85"/>
              <w:jc w:val="center"/>
              <w:rPr>
                <w:rFonts w:cs="Arial"/>
                <w:sz w:val="16"/>
                <w:szCs w:val="16"/>
              </w:rPr>
            </w:pPr>
            <w:r w:rsidRPr="008E1671">
              <w:rPr>
                <w:rFonts w:cs="Arial"/>
                <w:color w:val="000000"/>
                <w:sz w:val="16"/>
                <w:szCs w:val="16"/>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C2750DE" w14:textId="77777777" w:rsidR="004E120F" w:rsidRPr="008E1671" w:rsidRDefault="004E120F" w:rsidP="002D5185">
            <w:pPr>
              <w:pStyle w:val="BodyText"/>
              <w:spacing w:before="0" w:after="0" w:line="240" w:lineRule="auto"/>
              <w:ind w:left="85" w:right="85"/>
              <w:jc w:val="center"/>
              <w:rPr>
                <w:rFonts w:cs="Arial"/>
                <w:sz w:val="16"/>
                <w:szCs w:val="16"/>
              </w:rPr>
            </w:pPr>
            <w:r w:rsidRPr="008E1671">
              <w:rPr>
                <w:rFonts w:cs="Arial"/>
                <w:color w:val="000000"/>
                <w:sz w:val="16"/>
                <w:szCs w:val="16"/>
              </w:rPr>
              <w:t>1</w:t>
            </w:r>
          </w:p>
        </w:tc>
        <w:tc>
          <w:tcPr>
            <w:tcW w:w="17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560B46" w14:textId="7DDE1143" w:rsidR="004E120F" w:rsidRPr="008E1671" w:rsidRDefault="00F801ED" w:rsidP="002D5185">
            <w:pPr>
              <w:pStyle w:val="BodyText"/>
              <w:spacing w:before="0" w:after="0" w:line="240" w:lineRule="auto"/>
              <w:ind w:left="85" w:right="85"/>
              <w:jc w:val="center"/>
              <w:rPr>
                <w:rFonts w:cs="Arial"/>
                <w:color w:val="000000"/>
                <w:sz w:val="16"/>
                <w:szCs w:val="16"/>
              </w:rPr>
            </w:pPr>
            <w:r>
              <w:rPr>
                <w:rFonts w:cs="Arial"/>
                <w:color w:val="000000"/>
                <w:sz w:val="16"/>
                <w:szCs w:val="16"/>
              </w:rPr>
              <w:t>67</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FB3FDE" w14:textId="040737F8" w:rsidR="004E120F" w:rsidRPr="008E1671" w:rsidRDefault="00F801ED" w:rsidP="002D5185">
            <w:pPr>
              <w:pStyle w:val="BodyText"/>
              <w:spacing w:before="0" w:after="0" w:line="240" w:lineRule="auto"/>
              <w:ind w:left="85" w:right="85"/>
              <w:jc w:val="center"/>
              <w:rPr>
                <w:rFonts w:cs="Arial"/>
                <w:color w:val="000000"/>
                <w:sz w:val="16"/>
                <w:szCs w:val="16"/>
              </w:rPr>
            </w:pPr>
            <w:r>
              <w:rPr>
                <w:rFonts w:cs="Arial"/>
                <w:color w:val="000000"/>
                <w:sz w:val="16"/>
                <w:szCs w:val="16"/>
              </w:rPr>
              <w:t>19</w:t>
            </w:r>
          </w:p>
        </w:tc>
      </w:tr>
      <w:tr w:rsidR="004E120F" w:rsidRPr="008E1671" w14:paraId="785E940E" w14:textId="77777777" w:rsidTr="001A440E">
        <w:tc>
          <w:tcPr>
            <w:tcW w:w="21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2198CBE" w14:textId="77777777" w:rsidR="004E120F" w:rsidRPr="008E1671" w:rsidRDefault="004E120F" w:rsidP="002D5185">
            <w:pPr>
              <w:pStyle w:val="BodyText"/>
              <w:spacing w:before="0" w:after="20" w:line="240" w:lineRule="auto"/>
              <w:ind w:left="85" w:right="85"/>
              <w:rPr>
                <w:rFonts w:cs="Arial"/>
                <w:b/>
                <w:bCs/>
                <w:sz w:val="16"/>
                <w:szCs w:val="16"/>
              </w:rPr>
            </w:pPr>
            <w:r w:rsidRPr="008E1671">
              <w:rPr>
                <w:rFonts w:cs="Arial"/>
                <w:b/>
                <w:bCs/>
                <w:sz w:val="16"/>
                <w:szCs w:val="16"/>
              </w:rPr>
              <w:t>Total</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9392652" w14:textId="77777777" w:rsidR="004E120F" w:rsidRPr="008E1671" w:rsidRDefault="004E120F" w:rsidP="002D5185">
            <w:pPr>
              <w:pStyle w:val="BodyText"/>
              <w:spacing w:before="0" w:after="20" w:line="240" w:lineRule="auto"/>
              <w:ind w:left="85" w:right="85"/>
              <w:jc w:val="center"/>
              <w:rPr>
                <w:rFonts w:cs="Arial"/>
                <w:b/>
                <w:bCs/>
                <w:sz w:val="16"/>
                <w:szCs w:val="16"/>
              </w:rPr>
            </w:pPr>
            <w:r w:rsidRPr="008E1671">
              <w:rPr>
                <w:rFonts w:cs="Arial"/>
                <w:b/>
                <w:bCs/>
                <w:sz w:val="16"/>
                <w:szCs w:val="16"/>
              </w:rPr>
              <w:t>13</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07FF4B4" w14:textId="77777777" w:rsidR="004E120F" w:rsidRPr="008E1671" w:rsidRDefault="004E120F" w:rsidP="002D5185">
            <w:pPr>
              <w:pStyle w:val="BodyText"/>
              <w:spacing w:before="0" w:after="20" w:line="240" w:lineRule="auto"/>
              <w:ind w:left="85" w:right="85"/>
              <w:jc w:val="center"/>
              <w:rPr>
                <w:rFonts w:cs="Arial"/>
                <w:b/>
                <w:bCs/>
                <w:sz w:val="16"/>
                <w:szCs w:val="16"/>
              </w:rPr>
            </w:pPr>
            <w:r w:rsidRPr="008E1671">
              <w:rPr>
                <w:rFonts w:cs="Arial"/>
                <w:b/>
                <w:bCs/>
                <w:sz w:val="16"/>
                <w:szCs w:val="16"/>
              </w:rPr>
              <w:t>5.5</w:t>
            </w:r>
          </w:p>
        </w:tc>
        <w:tc>
          <w:tcPr>
            <w:tcW w:w="1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7DB59DC" w14:textId="68A26071" w:rsidR="004E120F" w:rsidRPr="008E1671" w:rsidRDefault="00645F59" w:rsidP="002D5185">
            <w:pPr>
              <w:pStyle w:val="BodyText"/>
              <w:spacing w:before="0" w:after="20" w:line="240" w:lineRule="auto"/>
              <w:ind w:left="85" w:right="85"/>
              <w:jc w:val="center"/>
              <w:rPr>
                <w:rFonts w:cs="Arial"/>
                <w:b/>
                <w:bCs/>
                <w:sz w:val="16"/>
                <w:szCs w:val="16"/>
              </w:rPr>
            </w:pPr>
            <w:r>
              <w:rPr>
                <w:rFonts w:cs="Arial"/>
                <w:b/>
                <w:bCs/>
                <w:sz w:val="16"/>
                <w:szCs w:val="16"/>
              </w:rPr>
              <w:t>1</w:t>
            </w:r>
            <w:r w:rsidR="004E120F" w:rsidRPr="008E1671">
              <w:rPr>
                <w:rFonts w:cs="Arial"/>
                <w:b/>
                <w:bCs/>
                <w:sz w:val="16"/>
                <w:szCs w:val="16"/>
              </w:rPr>
              <w:t>1</w:t>
            </w:r>
            <w:r>
              <w:rPr>
                <w:rFonts w:cs="Arial"/>
                <w:b/>
                <w:bCs/>
                <w:sz w:val="16"/>
                <w:szCs w:val="16"/>
              </w:rPr>
              <w:t>8</w:t>
            </w:r>
            <w:r w:rsidR="004E120F" w:rsidRPr="008E1671">
              <w:rPr>
                <w:rFonts w:cs="Arial"/>
                <w:b/>
                <w:bCs/>
                <w:sz w:val="16"/>
                <w:szCs w:val="16"/>
              </w:rPr>
              <w:t>.5</w:t>
            </w:r>
            <w:r w:rsidR="00EC266D" w:rsidRPr="008E1671">
              <w:rPr>
                <w:rFonts w:cs="Arial"/>
                <w:b/>
                <w:bCs/>
                <w:sz w:val="16"/>
                <w:szCs w:val="16"/>
                <w:vertAlign w:val="superscript"/>
              </w:rPr>
              <w:t>a</w:t>
            </w:r>
          </w:p>
        </w:tc>
        <w:tc>
          <w:tcPr>
            <w:tcW w:w="1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1316CC" w14:textId="59F3F0CB" w:rsidR="004E120F" w:rsidRPr="008E1671" w:rsidRDefault="004E120F" w:rsidP="002D5185">
            <w:pPr>
              <w:pStyle w:val="BodyText"/>
              <w:spacing w:before="0" w:after="20" w:line="240" w:lineRule="auto"/>
              <w:ind w:left="85" w:right="85"/>
              <w:jc w:val="center"/>
              <w:rPr>
                <w:rFonts w:cs="Arial"/>
                <w:b/>
                <w:bCs/>
                <w:sz w:val="16"/>
                <w:szCs w:val="16"/>
              </w:rPr>
            </w:pPr>
            <w:r w:rsidRPr="008E1671">
              <w:rPr>
                <w:rFonts w:cs="Arial"/>
                <w:b/>
                <w:bCs/>
                <w:sz w:val="16"/>
                <w:szCs w:val="16"/>
              </w:rPr>
              <w:t>5</w:t>
            </w:r>
            <w:r w:rsidR="00592E50">
              <w:rPr>
                <w:rFonts w:cs="Arial"/>
                <w:b/>
                <w:bCs/>
                <w:sz w:val="16"/>
                <w:szCs w:val="16"/>
              </w:rPr>
              <w:t>6</w:t>
            </w:r>
          </w:p>
        </w:tc>
      </w:tr>
      <w:tr w:rsidR="004E120F" w:rsidRPr="008E1671" w14:paraId="54F4C20E" w14:textId="77777777" w:rsidTr="001A440E">
        <w:tc>
          <w:tcPr>
            <w:tcW w:w="21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F62D857" w14:textId="77777777" w:rsidR="004E120F" w:rsidRPr="008E1671" w:rsidRDefault="004E120F" w:rsidP="002D5185">
            <w:pPr>
              <w:pStyle w:val="BodyText"/>
              <w:spacing w:before="0" w:after="20" w:line="240" w:lineRule="auto"/>
              <w:ind w:left="85" w:right="85"/>
              <w:rPr>
                <w:rFonts w:cs="Arial"/>
                <w:i/>
                <w:iCs/>
                <w:sz w:val="16"/>
                <w:szCs w:val="16"/>
              </w:rPr>
            </w:pPr>
            <w:r w:rsidRPr="008E1671">
              <w:rPr>
                <w:rFonts w:cs="Arial"/>
                <w:i/>
                <w:iCs/>
                <w:sz w:val="16"/>
                <w:szCs w:val="16"/>
              </w:rPr>
              <w:t xml:space="preserve">Transmission </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E127A2A" w14:textId="77777777" w:rsidR="004E120F" w:rsidRPr="008E1671" w:rsidRDefault="004E120F" w:rsidP="002D5185">
            <w:pPr>
              <w:pStyle w:val="BodyText"/>
              <w:spacing w:before="0" w:after="20" w:line="240" w:lineRule="auto"/>
              <w:ind w:left="85" w:right="85"/>
              <w:jc w:val="center"/>
              <w:rPr>
                <w:rFonts w:cs="Arial"/>
                <w:i/>
                <w:iCs/>
                <w:sz w:val="16"/>
                <w:szCs w:val="16"/>
              </w:rPr>
            </w:pPr>
            <w:r w:rsidRPr="008E1671">
              <w:rPr>
                <w:rFonts w:cs="Arial"/>
                <w:i/>
                <w:iCs/>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5E58110" w14:textId="77777777" w:rsidR="004E120F" w:rsidRPr="008E1671" w:rsidRDefault="004E120F" w:rsidP="002D5185">
            <w:pPr>
              <w:pStyle w:val="BodyText"/>
              <w:spacing w:before="0" w:after="20" w:line="240" w:lineRule="auto"/>
              <w:ind w:left="85" w:right="85"/>
              <w:jc w:val="center"/>
              <w:rPr>
                <w:rFonts w:cs="Arial"/>
                <w:i/>
                <w:iCs/>
                <w:sz w:val="16"/>
                <w:szCs w:val="16"/>
              </w:rPr>
            </w:pPr>
            <w:r w:rsidRPr="008E1671">
              <w:rPr>
                <w:rFonts w:cs="Arial"/>
                <w:i/>
                <w:iCs/>
                <w:color w:val="000000"/>
                <w:sz w:val="16"/>
                <w:szCs w:val="16"/>
              </w:rPr>
              <w:t>3.5</w:t>
            </w:r>
          </w:p>
        </w:tc>
        <w:tc>
          <w:tcPr>
            <w:tcW w:w="1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0951A8D" w14:textId="548BA08A" w:rsidR="004E120F" w:rsidRPr="008E1671" w:rsidRDefault="003E2737" w:rsidP="002D5185">
            <w:pPr>
              <w:pStyle w:val="BodyText"/>
              <w:spacing w:before="0" w:after="20" w:line="240" w:lineRule="auto"/>
              <w:ind w:left="85" w:right="85"/>
              <w:jc w:val="center"/>
              <w:rPr>
                <w:rFonts w:cs="Arial"/>
                <w:i/>
                <w:iCs/>
                <w:sz w:val="16"/>
                <w:szCs w:val="16"/>
              </w:rPr>
            </w:pPr>
            <w:r>
              <w:rPr>
                <w:rFonts w:cs="Arial"/>
                <w:i/>
                <w:iCs/>
                <w:color w:val="000000"/>
                <w:sz w:val="16"/>
                <w:szCs w:val="16"/>
              </w:rPr>
              <w:t>98</w:t>
            </w:r>
            <w:r w:rsidR="004E120F" w:rsidRPr="008E1671">
              <w:rPr>
                <w:rFonts w:cs="Arial"/>
                <w:i/>
                <w:iCs/>
                <w:color w:val="000000"/>
                <w:sz w:val="16"/>
                <w:szCs w:val="16"/>
              </w:rPr>
              <w:t>.5</w:t>
            </w:r>
          </w:p>
        </w:tc>
        <w:tc>
          <w:tcPr>
            <w:tcW w:w="1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32887F6" w14:textId="337F773C" w:rsidR="004E120F" w:rsidRPr="008E1671" w:rsidRDefault="004E120F" w:rsidP="002D5185">
            <w:pPr>
              <w:pStyle w:val="BodyText"/>
              <w:spacing w:before="0" w:after="20" w:line="240" w:lineRule="auto"/>
              <w:ind w:left="85" w:right="85"/>
              <w:jc w:val="center"/>
              <w:rPr>
                <w:rFonts w:cs="Arial"/>
                <w:i/>
                <w:iCs/>
                <w:sz w:val="16"/>
                <w:szCs w:val="16"/>
              </w:rPr>
            </w:pPr>
            <w:r w:rsidRPr="008E1671">
              <w:rPr>
                <w:rFonts w:cs="Arial"/>
                <w:i/>
                <w:iCs/>
                <w:color w:val="000000"/>
                <w:sz w:val="16"/>
                <w:szCs w:val="16"/>
              </w:rPr>
              <w:t>5</w:t>
            </w:r>
            <w:r w:rsidR="00592E50">
              <w:rPr>
                <w:rFonts w:cs="Arial"/>
                <w:i/>
                <w:iCs/>
                <w:color w:val="000000"/>
                <w:sz w:val="16"/>
                <w:szCs w:val="16"/>
              </w:rPr>
              <w:t>2</w:t>
            </w:r>
          </w:p>
        </w:tc>
      </w:tr>
      <w:tr w:rsidR="004E120F" w:rsidRPr="008E1671" w14:paraId="00E48F1E" w14:textId="77777777" w:rsidTr="001A440E">
        <w:tc>
          <w:tcPr>
            <w:tcW w:w="21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CC57D2F" w14:textId="77777777" w:rsidR="004E120F" w:rsidRPr="008E1671" w:rsidRDefault="004E120F" w:rsidP="002D5185">
            <w:pPr>
              <w:pStyle w:val="BodyText"/>
              <w:spacing w:before="0" w:after="20" w:line="240" w:lineRule="auto"/>
              <w:ind w:left="85" w:right="85"/>
              <w:rPr>
                <w:rFonts w:cs="Arial"/>
                <w:i/>
                <w:iCs/>
                <w:sz w:val="16"/>
                <w:szCs w:val="16"/>
              </w:rPr>
            </w:pPr>
            <w:r w:rsidRPr="008E1671">
              <w:rPr>
                <w:rFonts w:cs="Arial"/>
                <w:i/>
                <w:iCs/>
                <w:sz w:val="16"/>
                <w:szCs w:val="16"/>
              </w:rPr>
              <w:t>Distribution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F6055B5" w14:textId="77777777" w:rsidR="004E120F" w:rsidRPr="008E1671" w:rsidRDefault="004E120F" w:rsidP="002D5185">
            <w:pPr>
              <w:pStyle w:val="BodyText"/>
              <w:spacing w:before="0" w:after="20" w:line="240" w:lineRule="auto"/>
              <w:ind w:left="85" w:right="85"/>
              <w:jc w:val="center"/>
              <w:rPr>
                <w:rFonts w:cs="Arial"/>
                <w:i/>
                <w:iCs/>
                <w:sz w:val="16"/>
                <w:szCs w:val="16"/>
              </w:rPr>
            </w:pPr>
            <w:r w:rsidRPr="008E1671">
              <w:rPr>
                <w:rFonts w:cs="Arial"/>
                <w:i/>
                <w:iCs/>
                <w:sz w:val="16"/>
                <w:szCs w:val="16"/>
              </w:rPr>
              <w:t>8</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DC4CE3B" w14:textId="77777777" w:rsidR="004E120F" w:rsidRPr="008E1671" w:rsidRDefault="004E120F" w:rsidP="002D5185">
            <w:pPr>
              <w:pStyle w:val="BodyText"/>
              <w:spacing w:before="0" w:after="20" w:line="240" w:lineRule="auto"/>
              <w:ind w:left="85" w:right="85"/>
              <w:jc w:val="center"/>
              <w:rPr>
                <w:rFonts w:cs="Arial"/>
                <w:i/>
                <w:iCs/>
                <w:sz w:val="16"/>
                <w:szCs w:val="16"/>
              </w:rPr>
            </w:pPr>
            <w:r w:rsidRPr="008E1671">
              <w:rPr>
                <w:rFonts w:cs="Arial"/>
                <w:i/>
                <w:iCs/>
                <w:sz w:val="16"/>
                <w:szCs w:val="16"/>
              </w:rPr>
              <w:t>2</w:t>
            </w:r>
          </w:p>
        </w:tc>
        <w:tc>
          <w:tcPr>
            <w:tcW w:w="1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228803B" w14:textId="2BDE0B4D" w:rsidR="004E120F" w:rsidRPr="008E1671" w:rsidRDefault="00645F59" w:rsidP="002D5185">
            <w:pPr>
              <w:pStyle w:val="BodyText"/>
              <w:spacing w:before="0" w:after="20" w:line="240" w:lineRule="auto"/>
              <w:ind w:left="85" w:right="85"/>
              <w:jc w:val="center"/>
              <w:rPr>
                <w:rFonts w:cs="Arial"/>
                <w:i/>
                <w:iCs/>
                <w:sz w:val="16"/>
                <w:szCs w:val="16"/>
              </w:rPr>
            </w:pPr>
            <w:r>
              <w:rPr>
                <w:rFonts w:cs="Arial"/>
                <w:i/>
                <w:iCs/>
                <w:sz w:val="16"/>
                <w:szCs w:val="16"/>
              </w:rPr>
              <w:t>20</w:t>
            </w:r>
          </w:p>
        </w:tc>
        <w:tc>
          <w:tcPr>
            <w:tcW w:w="1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6CC2643" w14:textId="77777777" w:rsidR="004E120F" w:rsidRPr="008E1671" w:rsidRDefault="004E120F" w:rsidP="002D5185">
            <w:pPr>
              <w:pStyle w:val="BodyText"/>
              <w:spacing w:before="0" w:after="20" w:line="240" w:lineRule="auto"/>
              <w:ind w:left="85" w:right="85"/>
              <w:jc w:val="center"/>
              <w:rPr>
                <w:rFonts w:cs="Arial"/>
                <w:i/>
                <w:iCs/>
                <w:sz w:val="16"/>
                <w:szCs w:val="16"/>
              </w:rPr>
            </w:pPr>
            <w:r w:rsidRPr="008E1671">
              <w:rPr>
                <w:rFonts w:cs="Arial"/>
                <w:i/>
                <w:iCs/>
                <w:sz w:val="16"/>
                <w:szCs w:val="16"/>
              </w:rPr>
              <w:t>4</w:t>
            </w:r>
          </w:p>
        </w:tc>
      </w:tr>
    </w:tbl>
    <w:p w14:paraId="5B531CE8" w14:textId="4EEFA8A7" w:rsidR="004E120F" w:rsidRPr="005F6324" w:rsidRDefault="004E120F" w:rsidP="00F00A17">
      <w:pPr>
        <w:pStyle w:val="BodyText"/>
        <w:spacing w:before="0" w:after="0"/>
        <w:rPr>
          <w:rFonts w:eastAsiaTheme="minorHAnsi" w:cs="Arial"/>
          <w:sz w:val="16"/>
          <w:szCs w:val="16"/>
        </w:rPr>
      </w:pPr>
      <w:r w:rsidRPr="005F6324">
        <w:rPr>
          <w:rFonts w:eastAsiaTheme="minorHAnsi" w:cs="Arial"/>
          <w:sz w:val="16"/>
          <w:szCs w:val="16"/>
        </w:rPr>
        <w:t>Source: Data provided by the AER and ERA.</w:t>
      </w:r>
      <w:r w:rsidR="00ED5BE3">
        <w:rPr>
          <w:rFonts w:eastAsiaTheme="minorHAnsi" w:cs="Arial"/>
          <w:sz w:val="16"/>
          <w:szCs w:val="16"/>
        </w:rPr>
        <w:t xml:space="preserve"> </w:t>
      </w:r>
      <w:r w:rsidR="002D5185">
        <w:rPr>
          <w:rFonts w:eastAsiaTheme="minorHAnsi" w:cs="Arial"/>
          <w:sz w:val="16"/>
          <w:szCs w:val="16"/>
        </w:rPr>
        <w:t>For WA data see also Government of Western Australia Energy Policy WA, Cost recovery for the non-scheme gas pipeline regime Consultation Paper, 13 October 2020.</w:t>
      </w:r>
    </w:p>
    <w:p w14:paraId="1E88D42A" w14:textId="66BA2B39" w:rsidR="004E120F" w:rsidRPr="005F6324" w:rsidRDefault="009219AE" w:rsidP="00F00A17">
      <w:pPr>
        <w:pStyle w:val="BodyText"/>
        <w:numPr>
          <w:ilvl w:val="7"/>
          <w:numId w:val="8"/>
        </w:numPr>
        <w:spacing w:before="0" w:after="0" w:line="240" w:lineRule="auto"/>
        <w:ind w:left="357" w:hanging="357"/>
        <w:rPr>
          <w:rFonts w:eastAsiaTheme="minorHAnsi" w:cs="Arial"/>
          <w:sz w:val="16"/>
          <w:szCs w:val="16"/>
        </w:rPr>
      </w:pPr>
      <w:r>
        <w:rPr>
          <w:rFonts w:eastAsiaTheme="minorHAnsi" w:cs="Arial"/>
          <w:sz w:val="16"/>
          <w:szCs w:val="16"/>
        </w:rPr>
        <w:t xml:space="preserve">Of the </w:t>
      </w:r>
      <w:r w:rsidR="003E2737">
        <w:rPr>
          <w:rFonts w:eastAsiaTheme="minorHAnsi" w:cs="Arial"/>
          <w:sz w:val="16"/>
          <w:szCs w:val="16"/>
        </w:rPr>
        <w:t>118</w:t>
      </w:r>
      <w:r>
        <w:rPr>
          <w:rFonts w:eastAsiaTheme="minorHAnsi" w:cs="Arial"/>
          <w:sz w:val="16"/>
          <w:szCs w:val="16"/>
        </w:rPr>
        <w:t>.5 pipelines subject to Part 23</w:t>
      </w:r>
      <w:r w:rsidR="00381919">
        <w:rPr>
          <w:rFonts w:eastAsiaTheme="minorHAnsi" w:cs="Arial"/>
          <w:sz w:val="16"/>
          <w:szCs w:val="16"/>
        </w:rPr>
        <w:t>,</w:t>
      </w:r>
      <w:r>
        <w:rPr>
          <w:rFonts w:eastAsiaTheme="minorHAnsi" w:cs="Arial"/>
          <w:sz w:val="16"/>
          <w:szCs w:val="16"/>
        </w:rPr>
        <w:t xml:space="preserve"> </w:t>
      </w:r>
      <w:r w:rsidR="004E120F" w:rsidRPr="005F6324">
        <w:rPr>
          <w:rFonts w:eastAsiaTheme="minorHAnsi" w:cs="Arial"/>
          <w:sz w:val="16"/>
          <w:szCs w:val="16"/>
        </w:rPr>
        <w:t>4</w:t>
      </w:r>
      <w:r w:rsidR="005C392C">
        <w:rPr>
          <w:rFonts w:eastAsiaTheme="minorHAnsi" w:cs="Arial"/>
          <w:sz w:val="16"/>
          <w:szCs w:val="16"/>
        </w:rPr>
        <w:t>2</w:t>
      </w:r>
      <w:r w:rsidR="004E120F" w:rsidRPr="005F6324">
        <w:rPr>
          <w:rFonts w:eastAsiaTheme="minorHAnsi" w:cs="Arial"/>
          <w:sz w:val="16"/>
          <w:szCs w:val="16"/>
        </w:rPr>
        <w:t xml:space="preserve"> have obtained an exemption from publishing information because they are only supplying a single user </w:t>
      </w:r>
      <w:r>
        <w:rPr>
          <w:rFonts w:eastAsiaTheme="minorHAnsi" w:cs="Arial"/>
          <w:sz w:val="16"/>
          <w:szCs w:val="16"/>
        </w:rPr>
        <w:t>(</w:t>
      </w:r>
      <w:r w:rsidR="00381919">
        <w:rPr>
          <w:rFonts w:eastAsiaTheme="minorHAnsi" w:cs="Arial"/>
          <w:sz w:val="16"/>
          <w:szCs w:val="16"/>
        </w:rPr>
        <w:t>3</w:t>
      </w:r>
      <w:r w:rsidR="005C392C">
        <w:rPr>
          <w:rFonts w:eastAsiaTheme="minorHAnsi" w:cs="Arial"/>
          <w:sz w:val="16"/>
          <w:szCs w:val="16"/>
        </w:rPr>
        <w:t>6</w:t>
      </w:r>
      <w:r w:rsidR="00381919">
        <w:rPr>
          <w:rFonts w:eastAsiaTheme="minorHAnsi" w:cs="Arial"/>
          <w:sz w:val="16"/>
          <w:szCs w:val="16"/>
        </w:rPr>
        <w:t xml:space="preserve"> of these are transmission pipelines and six are distribution pipelines) </w:t>
      </w:r>
      <w:r w:rsidR="004E120F" w:rsidRPr="005F6324">
        <w:rPr>
          <w:rFonts w:eastAsiaTheme="minorHAnsi" w:cs="Arial"/>
          <w:sz w:val="16"/>
          <w:szCs w:val="16"/>
        </w:rPr>
        <w:t>and 23 have obtained an exemption from publishing some information because they fall below the size threshold</w:t>
      </w:r>
      <w:r w:rsidR="00381919">
        <w:rPr>
          <w:rFonts w:eastAsiaTheme="minorHAnsi" w:cs="Arial"/>
          <w:sz w:val="16"/>
          <w:szCs w:val="16"/>
        </w:rPr>
        <w:t xml:space="preserve"> (10 of these are transmission pipelines and 13 are distribution pipelines)</w:t>
      </w:r>
      <w:r w:rsidR="004E120F" w:rsidRPr="005F6324">
        <w:rPr>
          <w:rFonts w:eastAsiaTheme="minorHAnsi" w:cs="Arial"/>
          <w:sz w:val="16"/>
          <w:szCs w:val="16"/>
        </w:rPr>
        <w:t>.</w:t>
      </w:r>
    </w:p>
    <w:p w14:paraId="02401312" w14:textId="50105F5D" w:rsidR="00FF4AE6" w:rsidRDefault="00FF4AE6" w:rsidP="00F00A17">
      <w:pPr>
        <w:pStyle w:val="BodyText"/>
        <w:numPr>
          <w:ilvl w:val="7"/>
          <w:numId w:val="8"/>
        </w:numPr>
        <w:spacing w:before="0" w:after="0" w:line="240" w:lineRule="auto"/>
        <w:ind w:left="357" w:hanging="357"/>
        <w:rPr>
          <w:rFonts w:eastAsiaTheme="minorHAnsi" w:cs="Arial"/>
          <w:sz w:val="16"/>
          <w:szCs w:val="16"/>
        </w:rPr>
      </w:pPr>
      <w:r>
        <w:rPr>
          <w:rFonts w:eastAsiaTheme="minorHAnsi" w:cs="Arial"/>
          <w:sz w:val="16"/>
          <w:szCs w:val="16"/>
        </w:rPr>
        <w:t>These counts also include the four pipelines that have obtained a 15-year no coverage determination</w:t>
      </w:r>
      <w:r w:rsidR="00946B05">
        <w:rPr>
          <w:rFonts w:eastAsiaTheme="minorHAnsi" w:cs="Arial"/>
          <w:sz w:val="16"/>
          <w:szCs w:val="16"/>
        </w:rPr>
        <w:t xml:space="preserve">. Of the four, one is providing third party access and is subject to Part 23, while the other three are not currently providing access. </w:t>
      </w:r>
    </w:p>
    <w:p w14:paraId="56811443" w14:textId="68A2744C" w:rsidR="00F801ED" w:rsidRPr="005F6324" w:rsidRDefault="00DF68D6" w:rsidP="00F00A17">
      <w:pPr>
        <w:pStyle w:val="BodyText"/>
        <w:numPr>
          <w:ilvl w:val="7"/>
          <w:numId w:val="8"/>
        </w:numPr>
        <w:spacing w:before="0" w:after="0" w:line="240" w:lineRule="auto"/>
        <w:ind w:left="357" w:hanging="357"/>
        <w:rPr>
          <w:rFonts w:eastAsiaTheme="minorHAnsi" w:cs="Arial"/>
          <w:sz w:val="16"/>
          <w:szCs w:val="16"/>
        </w:rPr>
      </w:pPr>
      <w:r>
        <w:rPr>
          <w:rFonts w:eastAsiaTheme="minorHAnsi" w:cs="Arial"/>
          <w:sz w:val="16"/>
          <w:szCs w:val="16"/>
        </w:rPr>
        <w:t xml:space="preserve">The eastern Australian and NT pipeline numbers are measured as at 30 June 2019, while the WA pipeline numbers are measured as at 2020. </w:t>
      </w:r>
    </w:p>
    <w:p w14:paraId="6F285BC6" w14:textId="593D1273" w:rsidR="004E120F" w:rsidRPr="006B4639" w:rsidRDefault="004E120F" w:rsidP="002D5185">
      <w:pPr>
        <w:pStyle w:val="BodyText"/>
        <w:spacing w:after="60" w:line="247" w:lineRule="auto"/>
        <w:rPr>
          <w:rFonts w:eastAsiaTheme="minorHAnsi" w:cs="Arial"/>
        </w:rPr>
      </w:pPr>
      <w:r w:rsidRPr="006B4639">
        <w:rPr>
          <w:rFonts w:eastAsiaTheme="minorHAnsi" w:cs="Arial"/>
        </w:rPr>
        <w:t xml:space="preserve">As </w:t>
      </w:r>
      <w:r w:rsidR="00C670D4" w:rsidRPr="006B4639">
        <w:rPr>
          <w:rFonts w:eastAsiaTheme="minorHAnsi" w:cs="Arial"/>
        </w:rPr>
        <w:fldChar w:fldCharType="begin" w:fldLock="1"/>
      </w:r>
      <w:r w:rsidR="00C670D4" w:rsidRPr="006B4639">
        <w:rPr>
          <w:rFonts w:eastAsiaTheme="minorHAnsi" w:cs="Arial"/>
        </w:rPr>
        <w:instrText xml:space="preserve"> REF _Ref18851814 \h </w:instrText>
      </w:r>
      <w:r w:rsidR="00C670D4" w:rsidRPr="006B4639">
        <w:rPr>
          <w:rFonts w:eastAsiaTheme="minorHAnsi" w:cs="Arial"/>
        </w:rPr>
      </w:r>
      <w:r w:rsidR="00C670D4" w:rsidRPr="006B4639">
        <w:rPr>
          <w:rFonts w:eastAsiaTheme="minorHAnsi" w:cs="Arial"/>
        </w:rPr>
        <w:fldChar w:fldCharType="separate"/>
      </w:r>
      <w:r w:rsidR="00036405" w:rsidRPr="006B4639">
        <w:t xml:space="preserve">Table </w:t>
      </w:r>
      <w:r w:rsidR="00036405">
        <w:rPr>
          <w:noProof/>
        </w:rPr>
        <w:t>2</w:t>
      </w:r>
      <w:r w:rsidR="00036405">
        <w:t>.</w:t>
      </w:r>
      <w:r w:rsidR="00036405">
        <w:rPr>
          <w:noProof/>
        </w:rPr>
        <w:t>1</w:t>
      </w:r>
      <w:r w:rsidR="00C670D4" w:rsidRPr="006B4639">
        <w:rPr>
          <w:rFonts w:eastAsiaTheme="minorHAnsi" w:cs="Arial"/>
        </w:rPr>
        <w:fldChar w:fldCharType="end"/>
      </w:r>
      <w:r w:rsidR="00C670D4">
        <w:rPr>
          <w:rFonts w:eastAsiaTheme="minorHAnsi" w:cs="Arial"/>
        </w:rPr>
        <w:t xml:space="preserve"> </w:t>
      </w:r>
      <w:r w:rsidRPr="006B4639">
        <w:rPr>
          <w:rFonts w:eastAsiaTheme="minorHAnsi" w:cs="Arial"/>
        </w:rPr>
        <w:t>shows, there are currently:</w:t>
      </w:r>
    </w:p>
    <w:p w14:paraId="7A55AAA6" w14:textId="306A7D7A" w:rsidR="004E120F" w:rsidRPr="006B4639" w:rsidRDefault="004E120F" w:rsidP="002D5185">
      <w:pPr>
        <w:pStyle w:val="ListBullet"/>
        <w:spacing w:before="60" w:after="60" w:line="247" w:lineRule="auto"/>
        <w:ind w:left="357" w:hanging="357"/>
      </w:pPr>
      <w:r w:rsidRPr="006B4639">
        <w:t>5 transmission pipelines and 8 distribution pipelines subject to full regulation;</w:t>
      </w:r>
      <w:r w:rsidR="00370905">
        <w:rPr>
          <w:rFonts w:ascii="ZWAdobeF" w:hAnsi="ZWAdobeF" w:cs="ZWAdobeF"/>
          <w:sz w:val="2"/>
          <w:szCs w:val="2"/>
        </w:rPr>
        <w:t>62F</w:t>
      </w:r>
      <w:r w:rsidRPr="006B4639">
        <w:rPr>
          <w:rStyle w:val="FootnoteReference"/>
        </w:rPr>
        <w:footnoteReference w:id="64"/>
      </w:r>
      <w:r w:rsidRPr="006B4639">
        <w:t xml:space="preserve"> </w:t>
      </w:r>
      <w:r>
        <w:t>and</w:t>
      </w:r>
    </w:p>
    <w:p w14:paraId="43808C7A" w14:textId="005C829F" w:rsidR="004E120F" w:rsidRDefault="004E120F" w:rsidP="002D5185">
      <w:pPr>
        <w:pStyle w:val="ListBullet"/>
        <w:spacing w:before="60" w:after="60" w:line="247" w:lineRule="auto"/>
        <w:ind w:left="357" w:hanging="357"/>
      </w:pPr>
      <w:r w:rsidRPr="006B4639">
        <w:t>3.5 transmission pipelines and 2 distribution pipelines subject to light regulation</w:t>
      </w:r>
      <w:r>
        <w:t>.</w:t>
      </w:r>
      <w:r w:rsidR="00370905">
        <w:rPr>
          <w:rFonts w:ascii="ZWAdobeF" w:hAnsi="ZWAdobeF" w:cs="ZWAdobeF"/>
          <w:sz w:val="2"/>
          <w:szCs w:val="2"/>
        </w:rPr>
        <w:t>63F</w:t>
      </w:r>
      <w:r w:rsidRPr="006B4639">
        <w:rPr>
          <w:rStyle w:val="FootnoteReference"/>
        </w:rPr>
        <w:footnoteReference w:id="65"/>
      </w:r>
      <w:r w:rsidRPr="006B4639">
        <w:t xml:space="preserve"> </w:t>
      </w:r>
    </w:p>
    <w:p w14:paraId="359A0CFF" w14:textId="780BC44E" w:rsidR="004E120F" w:rsidRDefault="004E120F" w:rsidP="002D5185">
      <w:pPr>
        <w:pStyle w:val="BodyText"/>
        <w:spacing w:before="120" w:line="247" w:lineRule="auto"/>
        <w:rPr>
          <w:rFonts w:eastAsiaTheme="minorHAnsi" w:cs="Arial"/>
        </w:rPr>
      </w:pPr>
      <w:r w:rsidRPr="006B4639">
        <w:rPr>
          <w:rFonts w:eastAsiaTheme="minorHAnsi" w:cs="Arial"/>
        </w:rPr>
        <w:t>With the exception of the Northern Gas Pipeline,</w:t>
      </w:r>
      <w:r w:rsidR="00370905">
        <w:rPr>
          <w:rFonts w:ascii="ZWAdobeF" w:eastAsiaTheme="minorHAnsi" w:hAnsi="ZWAdobeF" w:cs="ZWAdobeF"/>
          <w:sz w:val="2"/>
          <w:szCs w:val="2"/>
        </w:rPr>
        <w:t>64F</w:t>
      </w:r>
      <w:r w:rsidRPr="006B4639">
        <w:rPr>
          <w:rStyle w:val="FootnoteReference"/>
          <w:rFonts w:eastAsiaTheme="minorHAnsi" w:cs="Arial"/>
        </w:rPr>
        <w:footnoteReference w:id="66"/>
      </w:r>
      <w:r w:rsidRPr="006B4639">
        <w:rPr>
          <w:rFonts w:eastAsiaTheme="minorHAnsi" w:cs="Arial"/>
        </w:rPr>
        <w:t xml:space="preserve"> all other transmission and distribution pipelines in Australia that are providing third party access are subject to Part 23. This includes a number of major transmission pipelines, such as the South West Queensland Pipeline, the Eastern Gas Pipeline, the Moomba to Sydney Pipeline (between Moomba and Marsden), the Port Campbell to Adelaide Pipeline, the Moomba to Adelaide Pipeline System, the Tasmanian Gas Pipeline and the Queensland Gas Pipeline. </w:t>
      </w:r>
    </w:p>
    <w:p w14:paraId="71F162F5" w14:textId="64D57038" w:rsidR="004E120F" w:rsidRDefault="004E120F" w:rsidP="002D5185">
      <w:pPr>
        <w:pStyle w:val="BodyText"/>
        <w:spacing w:before="120" w:after="0" w:line="247" w:lineRule="auto"/>
      </w:pPr>
      <w:bookmarkStart w:id="62" w:name="_Hlk14843751"/>
      <w:r>
        <w:t>Of the 5</w:t>
      </w:r>
      <w:r w:rsidR="00F00A17">
        <w:t>6</w:t>
      </w:r>
      <w:r>
        <w:t xml:space="preserve"> pipelines </w:t>
      </w:r>
      <w:r w:rsidRPr="006B4639">
        <w:t xml:space="preserve">that are </w:t>
      </w:r>
      <w:r w:rsidRPr="003F58AC">
        <w:rPr>
          <w:b/>
          <w:bCs/>
        </w:rPr>
        <w:t>not</w:t>
      </w:r>
      <w:r w:rsidRPr="006B4639">
        <w:t xml:space="preserve"> </w:t>
      </w:r>
      <w:r>
        <w:t xml:space="preserve">currently </w:t>
      </w:r>
      <w:r w:rsidRPr="006B4639">
        <w:t>providing third party access</w:t>
      </w:r>
      <w:r>
        <w:t xml:space="preserve"> and are not therefore subject to any form of regulation, </w:t>
      </w:r>
      <w:r w:rsidR="008E1671">
        <w:t>5</w:t>
      </w:r>
      <w:r w:rsidR="00F00A17">
        <w:t>2</w:t>
      </w:r>
      <w:r w:rsidR="008E1671">
        <w:t xml:space="preserve"> </w:t>
      </w:r>
      <w:r>
        <w:t xml:space="preserve">are </w:t>
      </w:r>
      <w:r w:rsidRPr="006B4639">
        <w:t xml:space="preserve">dedicated </w:t>
      </w:r>
      <w:r>
        <w:t xml:space="preserve">transmission </w:t>
      </w:r>
      <w:r w:rsidRPr="006B4639">
        <w:t>pipelines owned and operated by gas producers</w:t>
      </w:r>
      <w:r>
        <w:t>, gas fired generators, mining companies</w:t>
      </w:r>
      <w:r w:rsidR="008E1671">
        <w:t>,</w:t>
      </w:r>
      <w:r>
        <w:t xml:space="preserve"> LNG producers</w:t>
      </w:r>
      <w:r w:rsidR="008E1671">
        <w:t xml:space="preserve"> and storage facility operators</w:t>
      </w:r>
      <w:r>
        <w:t xml:space="preserve">. There are also </w:t>
      </w:r>
      <w:r w:rsidR="008E1671">
        <w:t xml:space="preserve">four </w:t>
      </w:r>
      <w:r>
        <w:t xml:space="preserve">distribution pipelines, two of which are owned by regional councils in Queensland, one is owned by a generator in Esperance and one is used to supply the joint defence facility at Pine Gap. </w:t>
      </w:r>
    </w:p>
    <w:bookmarkEnd w:id="62"/>
    <w:p w14:paraId="546E466A" w14:textId="77777777" w:rsidR="004E120F" w:rsidRPr="006B4639" w:rsidRDefault="004E120F" w:rsidP="002D5185">
      <w:pPr>
        <w:pStyle w:val="BodyText"/>
        <w:spacing w:line="247" w:lineRule="auto"/>
        <w:rPr>
          <w:rFonts w:cs="Gotham Light"/>
          <w:color w:val="000000"/>
        </w:rPr>
        <w:sectPr w:rsidR="004E120F" w:rsidRPr="006B4639" w:rsidSect="00B759D9">
          <w:headerReference w:type="default" r:id="rId25"/>
          <w:footerReference w:type="default" r:id="rId26"/>
          <w:pgSz w:w="11907" w:h="16839" w:code="9"/>
          <w:pgMar w:top="1361" w:right="1418" w:bottom="992" w:left="1701" w:header="567" w:footer="397" w:gutter="0"/>
          <w:cols w:space="708"/>
          <w:docGrid w:linePitch="360"/>
        </w:sectPr>
      </w:pPr>
    </w:p>
    <w:p w14:paraId="259042A0" w14:textId="590C33D7" w:rsidR="009F5064" w:rsidRPr="006B4639" w:rsidRDefault="009F5064" w:rsidP="009F5064">
      <w:pPr>
        <w:pStyle w:val="Caption"/>
        <w:keepNext w:val="0"/>
        <w:keepLines w:val="0"/>
        <w:spacing w:before="0" w:after="0"/>
      </w:pPr>
      <w:r w:rsidRPr="006B4639">
        <w:lastRenderedPageBreak/>
        <w:t xml:space="preserve">Figure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2</w:t>
      </w:r>
      <w:r w:rsidR="00F323B2">
        <w:rPr>
          <w:noProof/>
        </w:rPr>
        <w:fldChar w:fldCharType="end"/>
      </w:r>
      <w:r w:rsidR="001B5C8A">
        <w:t>.</w:t>
      </w:r>
      <w:r w:rsidR="00F323B2">
        <w:rPr>
          <w:noProof/>
        </w:rPr>
        <w:fldChar w:fldCharType="begin"/>
      </w:r>
      <w:r w:rsidR="00F323B2">
        <w:rPr>
          <w:noProof/>
        </w:rPr>
        <w:instrText xml:space="preserve"> SEQ Figure \* ARABIC \s 1 </w:instrText>
      </w:r>
      <w:r w:rsidR="00F323B2">
        <w:rPr>
          <w:noProof/>
        </w:rPr>
        <w:fldChar w:fldCharType="separate"/>
      </w:r>
      <w:r w:rsidR="004031E8">
        <w:rPr>
          <w:noProof/>
        </w:rPr>
        <w:t>3</w:t>
      </w:r>
      <w:r w:rsidR="00F323B2">
        <w:rPr>
          <w:noProof/>
        </w:rPr>
        <w:fldChar w:fldCharType="end"/>
      </w:r>
      <w:r w:rsidRPr="006B4639">
        <w:t>: Regulatory status of major gas pipelines in Australia</w:t>
      </w:r>
    </w:p>
    <w:p w14:paraId="2A58C01B" w14:textId="77777777" w:rsidR="009F5064" w:rsidRPr="006B4639" w:rsidRDefault="009F5064" w:rsidP="009F5064">
      <w:pPr>
        <w:pStyle w:val="BodyText"/>
        <w:spacing w:before="0" w:after="0" w:line="240" w:lineRule="auto"/>
        <w:rPr>
          <w:lang w:eastAsia="fr-CA"/>
        </w:rPr>
      </w:pPr>
      <w:r w:rsidRPr="006B4639">
        <w:rPr>
          <w:noProof/>
        </w:rPr>
        <w:drawing>
          <wp:inline distT="0" distB="0" distL="0" distR="0" wp14:anchorId="094B2D3A" wp14:editId="2412C604">
            <wp:extent cx="8429812" cy="5959853"/>
            <wp:effectExtent l="0" t="0" r="0" b="3175"/>
            <wp:docPr id="34" name="Picture 34" descr="P8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820#yI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31703" cy="5961190"/>
                    </a:xfrm>
                    <a:prstGeom prst="rect">
                      <a:avLst/>
                    </a:prstGeom>
                  </pic:spPr>
                </pic:pic>
              </a:graphicData>
            </a:graphic>
          </wp:inline>
        </w:drawing>
      </w:r>
    </w:p>
    <w:p w14:paraId="29CE8654" w14:textId="77777777" w:rsidR="009F5064" w:rsidRPr="006B4639" w:rsidRDefault="009F5064" w:rsidP="009F5064">
      <w:pPr>
        <w:pStyle w:val="BodyText"/>
        <w:spacing w:before="0" w:after="0"/>
        <w:rPr>
          <w:rFonts w:cs="Gotham Light"/>
          <w:color w:val="000000"/>
          <w:sz w:val="16"/>
          <w:szCs w:val="16"/>
        </w:rPr>
        <w:sectPr w:rsidR="009F5064" w:rsidRPr="006B4639" w:rsidSect="00795317">
          <w:pgSz w:w="16839" w:h="11907" w:orient="landscape" w:code="9"/>
          <w:pgMar w:top="1135" w:right="1418" w:bottom="851" w:left="1701" w:header="567" w:footer="397" w:gutter="0"/>
          <w:cols w:space="708"/>
          <w:docGrid w:linePitch="360"/>
        </w:sectPr>
      </w:pPr>
      <w:r w:rsidRPr="006B4639">
        <w:rPr>
          <w:rFonts w:cs="Gotham Light"/>
          <w:color w:val="000000"/>
          <w:sz w:val="16"/>
          <w:szCs w:val="16"/>
        </w:rPr>
        <w:t>Source: AEMC.</w:t>
      </w:r>
    </w:p>
    <w:p w14:paraId="73041908" w14:textId="77777777" w:rsidR="00044484" w:rsidRPr="006B4639" w:rsidRDefault="00631C23" w:rsidP="00C803D3">
      <w:pPr>
        <w:pStyle w:val="Heading2"/>
        <w:spacing w:before="0" w:after="120"/>
        <w:rPr>
          <w:rFonts w:eastAsiaTheme="minorHAnsi"/>
        </w:rPr>
      </w:pPr>
      <w:r>
        <w:rPr>
          <w:rFonts w:eastAsiaTheme="minorHAnsi"/>
        </w:rPr>
        <w:lastRenderedPageBreak/>
        <w:t xml:space="preserve"> </w:t>
      </w:r>
      <w:bookmarkStart w:id="63" w:name="_Ref59965347"/>
      <w:bookmarkStart w:id="64" w:name="_Toc62219399"/>
      <w:r w:rsidR="001F0F6C">
        <w:rPr>
          <w:rFonts w:eastAsiaTheme="minorHAnsi"/>
        </w:rPr>
        <w:t xml:space="preserve">How are </w:t>
      </w:r>
      <w:r w:rsidR="00E83F7D" w:rsidRPr="006B4639">
        <w:rPr>
          <w:rFonts w:eastAsiaTheme="minorHAnsi"/>
        </w:rPr>
        <w:t xml:space="preserve">gas pipelines </w:t>
      </w:r>
      <w:r w:rsidR="001F0F6C">
        <w:rPr>
          <w:rFonts w:eastAsiaTheme="minorHAnsi"/>
        </w:rPr>
        <w:t xml:space="preserve">regulated </w:t>
      </w:r>
      <w:r w:rsidR="00044484" w:rsidRPr="006B4639">
        <w:rPr>
          <w:rFonts w:eastAsiaTheme="minorHAnsi"/>
        </w:rPr>
        <w:t>in other jurisdictions</w:t>
      </w:r>
      <w:r w:rsidR="001F0F6C">
        <w:rPr>
          <w:rFonts w:eastAsiaTheme="minorHAnsi"/>
        </w:rPr>
        <w:t>?</w:t>
      </w:r>
      <w:bookmarkEnd w:id="63"/>
      <w:bookmarkEnd w:id="64"/>
      <w:r w:rsidR="00044484" w:rsidRPr="006B4639">
        <w:rPr>
          <w:rFonts w:eastAsiaTheme="minorHAnsi"/>
        </w:rPr>
        <w:t xml:space="preserve"> </w:t>
      </w:r>
    </w:p>
    <w:p w14:paraId="7F4143E9" w14:textId="1E7FC562" w:rsidR="00913BF6" w:rsidRDefault="00CE3872" w:rsidP="00602180">
      <w:pPr>
        <w:pStyle w:val="BodyText"/>
        <w:spacing w:before="120" w:line="252" w:lineRule="auto"/>
      </w:pPr>
      <w:r w:rsidRPr="006B4639">
        <w:fldChar w:fldCharType="begin" w:fldLock="1"/>
      </w:r>
      <w:r w:rsidRPr="006B4639">
        <w:instrText xml:space="preserve"> REF _Ref13993792 \h </w:instrText>
      </w:r>
      <w:r w:rsidRPr="006B4639">
        <w:fldChar w:fldCharType="separate"/>
      </w:r>
      <w:r w:rsidR="00036405" w:rsidRPr="006B4639">
        <w:t xml:space="preserve">Table </w:t>
      </w:r>
      <w:r w:rsidR="00036405">
        <w:rPr>
          <w:noProof/>
        </w:rPr>
        <w:t>2</w:t>
      </w:r>
      <w:r w:rsidR="00036405">
        <w:t>.</w:t>
      </w:r>
      <w:r w:rsidR="00036405">
        <w:rPr>
          <w:noProof/>
        </w:rPr>
        <w:t>2</w:t>
      </w:r>
      <w:r w:rsidRPr="006B4639">
        <w:fldChar w:fldCharType="end"/>
      </w:r>
      <w:r>
        <w:t xml:space="preserve"> provides a summary of the </w:t>
      </w:r>
      <w:r w:rsidR="004C17A2">
        <w:t xml:space="preserve">way in which gas pipelines are currently regulated in </w:t>
      </w:r>
      <w:r w:rsidR="00C44C3D">
        <w:t xml:space="preserve">Australia, </w:t>
      </w:r>
      <w:r w:rsidR="00C432AB" w:rsidRPr="006B4639">
        <w:t>New Zealand, the United States, Canada, the European Union and Great Britain</w:t>
      </w:r>
      <w:r w:rsidR="004C17A2">
        <w:t xml:space="preserve">, with </w:t>
      </w:r>
      <w:r w:rsidR="00166296" w:rsidRPr="006B4639">
        <w:t xml:space="preserve">particular emphasis placed on what is regulated </w:t>
      </w:r>
      <w:r w:rsidR="00C432AB" w:rsidRPr="006B4639">
        <w:t xml:space="preserve">and the way in which </w:t>
      </w:r>
      <w:r w:rsidR="00E42A8B">
        <w:t xml:space="preserve">static and dynamic market power </w:t>
      </w:r>
      <w:r w:rsidR="00C432AB" w:rsidRPr="006B4639">
        <w:t>are dealt with</w:t>
      </w:r>
      <w:r w:rsidR="00166296" w:rsidRPr="006B4639">
        <w:t xml:space="preserve"> in each of these jurisdictions</w:t>
      </w:r>
      <w:r w:rsidR="00913BF6" w:rsidRPr="006B4639">
        <w:t xml:space="preserve">. </w:t>
      </w:r>
    </w:p>
    <w:p w14:paraId="05D7332A" w14:textId="77777777" w:rsidR="00D035C6" w:rsidRDefault="00AA5760" w:rsidP="00602180">
      <w:pPr>
        <w:pStyle w:val="BodyText"/>
        <w:spacing w:line="252" w:lineRule="auto"/>
      </w:pPr>
      <w:r>
        <w:t xml:space="preserve">As this table highlights, </w:t>
      </w:r>
      <w:r w:rsidR="00FE5905">
        <w:t xml:space="preserve">there are some </w:t>
      </w:r>
      <w:r w:rsidR="00D035C6">
        <w:t xml:space="preserve">differences </w:t>
      </w:r>
      <w:r w:rsidR="00FE5905">
        <w:t xml:space="preserve">between the </w:t>
      </w:r>
      <w:r w:rsidR="00530D12">
        <w:t xml:space="preserve">regulatory frameworks </w:t>
      </w:r>
      <w:r w:rsidR="00FE5905">
        <w:t xml:space="preserve">that have </w:t>
      </w:r>
      <w:r w:rsidR="00D035C6">
        <w:t>been implemented in each of these jurisdictions</w:t>
      </w:r>
      <w:r w:rsidR="00E109A2">
        <w:t>. T</w:t>
      </w:r>
      <w:r w:rsidR="00C17095">
        <w:t>he</w:t>
      </w:r>
      <w:r w:rsidR="00EB2A09">
        <w:t xml:space="preserve"> </w:t>
      </w:r>
      <w:r w:rsidR="006E43A3">
        <w:t xml:space="preserve">degree </w:t>
      </w:r>
      <w:r w:rsidR="00EB2A09">
        <w:t xml:space="preserve">of intervention by the regulator </w:t>
      </w:r>
      <w:r w:rsidR="006776FF">
        <w:t xml:space="preserve">to </w:t>
      </w:r>
      <w:r w:rsidR="002C2087">
        <w:t xml:space="preserve">address </w:t>
      </w:r>
      <w:r w:rsidR="006776FF">
        <w:t xml:space="preserve">static market power </w:t>
      </w:r>
      <w:r w:rsidR="00E109A2">
        <w:t xml:space="preserve">is, for example, </w:t>
      </w:r>
      <w:r w:rsidR="00590372">
        <w:t xml:space="preserve">far greater </w:t>
      </w:r>
      <w:r w:rsidR="001E438C">
        <w:t xml:space="preserve">in the </w:t>
      </w:r>
      <w:r w:rsidR="00C44C3D">
        <w:t xml:space="preserve">European Union </w:t>
      </w:r>
      <w:r w:rsidR="001E438C">
        <w:t xml:space="preserve">and </w:t>
      </w:r>
      <w:r w:rsidR="00C44C3D">
        <w:t>Great Britain</w:t>
      </w:r>
      <w:r w:rsidR="00F457A2">
        <w:t>,</w:t>
      </w:r>
      <w:r w:rsidR="00C44C3D">
        <w:t xml:space="preserve"> </w:t>
      </w:r>
      <w:r w:rsidR="00F457A2">
        <w:t xml:space="preserve">with </w:t>
      </w:r>
      <w:r w:rsidR="00E109A2">
        <w:t xml:space="preserve">prices </w:t>
      </w:r>
      <w:r w:rsidR="006E43A3">
        <w:t xml:space="preserve">and </w:t>
      </w:r>
      <w:r w:rsidR="00F457A2">
        <w:t xml:space="preserve">other </w:t>
      </w:r>
      <w:r w:rsidR="006E43A3">
        <w:t xml:space="preserve">terms and conditions of access </w:t>
      </w:r>
      <w:r w:rsidR="00E109A2">
        <w:t>determined by the regulator</w:t>
      </w:r>
      <w:r w:rsidR="00F457A2">
        <w:t xml:space="preserve"> and applied to all users</w:t>
      </w:r>
      <w:r w:rsidR="00AE0550">
        <w:t xml:space="preserve">, while in the </w:t>
      </w:r>
      <w:r w:rsidR="00310469">
        <w:t>US</w:t>
      </w:r>
      <w:r w:rsidR="000120B1">
        <w:t>,</w:t>
      </w:r>
      <w:r w:rsidR="00310469">
        <w:t xml:space="preserve"> Canada</w:t>
      </w:r>
      <w:r w:rsidR="000120B1">
        <w:t xml:space="preserve"> and New Zealand</w:t>
      </w:r>
      <w:r w:rsidR="00B20E60">
        <w:t xml:space="preserve">, </w:t>
      </w:r>
      <w:r w:rsidR="00AE0550">
        <w:t xml:space="preserve">there is regulatory oversight but </w:t>
      </w:r>
      <w:r w:rsidR="00104E01">
        <w:t xml:space="preserve">contracting parties </w:t>
      </w:r>
      <w:r w:rsidR="00AE0550">
        <w:t xml:space="preserve">are able to </w:t>
      </w:r>
      <w:r w:rsidR="0018417E">
        <w:t xml:space="preserve">negotiate different </w:t>
      </w:r>
      <w:r w:rsidR="00104E01">
        <w:t xml:space="preserve">prices and </w:t>
      </w:r>
      <w:r w:rsidR="001E2A5F">
        <w:t xml:space="preserve">other </w:t>
      </w:r>
      <w:r w:rsidR="00104E01">
        <w:t>conditions</w:t>
      </w:r>
      <w:r w:rsidR="000120B1">
        <w:t xml:space="preserve">. </w:t>
      </w:r>
      <w:r w:rsidR="001E2A5F">
        <w:t xml:space="preserve">There are also differences </w:t>
      </w:r>
      <w:r w:rsidR="00B61258">
        <w:t xml:space="preserve">in the </w:t>
      </w:r>
      <w:r w:rsidR="00EE31B8">
        <w:t xml:space="preserve">emphasis placed on addressing </w:t>
      </w:r>
      <w:r w:rsidR="00B61258">
        <w:t xml:space="preserve">dynamic market power in each jurisdiction, with </w:t>
      </w:r>
      <w:r w:rsidR="00161A2D">
        <w:t xml:space="preserve">regulators in </w:t>
      </w:r>
      <w:r w:rsidR="00DB3C17">
        <w:t xml:space="preserve">the US and Canada </w:t>
      </w:r>
      <w:r w:rsidR="00161A2D">
        <w:t xml:space="preserve">placing greater emphasis on this, than regulators in the </w:t>
      </w:r>
      <w:r w:rsidR="00604933">
        <w:t>European Union</w:t>
      </w:r>
      <w:r w:rsidR="005A1AB7">
        <w:t>, Great Britain</w:t>
      </w:r>
      <w:r w:rsidR="00604933">
        <w:t xml:space="preserve"> </w:t>
      </w:r>
      <w:r w:rsidR="00161A2D">
        <w:t xml:space="preserve">and New Zealand. </w:t>
      </w:r>
    </w:p>
    <w:p w14:paraId="2BD28CEE" w14:textId="77777777" w:rsidR="00F74086" w:rsidRPr="006B4639" w:rsidRDefault="001F21FC" w:rsidP="00602180">
      <w:pPr>
        <w:pStyle w:val="BodyText"/>
        <w:spacing w:line="252" w:lineRule="auto"/>
      </w:pPr>
      <w:bookmarkStart w:id="65" w:name="_Ref13996960"/>
      <w:r>
        <w:t xml:space="preserve">The other </w:t>
      </w:r>
      <w:r w:rsidR="00C35FB3">
        <w:t xml:space="preserve">interesting </w:t>
      </w:r>
      <w:r>
        <w:t xml:space="preserve">point to note from this table is </w:t>
      </w:r>
      <w:r w:rsidR="00E51E49">
        <w:t>how pipelines have become regulated in these jurisdictions</w:t>
      </w:r>
      <w:r w:rsidR="009E63F4">
        <w:t xml:space="preserve">, with most pipelines becoming regulated </w:t>
      </w:r>
      <w:r w:rsidR="00F74086" w:rsidRPr="006B4639">
        <w:t>by default through sector specific legislation</w:t>
      </w:r>
      <w:r w:rsidR="00604933">
        <w:t>,</w:t>
      </w:r>
      <w:r w:rsidR="00F74086" w:rsidRPr="006B4639">
        <w:t xml:space="preserve"> rather than through </w:t>
      </w:r>
      <w:r w:rsidR="009E63F4">
        <w:t xml:space="preserve">the application of a </w:t>
      </w:r>
      <w:r w:rsidR="00F74086" w:rsidRPr="006B4639">
        <w:t>test</w:t>
      </w:r>
      <w:r w:rsidR="009E63F4">
        <w:t xml:space="preserve">, which was the case in Australia </w:t>
      </w:r>
      <w:r w:rsidR="00CE7591">
        <w:t>prior to the implementation of Part 23</w:t>
      </w:r>
      <w:r w:rsidR="00F74086" w:rsidRPr="006B4639">
        <w:t xml:space="preserve">. While exemptions </w:t>
      </w:r>
      <w:r w:rsidR="00CE7591">
        <w:t xml:space="preserve">from regulation </w:t>
      </w:r>
      <w:r w:rsidR="00F74086" w:rsidRPr="006B4639">
        <w:t xml:space="preserve">are available in some jurisdictions </w:t>
      </w:r>
      <w:r w:rsidR="00A10643">
        <w:t xml:space="preserve">where it </w:t>
      </w:r>
      <w:r w:rsidR="00CE7591">
        <w:t xml:space="preserve">can be </w:t>
      </w:r>
      <w:r w:rsidR="00A10643">
        <w:t xml:space="preserve">shown that </w:t>
      </w:r>
      <w:r w:rsidR="00CE7591">
        <w:t xml:space="preserve">the pipeline </w:t>
      </w:r>
      <w:r w:rsidR="00A10643">
        <w:t xml:space="preserve">lacks </w:t>
      </w:r>
      <w:r w:rsidR="00CE7591">
        <w:t>market power</w:t>
      </w:r>
      <w:r w:rsidR="00F74086" w:rsidRPr="006B4639">
        <w:t>, there are</w:t>
      </w:r>
      <w:r w:rsidR="00604933">
        <w:t>, as noted above,</w:t>
      </w:r>
      <w:r w:rsidR="00F74086" w:rsidRPr="006B4639">
        <w:t xml:space="preserve"> few, if any, examples of major transmission pipelines becoming unregulated because they </w:t>
      </w:r>
      <w:r w:rsidR="00A64306">
        <w:t xml:space="preserve">lack </w:t>
      </w:r>
      <w:r w:rsidR="00F74086" w:rsidRPr="006B4639">
        <w:t xml:space="preserve">market power. </w:t>
      </w:r>
    </w:p>
    <w:bookmarkEnd w:id="65"/>
    <w:p w14:paraId="4775428E" w14:textId="77777777" w:rsidR="004122BD" w:rsidRPr="006B4639" w:rsidRDefault="004122BD" w:rsidP="004122BD">
      <w:pPr>
        <w:pStyle w:val="BodyText"/>
        <w:spacing w:line="252" w:lineRule="auto"/>
      </w:pPr>
      <w:r>
        <w:t xml:space="preserve">Other notable differences between the regulatory frameworks employed in these jurisdictions and the framework employed in Australia </w:t>
      </w:r>
      <w:r w:rsidRPr="006B4639">
        <w:t>are that:</w:t>
      </w:r>
    </w:p>
    <w:p w14:paraId="78870EFC" w14:textId="7676ED87" w:rsidR="004122BD" w:rsidRPr="006B4639" w:rsidRDefault="004122BD" w:rsidP="00AD36B8">
      <w:pPr>
        <w:pStyle w:val="ListBullet"/>
      </w:pPr>
      <w:r w:rsidRPr="006B4639">
        <w:t xml:space="preserve">There is </w:t>
      </w:r>
      <w:r>
        <w:t xml:space="preserve">no </w:t>
      </w:r>
      <w:r w:rsidRPr="006B4639">
        <w:t xml:space="preserve">test for ‘third party access’ in other jurisdictions, because pipelines are generally already vertically separated and sector specific regulation applies. </w:t>
      </w:r>
      <w:r>
        <w:t xml:space="preserve">On interstate pipelines in the </w:t>
      </w:r>
      <w:r w:rsidRPr="006B4639">
        <w:t>US</w:t>
      </w:r>
      <w:r w:rsidR="00370905">
        <w:rPr>
          <w:rFonts w:ascii="ZWAdobeF" w:hAnsi="ZWAdobeF" w:cs="ZWAdobeF"/>
          <w:sz w:val="2"/>
          <w:szCs w:val="2"/>
        </w:rPr>
        <w:t>65F</w:t>
      </w:r>
      <w:r>
        <w:rPr>
          <w:rStyle w:val="FootnoteReference"/>
        </w:rPr>
        <w:footnoteReference w:id="67"/>
      </w:r>
      <w:r w:rsidRPr="006B4639">
        <w:t xml:space="preserve"> and Canada, third party access on non-discriminatory terms is also mandated</w:t>
      </w:r>
      <w:r>
        <w:t xml:space="preserve"> (see </w:t>
      </w:r>
      <w:r>
        <w:fldChar w:fldCharType="begin" w:fldLock="1"/>
      </w:r>
      <w:r>
        <w:instrText xml:space="preserve"> REF _Ref15225867 \h </w:instrText>
      </w:r>
      <w:r>
        <w:fldChar w:fldCharType="separate"/>
      </w:r>
      <w:r w:rsidR="00036405" w:rsidRPr="006B4639">
        <w:t xml:space="preserve">Box </w:t>
      </w:r>
      <w:r w:rsidR="00036405">
        <w:rPr>
          <w:noProof/>
        </w:rPr>
        <w:t>2</w:t>
      </w:r>
      <w:r w:rsidR="00036405">
        <w:t>.</w:t>
      </w:r>
      <w:r w:rsidR="00036405">
        <w:rPr>
          <w:noProof/>
        </w:rPr>
        <w:t>6</w:t>
      </w:r>
      <w:r>
        <w:fldChar w:fldCharType="end"/>
      </w:r>
      <w:r>
        <w:t>)</w:t>
      </w:r>
      <w:r w:rsidRPr="006B4639">
        <w:t xml:space="preserve">. </w:t>
      </w:r>
    </w:p>
    <w:p w14:paraId="7056CBBC" w14:textId="77777777" w:rsidR="004122BD" w:rsidRPr="006B4639" w:rsidRDefault="004122BD" w:rsidP="00AD36B8">
      <w:pPr>
        <w:pStyle w:val="ListBullet"/>
      </w:pPr>
      <w:r>
        <w:t>T</w:t>
      </w:r>
      <w:r w:rsidRPr="006B4639">
        <w:t>he prices for all primary capacity services are typically regulated (</w:t>
      </w:r>
      <w:r>
        <w:t xml:space="preserve">e.g. with the regulator directly setting prices or reference tariffs, or approving a </w:t>
      </w:r>
      <w:r w:rsidRPr="006B4639">
        <w:t>revenue cap) and access is generally provided on non-discriminatory terms, which is achieved by either:</w:t>
      </w:r>
    </w:p>
    <w:p w14:paraId="4CD2E49B" w14:textId="77777777" w:rsidR="004122BD" w:rsidRPr="006B4639" w:rsidRDefault="004122BD" w:rsidP="00AD36B8">
      <w:pPr>
        <w:pStyle w:val="ListBullet2"/>
      </w:pPr>
      <w:r>
        <w:t xml:space="preserve">the regulator </w:t>
      </w:r>
      <w:r w:rsidRPr="006B4639">
        <w:t xml:space="preserve">directly controlling prices and requiring all gas to be transported </w:t>
      </w:r>
      <w:r>
        <w:t xml:space="preserve">at the same price and </w:t>
      </w:r>
      <w:r w:rsidRPr="006B4639">
        <w:t>on the same terms (</w:t>
      </w:r>
      <w:r>
        <w:t>Great Britain and the European Union</w:t>
      </w:r>
      <w:r w:rsidRPr="006B4639">
        <w:t>)</w:t>
      </w:r>
      <w:r>
        <w:t>;</w:t>
      </w:r>
      <w:r w:rsidRPr="006B4639">
        <w:t xml:space="preserve"> or</w:t>
      </w:r>
    </w:p>
    <w:p w14:paraId="5198EB25" w14:textId="77777777" w:rsidR="004122BD" w:rsidRDefault="004122BD" w:rsidP="00AD36B8">
      <w:pPr>
        <w:pStyle w:val="ListBullet2"/>
      </w:pPr>
      <w:r w:rsidRPr="006B4639">
        <w:t xml:space="preserve">information disclosure and a ban on ‘undue’ discrimination, to enable shippers to determine if </w:t>
      </w:r>
      <w:r>
        <w:t xml:space="preserve">undue </w:t>
      </w:r>
      <w:r w:rsidRPr="006B4639">
        <w:t xml:space="preserve">discrimination is occurring (US, Canada and, to a lesser extent, </w:t>
      </w:r>
      <w:r>
        <w:t>New Zealand</w:t>
      </w:r>
      <w:r w:rsidRPr="006B4639">
        <w:t>).</w:t>
      </w:r>
    </w:p>
    <w:p w14:paraId="7281C64D" w14:textId="77777777" w:rsidR="004122BD" w:rsidRDefault="004122BD" w:rsidP="00AD36B8">
      <w:pPr>
        <w:pStyle w:val="ListBullet"/>
      </w:pPr>
      <w:r w:rsidRPr="006B4639">
        <w:t xml:space="preserve">The negotiate-arbitrate model is not used outside Australia. </w:t>
      </w:r>
      <w:r>
        <w:t>That is, w</w:t>
      </w:r>
      <w:r w:rsidRPr="006B4639">
        <w:t xml:space="preserve">hile the US and Canadian systems allow for negotiated settlements, </w:t>
      </w:r>
      <w:r>
        <w:t xml:space="preserve">shippers can </w:t>
      </w:r>
      <w:r w:rsidRPr="006B4639">
        <w:t xml:space="preserve">have </w:t>
      </w:r>
      <w:r>
        <w:t xml:space="preserve">recourse to </w:t>
      </w:r>
      <w:r w:rsidRPr="006B4639">
        <w:t xml:space="preserve">a reference tariff (similar to full regulation in Australia) </w:t>
      </w:r>
      <w:r>
        <w:t>if they are unable to negotiate</w:t>
      </w:r>
      <w:r w:rsidRPr="006B4639">
        <w:t xml:space="preserve">. </w:t>
      </w:r>
    </w:p>
    <w:p w14:paraId="77A16C55" w14:textId="77777777" w:rsidR="004122BD" w:rsidRDefault="004122BD" w:rsidP="00AD36B8">
      <w:pPr>
        <w:pStyle w:val="ListBullet"/>
      </w:pPr>
      <w:r>
        <w:t xml:space="preserve">In contrast to other jurisdictions that have implemented explicit interconnection rights and, in some cases, pricing principles for the development of new capacity, little has been done in Australia to try and constrain exercises of dynamic market power. </w:t>
      </w:r>
    </w:p>
    <w:p w14:paraId="06C5FC88" w14:textId="77777777" w:rsidR="00C30B80" w:rsidRPr="00312467" w:rsidRDefault="00C30B80" w:rsidP="00AD36B8">
      <w:pPr>
        <w:pStyle w:val="ListBullet"/>
        <w:numPr>
          <w:ilvl w:val="0"/>
          <w:numId w:val="0"/>
        </w:numPr>
        <w:sectPr w:rsidR="00C30B80" w:rsidRPr="00312467" w:rsidSect="00795317">
          <w:headerReference w:type="default" r:id="rId28"/>
          <w:footerReference w:type="default" r:id="rId29"/>
          <w:pgSz w:w="11907" w:h="16839" w:code="9"/>
          <w:pgMar w:top="1361" w:right="1418" w:bottom="992" w:left="1701" w:header="567" w:footer="397" w:gutter="0"/>
          <w:cols w:space="708"/>
          <w:docGrid w:linePitch="360"/>
        </w:sectPr>
      </w:pPr>
    </w:p>
    <w:p w14:paraId="7475A66C" w14:textId="1D9A2F34" w:rsidR="00C30B80" w:rsidRPr="006B4639" w:rsidRDefault="00C30B80" w:rsidP="00C30B80">
      <w:pPr>
        <w:pStyle w:val="Caption"/>
        <w:spacing w:before="0" w:after="0"/>
      </w:pPr>
      <w:bookmarkStart w:id="66" w:name="_Ref13993792"/>
      <w:r w:rsidRPr="006B4639">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2</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2</w:t>
      </w:r>
      <w:r w:rsidR="00F323B2">
        <w:rPr>
          <w:noProof/>
        </w:rPr>
        <w:fldChar w:fldCharType="end"/>
      </w:r>
      <w:bookmarkEnd w:id="66"/>
      <w:r w:rsidRPr="006B4639">
        <w:t xml:space="preserve">: </w:t>
      </w:r>
      <w:r w:rsidR="00224605">
        <w:t xml:space="preserve">Key elements of the gas pipeline regulatory frameworks employed </w:t>
      </w:r>
      <w:r w:rsidRPr="006B4639">
        <w:t>in other jurisdictions</w:t>
      </w:r>
    </w:p>
    <w:tbl>
      <w:tblPr>
        <w:tblW w:w="5203" w:type="pct"/>
        <w:tblInd w:w="-294" w:type="dxa"/>
        <w:tblLayout w:type="fixed"/>
        <w:tblCellMar>
          <w:left w:w="28" w:type="dxa"/>
          <w:right w:w="0" w:type="dxa"/>
        </w:tblCellMar>
        <w:tblLook w:val="04A0" w:firstRow="1" w:lastRow="0" w:firstColumn="1" w:lastColumn="0" w:noHBand="0" w:noVBand="1"/>
      </w:tblPr>
      <w:tblGrid>
        <w:gridCol w:w="1136"/>
        <w:gridCol w:w="2271"/>
        <w:gridCol w:w="2399"/>
        <w:gridCol w:w="2119"/>
        <w:gridCol w:w="2258"/>
        <w:gridCol w:w="1902"/>
        <w:gridCol w:w="2171"/>
      </w:tblGrid>
      <w:tr w:rsidR="00574164" w:rsidRPr="00B759D9" w14:paraId="5071BE55" w14:textId="77777777" w:rsidTr="00E945FF">
        <w:trPr>
          <w:tblHeader/>
        </w:trPr>
        <w:tc>
          <w:tcPr>
            <w:tcW w:w="1135"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607E8634" w14:textId="77777777" w:rsidR="00574164" w:rsidRPr="00B759D9" w:rsidRDefault="00574164" w:rsidP="00C30B80">
            <w:pPr>
              <w:rPr>
                <w:rFonts w:asciiTheme="majorHAnsi" w:hAnsiTheme="majorHAnsi" w:cstheme="majorHAnsi"/>
                <w:b/>
                <w:color w:val="FFFFFF" w:themeColor="background1"/>
                <w:sz w:val="15"/>
                <w:szCs w:val="15"/>
              </w:rPr>
            </w:pPr>
          </w:p>
        </w:tc>
        <w:tc>
          <w:tcPr>
            <w:tcW w:w="2271" w:type="dxa"/>
            <w:tcBorders>
              <w:top w:val="single" w:sz="8" w:space="0" w:color="auto"/>
              <w:left w:val="single" w:sz="8" w:space="0" w:color="auto"/>
              <w:bottom w:val="single" w:sz="8" w:space="0" w:color="auto"/>
              <w:right w:val="single" w:sz="8" w:space="0" w:color="auto"/>
            </w:tcBorders>
            <w:shd w:val="clear" w:color="auto" w:fill="002060"/>
          </w:tcPr>
          <w:p w14:paraId="70EF543A" w14:textId="77777777" w:rsidR="00574164" w:rsidRPr="00B759D9" w:rsidRDefault="00574164" w:rsidP="007847F2">
            <w:pPr>
              <w:jc w:val="center"/>
              <w:rPr>
                <w:rFonts w:asciiTheme="majorHAnsi" w:hAnsiTheme="majorHAnsi" w:cstheme="majorHAnsi"/>
                <w:b/>
                <w:color w:val="FFFFFF" w:themeColor="background1"/>
                <w:sz w:val="15"/>
                <w:szCs w:val="15"/>
              </w:rPr>
            </w:pPr>
            <w:r w:rsidRPr="00B759D9">
              <w:rPr>
                <w:rFonts w:asciiTheme="majorHAnsi" w:hAnsiTheme="majorHAnsi" w:cstheme="majorHAnsi"/>
                <w:b/>
                <w:color w:val="FFFFFF" w:themeColor="background1"/>
                <w:sz w:val="15"/>
                <w:szCs w:val="15"/>
              </w:rPr>
              <w:t>Australia</w:t>
            </w:r>
          </w:p>
        </w:tc>
        <w:tc>
          <w:tcPr>
            <w:tcW w:w="2399" w:type="dxa"/>
            <w:tcBorders>
              <w:top w:val="single" w:sz="8" w:space="0" w:color="auto"/>
              <w:left w:val="nil"/>
              <w:bottom w:val="single" w:sz="8" w:space="0" w:color="auto"/>
              <w:right w:val="single" w:sz="8" w:space="0" w:color="auto"/>
            </w:tcBorders>
            <w:shd w:val="clear" w:color="auto" w:fill="002060"/>
          </w:tcPr>
          <w:p w14:paraId="287F1F05" w14:textId="77777777" w:rsidR="00574164" w:rsidRPr="00B759D9" w:rsidRDefault="00574164" w:rsidP="007847F2">
            <w:pPr>
              <w:jc w:val="center"/>
              <w:rPr>
                <w:rFonts w:asciiTheme="majorHAnsi" w:hAnsiTheme="majorHAnsi" w:cstheme="majorHAnsi"/>
                <w:b/>
                <w:bCs/>
                <w:color w:val="FFFFFF" w:themeColor="background1"/>
                <w:sz w:val="15"/>
                <w:szCs w:val="15"/>
              </w:rPr>
            </w:pPr>
            <w:r w:rsidRPr="00B759D9">
              <w:rPr>
                <w:rFonts w:asciiTheme="majorHAnsi" w:hAnsiTheme="majorHAnsi" w:cstheme="majorHAnsi"/>
                <w:b/>
                <w:bCs/>
                <w:color w:val="FFFFFF" w:themeColor="background1"/>
                <w:sz w:val="15"/>
                <w:szCs w:val="15"/>
              </w:rPr>
              <w:t>New Zealand</w:t>
            </w:r>
          </w:p>
        </w:tc>
        <w:tc>
          <w:tcPr>
            <w:tcW w:w="2119" w:type="dxa"/>
            <w:tcBorders>
              <w:top w:val="single" w:sz="8" w:space="0" w:color="auto"/>
              <w:left w:val="nil"/>
              <w:bottom w:val="single" w:sz="8" w:space="0" w:color="auto"/>
              <w:right w:val="single" w:sz="8" w:space="0" w:color="auto"/>
            </w:tcBorders>
            <w:shd w:val="clear" w:color="auto" w:fill="002060"/>
          </w:tcPr>
          <w:p w14:paraId="2FD5D6AA" w14:textId="77777777" w:rsidR="00574164" w:rsidRPr="00B759D9" w:rsidRDefault="00574164" w:rsidP="007847F2">
            <w:pPr>
              <w:jc w:val="center"/>
              <w:rPr>
                <w:rFonts w:asciiTheme="majorHAnsi" w:hAnsiTheme="majorHAnsi" w:cstheme="majorHAnsi"/>
                <w:b/>
                <w:bCs/>
                <w:color w:val="FFFFFF" w:themeColor="background1"/>
                <w:sz w:val="15"/>
                <w:szCs w:val="15"/>
              </w:rPr>
            </w:pPr>
            <w:r w:rsidRPr="00B759D9">
              <w:rPr>
                <w:rFonts w:asciiTheme="majorHAnsi" w:hAnsiTheme="majorHAnsi" w:cstheme="majorHAnsi"/>
                <w:b/>
                <w:bCs/>
                <w:color w:val="FFFFFF" w:themeColor="background1"/>
                <w:sz w:val="15"/>
                <w:szCs w:val="15"/>
              </w:rPr>
              <w:t>US</w:t>
            </w:r>
          </w:p>
        </w:tc>
        <w:tc>
          <w:tcPr>
            <w:tcW w:w="2258" w:type="dxa"/>
            <w:tcBorders>
              <w:top w:val="single" w:sz="8" w:space="0" w:color="auto"/>
              <w:left w:val="nil"/>
              <w:bottom w:val="single" w:sz="8" w:space="0" w:color="auto"/>
              <w:right w:val="single" w:sz="8" w:space="0" w:color="auto"/>
            </w:tcBorders>
            <w:shd w:val="clear" w:color="auto" w:fill="002060"/>
          </w:tcPr>
          <w:p w14:paraId="3998F50D" w14:textId="77777777" w:rsidR="00574164" w:rsidRPr="00B759D9" w:rsidRDefault="00574164" w:rsidP="007847F2">
            <w:pPr>
              <w:jc w:val="center"/>
              <w:rPr>
                <w:rFonts w:asciiTheme="majorHAnsi" w:hAnsiTheme="majorHAnsi" w:cstheme="majorHAnsi"/>
                <w:b/>
                <w:bCs/>
                <w:color w:val="FFFFFF" w:themeColor="background1"/>
                <w:sz w:val="15"/>
                <w:szCs w:val="15"/>
              </w:rPr>
            </w:pPr>
            <w:r w:rsidRPr="00B759D9">
              <w:rPr>
                <w:rFonts w:asciiTheme="majorHAnsi" w:hAnsiTheme="majorHAnsi" w:cstheme="majorHAnsi"/>
                <w:b/>
                <w:bCs/>
                <w:color w:val="FFFFFF" w:themeColor="background1"/>
                <w:sz w:val="15"/>
                <w:szCs w:val="15"/>
              </w:rPr>
              <w:t>Canada</w:t>
            </w:r>
          </w:p>
        </w:tc>
        <w:tc>
          <w:tcPr>
            <w:tcW w:w="1902" w:type="dxa"/>
            <w:tcBorders>
              <w:top w:val="single" w:sz="8" w:space="0" w:color="auto"/>
              <w:left w:val="nil"/>
              <w:bottom w:val="single" w:sz="8" w:space="0" w:color="auto"/>
              <w:right w:val="single" w:sz="8" w:space="0" w:color="auto"/>
            </w:tcBorders>
            <w:shd w:val="clear" w:color="auto" w:fill="002060"/>
          </w:tcPr>
          <w:p w14:paraId="3BFDBD87" w14:textId="77777777" w:rsidR="00574164" w:rsidRPr="00B759D9" w:rsidRDefault="00574164" w:rsidP="007847F2">
            <w:pPr>
              <w:jc w:val="center"/>
              <w:rPr>
                <w:rFonts w:asciiTheme="majorHAnsi" w:hAnsiTheme="majorHAnsi" w:cstheme="majorHAnsi"/>
                <w:b/>
                <w:bCs/>
                <w:color w:val="FFFFFF" w:themeColor="background1"/>
                <w:sz w:val="15"/>
                <w:szCs w:val="15"/>
              </w:rPr>
            </w:pPr>
            <w:r w:rsidRPr="00B759D9">
              <w:rPr>
                <w:rFonts w:asciiTheme="majorHAnsi" w:hAnsiTheme="majorHAnsi" w:cstheme="majorHAnsi"/>
                <w:b/>
                <w:bCs/>
                <w:color w:val="FFFFFF" w:themeColor="background1"/>
                <w:sz w:val="15"/>
                <w:szCs w:val="15"/>
              </w:rPr>
              <w:t>European Union</w:t>
            </w:r>
          </w:p>
        </w:tc>
        <w:tc>
          <w:tcPr>
            <w:tcW w:w="2169" w:type="dxa"/>
            <w:tcBorders>
              <w:top w:val="single" w:sz="8" w:space="0" w:color="auto"/>
              <w:left w:val="nil"/>
              <w:bottom w:val="single" w:sz="8" w:space="0" w:color="auto"/>
              <w:right w:val="single" w:sz="8" w:space="0" w:color="auto"/>
            </w:tcBorders>
            <w:shd w:val="clear" w:color="auto" w:fill="002060"/>
          </w:tcPr>
          <w:p w14:paraId="105CBAAA" w14:textId="77777777" w:rsidR="00574164" w:rsidRPr="00B759D9" w:rsidRDefault="00574164" w:rsidP="007847F2">
            <w:pPr>
              <w:jc w:val="center"/>
              <w:rPr>
                <w:rFonts w:asciiTheme="majorHAnsi" w:hAnsiTheme="majorHAnsi" w:cstheme="majorHAnsi"/>
                <w:b/>
                <w:bCs/>
                <w:color w:val="FFFFFF" w:themeColor="background1"/>
                <w:sz w:val="15"/>
                <w:szCs w:val="15"/>
              </w:rPr>
            </w:pPr>
            <w:r w:rsidRPr="00B759D9">
              <w:rPr>
                <w:rFonts w:asciiTheme="majorHAnsi" w:hAnsiTheme="majorHAnsi" w:cstheme="majorHAnsi"/>
                <w:b/>
                <w:bCs/>
                <w:color w:val="FFFFFF" w:themeColor="background1"/>
                <w:sz w:val="15"/>
                <w:szCs w:val="15"/>
              </w:rPr>
              <w:t>Great Britain</w:t>
            </w:r>
          </w:p>
        </w:tc>
      </w:tr>
      <w:tr w:rsidR="00C30B80" w:rsidRPr="00B759D9" w14:paraId="27CA084C" w14:textId="77777777" w:rsidTr="00E945FF">
        <w:trPr>
          <w:trHeight w:val="251"/>
        </w:trPr>
        <w:tc>
          <w:tcPr>
            <w:tcW w:w="14255" w:type="dxa"/>
            <w:gridSpan w:val="7"/>
            <w:tcBorders>
              <w:top w:val="single" w:sz="8" w:space="0" w:color="auto"/>
              <w:left w:val="single" w:sz="8" w:space="0" w:color="auto"/>
              <w:bottom w:val="single" w:sz="8" w:space="0" w:color="auto"/>
              <w:right w:val="single" w:sz="8" w:space="0" w:color="auto"/>
            </w:tcBorders>
            <w:shd w:val="clear" w:color="auto" w:fill="65697F" w:themeFill="background2" w:themeFillShade="80"/>
            <w:tcMar>
              <w:top w:w="0" w:type="dxa"/>
              <w:left w:w="108" w:type="dxa"/>
              <w:bottom w:w="0" w:type="dxa"/>
              <w:right w:w="108" w:type="dxa"/>
            </w:tcMar>
          </w:tcPr>
          <w:p w14:paraId="369FB406" w14:textId="77777777" w:rsidR="00C30B80" w:rsidRPr="00B759D9" w:rsidRDefault="00C30B80" w:rsidP="00F74086">
            <w:pPr>
              <w:spacing w:before="20" w:after="20"/>
              <w:ind w:left="215" w:right="85" w:hanging="215"/>
              <w:jc w:val="center"/>
              <w:rPr>
                <w:rFonts w:asciiTheme="majorHAnsi" w:hAnsiTheme="majorHAnsi" w:cstheme="majorHAnsi"/>
                <w:iCs/>
                <w:color w:val="FFFFFF" w:themeColor="background1"/>
                <w:sz w:val="15"/>
                <w:szCs w:val="15"/>
              </w:rPr>
            </w:pPr>
            <w:r w:rsidRPr="00B759D9">
              <w:rPr>
                <w:rFonts w:asciiTheme="majorHAnsi" w:hAnsiTheme="majorHAnsi" w:cstheme="majorHAnsi"/>
                <w:b/>
                <w:color w:val="FFFFFF" w:themeColor="background1"/>
                <w:sz w:val="15"/>
                <w:szCs w:val="15"/>
              </w:rPr>
              <w:t>Regulatory coverage</w:t>
            </w:r>
          </w:p>
        </w:tc>
      </w:tr>
      <w:tr w:rsidR="00574164" w:rsidRPr="00B759D9" w14:paraId="6D08825F" w14:textId="77777777" w:rsidTr="00E945FF">
        <w:trPr>
          <w:trHeight w:val="300"/>
        </w:trPr>
        <w:tc>
          <w:tcPr>
            <w:tcW w:w="113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CAD1558" w14:textId="77777777" w:rsidR="00574164" w:rsidRPr="00B759D9" w:rsidRDefault="00574164" w:rsidP="00F74086">
            <w:pPr>
              <w:spacing w:after="20" w:line="240" w:lineRule="auto"/>
              <w:rPr>
                <w:rFonts w:asciiTheme="majorHAnsi" w:hAnsiTheme="majorHAnsi" w:cstheme="majorHAnsi"/>
                <w:b/>
                <w:sz w:val="15"/>
                <w:szCs w:val="15"/>
              </w:rPr>
            </w:pPr>
            <w:r w:rsidRPr="00B759D9">
              <w:rPr>
                <w:rFonts w:asciiTheme="majorHAnsi" w:hAnsiTheme="majorHAnsi" w:cstheme="majorHAnsi"/>
                <w:b/>
                <w:sz w:val="15"/>
                <w:szCs w:val="15"/>
              </w:rPr>
              <w:t>Regulator</w:t>
            </w:r>
          </w:p>
        </w:tc>
        <w:tc>
          <w:tcPr>
            <w:tcW w:w="2271" w:type="dxa"/>
            <w:tcBorders>
              <w:top w:val="single" w:sz="8" w:space="0" w:color="auto"/>
              <w:left w:val="single" w:sz="8" w:space="0" w:color="auto"/>
              <w:bottom w:val="single" w:sz="8" w:space="0" w:color="auto"/>
              <w:right w:val="single" w:sz="8" w:space="0" w:color="auto"/>
            </w:tcBorders>
            <w:shd w:val="clear" w:color="auto" w:fill="E1E2E7" w:themeFill="background2"/>
          </w:tcPr>
          <w:p w14:paraId="67187A41" w14:textId="77777777" w:rsidR="00574164" w:rsidRPr="00B759D9" w:rsidRDefault="000E2C3E" w:rsidP="007847F2">
            <w:pPr>
              <w:spacing w:after="20" w:line="240" w:lineRule="auto"/>
              <w:ind w:left="85"/>
              <w:rPr>
                <w:rFonts w:asciiTheme="majorHAnsi" w:hAnsiTheme="majorHAnsi" w:cstheme="majorHAnsi"/>
                <w:bCs/>
                <w:sz w:val="15"/>
                <w:szCs w:val="15"/>
              </w:rPr>
            </w:pPr>
            <w:r w:rsidRPr="00B759D9">
              <w:rPr>
                <w:rFonts w:asciiTheme="majorHAnsi" w:hAnsiTheme="majorHAnsi" w:cstheme="majorHAnsi"/>
                <w:bCs/>
                <w:sz w:val="15"/>
                <w:szCs w:val="15"/>
              </w:rPr>
              <w:t>AER (east coast and NT) and ERA (WA)</w:t>
            </w:r>
          </w:p>
        </w:tc>
        <w:tc>
          <w:tcPr>
            <w:tcW w:w="2399" w:type="dxa"/>
            <w:tcBorders>
              <w:top w:val="single" w:sz="8" w:space="0" w:color="auto"/>
              <w:left w:val="nil"/>
              <w:bottom w:val="single" w:sz="8" w:space="0" w:color="auto"/>
              <w:right w:val="single" w:sz="8" w:space="0" w:color="auto"/>
            </w:tcBorders>
          </w:tcPr>
          <w:p w14:paraId="3116ECAD" w14:textId="77777777" w:rsidR="00574164" w:rsidRPr="00B759D9" w:rsidRDefault="00574164" w:rsidP="007847F2">
            <w:pPr>
              <w:spacing w:after="20" w:line="240" w:lineRule="auto"/>
              <w:ind w:left="85"/>
              <w:rPr>
                <w:rFonts w:asciiTheme="majorHAnsi" w:hAnsiTheme="majorHAnsi" w:cstheme="majorHAnsi"/>
                <w:iCs/>
                <w:sz w:val="15"/>
                <w:szCs w:val="15"/>
              </w:rPr>
            </w:pPr>
            <w:r w:rsidRPr="00B759D9">
              <w:rPr>
                <w:rFonts w:asciiTheme="majorHAnsi" w:hAnsiTheme="majorHAnsi" w:cstheme="majorHAnsi"/>
                <w:iCs/>
                <w:sz w:val="15"/>
                <w:szCs w:val="15"/>
              </w:rPr>
              <w:t>Commerce Commission</w:t>
            </w:r>
          </w:p>
        </w:tc>
        <w:tc>
          <w:tcPr>
            <w:tcW w:w="2119" w:type="dxa"/>
            <w:tcBorders>
              <w:top w:val="single" w:sz="8" w:space="0" w:color="auto"/>
              <w:left w:val="nil"/>
              <w:bottom w:val="single" w:sz="8" w:space="0" w:color="auto"/>
              <w:right w:val="single" w:sz="8" w:space="0" w:color="auto"/>
            </w:tcBorders>
          </w:tcPr>
          <w:p w14:paraId="57827340" w14:textId="77777777" w:rsidR="00574164" w:rsidRPr="00B759D9" w:rsidRDefault="00574164" w:rsidP="007847F2">
            <w:pPr>
              <w:spacing w:after="20" w:line="240" w:lineRule="auto"/>
              <w:ind w:left="85"/>
              <w:rPr>
                <w:rFonts w:asciiTheme="majorHAnsi" w:hAnsiTheme="majorHAnsi" w:cstheme="majorHAnsi"/>
                <w:sz w:val="15"/>
                <w:szCs w:val="15"/>
              </w:rPr>
            </w:pPr>
            <w:r w:rsidRPr="00B759D9">
              <w:rPr>
                <w:rFonts w:asciiTheme="majorHAnsi" w:hAnsiTheme="majorHAnsi" w:cstheme="majorHAnsi"/>
                <w:sz w:val="15"/>
                <w:szCs w:val="15"/>
              </w:rPr>
              <w:t>Federal Energy Regulatory Commission (FERC)</w:t>
            </w:r>
          </w:p>
        </w:tc>
        <w:tc>
          <w:tcPr>
            <w:tcW w:w="2258" w:type="dxa"/>
            <w:tcBorders>
              <w:top w:val="single" w:sz="8" w:space="0" w:color="auto"/>
              <w:left w:val="nil"/>
              <w:bottom w:val="single" w:sz="8" w:space="0" w:color="auto"/>
              <w:right w:val="single" w:sz="8" w:space="0" w:color="auto"/>
            </w:tcBorders>
          </w:tcPr>
          <w:p w14:paraId="428C4640" w14:textId="77777777" w:rsidR="00574164" w:rsidRPr="00B759D9" w:rsidRDefault="00574164" w:rsidP="007847F2">
            <w:pPr>
              <w:spacing w:after="20" w:line="240" w:lineRule="auto"/>
              <w:ind w:left="85"/>
              <w:rPr>
                <w:rFonts w:asciiTheme="majorHAnsi" w:hAnsiTheme="majorHAnsi" w:cstheme="majorHAnsi"/>
                <w:iCs/>
                <w:sz w:val="15"/>
                <w:szCs w:val="15"/>
              </w:rPr>
            </w:pPr>
            <w:r w:rsidRPr="00B759D9">
              <w:rPr>
                <w:rFonts w:asciiTheme="majorHAnsi" w:hAnsiTheme="majorHAnsi" w:cstheme="majorHAnsi"/>
                <w:iCs/>
                <w:sz w:val="15"/>
                <w:szCs w:val="15"/>
              </w:rPr>
              <w:t>National Energy Board (NEB)</w:t>
            </w:r>
          </w:p>
        </w:tc>
        <w:tc>
          <w:tcPr>
            <w:tcW w:w="1902" w:type="dxa"/>
            <w:tcBorders>
              <w:top w:val="single" w:sz="8" w:space="0" w:color="auto"/>
              <w:left w:val="nil"/>
              <w:bottom w:val="single" w:sz="8" w:space="0" w:color="auto"/>
              <w:right w:val="single" w:sz="8" w:space="0" w:color="auto"/>
            </w:tcBorders>
          </w:tcPr>
          <w:p w14:paraId="1A6FE396" w14:textId="77777777" w:rsidR="00574164" w:rsidRPr="00B759D9" w:rsidRDefault="00574164" w:rsidP="007847F2">
            <w:pPr>
              <w:spacing w:after="20" w:line="240" w:lineRule="auto"/>
              <w:ind w:left="85"/>
              <w:rPr>
                <w:rFonts w:asciiTheme="majorHAnsi" w:hAnsiTheme="majorHAnsi" w:cstheme="majorHAnsi"/>
                <w:iCs/>
                <w:sz w:val="15"/>
                <w:szCs w:val="15"/>
              </w:rPr>
            </w:pPr>
            <w:r w:rsidRPr="00B759D9">
              <w:rPr>
                <w:rFonts w:asciiTheme="majorHAnsi" w:hAnsiTheme="majorHAnsi" w:cstheme="majorHAnsi"/>
                <w:iCs/>
                <w:sz w:val="15"/>
                <w:szCs w:val="15"/>
              </w:rPr>
              <w:t xml:space="preserve">National regulators </w:t>
            </w:r>
          </w:p>
        </w:tc>
        <w:tc>
          <w:tcPr>
            <w:tcW w:w="2169" w:type="dxa"/>
            <w:tcBorders>
              <w:top w:val="single" w:sz="8" w:space="0" w:color="auto"/>
              <w:left w:val="nil"/>
              <w:bottom w:val="single" w:sz="8" w:space="0" w:color="auto"/>
              <w:right w:val="single" w:sz="8" w:space="0" w:color="auto"/>
            </w:tcBorders>
          </w:tcPr>
          <w:p w14:paraId="517ABF44" w14:textId="77777777" w:rsidR="00574164" w:rsidRPr="00B759D9" w:rsidRDefault="00574164" w:rsidP="007847F2">
            <w:pPr>
              <w:spacing w:after="20" w:line="240" w:lineRule="auto"/>
              <w:ind w:left="85"/>
              <w:rPr>
                <w:rFonts w:asciiTheme="majorHAnsi" w:hAnsiTheme="majorHAnsi" w:cstheme="majorHAnsi"/>
                <w:iCs/>
                <w:sz w:val="15"/>
                <w:szCs w:val="15"/>
              </w:rPr>
            </w:pPr>
            <w:r w:rsidRPr="00B759D9">
              <w:rPr>
                <w:rFonts w:asciiTheme="majorHAnsi" w:hAnsiTheme="majorHAnsi" w:cstheme="majorHAnsi"/>
                <w:iCs/>
                <w:sz w:val="15"/>
                <w:szCs w:val="15"/>
              </w:rPr>
              <w:t xml:space="preserve">Ofgem </w:t>
            </w:r>
          </w:p>
        </w:tc>
      </w:tr>
      <w:tr w:rsidR="00574164" w:rsidRPr="00B759D9" w14:paraId="2A615B07" w14:textId="77777777" w:rsidTr="00E945FF">
        <w:trPr>
          <w:trHeight w:val="1654"/>
        </w:trPr>
        <w:tc>
          <w:tcPr>
            <w:tcW w:w="113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A7E5B36" w14:textId="77777777" w:rsidR="00574164" w:rsidRPr="00B759D9" w:rsidRDefault="00574164" w:rsidP="00F74086">
            <w:pPr>
              <w:spacing w:after="20" w:line="240" w:lineRule="auto"/>
              <w:rPr>
                <w:rFonts w:asciiTheme="majorHAnsi" w:hAnsiTheme="majorHAnsi" w:cstheme="majorHAnsi"/>
                <w:b/>
                <w:sz w:val="15"/>
                <w:szCs w:val="15"/>
              </w:rPr>
            </w:pPr>
            <w:r w:rsidRPr="00B759D9">
              <w:rPr>
                <w:rFonts w:asciiTheme="majorHAnsi" w:hAnsiTheme="majorHAnsi" w:cstheme="majorHAnsi"/>
                <w:b/>
                <w:sz w:val="15"/>
                <w:szCs w:val="15"/>
              </w:rPr>
              <w:t>Test for whether regulation applies</w:t>
            </w:r>
          </w:p>
        </w:tc>
        <w:tc>
          <w:tcPr>
            <w:tcW w:w="2271" w:type="dxa"/>
            <w:tcBorders>
              <w:top w:val="single" w:sz="8" w:space="0" w:color="auto"/>
              <w:left w:val="single" w:sz="8" w:space="0" w:color="auto"/>
              <w:bottom w:val="single" w:sz="8" w:space="0" w:color="auto"/>
              <w:right w:val="single" w:sz="8" w:space="0" w:color="auto"/>
            </w:tcBorders>
            <w:shd w:val="clear" w:color="auto" w:fill="E1E2E7" w:themeFill="background2"/>
          </w:tcPr>
          <w:p w14:paraId="5C7E2B9D" w14:textId="77777777" w:rsidR="00574164" w:rsidRPr="00B759D9" w:rsidRDefault="005D7A0D" w:rsidP="007847F2">
            <w:pPr>
              <w:spacing w:after="20" w:line="240" w:lineRule="auto"/>
              <w:ind w:left="85"/>
              <w:rPr>
                <w:rFonts w:asciiTheme="majorHAnsi" w:hAnsiTheme="majorHAnsi" w:cstheme="majorHAnsi"/>
                <w:bCs/>
                <w:sz w:val="15"/>
                <w:szCs w:val="15"/>
              </w:rPr>
            </w:pPr>
            <w:r w:rsidRPr="00B759D9">
              <w:rPr>
                <w:rFonts w:asciiTheme="majorHAnsi" w:hAnsiTheme="majorHAnsi" w:cstheme="majorHAnsi"/>
                <w:bCs/>
                <w:sz w:val="15"/>
                <w:szCs w:val="15"/>
              </w:rPr>
              <w:t xml:space="preserve">Coverage test if pipeline </w:t>
            </w:r>
            <w:r w:rsidR="00BD2CD4" w:rsidRPr="00B759D9">
              <w:rPr>
                <w:rFonts w:asciiTheme="majorHAnsi" w:hAnsiTheme="majorHAnsi" w:cstheme="majorHAnsi"/>
                <w:bCs/>
                <w:sz w:val="15"/>
                <w:szCs w:val="15"/>
              </w:rPr>
              <w:t xml:space="preserve">is </w:t>
            </w:r>
            <w:r w:rsidRPr="00B759D9">
              <w:rPr>
                <w:rFonts w:asciiTheme="majorHAnsi" w:hAnsiTheme="majorHAnsi" w:cstheme="majorHAnsi"/>
                <w:bCs/>
                <w:sz w:val="15"/>
                <w:szCs w:val="15"/>
              </w:rPr>
              <w:t xml:space="preserve">not voluntarily providing third party access, or </w:t>
            </w:r>
            <w:r w:rsidR="00BD2CD4" w:rsidRPr="00B759D9">
              <w:rPr>
                <w:rFonts w:asciiTheme="majorHAnsi" w:hAnsiTheme="majorHAnsi" w:cstheme="majorHAnsi"/>
                <w:bCs/>
                <w:sz w:val="15"/>
                <w:szCs w:val="15"/>
              </w:rPr>
              <w:t xml:space="preserve">coverage test and form of regulation test if applicant thinks the pipeline should be subject to full regulation. </w:t>
            </w:r>
          </w:p>
        </w:tc>
        <w:tc>
          <w:tcPr>
            <w:tcW w:w="2399" w:type="dxa"/>
            <w:tcBorders>
              <w:top w:val="single" w:sz="8" w:space="0" w:color="auto"/>
              <w:left w:val="nil"/>
              <w:bottom w:val="single" w:sz="8" w:space="0" w:color="auto"/>
              <w:right w:val="single" w:sz="8" w:space="0" w:color="auto"/>
            </w:tcBorders>
          </w:tcPr>
          <w:p w14:paraId="6F5C0FC2" w14:textId="77777777" w:rsidR="00574164" w:rsidRPr="00B759D9" w:rsidRDefault="00574164" w:rsidP="007847F2">
            <w:pPr>
              <w:spacing w:after="20" w:line="240" w:lineRule="auto"/>
              <w:ind w:left="85"/>
              <w:rPr>
                <w:rFonts w:asciiTheme="majorHAnsi" w:hAnsiTheme="majorHAnsi" w:cstheme="majorHAnsi"/>
                <w:iCs/>
                <w:sz w:val="15"/>
                <w:szCs w:val="15"/>
              </w:rPr>
            </w:pPr>
            <w:r w:rsidRPr="00B759D9">
              <w:rPr>
                <w:rFonts w:asciiTheme="majorHAnsi" w:hAnsiTheme="majorHAnsi" w:cstheme="majorHAnsi"/>
                <w:iCs/>
                <w:sz w:val="15"/>
                <w:szCs w:val="15"/>
              </w:rPr>
              <w:t>All gas pipelines (transmission and distribution) are regulated by default unless the pipeline:</w:t>
            </w:r>
          </w:p>
          <w:p w14:paraId="39D56AA1" w14:textId="77777777" w:rsidR="00574164" w:rsidRPr="00B759D9" w:rsidRDefault="00574164" w:rsidP="007847F2">
            <w:pPr>
              <w:pStyle w:val="TableBullet10"/>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is small (&lt; 75 TJ per annum)</w:t>
            </w:r>
          </w:p>
          <w:p w14:paraId="4B6884B8" w14:textId="77777777" w:rsidR="00574164" w:rsidRPr="00B759D9" w:rsidRDefault="00574164" w:rsidP="007847F2">
            <w:pPr>
              <w:pStyle w:val="TableBullet10"/>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transports gas to a production facility; and</w:t>
            </w:r>
          </w:p>
          <w:p w14:paraId="03B865B5" w14:textId="77777777" w:rsidR="00574164" w:rsidRPr="00B759D9" w:rsidRDefault="00574164" w:rsidP="007847F2">
            <w:pPr>
              <w:pStyle w:val="TableBullet10"/>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does not have a substantial degree of market power.</w:t>
            </w:r>
          </w:p>
        </w:tc>
        <w:tc>
          <w:tcPr>
            <w:tcW w:w="2119" w:type="dxa"/>
            <w:tcBorders>
              <w:top w:val="single" w:sz="8" w:space="0" w:color="auto"/>
              <w:left w:val="nil"/>
              <w:bottom w:val="single" w:sz="8" w:space="0" w:color="auto"/>
              <w:right w:val="single" w:sz="8" w:space="0" w:color="auto"/>
            </w:tcBorders>
          </w:tcPr>
          <w:p w14:paraId="54228295" w14:textId="77777777" w:rsidR="00574164" w:rsidRPr="00B759D9" w:rsidRDefault="00574164" w:rsidP="007847F2">
            <w:pPr>
              <w:spacing w:after="20" w:line="240" w:lineRule="auto"/>
              <w:ind w:left="85"/>
              <w:rPr>
                <w:rFonts w:asciiTheme="majorHAnsi" w:hAnsiTheme="majorHAnsi" w:cstheme="majorHAnsi"/>
                <w:sz w:val="15"/>
                <w:szCs w:val="15"/>
              </w:rPr>
            </w:pPr>
            <w:r w:rsidRPr="00B759D9">
              <w:rPr>
                <w:rFonts w:asciiTheme="majorHAnsi" w:hAnsiTheme="majorHAnsi" w:cstheme="majorHAnsi"/>
                <w:sz w:val="15"/>
                <w:szCs w:val="15"/>
              </w:rPr>
              <w:t xml:space="preserve">All </w:t>
            </w:r>
            <w:r w:rsidR="00EB2A09">
              <w:rPr>
                <w:rFonts w:asciiTheme="majorHAnsi" w:hAnsiTheme="majorHAnsi" w:cstheme="majorHAnsi"/>
                <w:sz w:val="15"/>
                <w:szCs w:val="15"/>
              </w:rPr>
              <w:t xml:space="preserve">interstate </w:t>
            </w:r>
            <w:r w:rsidRPr="00B759D9">
              <w:rPr>
                <w:rFonts w:asciiTheme="majorHAnsi" w:hAnsiTheme="majorHAnsi" w:cstheme="majorHAnsi"/>
                <w:sz w:val="15"/>
                <w:szCs w:val="15"/>
              </w:rPr>
              <w:t xml:space="preserve">transmission pipelines regulated. FERC has the ability to grant pipelines “market-based rate authority” (i.e. deregulate) if they lack market power, but has never done so. </w:t>
            </w:r>
          </w:p>
          <w:p w14:paraId="4AF85FF3" w14:textId="77777777" w:rsidR="00574164" w:rsidRPr="00B759D9" w:rsidRDefault="00574164" w:rsidP="007847F2">
            <w:pPr>
              <w:spacing w:after="20" w:line="240" w:lineRule="auto"/>
              <w:ind w:left="85"/>
              <w:rPr>
                <w:rFonts w:asciiTheme="majorHAnsi" w:hAnsiTheme="majorHAnsi" w:cstheme="majorHAnsi"/>
                <w:sz w:val="15"/>
                <w:szCs w:val="15"/>
              </w:rPr>
            </w:pPr>
          </w:p>
        </w:tc>
        <w:tc>
          <w:tcPr>
            <w:tcW w:w="2258" w:type="dxa"/>
            <w:tcBorders>
              <w:top w:val="single" w:sz="8" w:space="0" w:color="auto"/>
              <w:left w:val="nil"/>
              <w:bottom w:val="single" w:sz="8" w:space="0" w:color="auto"/>
              <w:right w:val="single" w:sz="8" w:space="0" w:color="auto"/>
            </w:tcBorders>
          </w:tcPr>
          <w:p w14:paraId="3585D49B" w14:textId="77777777" w:rsidR="00574164" w:rsidRPr="00B759D9" w:rsidRDefault="00574164" w:rsidP="007847F2">
            <w:pPr>
              <w:spacing w:after="20" w:line="240" w:lineRule="auto"/>
              <w:ind w:left="85"/>
              <w:rPr>
                <w:rFonts w:asciiTheme="majorHAnsi" w:hAnsiTheme="majorHAnsi" w:cstheme="majorHAnsi"/>
                <w:iCs/>
                <w:sz w:val="15"/>
                <w:szCs w:val="15"/>
              </w:rPr>
            </w:pPr>
            <w:r w:rsidRPr="00B759D9">
              <w:rPr>
                <w:rFonts w:asciiTheme="majorHAnsi" w:hAnsiTheme="majorHAnsi" w:cstheme="majorHAnsi"/>
                <w:iCs/>
                <w:sz w:val="15"/>
                <w:szCs w:val="15"/>
              </w:rPr>
              <w:t>All transmission pipelines regulated. The degree of regulation differs depending on whether the pipeline is a:</w:t>
            </w:r>
          </w:p>
          <w:p w14:paraId="6A3A044A" w14:textId="77777777" w:rsidR="00574164" w:rsidRPr="00B759D9" w:rsidRDefault="00574164" w:rsidP="007847F2">
            <w:pPr>
              <w:pStyle w:val="TableBullet10"/>
              <w:numPr>
                <w:ilvl w:val="0"/>
                <w:numId w:val="24"/>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Group 1 company (a co. that operates large pipeline systems and has many shippers): full regulation</w:t>
            </w:r>
          </w:p>
          <w:p w14:paraId="4EC37DBF" w14:textId="77777777" w:rsidR="00574164" w:rsidRPr="00B759D9" w:rsidRDefault="00574164" w:rsidP="007847F2">
            <w:pPr>
              <w:pStyle w:val="TableBullet10"/>
              <w:numPr>
                <w:ilvl w:val="0"/>
                <w:numId w:val="24"/>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Group 2 company (all other companies): light-handed, complaint-based regulation </w:t>
            </w:r>
          </w:p>
        </w:tc>
        <w:tc>
          <w:tcPr>
            <w:tcW w:w="1902" w:type="dxa"/>
            <w:tcBorders>
              <w:top w:val="single" w:sz="8" w:space="0" w:color="auto"/>
              <w:left w:val="nil"/>
              <w:bottom w:val="single" w:sz="8" w:space="0" w:color="auto"/>
              <w:right w:val="single" w:sz="8" w:space="0" w:color="auto"/>
            </w:tcBorders>
          </w:tcPr>
          <w:p w14:paraId="3CBBF3AF" w14:textId="77777777" w:rsidR="00574164" w:rsidRPr="00B759D9" w:rsidRDefault="00574164" w:rsidP="007847F2">
            <w:pPr>
              <w:spacing w:after="20" w:line="240" w:lineRule="auto"/>
              <w:ind w:left="85"/>
              <w:rPr>
                <w:rFonts w:asciiTheme="majorHAnsi" w:hAnsiTheme="majorHAnsi" w:cstheme="majorHAnsi"/>
                <w:iCs/>
                <w:sz w:val="15"/>
                <w:szCs w:val="15"/>
              </w:rPr>
            </w:pPr>
            <w:r w:rsidRPr="00B759D9">
              <w:rPr>
                <w:rFonts w:asciiTheme="majorHAnsi" w:hAnsiTheme="majorHAnsi" w:cstheme="majorHAnsi"/>
                <w:iCs/>
                <w:sz w:val="15"/>
                <w:szCs w:val="15"/>
              </w:rPr>
              <w:t xml:space="preserve">All transmission pipelines regulated unless specifically exempted new infrastructure. </w:t>
            </w:r>
          </w:p>
          <w:p w14:paraId="11805E9D" w14:textId="77777777" w:rsidR="00574164" w:rsidRPr="00B759D9" w:rsidRDefault="00574164" w:rsidP="007847F2">
            <w:pPr>
              <w:pStyle w:val="TableBullet10"/>
              <w:numPr>
                <w:ilvl w:val="0"/>
                <w:numId w:val="24"/>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Interconnector Points (IPs) between entry-exit systems subject to EU directives. </w:t>
            </w:r>
          </w:p>
          <w:p w14:paraId="04BA5EF1" w14:textId="77777777" w:rsidR="00574164" w:rsidRPr="00B759D9" w:rsidRDefault="00574164" w:rsidP="007847F2">
            <w:pPr>
              <w:pStyle w:val="TableBullet10"/>
              <w:numPr>
                <w:ilvl w:val="0"/>
                <w:numId w:val="24"/>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Transmission pipelines within entry-exit systems subject to national regulators which operate within EU directives.</w:t>
            </w:r>
          </w:p>
        </w:tc>
        <w:tc>
          <w:tcPr>
            <w:tcW w:w="2169" w:type="dxa"/>
            <w:tcBorders>
              <w:top w:val="single" w:sz="8" w:space="0" w:color="auto"/>
              <w:left w:val="nil"/>
              <w:bottom w:val="single" w:sz="8" w:space="0" w:color="auto"/>
              <w:right w:val="single" w:sz="8" w:space="0" w:color="auto"/>
            </w:tcBorders>
          </w:tcPr>
          <w:p w14:paraId="7CD8F5F9" w14:textId="77777777" w:rsidR="00574164" w:rsidRPr="00B759D9" w:rsidRDefault="00574164" w:rsidP="007847F2">
            <w:pPr>
              <w:spacing w:after="20" w:line="240" w:lineRule="auto"/>
              <w:ind w:left="85"/>
              <w:rPr>
                <w:rFonts w:asciiTheme="majorHAnsi" w:hAnsiTheme="majorHAnsi" w:cstheme="majorHAnsi"/>
                <w:iCs/>
                <w:sz w:val="15"/>
                <w:szCs w:val="15"/>
              </w:rPr>
            </w:pPr>
            <w:r w:rsidRPr="00B759D9">
              <w:rPr>
                <w:rFonts w:asciiTheme="majorHAnsi" w:hAnsiTheme="majorHAnsi" w:cstheme="majorHAnsi"/>
                <w:iCs/>
                <w:sz w:val="15"/>
                <w:szCs w:val="15"/>
              </w:rPr>
              <w:t>Regulation applies to all onshore gas transmission.</w:t>
            </w:r>
          </w:p>
        </w:tc>
      </w:tr>
      <w:tr w:rsidR="00574164" w:rsidRPr="00B759D9" w14:paraId="183AED3A" w14:textId="77777777" w:rsidTr="00E945FF">
        <w:tc>
          <w:tcPr>
            <w:tcW w:w="113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3EDE1E6" w14:textId="77777777" w:rsidR="00574164" w:rsidRPr="00B759D9" w:rsidRDefault="00574164" w:rsidP="00F74086">
            <w:pPr>
              <w:spacing w:after="20" w:line="240" w:lineRule="auto"/>
              <w:rPr>
                <w:rFonts w:asciiTheme="majorHAnsi" w:hAnsiTheme="majorHAnsi" w:cstheme="majorHAnsi"/>
                <w:b/>
                <w:sz w:val="15"/>
                <w:szCs w:val="15"/>
              </w:rPr>
            </w:pPr>
            <w:r w:rsidRPr="00B759D9">
              <w:rPr>
                <w:rFonts w:asciiTheme="majorHAnsi" w:hAnsiTheme="majorHAnsi" w:cstheme="majorHAnsi"/>
                <w:b/>
                <w:sz w:val="15"/>
                <w:szCs w:val="15"/>
              </w:rPr>
              <w:t>Regulatory exemptions for new pipelines?</w:t>
            </w:r>
          </w:p>
        </w:tc>
        <w:tc>
          <w:tcPr>
            <w:tcW w:w="2271" w:type="dxa"/>
            <w:tcBorders>
              <w:top w:val="single" w:sz="8" w:space="0" w:color="auto"/>
              <w:left w:val="single" w:sz="8" w:space="0" w:color="auto"/>
              <w:bottom w:val="single" w:sz="8" w:space="0" w:color="auto"/>
              <w:right w:val="single" w:sz="8" w:space="0" w:color="auto"/>
            </w:tcBorders>
            <w:shd w:val="clear" w:color="auto" w:fill="E1E2E7" w:themeFill="background2"/>
          </w:tcPr>
          <w:p w14:paraId="080023E7" w14:textId="77777777" w:rsidR="00574164" w:rsidRPr="00B759D9" w:rsidRDefault="00362DFA" w:rsidP="007847F2">
            <w:pPr>
              <w:pStyle w:val="TableBullet10"/>
              <w:numPr>
                <w:ilvl w:val="0"/>
                <w:numId w:val="0"/>
              </w:numPr>
              <w:spacing w:before="0" w:after="20" w:line="240" w:lineRule="auto"/>
              <w:ind w:left="85" w:right="0"/>
              <w:rPr>
                <w:rFonts w:asciiTheme="majorHAnsi" w:hAnsiTheme="majorHAnsi" w:cstheme="majorHAnsi"/>
                <w:b/>
                <w:sz w:val="15"/>
                <w:szCs w:val="15"/>
              </w:rPr>
            </w:pPr>
            <w:r w:rsidRPr="00B759D9">
              <w:rPr>
                <w:rFonts w:asciiTheme="majorHAnsi" w:hAnsiTheme="majorHAnsi" w:cstheme="majorHAnsi"/>
                <w:bCs/>
                <w:sz w:val="15"/>
                <w:szCs w:val="15"/>
              </w:rPr>
              <w:t xml:space="preserve">15-year exemption from coverage </w:t>
            </w:r>
            <w:r w:rsidR="000C1081" w:rsidRPr="00B759D9">
              <w:rPr>
                <w:rFonts w:asciiTheme="majorHAnsi" w:hAnsiTheme="majorHAnsi" w:cstheme="majorHAnsi"/>
                <w:bCs/>
                <w:sz w:val="15"/>
                <w:szCs w:val="15"/>
              </w:rPr>
              <w:t xml:space="preserve">(but not from Part 23 if third party access is provided) </w:t>
            </w:r>
            <w:r w:rsidR="00D069CF">
              <w:rPr>
                <w:rFonts w:asciiTheme="majorHAnsi" w:hAnsiTheme="majorHAnsi" w:cstheme="majorHAnsi"/>
                <w:bCs/>
                <w:sz w:val="15"/>
                <w:szCs w:val="15"/>
              </w:rPr>
              <w:t>available</w:t>
            </w:r>
            <w:r w:rsidRPr="00B759D9">
              <w:rPr>
                <w:rFonts w:asciiTheme="majorHAnsi" w:hAnsiTheme="majorHAnsi" w:cstheme="majorHAnsi"/>
                <w:bCs/>
                <w:sz w:val="15"/>
                <w:szCs w:val="15"/>
              </w:rPr>
              <w:t xml:space="preserve"> to new pipelines if the coverage test is not satisfied. </w:t>
            </w:r>
          </w:p>
        </w:tc>
        <w:tc>
          <w:tcPr>
            <w:tcW w:w="2399" w:type="dxa"/>
            <w:tcBorders>
              <w:top w:val="single" w:sz="8" w:space="0" w:color="auto"/>
              <w:left w:val="nil"/>
              <w:bottom w:val="single" w:sz="8" w:space="0" w:color="auto"/>
              <w:right w:val="single" w:sz="8" w:space="0" w:color="auto"/>
            </w:tcBorders>
          </w:tcPr>
          <w:p w14:paraId="086E0566" w14:textId="77777777" w:rsidR="00574164" w:rsidRPr="00B759D9" w:rsidRDefault="00574164" w:rsidP="00F74086">
            <w:pPr>
              <w:pStyle w:val="TableBullet10"/>
              <w:numPr>
                <w:ilvl w:val="0"/>
                <w:numId w:val="26"/>
              </w:numPr>
              <w:spacing w:before="0" w:after="20" w:line="240" w:lineRule="auto"/>
              <w:ind w:right="0"/>
              <w:rPr>
                <w:rFonts w:asciiTheme="majorHAnsi" w:hAnsiTheme="majorHAnsi" w:cstheme="majorHAnsi"/>
                <w:sz w:val="15"/>
                <w:szCs w:val="15"/>
              </w:rPr>
            </w:pPr>
            <w:r w:rsidRPr="00B759D9">
              <w:rPr>
                <w:rFonts w:asciiTheme="majorHAnsi" w:hAnsiTheme="majorHAnsi" w:cstheme="majorHAnsi"/>
                <w:sz w:val="15"/>
                <w:szCs w:val="15"/>
              </w:rPr>
              <w:t>No specific exemptions, all pipelines are regulated subject to exemptions above.</w:t>
            </w:r>
          </w:p>
        </w:tc>
        <w:tc>
          <w:tcPr>
            <w:tcW w:w="2119" w:type="dxa"/>
            <w:tcBorders>
              <w:top w:val="single" w:sz="8" w:space="0" w:color="auto"/>
              <w:left w:val="nil"/>
              <w:bottom w:val="single" w:sz="8" w:space="0" w:color="auto"/>
              <w:right w:val="single" w:sz="8" w:space="0" w:color="auto"/>
            </w:tcBorders>
          </w:tcPr>
          <w:p w14:paraId="7FD1E188" w14:textId="77777777" w:rsidR="00574164" w:rsidRPr="00B759D9" w:rsidRDefault="00574164" w:rsidP="00F74086">
            <w:pPr>
              <w:pStyle w:val="TableBullet10"/>
              <w:numPr>
                <w:ilvl w:val="0"/>
                <w:numId w:val="25"/>
              </w:numPr>
              <w:spacing w:before="0" w:after="20" w:line="240" w:lineRule="auto"/>
              <w:ind w:right="0"/>
              <w:rPr>
                <w:rFonts w:asciiTheme="majorHAnsi" w:hAnsiTheme="majorHAnsi" w:cstheme="majorHAnsi"/>
                <w:sz w:val="15"/>
                <w:szCs w:val="15"/>
              </w:rPr>
            </w:pPr>
            <w:r w:rsidRPr="00B759D9">
              <w:rPr>
                <w:rFonts w:asciiTheme="majorHAnsi" w:hAnsiTheme="majorHAnsi" w:cstheme="majorHAnsi"/>
                <w:sz w:val="15"/>
                <w:szCs w:val="15"/>
              </w:rPr>
              <w:t>None</w:t>
            </w:r>
          </w:p>
        </w:tc>
        <w:tc>
          <w:tcPr>
            <w:tcW w:w="2258" w:type="dxa"/>
            <w:tcBorders>
              <w:top w:val="single" w:sz="8" w:space="0" w:color="auto"/>
              <w:left w:val="nil"/>
              <w:bottom w:val="single" w:sz="8" w:space="0" w:color="auto"/>
              <w:right w:val="single" w:sz="8" w:space="0" w:color="auto"/>
            </w:tcBorders>
          </w:tcPr>
          <w:p w14:paraId="31C6298D" w14:textId="77777777" w:rsidR="00574164" w:rsidRPr="00B759D9" w:rsidRDefault="00574164" w:rsidP="00F74086">
            <w:pPr>
              <w:pStyle w:val="TableBullet10"/>
              <w:numPr>
                <w:ilvl w:val="0"/>
                <w:numId w:val="26"/>
              </w:numPr>
              <w:spacing w:before="0" w:after="20" w:line="240" w:lineRule="auto"/>
              <w:ind w:right="0"/>
              <w:rPr>
                <w:rFonts w:asciiTheme="majorHAnsi" w:hAnsiTheme="majorHAnsi" w:cstheme="majorHAnsi"/>
                <w:sz w:val="15"/>
                <w:szCs w:val="15"/>
              </w:rPr>
            </w:pPr>
            <w:r w:rsidRPr="00B759D9">
              <w:rPr>
                <w:rFonts w:asciiTheme="majorHAnsi" w:hAnsiTheme="majorHAnsi" w:cstheme="majorHAnsi"/>
                <w:sz w:val="15"/>
                <w:szCs w:val="15"/>
              </w:rPr>
              <w:t>None.</w:t>
            </w:r>
          </w:p>
        </w:tc>
        <w:tc>
          <w:tcPr>
            <w:tcW w:w="4071" w:type="dxa"/>
            <w:gridSpan w:val="2"/>
            <w:tcBorders>
              <w:top w:val="single" w:sz="8" w:space="0" w:color="auto"/>
              <w:left w:val="nil"/>
              <w:bottom w:val="single" w:sz="8" w:space="0" w:color="auto"/>
              <w:right w:val="single" w:sz="8" w:space="0" w:color="auto"/>
            </w:tcBorders>
          </w:tcPr>
          <w:p w14:paraId="1A34C58A" w14:textId="77777777" w:rsidR="00574164" w:rsidRPr="00B759D9" w:rsidRDefault="00574164" w:rsidP="007847F2">
            <w:pPr>
              <w:pStyle w:val="TableBullet10"/>
              <w:numPr>
                <w:ilvl w:val="0"/>
                <w:numId w:val="0"/>
              </w:numPr>
              <w:spacing w:before="0" w:after="20" w:line="240" w:lineRule="auto"/>
              <w:ind w:left="85" w:right="0"/>
              <w:rPr>
                <w:rFonts w:asciiTheme="majorHAnsi" w:hAnsiTheme="majorHAnsi" w:cstheme="majorHAnsi"/>
                <w:sz w:val="15"/>
                <w:szCs w:val="15"/>
              </w:rPr>
            </w:pPr>
            <w:r w:rsidRPr="00B759D9">
              <w:rPr>
                <w:rFonts w:asciiTheme="majorHAnsi" w:hAnsiTheme="majorHAnsi" w:cstheme="majorHAnsi"/>
                <w:sz w:val="15"/>
                <w:szCs w:val="15"/>
              </w:rPr>
              <w:t xml:space="preserve">Third Party Access exemptions.  To qualify: </w:t>
            </w:r>
          </w:p>
          <w:p w14:paraId="758B0543"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“the investment must enhance competition in gas supply and enhance security of supply;</w:t>
            </w:r>
          </w:p>
          <w:p w14:paraId="7155DC24"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the level of risk attached to the investment must be such that the investment would not take place unless an exemption was granted;</w:t>
            </w:r>
          </w:p>
          <w:p w14:paraId="05EB3436"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the infrastructure must be owned by a natural or legal person which is separate at least in terms of its legal form from the system operators in whose systems that infrastructure will be built;</w:t>
            </w:r>
          </w:p>
          <w:p w14:paraId="2B3EBB15" w14:textId="403C146E"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charges must be levied on users of that infrastructure; </w:t>
            </w:r>
          </w:p>
          <w:p w14:paraId="209BE8B3"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the exemption must not be detrimental to competition or the effective functioning of the internal natural gas market, or the efficient functioning of the regulated system to which it is connected.”</w:t>
            </w:r>
          </w:p>
        </w:tc>
      </w:tr>
      <w:tr w:rsidR="00C30B80" w:rsidRPr="00B759D9" w14:paraId="7A7A8454" w14:textId="77777777" w:rsidTr="00E945FF">
        <w:tc>
          <w:tcPr>
            <w:tcW w:w="14255" w:type="dxa"/>
            <w:gridSpan w:val="7"/>
            <w:tcBorders>
              <w:top w:val="single" w:sz="8" w:space="0" w:color="auto"/>
              <w:left w:val="single" w:sz="8" w:space="0" w:color="auto"/>
              <w:bottom w:val="single" w:sz="8" w:space="0" w:color="auto"/>
              <w:right w:val="single" w:sz="8" w:space="0" w:color="auto"/>
            </w:tcBorders>
            <w:shd w:val="clear" w:color="auto" w:fill="65697F" w:themeFill="background2" w:themeFillShade="80"/>
            <w:tcMar>
              <w:top w:w="0" w:type="dxa"/>
              <w:left w:w="108" w:type="dxa"/>
              <w:bottom w:w="0" w:type="dxa"/>
              <w:right w:w="108" w:type="dxa"/>
            </w:tcMar>
          </w:tcPr>
          <w:p w14:paraId="27AB8783" w14:textId="77777777" w:rsidR="00C30B80" w:rsidRPr="00B759D9" w:rsidRDefault="00C30B80" w:rsidP="00F74086">
            <w:pPr>
              <w:pStyle w:val="TableBullet10"/>
              <w:numPr>
                <w:ilvl w:val="0"/>
                <w:numId w:val="0"/>
              </w:numPr>
              <w:spacing w:before="20" w:after="20"/>
              <w:ind w:left="215" w:hanging="215"/>
              <w:jc w:val="center"/>
              <w:rPr>
                <w:rFonts w:asciiTheme="majorHAnsi" w:hAnsiTheme="majorHAnsi" w:cstheme="majorHAnsi"/>
                <w:color w:val="FFFFFF" w:themeColor="background1"/>
                <w:sz w:val="15"/>
                <w:szCs w:val="15"/>
              </w:rPr>
            </w:pPr>
            <w:r w:rsidRPr="00B759D9">
              <w:rPr>
                <w:rFonts w:asciiTheme="majorHAnsi" w:hAnsiTheme="majorHAnsi" w:cstheme="majorHAnsi"/>
                <w:b/>
                <w:color w:val="FFFFFF" w:themeColor="background1"/>
                <w:sz w:val="15"/>
                <w:szCs w:val="15"/>
              </w:rPr>
              <w:t>Regulatory approach</w:t>
            </w:r>
            <w:r w:rsidR="00E83F7D" w:rsidRPr="00B759D9">
              <w:rPr>
                <w:rFonts w:asciiTheme="majorHAnsi" w:hAnsiTheme="majorHAnsi" w:cstheme="majorHAnsi"/>
                <w:b/>
                <w:color w:val="FFFFFF" w:themeColor="background1"/>
                <w:sz w:val="15"/>
                <w:szCs w:val="15"/>
              </w:rPr>
              <w:t xml:space="preserve"> to monopoly pricing and </w:t>
            </w:r>
            <w:r w:rsidR="00CD5DD0" w:rsidRPr="00B759D9">
              <w:rPr>
                <w:rFonts w:asciiTheme="majorHAnsi" w:hAnsiTheme="majorHAnsi" w:cstheme="majorHAnsi"/>
                <w:b/>
                <w:color w:val="FFFFFF" w:themeColor="background1"/>
                <w:sz w:val="15"/>
                <w:szCs w:val="15"/>
              </w:rPr>
              <w:t xml:space="preserve">denial of access </w:t>
            </w:r>
          </w:p>
        </w:tc>
      </w:tr>
      <w:tr w:rsidR="00574164" w:rsidRPr="00B759D9" w14:paraId="40EAE761" w14:textId="77777777" w:rsidTr="00E945FF">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337F41" w14:textId="77777777" w:rsidR="00574164" w:rsidRPr="00B759D9" w:rsidRDefault="00772E8F" w:rsidP="00F74086">
            <w:pPr>
              <w:spacing w:after="20" w:line="240" w:lineRule="auto"/>
              <w:rPr>
                <w:rFonts w:asciiTheme="majorHAnsi" w:hAnsiTheme="majorHAnsi" w:cstheme="majorHAnsi"/>
                <w:b/>
                <w:sz w:val="15"/>
                <w:szCs w:val="15"/>
              </w:rPr>
            </w:pPr>
            <w:r w:rsidRPr="00B759D9">
              <w:rPr>
                <w:rFonts w:asciiTheme="majorHAnsi" w:hAnsiTheme="majorHAnsi" w:cstheme="majorHAnsi"/>
                <w:b/>
                <w:sz w:val="15"/>
                <w:szCs w:val="15"/>
              </w:rPr>
              <w:t>Ex ante p</w:t>
            </w:r>
            <w:r w:rsidR="00574164" w:rsidRPr="00B759D9">
              <w:rPr>
                <w:rFonts w:asciiTheme="majorHAnsi" w:hAnsiTheme="majorHAnsi" w:cstheme="majorHAnsi"/>
                <w:b/>
                <w:sz w:val="15"/>
                <w:szCs w:val="15"/>
              </w:rPr>
              <w:t>rice controls for primary capacity</w:t>
            </w:r>
          </w:p>
        </w:tc>
        <w:tc>
          <w:tcPr>
            <w:tcW w:w="2271" w:type="dxa"/>
            <w:tcBorders>
              <w:top w:val="single" w:sz="8" w:space="0" w:color="auto"/>
              <w:left w:val="single" w:sz="8" w:space="0" w:color="auto"/>
              <w:bottom w:val="single" w:sz="8" w:space="0" w:color="auto"/>
              <w:right w:val="single" w:sz="8" w:space="0" w:color="auto"/>
            </w:tcBorders>
            <w:shd w:val="clear" w:color="auto" w:fill="E1E2E7" w:themeFill="background2"/>
          </w:tcPr>
          <w:p w14:paraId="57A5BA74" w14:textId="77777777" w:rsidR="00574164" w:rsidRPr="00B759D9" w:rsidRDefault="00772E8F"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bCs/>
                <w:sz w:val="15"/>
                <w:szCs w:val="15"/>
              </w:rPr>
              <w:t xml:space="preserve">Full regulation: </w:t>
            </w:r>
            <w:r w:rsidRPr="00B759D9">
              <w:rPr>
                <w:rFonts w:asciiTheme="majorHAnsi" w:hAnsiTheme="majorHAnsi" w:cstheme="majorHAnsi"/>
                <w:sz w:val="15"/>
                <w:szCs w:val="15"/>
              </w:rPr>
              <w:t>building block model used to determine prices for reference services, but parties may agree to alternative prices.</w:t>
            </w:r>
          </w:p>
          <w:p w14:paraId="0BEEC5D1" w14:textId="77777777" w:rsidR="00772E8F" w:rsidRPr="00B759D9" w:rsidRDefault="00772E8F" w:rsidP="007847F2">
            <w:pPr>
              <w:pStyle w:val="TableBullet10"/>
              <w:numPr>
                <w:ilvl w:val="0"/>
                <w:numId w:val="26"/>
              </w:numPr>
              <w:spacing w:before="0" w:after="20" w:line="240" w:lineRule="auto"/>
              <w:ind w:left="300" w:right="0" w:hanging="215"/>
              <w:rPr>
                <w:rFonts w:asciiTheme="majorHAnsi" w:hAnsiTheme="majorHAnsi" w:cstheme="majorHAnsi"/>
                <w:bCs/>
                <w:sz w:val="15"/>
                <w:szCs w:val="15"/>
              </w:rPr>
            </w:pPr>
            <w:r w:rsidRPr="00B759D9">
              <w:rPr>
                <w:rFonts w:asciiTheme="majorHAnsi" w:hAnsiTheme="majorHAnsi" w:cstheme="majorHAnsi"/>
                <w:sz w:val="15"/>
                <w:szCs w:val="15"/>
              </w:rPr>
              <w:t>Light regulation and Part 23: no</w:t>
            </w:r>
            <w:r w:rsidRPr="00B759D9">
              <w:rPr>
                <w:rFonts w:asciiTheme="majorHAnsi" w:hAnsiTheme="majorHAnsi" w:cstheme="majorHAnsi"/>
                <w:bCs/>
                <w:sz w:val="15"/>
                <w:szCs w:val="15"/>
              </w:rPr>
              <w:t xml:space="preserve"> ex ante controls.</w:t>
            </w:r>
          </w:p>
        </w:tc>
        <w:tc>
          <w:tcPr>
            <w:tcW w:w="2399" w:type="dxa"/>
            <w:tcBorders>
              <w:top w:val="nil"/>
              <w:left w:val="nil"/>
              <w:bottom w:val="single" w:sz="8" w:space="0" w:color="auto"/>
              <w:right w:val="single" w:sz="8" w:space="0" w:color="auto"/>
            </w:tcBorders>
          </w:tcPr>
          <w:p w14:paraId="622795F3"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Revenue cap + pricing principles</w:t>
            </w:r>
          </w:p>
        </w:tc>
        <w:tc>
          <w:tcPr>
            <w:tcW w:w="2119" w:type="dxa"/>
            <w:tcBorders>
              <w:top w:val="nil"/>
              <w:left w:val="nil"/>
              <w:bottom w:val="single" w:sz="8" w:space="0" w:color="auto"/>
              <w:right w:val="single" w:sz="8" w:space="0" w:color="auto"/>
            </w:tcBorders>
          </w:tcPr>
          <w:p w14:paraId="4158053D" w14:textId="77777777" w:rsidR="00574164"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Cost of Service including regulated rate of return.</w:t>
            </w:r>
          </w:p>
          <w:p w14:paraId="31D4152F" w14:textId="77777777" w:rsidR="00E945FF" w:rsidRDefault="00E945FF" w:rsidP="00E945FF">
            <w:pPr>
              <w:pStyle w:val="BodyText"/>
              <w:rPr>
                <w:rFonts w:asciiTheme="majorHAnsi" w:hAnsiTheme="majorHAnsi" w:cstheme="majorHAnsi"/>
                <w:sz w:val="15"/>
                <w:szCs w:val="15"/>
              </w:rPr>
            </w:pPr>
          </w:p>
          <w:p w14:paraId="23B07FDE" w14:textId="7E522EA3" w:rsidR="00E945FF" w:rsidRPr="00E945FF" w:rsidRDefault="00E945FF" w:rsidP="00E945FF">
            <w:pPr>
              <w:pStyle w:val="BodyText"/>
              <w:jc w:val="center"/>
            </w:pPr>
          </w:p>
        </w:tc>
        <w:tc>
          <w:tcPr>
            <w:tcW w:w="2258" w:type="dxa"/>
            <w:tcBorders>
              <w:top w:val="nil"/>
              <w:left w:val="nil"/>
              <w:bottom w:val="single" w:sz="8" w:space="0" w:color="auto"/>
              <w:right w:val="single" w:sz="8" w:space="0" w:color="auto"/>
            </w:tcBorders>
          </w:tcPr>
          <w:p w14:paraId="45263367"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Cost of service including regulated rate of return.</w:t>
            </w:r>
          </w:p>
        </w:tc>
        <w:tc>
          <w:tcPr>
            <w:tcW w:w="1902" w:type="dxa"/>
            <w:tcBorders>
              <w:top w:val="nil"/>
              <w:left w:val="nil"/>
              <w:bottom w:val="single" w:sz="8" w:space="0" w:color="auto"/>
              <w:right w:val="single" w:sz="8" w:space="0" w:color="auto"/>
            </w:tcBorders>
          </w:tcPr>
          <w:p w14:paraId="658EC265" w14:textId="77777777" w:rsidR="00574164" w:rsidRPr="00B759D9" w:rsidRDefault="00574164" w:rsidP="007847F2">
            <w:pPr>
              <w:pStyle w:val="TableBullet10"/>
              <w:numPr>
                <w:ilvl w:val="0"/>
                <w:numId w:val="24"/>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Varies across countries.  Commonly, based on an ex-ante revenue/price cap set by relevant regulator. EU legislation requires price controls to set tariffs in line with costs of “efficient operator”.</w:t>
            </w:r>
          </w:p>
        </w:tc>
        <w:tc>
          <w:tcPr>
            <w:tcW w:w="2169" w:type="dxa"/>
            <w:tcBorders>
              <w:top w:val="nil"/>
              <w:left w:val="nil"/>
              <w:bottom w:val="single" w:sz="8" w:space="0" w:color="auto"/>
              <w:right w:val="single" w:sz="8" w:space="0" w:color="auto"/>
            </w:tcBorders>
          </w:tcPr>
          <w:p w14:paraId="30C47D93" w14:textId="77777777" w:rsidR="00574164" w:rsidRPr="00B759D9" w:rsidRDefault="00574164" w:rsidP="007847F2">
            <w:pPr>
              <w:pStyle w:val="TableBullet10"/>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National Grid (NGG) sets entry and exit charges based on the revenue cap formulae set out in its licence at periodic price controls by Ofgem (RIIO-T1).</w:t>
            </w:r>
          </w:p>
          <w:p w14:paraId="7D1244EB" w14:textId="77777777" w:rsidR="00574164" w:rsidRPr="00B759D9" w:rsidRDefault="00574164" w:rsidP="007847F2">
            <w:pPr>
              <w:pStyle w:val="TableBullet10"/>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NTS transportation charges should be set to recover 50% of allowed revenues from entry charges and 50% from exit charges.  </w:t>
            </w:r>
          </w:p>
        </w:tc>
      </w:tr>
      <w:tr w:rsidR="00574164" w:rsidRPr="00B759D9" w14:paraId="1CA9E494" w14:textId="77777777" w:rsidTr="00E945FF">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BB3F65" w14:textId="77777777" w:rsidR="00574164" w:rsidRPr="00B759D9" w:rsidRDefault="00574164" w:rsidP="00F74086">
            <w:pPr>
              <w:spacing w:after="20" w:line="240" w:lineRule="auto"/>
              <w:rPr>
                <w:rFonts w:asciiTheme="majorHAnsi" w:hAnsiTheme="majorHAnsi" w:cstheme="majorHAnsi"/>
                <w:b/>
                <w:sz w:val="15"/>
                <w:szCs w:val="15"/>
              </w:rPr>
            </w:pPr>
            <w:r w:rsidRPr="00B759D9">
              <w:rPr>
                <w:rFonts w:asciiTheme="majorHAnsi" w:hAnsiTheme="majorHAnsi" w:cstheme="majorHAnsi"/>
                <w:b/>
                <w:sz w:val="15"/>
                <w:szCs w:val="15"/>
              </w:rPr>
              <w:t>Constraints on negotiation/</w:t>
            </w:r>
            <w:r w:rsidRPr="00B759D9">
              <w:rPr>
                <w:rFonts w:asciiTheme="majorHAnsi" w:hAnsiTheme="majorHAnsi" w:cstheme="majorHAnsi"/>
                <w:b/>
                <w:sz w:val="15"/>
                <w:szCs w:val="15"/>
              </w:rPr>
              <w:br/>
              <w:t>flexibility around regulated primary capacity prices</w:t>
            </w:r>
          </w:p>
        </w:tc>
        <w:tc>
          <w:tcPr>
            <w:tcW w:w="2271" w:type="dxa"/>
            <w:tcBorders>
              <w:top w:val="single" w:sz="8" w:space="0" w:color="auto"/>
              <w:left w:val="single" w:sz="8" w:space="0" w:color="auto"/>
              <w:bottom w:val="single" w:sz="8" w:space="0" w:color="auto"/>
              <w:right w:val="single" w:sz="8" w:space="0" w:color="auto"/>
            </w:tcBorders>
            <w:shd w:val="clear" w:color="auto" w:fill="E1E2E7" w:themeFill="background2"/>
          </w:tcPr>
          <w:p w14:paraId="407BC049" w14:textId="77777777" w:rsidR="00F74086" w:rsidRDefault="004F4B06" w:rsidP="007847F2">
            <w:pPr>
              <w:pStyle w:val="TableBullet10"/>
              <w:numPr>
                <w:ilvl w:val="0"/>
                <w:numId w:val="25"/>
              </w:numPr>
              <w:spacing w:before="0" w:after="20" w:line="240" w:lineRule="auto"/>
              <w:ind w:left="300" w:right="0" w:hanging="215"/>
              <w:rPr>
                <w:rFonts w:asciiTheme="majorHAnsi" w:hAnsiTheme="majorHAnsi" w:cstheme="majorHAnsi"/>
                <w:bCs/>
                <w:sz w:val="15"/>
                <w:szCs w:val="15"/>
              </w:rPr>
            </w:pPr>
            <w:r w:rsidRPr="00B759D9">
              <w:rPr>
                <w:rFonts w:asciiTheme="majorHAnsi" w:hAnsiTheme="majorHAnsi" w:cstheme="majorHAnsi"/>
                <w:bCs/>
                <w:sz w:val="15"/>
                <w:szCs w:val="15"/>
              </w:rPr>
              <w:t xml:space="preserve">Full regulation: </w:t>
            </w:r>
            <w:r w:rsidR="00F74086">
              <w:rPr>
                <w:rFonts w:asciiTheme="majorHAnsi" w:hAnsiTheme="majorHAnsi" w:cstheme="majorHAnsi"/>
                <w:bCs/>
                <w:sz w:val="15"/>
                <w:szCs w:val="15"/>
              </w:rPr>
              <w:t>S</w:t>
            </w:r>
            <w:r w:rsidR="0026409B" w:rsidRPr="00B759D9">
              <w:rPr>
                <w:rFonts w:asciiTheme="majorHAnsi" w:hAnsiTheme="majorHAnsi" w:cstheme="majorHAnsi"/>
                <w:bCs/>
                <w:sz w:val="15"/>
                <w:szCs w:val="15"/>
              </w:rPr>
              <w:t xml:space="preserve">ervice providers </w:t>
            </w:r>
            <w:r w:rsidRPr="00B759D9">
              <w:rPr>
                <w:rFonts w:asciiTheme="majorHAnsi" w:hAnsiTheme="majorHAnsi" w:cstheme="majorHAnsi"/>
                <w:bCs/>
                <w:sz w:val="15"/>
                <w:szCs w:val="15"/>
              </w:rPr>
              <w:t xml:space="preserve">and users of full regulation pipelines </w:t>
            </w:r>
            <w:r w:rsidR="00F74086">
              <w:rPr>
                <w:rFonts w:asciiTheme="majorHAnsi" w:hAnsiTheme="majorHAnsi" w:cstheme="majorHAnsi"/>
                <w:bCs/>
                <w:sz w:val="15"/>
                <w:szCs w:val="15"/>
              </w:rPr>
              <w:t xml:space="preserve">can </w:t>
            </w:r>
            <w:r w:rsidRPr="00B759D9">
              <w:rPr>
                <w:rFonts w:asciiTheme="majorHAnsi" w:hAnsiTheme="majorHAnsi" w:cstheme="majorHAnsi"/>
                <w:bCs/>
                <w:sz w:val="15"/>
                <w:szCs w:val="15"/>
              </w:rPr>
              <w:t xml:space="preserve">agree to different price and non-price terms to those set out in the </w:t>
            </w:r>
            <w:r w:rsidR="005A1AB7">
              <w:rPr>
                <w:rFonts w:asciiTheme="majorHAnsi" w:hAnsiTheme="majorHAnsi" w:cstheme="majorHAnsi"/>
                <w:bCs/>
                <w:sz w:val="15"/>
                <w:szCs w:val="15"/>
              </w:rPr>
              <w:t>AA</w:t>
            </w:r>
            <w:r w:rsidRPr="00B759D9">
              <w:rPr>
                <w:rFonts w:asciiTheme="majorHAnsi" w:hAnsiTheme="majorHAnsi" w:cstheme="majorHAnsi"/>
                <w:bCs/>
                <w:sz w:val="15"/>
                <w:szCs w:val="15"/>
              </w:rPr>
              <w:t>.</w:t>
            </w:r>
          </w:p>
          <w:p w14:paraId="668C8C01" w14:textId="77777777" w:rsidR="004F4B06" w:rsidRPr="00B759D9" w:rsidRDefault="004F4B06" w:rsidP="007847F2">
            <w:pPr>
              <w:pStyle w:val="TableBullet10"/>
              <w:numPr>
                <w:ilvl w:val="0"/>
                <w:numId w:val="25"/>
              </w:numPr>
              <w:spacing w:before="0" w:after="20" w:line="240" w:lineRule="auto"/>
              <w:ind w:left="300" w:right="0" w:hanging="215"/>
              <w:rPr>
                <w:rFonts w:asciiTheme="majorHAnsi" w:hAnsiTheme="majorHAnsi" w:cstheme="majorHAnsi"/>
                <w:bCs/>
                <w:sz w:val="15"/>
                <w:szCs w:val="15"/>
              </w:rPr>
            </w:pPr>
            <w:r w:rsidRPr="00B759D9">
              <w:rPr>
                <w:rFonts w:asciiTheme="majorHAnsi" w:hAnsiTheme="majorHAnsi" w:cstheme="majorHAnsi"/>
                <w:bCs/>
                <w:sz w:val="15"/>
                <w:szCs w:val="15"/>
              </w:rPr>
              <w:t>Light regulation and Part 23:</w:t>
            </w:r>
          </w:p>
        </w:tc>
        <w:tc>
          <w:tcPr>
            <w:tcW w:w="2399" w:type="dxa"/>
            <w:tcBorders>
              <w:top w:val="nil"/>
              <w:left w:val="nil"/>
              <w:bottom w:val="single" w:sz="8" w:space="0" w:color="auto"/>
              <w:right w:val="single" w:sz="8" w:space="0" w:color="auto"/>
            </w:tcBorders>
          </w:tcPr>
          <w:p w14:paraId="38E3FA40" w14:textId="5BE8A5F0" w:rsidR="00574164" w:rsidRPr="00B759D9" w:rsidRDefault="00574164" w:rsidP="007847F2">
            <w:pPr>
              <w:pStyle w:val="TableBullet10"/>
              <w:numPr>
                <w:ilvl w:val="0"/>
                <w:numId w:val="0"/>
              </w:numPr>
              <w:spacing w:before="0" w:after="20" w:line="240" w:lineRule="auto"/>
              <w:ind w:left="85" w:right="0"/>
              <w:rPr>
                <w:rFonts w:asciiTheme="majorHAnsi" w:hAnsiTheme="majorHAnsi" w:cstheme="majorHAnsi"/>
                <w:sz w:val="15"/>
                <w:szCs w:val="15"/>
              </w:rPr>
            </w:pPr>
            <w:r w:rsidRPr="00B759D9">
              <w:rPr>
                <w:rFonts w:asciiTheme="majorHAnsi" w:hAnsiTheme="majorHAnsi" w:cstheme="majorHAnsi"/>
                <w:sz w:val="15"/>
                <w:szCs w:val="15"/>
              </w:rPr>
              <w:t>Regulatory regime does not limit pricing flexibility, other than through pricing principles and information disclosure requirements. New transmission code permits “non-standard” agreements, which are expected to cover ~22% of 2019/20 revenue.</w:t>
            </w:r>
          </w:p>
        </w:tc>
        <w:tc>
          <w:tcPr>
            <w:tcW w:w="2119" w:type="dxa"/>
            <w:tcBorders>
              <w:top w:val="nil"/>
              <w:left w:val="nil"/>
              <w:bottom w:val="single" w:sz="8" w:space="0" w:color="auto"/>
              <w:right w:val="single" w:sz="8" w:space="0" w:color="auto"/>
            </w:tcBorders>
          </w:tcPr>
          <w:p w14:paraId="1D0434B5"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Shippers free to negotiate different rates with pipelines, but negotiated rates must be disclosed.  </w:t>
            </w:r>
          </w:p>
          <w:p w14:paraId="4566B3DC"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Cost-based reference price available.</w:t>
            </w:r>
          </w:p>
        </w:tc>
        <w:tc>
          <w:tcPr>
            <w:tcW w:w="2258" w:type="dxa"/>
            <w:tcBorders>
              <w:top w:val="nil"/>
              <w:left w:val="nil"/>
              <w:bottom w:val="single" w:sz="8" w:space="0" w:color="auto"/>
              <w:right w:val="single" w:sz="8" w:space="0" w:color="auto"/>
            </w:tcBorders>
          </w:tcPr>
          <w:p w14:paraId="100EC9EE"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Shippers free to negotiate different rates with pipelines, but negotiated rates must be disclosed.  </w:t>
            </w:r>
          </w:p>
          <w:p w14:paraId="22655C1F"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Cost-based reference price available.</w:t>
            </w:r>
          </w:p>
        </w:tc>
        <w:tc>
          <w:tcPr>
            <w:tcW w:w="1902" w:type="dxa"/>
            <w:tcBorders>
              <w:top w:val="nil"/>
              <w:left w:val="nil"/>
              <w:bottom w:val="single" w:sz="8" w:space="0" w:color="auto"/>
              <w:right w:val="single" w:sz="8" w:space="0" w:color="auto"/>
            </w:tcBorders>
          </w:tcPr>
          <w:p w14:paraId="258BCEA1"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b/>
                <w:sz w:val="15"/>
                <w:szCs w:val="15"/>
              </w:rPr>
            </w:pPr>
            <w:r w:rsidRPr="00B759D9">
              <w:rPr>
                <w:rFonts w:asciiTheme="majorHAnsi" w:hAnsiTheme="majorHAnsi" w:cstheme="majorHAnsi"/>
                <w:sz w:val="15"/>
                <w:szCs w:val="15"/>
              </w:rPr>
              <w:t xml:space="preserve">Standardised products sold in primary capacity auctions. </w:t>
            </w:r>
          </w:p>
          <w:p w14:paraId="7F82C742"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b/>
                <w:sz w:val="15"/>
                <w:szCs w:val="15"/>
              </w:rPr>
            </w:pPr>
            <w:r w:rsidRPr="00B759D9">
              <w:rPr>
                <w:rFonts w:asciiTheme="majorHAnsi" w:hAnsiTheme="majorHAnsi" w:cstheme="majorHAnsi"/>
                <w:sz w:val="15"/>
                <w:szCs w:val="15"/>
              </w:rPr>
              <w:t xml:space="preserve">Common products across customers. </w:t>
            </w:r>
          </w:p>
        </w:tc>
        <w:tc>
          <w:tcPr>
            <w:tcW w:w="2169" w:type="dxa"/>
            <w:tcBorders>
              <w:top w:val="nil"/>
              <w:left w:val="nil"/>
              <w:bottom w:val="single" w:sz="8" w:space="0" w:color="auto"/>
              <w:right w:val="single" w:sz="8" w:space="0" w:color="auto"/>
            </w:tcBorders>
          </w:tcPr>
          <w:p w14:paraId="572327D6"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b/>
                <w:sz w:val="15"/>
                <w:szCs w:val="15"/>
              </w:rPr>
            </w:pPr>
            <w:r w:rsidRPr="00B759D9">
              <w:rPr>
                <w:rFonts w:asciiTheme="majorHAnsi" w:hAnsiTheme="majorHAnsi" w:cstheme="majorHAnsi"/>
                <w:sz w:val="15"/>
                <w:szCs w:val="15"/>
              </w:rPr>
              <w:t xml:space="preserve">Standardised products sold in primary capacity auctions. </w:t>
            </w:r>
          </w:p>
          <w:p w14:paraId="7ABC1621"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b/>
                <w:sz w:val="15"/>
                <w:szCs w:val="15"/>
              </w:rPr>
            </w:pPr>
            <w:r w:rsidRPr="00B759D9">
              <w:rPr>
                <w:rFonts w:asciiTheme="majorHAnsi" w:hAnsiTheme="majorHAnsi" w:cstheme="majorHAnsi"/>
                <w:sz w:val="15"/>
                <w:szCs w:val="15"/>
              </w:rPr>
              <w:t>Common products across customers.</w:t>
            </w:r>
          </w:p>
        </w:tc>
      </w:tr>
      <w:tr w:rsidR="00574164" w:rsidRPr="00B759D9" w14:paraId="075E0895" w14:textId="77777777" w:rsidTr="00E945FF">
        <w:trPr>
          <w:trHeight w:val="681"/>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B2CD85" w14:textId="77777777" w:rsidR="00574164" w:rsidRPr="00B759D9" w:rsidRDefault="00574164" w:rsidP="00F74086">
            <w:pPr>
              <w:spacing w:after="20" w:line="240" w:lineRule="auto"/>
              <w:rPr>
                <w:rFonts w:asciiTheme="majorHAnsi" w:hAnsiTheme="majorHAnsi" w:cstheme="majorHAnsi"/>
                <w:b/>
                <w:sz w:val="15"/>
                <w:szCs w:val="15"/>
              </w:rPr>
            </w:pPr>
            <w:r w:rsidRPr="00B759D9">
              <w:rPr>
                <w:rFonts w:asciiTheme="majorHAnsi" w:hAnsiTheme="majorHAnsi" w:cstheme="majorHAnsi"/>
                <w:b/>
                <w:sz w:val="15"/>
                <w:szCs w:val="15"/>
              </w:rPr>
              <w:lastRenderedPageBreak/>
              <w:t xml:space="preserve">Use of binding arbitration or negotiated settlements as alternative to </w:t>
            </w:r>
            <w:r w:rsidR="004F4B06" w:rsidRPr="00B759D9">
              <w:rPr>
                <w:rFonts w:asciiTheme="majorHAnsi" w:hAnsiTheme="majorHAnsi" w:cstheme="majorHAnsi"/>
                <w:b/>
                <w:sz w:val="15"/>
                <w:szCs w:val="15"/>
              </w:rPr>
              <w:t>regulatory decisions</w:t>
            </w:r>
          </w:p>
        </w:tc>
        <w:tc>
          <w:tcPr>
            <w:tcW w:w="2271" w:type="dxa"/>
            <w:tcBorders>
              <w:top w:val="single" w:sz="8" w:space="0" w:color="auto"/>
              <w:left w:val="single" w:sz="8" w:space="0" w:color="auto"/>
              <w:bottom w:val="single" w:sz="8" w:space="0" w:color="auto"/>
              <w:right w:val="single" w:sz="8" w:space="0" w:color="auto"/>
            </w:tcBorders>
            <w:shd w:val="clear" w:color="auto" w:fill="E1E2E7" w:themeFill="background2"/>
          </w:tcPr>
          <w:p w14:paraId="3283334B" w14:textId="77777777" w:rsidR="00574164" w:rsidRPr="00B759D9" w:rsidRDefault="002A7E9C" w:rsidP="007847F2">
            <w:pPr>
              <w:pStyle w:val="TableBullet10"/>
              <w:numPr>
                <w:ilvl w:val="0"/>
                <w:numId w:val="25"/>
              </w:numPr>
              <w:spacing w:before="0" w:after="20" w:line="240" w:lineRule="auto"/>
              <w:ind w:left="300" w:right="0" w:hanging="215"/>
              <w:rPr>
                <w:rFonts w:asciiTheme="majorHAnsi" w:hAnsiTheme="majorHAnsi" w:cstheme="majorHAnsi"/>
                <w:bCs/>
                <w:sz w:val="15"/>
                <w:szCs w:val="15"/>
              </w:rPr>
            </w:pPr>
            <w:r w:rsidRPr="00B759D9">
              <w:rPr>
                <w:rFonts w:asciiTheme="majorHAnsi" w:hAnsiTheme="majorHAnsi" w:cstheme="majorHAnsi"/>
                <w:bCs/>
                <w:sz w:val="15"/>
                <w:szCs w:val="15"/>
              </w:rPr>
              <w:t xml:space="preserve">Arbitration </w:t>
            </w:r>
            <w:r w:rsidR="00D069CF">
              <w:rPr>
                <w:rFonts w:asciiTheme="majorHAnsi" w:hAnsiTheme="majorHAnsi" w:cstheme="majorHAnsi"/>
                <w:bCs/>
                <w:sz w:val="15"/>
                <w:szCs w:val="15"/>
              </w:rPr>
              <w:t>available</w:t>
            </w:r>
            <w:r w:rsidRPr="00B759D9">
              <w:rPr>
                <w:rFonts w:asciiTheme="majorHAnsi" w:hAnsiTheme="majorHAnsi" w:cstheme="majorHAnsi"/>
                <w:bCs/>
                <w:sz w:val="15"/>
                <w:szCs w:val="15"/>
              </w:rPr>
              <w:t xml:space="preserve"> under all forms of regulation. </w:t>
            </w:r>
          </w:p>
        </w:tc>
        <w:tc>
          <w:tcPr>
            <w:tcW w:w="2399" w:type="dxa"/>
            <w:tcBorders>
              <w:top w:val="nil"/>
              <w:left w:val="nil"/>
              <w:bottom w:val="single" w:sz="8" w:space="0" w:color="auto"/>
              <w:right w:val="single" w:sz="8" w:space="0" w:color="auto"/>
            </w:tcBorders>
          </w:tcPr>
          <w:p w14:paraId="6E53A520" w14:textId="77777777" w:rsidR="00574164" w:rsidRPr="00B759D9" w:rsidRDefault="00574164" w:rsidP="007847F2">
            <w:pPr>
              <w:pStyle w:val="TableBullet10"/>
              <w:numPr>
                <w:ilvl w:val="0"/>
                <w:numId w:val="0"/>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n.a.</w:t>
            </w:r>
          </w:p>
        </w:tc>
        <w:tc>
          <w:tcPr>
            <w:tcW w:w="2119" w:type="dxa"/>
            <w:tcBorders>
              <w:top w:val="nil"/>
              <w:left w:val="nil"/>
              <w:bottom w:val="single" w:sz="8" w:space="0" w:color="auto"/>
              <w:right w:val="single" w:sz="8" w:space="0" w:color="auto"/>
            </w:tcBorders>
          </w:tcPr>
          <w:p w14:paraId="19F2B783"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Binding arbitration does not exist. FERC rate cases can be “settled”. Negotiated settlements result in the regulator approved reference rate being made available to all users.</w:t>
            </w:r>
          </w:p>
        </w:tc>
        <w:tc>
          <w:tcPr>
            <w:tcW w:w="2258" w:type="dxa"/>
            <w:tcBorders>
              <w:top w:val="nil"/>
              <w:left w:val="nil"/>
              <w:bottom w:val="single" w:sz="8" w:space="0" w:color="auto"/>
              <w:right w:val="single" w:sz="8" w:space="0" w:color="auto"/>
            </w:tcBorders>
          </w:tcPr>
          <w:p w14:paraId="0F76CBDF"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Binding arbitration does not exist. NEB rate cases can however be “settled”. Negotiated settlements result in the regulator approved reference rate being made available to all users.</w:t>
            </w:r>
          </w:p>
        </w:tc>
        <w:tc>
          <w:tcPr>
            <w:tcW w:w="1902" w:type="dxa"/>
            <w:tcBorders>
              <w:top w:val="nil"/>
              <w:left w:val="nil"/>
              <w:bottom w:val="single" w:sz="8" w:space="0" w:color="auto"/>
              <w:right w:val="single" w:sz="8" w:space="0" w:color="auto"/>
            </w:tcBorders>
          </w:tcPr>
          <w:p w14:paraId="5B77F517" w14:textId="77777777" w:rsidR="00574164" w:rsidRPr="00B759D9" w:rsidRDefault="00574164" w:rsidP="007847F2">
            <w:pPr>
              <w:spacing w:after="20" w:line="240" w:lineRule="auto"/>
              <w:ind w:left="300" w:hanging="215"/>
              <w:rPr>
                <w:rFonts w:asciiTheme="majorHAnsi" w:hAnsiTheme="majorHAnsi" w:cstheme="majorHAnsi"/>
                <w:sz w:val="15"/>
                <w:szCs w:val="15"/>
              </w:rPr>
            </w:pPr>
            <w:r w:rsidRPr="00B759D9">
              <w:rPr>
                <w:rFonts w:asciiTheme="majorHAnsi" w:hAnsiTheme="majorHAnsi" w:cstheme="majorHAnsi"/>
                <w:sz w:val="15"/>
                <w:szCs w:val="15"/>
              </w:rPr>
              <w:t>n.a.</w:t>
            </w:r>
          </w:p>
        </w:tc>
        <w:tc>
          <w:tcPr>
            <w:tcW w:w="2169" w:type="dxa"/>
            <w:tcBorders>
              <w:top w:val="nil"/>
              <w:left w:val="nil"/>
              <w:bottom w:val="single" w:sz="8" w:space="0" w:color="auto"/>
              <w:right w:val="single" w:sz="8" w:space="0" w:color="auto"/>
            </w:tcBorders>
          </w:tcPr>
          <w:p w14:paraId="24024D59" w14:textId="77777777" w:rsidR="00574164" w:rsidRPr="00B759D9" w:rsidRDefault="00574164" w:rsidP="007847F2">
            <w:pPr>
              <w:spacing w:after="20" w:line="240" w:lineRule="auto"/>
              <w:ind w:left="300" w:hanging="215"/>
              <w:rPr>
                <w:rFonts w:asciiTheme="majorHAnsi" w:hAnsiTheme="majorHAnsi" w:cstheme="majorHAnsi"/>
                <w:sz w:val="15"/>
                <w:szCs w:val="15"/>
              </w:rPr>
            </w:pPr>
            <w:r w:rsidRPr="00B759D9">
              <w:rPr>
                <w:rFonts w:asciiTheme="majorHAnsi" w:hAnsiTheme="majorHAnsi" w:cstheme="majorHAnsi"/>
                <w:sz w:val="15"/>
                <w:szCs w:val="15"/>
              </w:rPr>
              <w:t>n.a.</w:t>
            </w:r>
          </w:p>
        </w:tc>
      </w:tr>
      <w:tr w:rsidR="00574164" w:rsidRPr="00B759D9" w14:paraId="06A71F0A" w14:textId="77777777" w:rsidTr="00E945FF">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7BE6EA" w14:textId="77777777" w:rsidR="00574164" w:rsidRPr="00B759D9" w:rsidRDefault="00574164" w:rsidP="00F74086">
            <w:pPr>
              <w:spacing w:after="20" w:line="240" w:lineRule="auto"/>
              <w:rPr>
                <w:rFonts w:asciiTheme="majorHAnsi" w:hAnsiTheme="majorHAnsi" w:cstheme="majorHAnsi"/>
                <w:b/>
                <w:sz w:val="15"/>
                <w:szCs w:val="15"/>
              </w:rPr>
            </w:pPr>
            <w:r w:rsidRPr="00B759D9">
              <w:rPr>
                <w:rFonts w:asciiTheme="majorHAnsi" w:hAnsiTheme="majorHAnsi" w:cstheme="majorHAnsi"/>
                <w:b/>
                <w:sz w:val="15"/>
                <w:szCs w:val="15"/>
              </w:rPr>
              <w:t>Role of information disclosure</w:t>
            </w:r>
          </w:p>
        </w:tc>
        <w:tc>
          <w:tcPr>
            <w:tcW w:w="2271" w:type="dxa"/>
            <w:tcBorders>
              <w:top w:val="single" w:sz="8" w:space="0" w:color="auto"/>
              <w:left w:val="single" w:sz="8" w:space="0" w:color="auto"/>
              <w:bottom w:val="single" w:sz="8" w:space="0" w:color="auto"/>
              <w:right w:val="single" w:sz="8" w:space="0" w:color="auto"/>
            </w:tcBorders>
            <w:shd w:val="clear" w:color="auto" w:fill="E1E2E7" w:themeFill="background2"/>
          </w:tcPr>
          <w:p w14:paraId="55566DFB" w14:textId="77777777" w:rsidR="00574164" w:rsidRPr="00B759D9" w:rsidRDefault="00171266" w:rsidP="007847F2">
            <w:pPr>
              <w:pStyle w:val="TableBullet10"/>
              <w:numPr>
                <w:ilvl w:val="0"/>
                <w:numId w:val="25"/>
              </w:numPr>
              <w:spacing w:before="0" w:after="20" w:line="240" w:lineRule="auto"/>
              <w:ind w:left="300" w:right="57" w:hanging="215"/>
              <w:rPr>
                <w:rFonts w:asciiTheme="majorHAnsi" w:hAnsiTheme="majorHAnsi" w:cstheme="majorHAnsi"/>
                <w:bCs/>
                <w:sz w:val="15"/>
                <w:szCs w:val="15"/>
              </w:rPr>
            </w:pPr>
            <w:r w:rsidRPr="00B759D9">
              <w:rPr>
                <w:rFonts w:asciiTheme="majorHAnsi" w:hAnsiTheme="majorHAnsi" w:cstheme="majorHAnsi"/>
                <w:bCs/>
                <w:sz w:val="15"/>
                <w:szCs w:val="15"/>
              </w:rPr>
              <w:t>D</w:t>
            </w:r>
            <w:r w:rsidR="002A7E9C" w:rsidRPr="00B759D9">
              <w:rPr>
                <w:rFonts w:asciiTheme="majorHAnsi" w:hAnsiTheme="majorHAnsi" w:cstheme="majorHAnsi"/>
                <w:bCs/>
                <w:sz w:val="15"/>
                <w:szCs w:val="15"/>
              </w:rPr>
              <w:t xml:space="preserve">isclosure intended to reduce asymmetries and facilitate more effective and timely negotiations. </w:t>
            </w:r>
          </w:p>
          <w:p w14:paraId="6FC62141" w14:textId="77777777" w:rsidR="001C602F" w:rsidRPr="00B759D9" w:rsidRDefault="00171266" w:rsidP="007847F2">
            <w:pPr>
              <w:pStyle w:val="TableBullet10"/>
              <w:numPr>
                <w:ilvl w:val="0"/>
                <w:numId w:val="25"/>
              </w:numPr>
              <w:spacing w:before="0" w:after="20" w:line="240" w:lineRule="auto"/>
              <w:ind w:left="300" w:right="57" w:hanging="215"/>
              <w:rPr>
                <w:rFonts w:asciiTheme="majorHAnsi" w:hAnsiTheme="majorHAnsi" w:cstheme="majorHAnsi"/>
                <w:sz w:val="15"/>
                <w:szCs w:val="15"/>
              </w:rPr>
            </w:pPr>
            <w:r w:rsidRPr="00B759D9">
              <w:rPr>
                <w:rFonts w:asciiTheme="majorHAnsi" w:hAnsiTheme="majorHAnsi" w:cstheme="majorHAnsi"/>
                <w:bCs/>
                <w:sz w:val="15"/>
                <w:szCs w:val="15"/>
              </w:rPr>
              <w:t>L</w:t>
            </w:r>
            <w:r w:rsidR="00F55F38" w:rsidRPr="00B759D9">
              <w:rPr>
                <w:rFonts w:asciiTheme="majorHAnsi" w:hAnsiTheme="majorHAnsi" w:cstheme="majorHAnsi"/>
                <w:bCs/>
                <w:sz w:val="15"/>
                <w:szCs w:val="15"/>
              </w:rPr>
              <w:t>ight regulation and Part 23</w:t>
            </w:r>
            <w:r w:rsidRPr="00B759D9">
              <w:rPr>
                <w:rFonts w:asciiTheme="majorHAnsi" w:hAnsiTheme="majorHAnsi" w:cstheme="majorHAnsi"/>
                <w:bCs/>
                <w:sz w:val="15"/>
                <w:szCs w:val="15"/>
              </w:rPr>
              <w:t>: Must disclose</w:t>
            </w:r>
            <w:r w:rsidR="00F55F38" w:rsidRPr="00B759D9">
              <w:rPr>
                <w:rFonts w:asciiTheme="majorHAnsi" w:hAnsiTheme="majorHAnsi" w:cstheme="majorHAnsi"/>
                <w:bCs/>
                <w:sz w:val="15"/>
                <w:szCs w:val="15"/>
              </w:rPr>
              <w:t xml:space="preserve"> </w:t>
            </w:r>
            <w:r w:rsidR="00AA3C6D" w:rsidRPr="00B759D9">
              <w:rPr>
                <w:rFonts w:asciiTheme="majorHAnsi" w:hAnsiTheme="majorHAnsi" w:cstheme="majorHAnsi"/>
                <w:sz w:val="15"/>
                <w:szCs w:val="15"/>
              </w:rPr>
              <w:t>price and non-price terms and conditions of access</w:t>
            </w:r>
            <w:r w:rsidR="00F55F38" w:rsidRPr="00B759D9">
              <w:rPr>
                <w:rFonts w:asciiTheme="majorHAnsi" w:hAnsiTheme="majorHAnsi" w:cstheme="majorHAnsi"/>
                <w:sz w:val="15"/>
                <w:szCs w:val="15"/>
              </w:rPr>
              <w:t>,</w:t>
            </w:r>
            <w:r w:rsidR="00AA3C6D" w:rsidRPr="00B759D9">
              <w:rPr>
                <w:rFonts w:asciiTheme="majorHAnsi" w:hAnsiTheme="majorHAnsi" w:cstheme="majorHAnsi"/>
                <w:sz w:val="15"/>
                <w:szCs w:val="15"/>
              </w:rPr>
              <w:t xml:space="preserve"> the </w:t>
            </w:r>
            <w:r w:rsidRPr="00B759D9">
              <w:rPr>
                <w:rFonts w:asciiTheme="majorHAnsi" w:hAnsiTheme="majorHAnsi" w:cstheme="majorHAnsi"/>
                <w:sz w:val="15"/>
                <w:szCs w:val="15"/>
              </w:rPr>
              <w:t xml:space="preserve">method </w:t>
            </w:r>
            <w:r w:rsidR="00AA3C6D" w:rsidRPr="00B759D9">
              <w:rPr>
                <w:rFonts w:asciiTheme="majorHAnsi" w:hAnsiTheme="majorHAnsi" w:cstheme="majorHAnsi"/>
                <w:sz w:val="15"/>
                <w:szCs w:val="15"/>
              </w:rPr>
              <w:t>used to calculate prices;</w:t>
            </w:r>
            <w:r w:rsidR="00D66094" w:rsidRPr="00B759D9">
              <w:rPr>
                <w:rFonts w:asciiTheme="majorHAnsi" w:hAnsiTheme="majorHAnsi" w:cstheme="majorHAnsi"/>
                <w:sz w:val="15"/>
                <w:szCs w:val="15"/>
              </w:rPr>
              <w:t xml:space="preserve"> </w:t>
            </w:r>
            <w:r w:rsidR="001B30C6" w:rsidRPr="00B759D9">
              <w:rPr>
                <w:rFonts w:asciiTheme="majorHAnsi" w:hAnsiTheme="majorHAnsi" w:cstheme="majorHAnsi"/>
                <w:sz w:val="15"/>
                <w:szCs w:val="15"/>
              </w:rPr>
              <w:t xml:space="preserve">a range of </w:t>
            </w:r>
            <w:r w:rsidR="00AA3C6D" w:rsidRPr="00B759D9">
              <w:rPr>
                <w:rFonts w:asciiTheme="majorHAnsi" w:hAnsiTheme="majorHAnsi" w:cstheme="majorHAnsi"/>
                <w:sz w:val="15"/>
                <w:szCs w:val="15"/>
              </w:rPr>
              <w:t>pipeline service information</w:t>
            </w:r>
            <w:r w:rsidR="001B30C6" w:rsidRPr="00B759D9">
              <w:rPr>
                <w:rFonts w:asciiTheme="majorHAnsi" w:hAnsiTheme="majorHAnsi" w:cstheme="majorHAnsi"/>
                <w:sz w:val="15"/>
                <w:szCs w:val="15"/>
              </w:rPr>
              <w:t xml:space="preserve">, </w:t>
            </w:r>
            <w:r w:rsidR="00AA3C6D" w:rsidRPr="00B759D9">
              <w:rPr>
                <w:rFonts w:asciiTheme="majorHAnsi" w:hAnsiTheme="majorHAnsi" w:cstheme="majorHAnsi"/>
                <w:sz w:val="15"/>
                <w:szCs w:val="15"/>
              </w:rPr>
              <w:t>financial and weighted average price information</w:t>
            </w:r>
            <w:r w:rsidR="00D66094" w:rsidRPr="00B759D9">
              <w:rPr>
                <w:rFonts w:asciiTheme="majorHAnsi" w:hAnsiTheme="majorHAnsi" w:cstheme="majorHAnsi"/>
                <w:sz w:val="15"/>
                <w:szCs w:val="15"/>
              </w:rPr>
              <w:t>.</w:t>
            </w:r>
          </w:p>
        </w:tc>
        <w:tc>
          <w:tcPr>
            <w:tcW w:w="2399" w:type="dxa"/>
            <w:tcBorders>
              <w:top w:val="nil"/>
              <w:left w:val="nil"/>
              <w:bottom w:val="single" w:sz="8" w:space="0" w:color="auto"/>
              <w:right w:val="single" w:sz="8" w:space="0" w:color="auto"/>
            </w:tcBorders>
          </w:tcPr>
          <w:p w14:paraId="1EF6AA1C"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Information disclosure is intended to allow interested persons to assess the effectiveness of the regime in achieving the statutory purpose. Principles such as cost allocation and asset valuation are relatively prescriptive.</w:t>
            </w:r>
          </w:p>
          <w:p w14:paraId="77E8B26F"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Metrics include operational and financial performance.</w:t>
            </w:r>
          </w:p>
        </w:tc>
        <w:tc>
          <w:tcPr>
            <w:tcW w:w="2119" w:type="dxa"/>
            <w:tcBorders>
              <w:top w:val="nil"/>
              <w:left w:val="nil"/>
              <w:bottom w:val="single" w:sz="8" w:space="0" w:color="auto"/>
              <w:right w:val="single" w:sz="8" w:space="0" w:color="auto"/>
            </w:tcBorders>
          </w:tcPr>
          <w:p w14:paraId="35124A5B"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To promote competition in pipeline development and allow regulators and shippers to review costs.  </w:t>
            </w:r>
          </w:p>
          <w:p w14:paraId="19BB4C9E"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All negotiated rates are disclosed to allow shippers to determine if they are being unduly discriminated against.</w:t>
            </w:r>
          </w:p>
        </w:tc>
        <w:tc>
          <w:tcPr>
            <w:tcW w:w="2258" w:type="dxa"/>
            <w:tcBorders>
              <w:top w:val="nil"/>
              <w:left w:val="nil"/>
              <w:bottom w:val="single" w:sz="8" w:space="0" w:color="auto"/>
              <w:right w:val="single" w:sz="8" w:space="0" w:color="auto"/>
            </w:tcBorders>
          </w:tcPr>
          <w:p w14:paraId="41770EC8"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Regulatory accounts similar to US but information disclosure looser because the NEB has not mandated that pipelines provide information to the market.</w:t>
            </w:r>
          </w:p>
        </w:tc>
        <w:tc>
          <w:tcPr>
            <w:tcW w:w="1902" w:type="dxa"/>
            <w:tcBorders>
              <w:top w:val="nil"/>
              <w:left w:val="nil"/>
              <w:bottom w:val="single" w:sz="8" w:space="0" w:color="auto"/>
              <w:right w:val="single" w:sz="8" w:space="0" w:color="auto"/>
            </w:tcBorders>
          </w:tcPr>
          <w:p w14:paraId="0F7EF024"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Varies across countries and national regulators.</w:t>
            </w:r>
          </w:p>
          <w:p w14:paraId="13CF549F"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Information disclosure intended to allow interested persons to assess the effectiveness of the regime in achieving the regulatory purpose.</w:t>
            </w:r>
          </w:p>
        </w:tc>
        <w:tc>
          <w:tcPr>
            <w:tcW w:w="2169" w:type="dxa"/>
            <w:tcBorders>
              <w:top w:val="nil"/>
              <w:left w:val="nil"/>
              <w:bottom w:val="single" w:sz="8" w:space="0" w:color="auto"/>
              <w:right w:val="single" w:sz="8" w:space="0" w:color="auto"/>
            </w:tcBorders>
          </w:tcPr>
          <w:p w14:paraId="13EE0C70"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Information disclosure is intended to allow interested persons to assess the effectiveness of the regime in achieving the regulatory purpose.</w:t>
            </w:r>
          </w:p>
          <w:p w14:paraId="2E5FF2C4"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Annual reports on gas transmission are released by Ofgem as part of the RIIO regime.</w:t>
            </w:r>
          </w:p>
          <w:p w14:paraId="31F10705"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Details performance across ‘key areas of delivery’ and financial performance. </w:t>
            </w:r>
          </w:p>
        </w:tc>
      </w:tr>
      <w:tr w:rsidR="00574164" w:rsidRPr="00B759D9" w14:paraId="0CF8222D" w14:textId="77777777" w:rsidTr="00E945FF">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5E7C67" w14:textId="77777777" w:rsidR="00574164" w:rsidRPr="00B759D9" w:rsidRDefault="00574164" w:rsidP="00F74086">
            <w:pPr>
              <w:spacing w:after="20" w:line="240" w:lineRule="auto"/>
              <w:rPr>
                <w:rFonts w:asciiTheme="majorHAnsi" w:hAnsiTheme="majorHAnsi" w:cstheme="majorHAnsi"/>
                <w:b/>
                <w:sz w:val="15"/>
                <w:szCs w:val="15"/>
              </w:rPr>
            </w:pPr>
            <w:r w:rsidRPr="00B759D9">
              <w:rPr>
                <w:rFonts w:asciiTheme="majorHAnsi" w:hAnsiTheme="majorHAnsi" w:cstheme="majorHAnsi"/>
                <w:b/>
                <w:sz w:val="15"/>
                <w:szCs w:val="15"/>
              </w:rPr>
              <w:t>Price discrimination amongst shippers permitted?</w:t>
            </w:r>
          </w:p>
        </w:tc>
        <w:tc>
          <w:tcPr>
            <w:tcW w:w="2271" w:type="dxa"/>
            <w:tcBorders>
              <w:top w:val="single" w:sz="8" w:space="0" w:color="auto"/>
              <w:left w:val="single" w:sz="8" w:space="0" w:color="auto"/>
              <w:bottom w:val="single" w:sz="8" w:space="0" w:color="auto"/>
              <w:right w:val="single" w:sz="8" w:space="0" w:color="auto"/>
            </w:tcBorders>
            <w:shd w:val="clear" w:color="auto" w:fill="E1E2E7" w:themeFill="background2"/>
          </w:tcPr>
          <w:p w14:paraId="47D756FB" w14:textId="77777777" w:rsidR="00574164" w:rsidRPr="00B759D9" w:rsidRDefault="001B30C6" w:rsidP="007847F2">
            <w:pPr>
              <w:pStyle w:val="TableBullet10"/>
              <w:numPr>
                <w:ilvl w:val="0"/>
                <w:numId w:val="25"/>
              </w:numPr>
              <w:spacing w:before="0" w:after="20" w:line="240" w:lineRule="auto"/>
              <w:ind w:left="300" w:right="0" w:hanging="215"/>
              <w:rPr>
                <w:rFonts w:asciiTheme="majorHAnsi" w:hAnsiTheme="majorHAnsi" w:cstheme="majorHAnsi"/>
                <w:bCs/>
                <w:sz w:val="15"/>
                <w:szCs w:val="15"/>
              </w:rPr>
            </w:pPr>
            <w:r w:rsidRPr="00B759D9">
              <w:rPr>
                <w:rFonts w:asciiTheme="majorHAnsi" w:hAnsiTheme="majorHAnsi" w:cstheme="majorHAnsi"/>
                <w:bCs/>
                <w:sz w:val="15"/>
                <w:szCs w:val="15"/>
              </w:rPr>
              <w:t xml:space="preserve">Full regulation and Part 23: No constraints on price discrimination </w:t>
            </w:r>
            <w:r w:rsidR="00B759D9">
              <w:rPr>
                <w:rFonts w:asciiTheme="majorHAnsi" w:hAnsiTheme="majorHAnsi" w:cstheme="majorHAnsi"/>
                <w:bCs/>
                <w:sz w:val="15"/>
                <w:szCs w:val="15"/>
              </w:rPr>
              <w:t xml:space="preserve">but </w:t>
            </w:r>
            <w:r w:rsidRPr="00B759D9">
              <w:rPr>
                <w:rFonts w:asciiTheme="majorHAnsi" w:hAnsiTheme="majorHAnsi" w:cstheme="majorHAnsi"/>
                <w:bCs/>
                <w:sz w:val="15"/>
                <w:szCs w:val="15"/>
              </w:rPr>
              <w:t xml:space="preserve">associate contract provisions </w:t>
            </w:r>
            <w:r w:rsidR="00B759D9">
              <w:rPr>
                <w:rFonts w:asciiTheme="majorHAnsi" w:hAnsiTheme="majorHAnsi" w:cstheme="majorHAnsi"/>
                <w:bCs/>
                <w:sz w:val="15"/>
                <w:szCs w:val="15"/>
              </w:rPr>
              <w:t xml:space="preserve">prohibit </w:t>
            </w:r>
            <w:r w:rsidRPr="00B759D9">
              <w:rPr>
                <w:rFonts w:asciiTheme="majorHAnsi" w:hAnsiTheme="majorHAnsi" w:cstheme="majorHAnsi"/>
                <w:bCs/>
                <w:sz w:val="15"/>
                <w:szCs w:val="15"/>
              </w:rPr>
              <w:t xml:space="preserve">full regulation pipelines </w:t>
            </w:r>
            <w:r w:rsidR="00171266" w:rsidRPr="00B759D9">
              <w:rPr>
                <w:rFonts w:asciiTheme="majorHAnsi" w:hAnsiTheme="majorHAnsi" w:cstheme="majorHAnsi"/>
                <w:bCs/>
                <w:sz w:val="15"/>
                <w:szCs w:val="15"/>
              </w:rPr>
              <w:t xml:space="preserve">discriminating in favour of </w:t>
            </w:r>
            <w:r w:rsidRPr="00B759D9">
              <w:rPr>
                <w:rFonts w:asciiTheme="majorHAnsi" w:hAnsiTheme="majorHAnsi" w:cstheme="majorHAnsi"/>
                <w:bCs/>
                <w:sz w:val="15"/>
                <w:szCs w:val="15"/>
              </w:rPr>
              <w:t>associates.</w:t>
            </w:r>
          </w:p>
          <w:p w14:paraId="2B30B3AD" w14:textId="77777777" w:rsidR="001B30C6" w:rsidRPr="00B759D9" w:rsidRDefault="001B30C6" w:rsidP="007847F2">
            <w:pPr>
              <w:pStyle w:val="TableBullet10"/>
              <w:numPr>
                <w:ilvl w:val="0"/>
                <w:numId w:val="25"/>
              </w:numPr>
              <w:spacing w:before="0" w:after="20" w:line="240" w:lineRule="auto"/>
              <w:ind w:left="300" w:right="0" w:hanging="215"/>
              <w:rPr>
                <w:rFonts w:asciiTheme="majorHAnsi" w:hAnsiTheme="majorHAnsi" w:cstheme="majorHAnsi"/>
                <w:bCs/>
                <w:sz w:val="15"/>
                <w:szCs w:val="15"/>
              </w:rPr>
            </w:pPr>
            <w:r w:rsidRPr="00B759D9">
              <w:rPr>
                <w:rFonts w:asciiTheme="majorHAnsi" w:hAnsiTheme="majorHAnsi" w:cstheme="majorHAnsi"/>
                <w:bCs/>
                <w:sz w:val="15"/>
                <w:szCs w:val="15"/>
              </w:rPr>
              <w:t xml:space="preserve">Light regulation: Pipelines prohibited from engaging in price discrimination unless conducive to </w:t>
            </w:r>
            <w:r w:rsidR="00CD2D6C" w:rsidRPr="00B759D9">
              <w:rPr>
                <w:rFonts w:asciiTheme="majorHAnsi" w:hAnsiTheme="majorHAnsi" w:cstheme="majorHAnsi"/>
                <w:bCs/>
                <w:sz w:val="15"/>
                <w:szCs w:val="15"/>
              </w:rPr>
              <w:t>efficient service provision.</w:t>
            </w:r>
          </w:p>
        </w:tc>
        <w:tc>
          <w:tcPr>
            <w:tcW w:w="2399" w:type="dxa"/>
            <w:tcBorders>
              <w:top w:val="single" w:sz="8" w:space="0" w:color="auto"/>
              <w:left w:val="nil"/>
              <w:bottom w:val="single" w:sz="8" w:space="0" w:color="auto"/>
              <w:right w:val="single" w:sz="8" w:space="0" w:color="auto"/>
            </w:tcBorders>
          </w:tcPr>
          <w:p w14:paraId="0669BB2F" w14:textId="77777777" w:rsidR="00574164" w:rsidRPr="00B759D9" w:rsidRDefault="00574164" w:rsidP="007847F2">
            <w:pPr>
              <w:pStyle w:val="TableBullet10"/>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Standard tariffs available to all shippers on an open access basis. Non-standard agreements also allowed, so price discrimination permitted.</w:t>
            </w:r>
          </w:p>
          <w:p w14:paraId="213EAA8E" w14:textId="77777777" w:rsidR="00574164" w:rsidRPr="00B759D9" w:rsidRDefault="00574164" w:rsidP="007847F2">
            <w:pPr>
              <w:pStyle w:val="TableBullet10"/>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Commerce Commission’s pricing principles non-binding but First Gas must disclose compliance with principles.</w:t>
            </w:r>
          </w:p>
        </w:tc>
        <w:tc>
          <w:tcPr>
            <w:tcW w:w="2119" w:type="dxa"/>
            <w:tcBorders>
              <w:top w:val="single" w:sz="8" w:space="0" w:color="auto"/>
              <w:left w:val="nil"/>
              <w:bottom w:val="single" w:sz="8" w:space="0" w:color="auto"/>
              <w:right w:val="single" w:sz="8" w:space="0" w:color="auto"/>
            </w:tcBorders>
          </w:tcPr>
          <w:p w14:paraId="7C21D110" w14:textId="77777777" w:rsidR="00574164" w:rsidRPr="00B759D9" w:rsidRDefault="00574164" w:rsidP="007847F2">
            <w:pPr>
              <w:pStyle w:val="TableBullet10"/>
              <w:numPr>
                <w:ilvl w:val="0"/>
                <w:numId w:val="0"/>
              </w:numPr>
              <w:spacing w:before="0" w:after="20" w:line="240" w:lineRule="auto"/>
              <w:ind w:left="85" w:right="0"/>
              <w:rPr>
                <w:rFonts w:asciiTheme="majorHAnsi" w:hAnsiTheme="majorHAnsi" w:cstheme="majorHAnsi"/>
                <w:sz w:val="15"/>
                <w:szCs w:val="15"/>
              </w:rPr>
            </w:pPr>
            <w:r w:rsidRPr="00B759D9">
              <w:rPr>
                <w:rFonts w:asciiTheme="majorHAnsi" w:hAnsiTheme="majorHAnsi" w:cstheme="majorHAnsi"/>
                <w:sz w:val="15"/>
                <w:szCs w:val="15"/>
              </w:rPr>
              <w:t>Undue price discrimination barred by statute and monitored through information disclosure and reference tariffs are available.</w:t>
            </w:r>
          </w:p>
        </w:tc>
        <w:tc>
          <w:tcPr>
            <w:tcW w:w="2258" w:type="dxa"/>
            <w:tcBorders>
              <w:top w:val="single" w:sz="8" w:space="0" w:color="auto"/>
              <w:left w:val="nil"/>
              <w:bottom w:val="single" w:sz="8" w:space="0" w:color="auto"/>
              <w:right w:val="single" w:sz="8" w:space="0" w:color="auto"/>
            </w:tcBorders>
          </w:tcPr>
          <w:p w14:paraId="385E5DF5" w14:textId="77777777" w:rsidR="00574164" w:rsidRPr="00B759D9" w:rsidRDefault="00DF640E" w:rsidP="001E0939">
            <w:pPr>
              <w:pStyle w:val="TableBullet10"/>
              <w:numPr>
                <w:ilvl w:val="0"/>
                <w:numId w:val="0"/>
              </w:numPr>
              <w:spacing w:before="0" w:after="20" w:line="240" w:lineRule="auto"/>
              <w:ind w:left="85"/>
              <w:rPr>
                <w:rFonts w:asciiTheme="majorHAnsi" w:hAnsiTheme="majorHAnsi" w:cstheme="majorHAnsi"/>
                <w:b/>
                <w:sz w:val="15"/>
                <w:szCs w:val="15"/>
              </w:rPr>
            </w:pPr>
            <w:r w:rsidRPr="00B759D9">
              <w:rPr>
                <w:rFonts w:asciiTheme="majorHAnsi" w:hAnsiTheme="majorHAnsi" w:cstheme="majorHAnsi"/>
                <w:sz w:val="15"/>
                <w:szCs w:val="15"/>
              </w:rPr>
              <w:t>Undue price discrimination barred by statute and monitored  through information disclosure and reference tariffs are available.</w:t>
            </w:r>
          </w:p>
        </w:tc>
        <w:tc>
          <w:tcPr>
            <w:tcW w:w="1902" w:type="dxa"/>
            <w:tcBorders>
              <w:top w:val="single" w:sz="8" w:space="0" w:color="auto"/>
              <w:left w:val="nil"/>
              <w:bottom w:val="single" w:sz="8" w:space="0" w:color="auto"/>
              <w:right w:val="single" w:sz="8" w:space="0" w:color="auto"/>
            </w:tcBorders>
          </w:tcPr>
          <w:p w14:paraId="17473F52" w14:textId="77777777" w:rsidR="00574164" w:rsidRPr="00B759D9" w:rsidRDefault="00574164" w:rsidP="007847F2">
            <w:pPr>
              <w:pStyle w:val="TableBullet10"/>
              <w:numPr>
                <w:ilvl w:val="0"/>
                <w:numId w:val="0"/>
              </w:numPr>
              <w:spacing w:before="0" w:after="20" w:line="240" w:lineRule="auto"/>
              <w:ind w:left="85" w:right="0"/>
              <w:rPr>
                <w:rFonts w:asciiTheme="majorHAnsi" w:hAnsiTheme="majorHAnsi" w:cstheme="majorHAnsi"/>
                <w:sz w:val="15"/>
                <w:szCs w:val="15"/>
              </w:rPr>
            </w:pPr>
            <w:r w:rsidRPr="00B759D9">
              <w:rPr>
                <w:rFonts w:asciiTheme="majorHAnsi" w:hAnsiTheme="majorHAnsi" w:cstheme="majorHAnsi"/>
                <w:sz w:val="15"/>
                <w:szCs w:val="15"/>
              </w:rPr>
              <w:t xml:space="preserve">No: EU rules require that transmission system operator (TSO) provide Third Party Access to their infrastructure, such that they are required to flow gas across their networks at published and access terms that do not discriminate between network users.  </w:t>
            </w:r>
          </w:p>
        </w:tc>
        <w:tc>
          <w:tcPr>
            <w:tcW w:w="2169" w:type="dxa"/>
            <w:tcBorders>
              <w:top w:val="single" w:sz="8" w:space="0" w:color="auto"/>
              <w:left w:val="nil"/>
              <w:bottom w:val="single" w:sz="8" w:space="0" w:color="auto"/>
              <w:right w:val="single" w:sz="8" w:space="0" w:color="auto"/>
            </w:tcBorders>
          </w:tcPr>
          <w:p w14:paraId="2354F2ED" w14:textId="77777777" w:rsidR="00574164" w:rsidRPr="00B759D9" w:rsidRDefault="00574164" w:rsidP="007847F2">
            <w:pPr>
              <w:pStyle w:val="TableBullet10"/>
              <w:numPr>
                <w:ilvl w:val="0"/>
                <w:numId w:val="0"/>
              </w:numPr>
              <w:spacing w:before="0" w:after="20" w:line="240" w:lineRule="auto"/>
              <w:ind w:left="85" w:right="0"/>
              <w:rPr>
                <w:rFonts w:asciiTheme="majorHAnsi" w:hAnsiTheme="majorHAnsi" w:cstheme="majorHAnsi"/>
                <w:sz w:val="15"/>
                <w:szCs w:val="15"/>
              </w:rPr>
            </w:pPr>
            <w:r w:rsidRPr="00B759D9">
              <w:rPr>
                <w:rFonts w:asciiTheme="majorHAnsi" w:hAnsiTheme="majorHAnsi" w:cstheme="majorHAnsi"/>
                <w:sz w:val="15"/>
                <w:szCs w:val="15"/>
              </w:rPr>
              <w:t>No: NGG is required to flow gas across its network at terms that do not discriminate between network users.</w:t>
            </w:r>
          </w:p>
        </w:tc>
      </w:tr>
      <w:tr w:rsidR="00574164" w:rsidRPr="00B759D9" w14:paraId="3EEEAF05" w14:textId="77777777" w:rsidTr="00E945FF">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43D50B" w14:textId="77777777" w:rsidR="00574164" w:rsidRPr="00B759D9" w:rsidRDefault="00574164" w:rsidP="00F74086">
            <w:pPr>
              <w:spacing w:after="20" w:line="240" w:lineRule="auto"/>
              <w:rPr>
                <w:rFonts w:asciiTheme="majorHAnsi" w:hAnsiTheme="majorHAnsi" w:cstheme="majorHAnsi"/>
                <w:b/>
                <w:sz w:val="15"/>
                <w:szCs w:val="15"/>
              </w:rPr>
            </w:pPr>
            <w:r w:rsidRPr="00B759D9">
              <w:rPr>
                <w:rFonts w:asciiTheme="majorHAnsi" w:hAnsiTheme="majorHAnsi" w:cstheme="majorHAnsi"/>
                <w:b/>
                <w:sz w:val="15"/>
                <w:szCs w:val="15"/>
              </w:rPr>
              <w:t>Vertical integration between transmission and upstream/</w:t>
            </w:r>
            <w:r w:rsidRPr="00B759D9">
              <w:rPr>
                <w:rFonts w:asciiTheme="majorHAnsi" w:hAnsiTheme="majorHAnsi" w:cstheme="majorHAnsi"/>
                <w:b/>
                <w:sz w:val="15"/>
                <w:szCs w:val="15"/>
              </w:rPr>
              <w:br/>
              <w:t>downstream allowed?</w:t>
            </w:r>
          </w:p>
        </w:tc>
        <w:tc>
          <w:tcPr>
            <w:tcW w:w="2271" w:type="dxa"/>
            <w:tcBorders>
              <w:top w:val="single" w:sz="8" w:space="0" w:color="auto"/>
              <w:left w:val="single" w:sz="8" w:space="0" w:color="auto"/>
              <w:bottom w:val="single" w:sz="8" w:space="0" w:color="auto"/>
              <w:right w:val="single" w:sz="8" w:space="0" w:color="auto"/>
            </w:tcBorders>
            <w:shd w:val="clear" w:color="auto" w:fill="E1E2E7" w:themeFill="background2"/>
          </w:tcPr>
          <w:p w14:paraId="1350BF6C" w14:textId="77777777" w:rsidR="00574164" w:rsidRPr="00B759D9" w:rsidRDefault="00CD2D6C" w:rsidP="007847F2">
            <w:pPr>
              <w:pStyle w:val="TableBullet10"/>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bCs/>
                <w:sz w:val="15"/>
                <w:szCs w:val="15"/>
              </w:rPr>
              <w:t xml:space="preserve">Yes, but under full and light regulation ring fencing </w:t>
            </w:r>
            <w:r w:rsidRPr="00B759D9">
              <w:rPr>
                <w:rFonts w:asciiTheme="majorHAnsi" w:hAnsiTheme="majorHAnsi" w:cstheme="majorHAnsi"/>
                <w:sz w:val="15"/>
                <w:szCs w:val="15"/>
              </w:rPr>
              <w:t xml:space="preserve">and associate contract provisions must be complied with. </w:t>
            </w:r>
          </w:p>
          <w:p w14:paraId="1BCC3D19" w14:textId="77777777" w:rsidR="00CD2D6C" w:rsidRPr="00B759D9" w:rsidRDefault="00CD2D6C" w:rsidP="007847F2">
            <w:pPr>
              <w:pStyle w:val="TableBullet10"/>
              <w:numPr>
                <w:ilvl w:val="0"/>
                <w:numId w:val="25"/>
              </w:numPr>
              <w:spacing w:before="0" w:after="20" w:line="240" w:lineRule="auto"/>
              <w:ind w:left="300" w:right="0" w:hanging="215"/>
              <w:rPr>
                <w:rFonts w:asciiTheme="majorHAnsi" w:hAnsiTheme="majorHAnsi" w:cstheme="majorHAnsi"/>
                <w:bCs/>
                <w:sz w:val="15"/>
                <w:szCs w:val="15"/>
              </w:rPr>
            </w:pPr>
            <w:r w:rsidRPr="00B759D9">
              <w:rPr>
                <w:rFonts w:asciiTheme="majorHAnsi" w:hAnsiTheme="majorHAnsi" w:cstheme="majorHAnsi"/>
                <w:sz w:val="15"/>
                <w:szCs w:val="15"/>
              </w:rPr>
              <w:t>These provisions do not apply under</w:t>
            </w:r>
            <w:r w:rsidRPr="00B759D9">
              <w:rPr>
                <w:rFonts w:asciiTheme="majorHAnsi" w:hAnsiTheme="majorHAnsi" w:cstheme="majorHAnsi"/>
                <w:bCs/>
                <w:sz w:val="15"/>
                <w:szCs w:val="15"/>
              </w:rPr>
              <w:t xml:space="preserve"> Part 23.</w:t>
            </w:r>
          </w:p>
        </w:tc>
        <w:tc>
          <w:tcPr>
            <w:tcW w:w="2399" w:type="dxa"/>
            <w:tcBorders>
              <w:top w:val="single" w:sz="8" w:space="0" w:color="auto"/>
              <w:left w:val="nil"/>
              <w:bottom w:val="single" w:sz="8" w:space="0" w:color="auto"/>
              <w:right w:val="single" w:sz="8" w:space="0" w:color="auto"/>
            </w:tcBorders>
          </w:tcPr>
          <w:p w14:paraId="055097AA" w14:textId="77777777" w:rsidR="00574164" w:rsidRPr="00B759D9" w:rsidRDefault="00574164" w:rsidP="007847F2">
            <w:pPr>
              <w:pStyle w:val="TableBullet10"/>
              <w:numPr>
                <w:ilvl w:val="0"/>
                <w:numId w:val="0"/>
              </w:numPr>
              <w:spacing w:before="0" w:after="20" w:line="240" w:lineRule="auto"/>
              <w:ind w:left="85" w:right="0"/>
              <w:rPr>
                <w:rFonts w:asciiTheme="majorHAnsi" w:hAnsiTheme="majorHAnsi" w:cstheme="majorHAnsi"/>
                <w:sz w:val="15"/>
                <w:szCs w:val="15"/>
              </w:rPr>
            </w:pPr>
            <w:r w:rsidRPr="00B759D9">
              <w:rPr>
                <w:rFonts w:asciiTheme="majorHAnsi" w:hAnsiTheme="majorHAnsi" w:cstheme="majorHAnsi"/>
                <w:sz w:val="15"/>
                <w:szCs w:val="15"/>
              </w:rPr>
              <w:t>Vertical integration is not specifically prohibited and has existed throughout the history of the industry.</w:t>
            </w:r>
          </w:p>
        </w:tc>
        <w:tc>
          <w:tcPr>
            <w:tcW w:w="2119" w:type="dxa"/>
            <w:tcBorders>
              <w:top w:val="single" w:sz="8" w:space="0" w:color="auto"/>
              <w:left w:val="nil"/>
              <w:bottom w:val="single" w:sz="8" w:space="0" w:color="auto"/>
              <w:right w:val="single" w:sz="8" w:space="0" w:color="auto"/>
            </w:tcBorders>
          </w:tcPr>
          <w:p w14:paraId="7FD71558" w14:textId="77777777" w:rsidR="00574164" w:rsidRPr="00B759D9" w:rsidRDefault="00574164" w:rsidP="007847F2">
            <w:pPr>
              <w:pStyle w:val="TableBullet10"/>
              <w:numPr>
                <w:ilvl w:val="0"/>
                <w:numId w:val="0"/>
              </w:numPr>
              <w:spacing w:before="0" w:after="20" w:line="240" w:lineRule="auto"/>
              <w:ind w:left="85" w:right="0"/>
              <w:rPr>
                <w:rFonts w:asciiTheme="majorHAnsi" w:hAnsiTheme="majorHAnsi" w:cstheme="majorHAnsi"/>
                <w:sz w:val="15"/>
                <w:szCs w:val="15"/>
              </w:rPr>
            </w:pPr>
            <w:r w:rsidRPr="00B759D9">
              <w:rPr>
                <w:rFonts w:asciiTheme="majorHAnsi" w:hAnsiTheme="majorHAnsi" w:cstheme="majorHAnsi"/>
                <w:sz w:val="15"/>
                <w:szCs w:val="15"/>
              </w:rPr>
              <w:t>Prohibited with exceptions for special cases.</w:t>
            </w:r>
          </w:p>
        </w:tc>
        <w:tc>
          <w:tcPr>
            <w:tcW w:w="2258" w:type="dxa"/>
            <w:tcBorders>
              <w:top w:val="single" w:sz="8" w:space="0" w:color="auto"/>
              <w:left w:val="nil"/>
              <w:bottom w:val="single" w:sz="8" w:space="0" w:color="auto"/>
              <w:right w:val="single" w:sz="8" w:space="0" w:color="auto"/>
            </w:tcBorders>
          </w:tcPr>
          <w:p w14:paraId="795AC0D5" w14:textId="77777777" w:rsidR="00574164" w:rsidRPr="00B759D9" w:rsidRDefault="00574164" w:rsidP="007847F2">
            <w:pPr>
              <w:pStyle w:val="TableBullet10"/>
              <w:numPr>
                <w:ilvl w:val="0"/>
                <w:numId w:val="0"/>
              </w:numPr>
              <w:spacing w:before="0" w:after="20" w:line="240" w:lineRule="auto"/>
              <w:ind w:left="85" w:right="0"/>
              <w:rPr>
                <w:rFonts w:asciiTheme="majorHAnsi" w:hAnsiTheme="majorHAnsi" w:cstheme="majorHAnsi"/>
                <w:sz w:val="15"/>
                <w:szCs w:val="15"/>
              </w:rPr>
            </w:pPr>
            <w:r w:rsidRPr="00B759D9">
              <w:rPr>
                <w:rFonts w:asciiTheme="majorHAnsi" w:hAnsiTheme="majorHAnsi" w:cstheme="majorHAnsi"/>
                <w:sz w:val="15"/>
                <w:szCs w:val="15"/>
              </w:rPr>
              <w:t>Prohibited with exceptions for special cases.</w:t>
            </w:r>
          </w:p>
        </w:tc>
        <w:tc>
          <w:tcPr>
            <w:tcW w:w="1902" w:type="dxa"/>
            <w:tcBorders>
              <w:top w:val="single" w:sz="8" w:space="0" w:color="auto"/>
              <w:left w:val="nil"/>
              <w:bottom w:val="single" w:sz="8" w:space="0" w:color="auto"/>
              <w:right w:val="single" w:sz="8" w:space="0" w:color="auto"/>
            </w:tcBorders>
          </w:tcPr>
          <w:p w14:paraId="29A4B2ED" w14:textId="77777777" w:rsidR="00574164" w:rsidRPr="00B759D9" w:rsidRDefault="00574164" w:rsidP="007847F2">
            <w:pPr>
              <w:pStyle w:val="TableBullet10"/>
              <w:numPr>
                <w:ilvl w:val="0"/>
                <w:numId w:val="0"/>
              </w:numPr>
              <w:spacing w:before="0" w:after="20" w:line="240" w:lineRule="auto"/>
              <w:ind w:left="85" w:right="0"/>
              <w:rPr>
                <w:rFonts w:asciiTheme="majorHAnsi" w:hAnsiTheme="majorHAnsi" w:cstheme="majorHAnsi"/>
                <w:sz w:val="15"/>
                <w:szCs w:val="15"/>
              </w:rPr>
            </w:pPr>
            <w:r w:rsidRPr="00B759D9">
              <w:rPr>
                <w:rFonts w:asciiTheme="majorHAnsi" w:hAnsiTheme="majorHAnsi" w:cstheme="majorHAnsi"/>
                <w:sz w:val="15"/>
                <w:szCs w:val="15"/>
              </w:rPr>
              <w:t xml:space="preserve">EU Third Energy Package specifies three models of unbundling, one of which must be followed by regulator (Ownership unbundling, independent system operator, independent TSO). </w:t>
            </w:r>
          </w:p>
        </w:tc>
        <w:tc>
          <w:tcPr>
            <w:tcW w:w="2169" w:type="dxa"/>
            <w:tcBorders>
              <w:top w:val="single" w:sz="8" w:space="0" w:color="auto"/>
              <w:left w:val="nil"/>
              <w:bottom w:val="single" w:sz="8" w:space="0" w:color="auto"/>
              <w:right w:val="single" w:sz="8" w:space="0" w:color="auto"/>
            </w:tcBorders>
          </w:tcPr>
          <w:p w14:paraId="2E70F834" w14:textId="77777777" w:rsidR="00574164" w:rsidRPr="00B759D9" w:rsidRDefault="00574164" w:rsidP="007847F2">
            <w:pPr>
              <w:pStyle w:val="TableBullet10"/>
              <w:numPr>
                <w:ilvl w:val="0"/>
                <w:numId w:val="0"/>
              </w:numPr>
              <w:spacing w:before="0" w:after="20" w:line="240" w:lineRule="auto"/>
              <w:ind w:left="85" w:right="0"/>
              <w:rPr>
                <w:rFonts w:asciiTheme="majorHAnsi" w:hAnsiTheme="majorHAnsi" w:cstheme="majorHAnsi"/>
                <w:sz w:val="15"/>
                <w:szCs w:val="15"/>
              </w:rPr>
            </w:pPr>
            <w:r w:rsidRPr="00B759D9">
              <w:rPr>
                <w:rFonts w:asciiTheme="majorHAnsi" w:hAnsiTheme="majorHAnsi" w:cstheme="majorHAnsi"/>
                <w:sz w:val="15"/>
                <w:szCs w:val="15"/>
              </w:rPr>
              <w:t>No: Unbundling rules apply preventing companies from operating in the competitive (wholesale/retail) and network business (transmission/distribution) without strict ringfencing obligations.</w:t>
            </w:r>
          </w:p>
        </w:tc>
      </w:tr>
      <w:tr w:rsidR="00C30B80" w:rsidRPr="00B759D9" w14:paraId="22CC18B5" w14:textId="77777777" w:rsidTr="00E945FF">
        <w:trPr>
          <w:trHeight w:val="50"/>
        </w:trPr>
        <w:tc>
          <w:tcPr>
            <w:tcW w:w="14255" w:type="dxa"/>
            <w:gridSpan w:val="7"/>
            <w:tcBorders>
              <w:top w:val="nil"/>
              <w:left w:val="single" w:sz="8" w:space="0" w:color="auto"/>
              <w:bottom w:val="single" w:sz="8" w:space="0" w:color="auto"/>
              <w:right w:val="single" w:sz="8" w:space="0" w:color="auto"/>
            </w:tcBorders>
            <w:shd w:val="clear" w:color="auto" w:fill="65697F" w:themeFill="background2" w:themeFillShade="80"/>
            <w:tcMar>
              <w:top w:w="0" w:type="dxa"/>
              <w:left w:w="108" w:type="dxa"/>
              <w:bottom w:w="0" w:type="dxa"/>
              <w:right w:w="108" w:type="dxa"/>
            </w:tcMar>
          </w:tcPr>
          <w:p w14:paraId="65BD1B45" w14:textId="77777777" w:rsidR="00C30B80" w:rsidRPr="00B759D9" w:rsidRDefault="00E83F7D" w:rsidP="00B759D9">
            <w:pPr>
              <w:pStyle w:val="TableBullet10"/>
              <w:keepNext/>
              <w:numPr>
                <w:ilvl w:val="0"/>
                <w:numId w:val="0"/>
              </w:numPr>
              <w:ind w:left="216" w:hanging="216"/>
              <w:jc w:val="center"/>
              <w:rPr>
                <w:rFonts w:asciiTheme="majorHAnsi" w:hAnsiTheme="majorHAnsi" w:cstheme="majorHAnsi"/>
                <w:color w:val="FFFFFF" w:themeColor="background1"/>
                <w:sz w:val="15"/>
                <w:szCs w:val="15"/>
              </w:rPr>
            </w:pPr>
            <w:r w:rsidRPr="00B759D9">
              <w:rPr>
                <w:rFonts w:asciiTheme="majorHAnsi" w:hAnsiTheme="majorHAnsi" w:cstheme="majorHAnsi"/>
                <w:b/>
                <w:color w:val="FFFFFF" w:themeColor="background1"/>
                <w:sz w:val="15"/>
                <w:szCs w:val="15"/>
              </w:rPr>
              <w:lastRenderedPageBreak/>
              <w:t xml:space="preserve">Regulatory approach to </w:t>
            </w:r>
            <w:r w:rsidR="00D57172" w:rsidRPr="00B759D9">
              <w:rPr>
                <w:rFonts w:asciiTheme="majorHAnsi" w:hAnsiTheme="majorHAnsi" w:cstheme="majorHAnsi"/>
                <w:b/>
                <w:color w:val="FFFFFF" w:themeColor="background1"/>
                <w:sz w:val="15"/>
                <w:szCs w:val="15"/>
              </w:rPr>
              <w:t>address dynamic market power</w:t>
            </w:r>
          </w:p>
        </w:tc>
      </w:tr>
      <w:tr w:rsidR="00574164" w:rsidRPr="00B759D9" w14:paraId="25E85B79" w14:textId="77777777" w:rsidTr="00E945FF">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DCAE26" w14:textId="77777777" w:rsidR="00574164" w:rsidRPr="00B759D9" w:rsidRDefault="00574164" w:rsidP="00F74086">
            <w:pPr>
              <w:keepNext/>
              <w:spacing w:after="20" w:line="240" w:lineRule="auto"/>
              <w:rPr>
                <w:rFonts w:asciiTheme="majorHAnsi" w:hAnsiTheme="majorHAnsi" w:cstheme="majorHAnsi"/>
                <w:b/>
                <w:sz w:val="15"/>
                <w:szCs w:val="15"/>
              </w:rPr>
            </w:pPr>
            <w:r w:rsidRPr="00B759D9">
              <w:rPr>
                <w:rFonts w:asciiTheme="majorHAnsi" w:hAnsiTheme="majorHAnsi" w:cstheme="majorHAnsi"/>
                <w:b/>
                <w:sz w:val="15"/>
                <w:szCs w:val="15"/>
              </w:rPr>
              <w:t>Approaches to encourage new pipeline competition?</w:t>
            </w:r>
          </w:p>
        </w:tc>
        <w:tc>
          <w:tcPr>
            <w:tcW w:w="2271" w:type="dxa"/>
            <w:tcBorders>
              <w:top w:val="single" w:sz="8" w:space="0" w:color="auto"/>
              <w:left w:val="single" w:sz="8" w:space="0" w:color="auto"/>
              <w:bottom w:val="single" w:sz="8" w:space="0" w:color="auto"/>
              <w:right w:val="single" w:sz="8" w:space="0" w:color="auto"/>
            </w:tcBorders>
            <w:shd w:val="clear" w:color="auto" w:fill="E1E2E7" w:themeFill="background2"/>
          </w:tcPr>
          <w:p w14:paraId="4F11ABD7" w14:textId="77777777" w:rsidR="00907251" w:rsidRPr="00B759D9" w:rsidRDefault="00907251" w:rsidP="007847F2">
            <w:pPr>
              <w:pStyle w:val="TableBullet10"/>
              <w:keepNext/>
              <w:numPr>
                <w:ilvl w:val="0"/>
                <w:numId w:val="0"/>
              </w:numPr>
              <w:spacing w:before="0" w:after="20" w:line="240" w:lineRule="auto"/>
              <w:ind w:left="85" w:right="0"/>
              <w:rPr>
                <w:rFonts w:asciiTheme="majorHAnsi" w:hAnsiTheme="majorHAnsi" w:cstheme="majorHAnsi"/>
                <w:sz w:val="15"/>
                <w:szCs w:val="15"/>
              </w:rPr>
            </w:pPr>
            <w:r w:rsidRPr="00B759D9">
              <w:rPr>
                <w:rFonts w:asciiTheme="majorHAnsi" w:hAnsiTheme="majorHAnsi" w:cstheme="majorHAnsi"/>
                <w:sz w:val="15"/>
                <w:szCs w:val="15"/>
              </w:rPr>
              <w:t xml:space="preserve">No explicit systems to encourage competition.  </w:t>
            </w:r>
          </w:p>
          <w:p w14:paraId="73FA2E3F" w14:textId="77777777" w:rsidR="00574164" w:rsidRPr="00B759D9" w:rsidRDefault="00574164" w:rsidP="00F74086">
            <w:pPr>
              <w:keepNext/>
              <w:spacing w:after="20" w:line="240" w:lineRule="auto"/>
              <w:rPr>
                <w:rFonts w:asciiTheme="majorHAnsi" w:hAnsiTheme="majorHAnsi" w:cstheme="majorHAnsi"/>
                <w:b/>
                <w:sz w:val="15"/>
                <w:szCs w:val="15"/>
              </w:rPr>
            </w:pPr>
          </w:p>
        </w:tc>
        <w:tc>
          <w:tcPr>
            <w:tcW w:w="2399" w:type="dxa"/>
            <w:tcBorders>
              <w:top w:val="nil"/>
              <w:left w:val="nil"/>
              <w:bottom w:val="single" w:sz="8" w:space="0" w:color="auto"/>
              <w:right w:val="single" w:sz="8" w:space="0" w:color="auto"/>
            </w:tcBorders>
          </w:tcPr>
          <w:p w14:paraId="5FCD0A3D" w14:textId="77777777" w:rsidR="00574164" w:rsidRPr="00B759D9" w:rsidRDefault="00574164" w:rsidP="007847F2">
            <w:pPr>
              <w:pStyle w:val="TableBullet10"/>
              <w:keepNext/>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No explicit systems to encourage competition.  </w:t>
            </w:r>
          </w:p>
          <w:p w14:paraId="580EC0F7" w14:textId="77777777" w:rsidR="00574164" w:rsidRPr="00B759D9" w:rsidRDefault="00574164" w:rsidP="007847F2">
            <w:pPr>
              <w:pStyle w:val="TableBullet10"/>
              <w:keepNext/>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Move to a form of common carriage will likely preclude competition.</w:t>
            </w:r>
          </w:p>
        </w:tc>
        <w:tc>
          <w:tcPr>
            <w:tcW w:w="2119" w:type="dxa"/>
            <w:tcBorders>
              <w:top w:val="nil"/>
              <w:left w:val="nil"/>
              <w:bottom w:val="single" w:sz="8" w:space="0" w:color="auto"/>
              <w:right w:val="single" w:sz="8" w:space="0" w:color="auto"/>
            </w:tcBorders>
          </w:tcPr>
          <w:p w14:paraId="490DB8C5" w14:textId="77777777" w:rsidR="00574164" w:rsidRPr="00B759D9" w:rsidRDefault="00574164" w:rsidP="007847F2">
            <w:pPr>
              <w:pStyle w:val="TableBullet10"/>
              <w:keepNext/>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Incremental pricing, FERC licensing of capacity, and open season processes create competitive process for signing of contracts. </w:t>
            </w:r>
          </w:p>
          <w:p w14:paraId="2E762CC4" w14:textId="77777777" w:rsidR="00574164" w:rsidRPr="00B759D9" w:rsidRDefault="00574164" w:rsidP="007847F2">
            <w:pPr>
              <w:pStyle w:val="TableBullet10"/>
              <w:keepNext/>
              <w:numPr>
                <w:ilvl w:val="0"/>
                <w:numId w:val="26"/>
              </w:numPr>
              <w:spacing w:before="0" w:after="20" w:line="240" w:lineRule="auto"/>
              <w:ind w:left="300" w:right="0" w:hanging="215"/>
              <w:rPr>
                <w:rFonts w:asciiTheme="majorHAnsi" w:hAnsiTheme="majorHAnsi" w:cstheme="majorHAnsi"/>
                <w:sz w:val="15"/>
                <w:szCs w:val="15"/>
              </w:rPr>
            </w:pPr>
            <w:bookmarkStart w:id="67" w:name="_Hlk11837582"/>
            <w:r w:rsidRPr="00B759D9">
              <w:rPr>
                <w:rFonts w:asciiTheme="majorHAnsi" w:hAnsiTheme="majorHAnsi" w:cstheme="majorHAnsi"/>
                <w:sz w:val="15"/>
                <w:szCs w:val="15"/>
              </w:rPr>
              <w:t xml:space="preserve">FERC will not license capacity if a non-discriminatory open season has not occurred. </w:t>
            </w:r>
            <w:bookmarkEnd w:id="67"/>
          </w:p>
        </w:tc>
        <w:tc>
          <w:tcPr>
            <w:tcW w:w="2258" w:type="dxa"/>
            <w:tcBorders>
              <w:top w:val="nil"/>
              <w:left w:val="nil"/>
              <w:bottom w:val="single" w:sz="8" w:space="0" w:color="auto"/>
              <w:right w:val="single" w:sz="8" w:space="0" w:color="auto"/>
            </w:tcBorders>
          </w:tcPr>
          <w:p w14:paraId="06A034D2" w14:textId="77777777" w:rsidR="00574164" w:rsidRPr="00B759D9" w:rsidRDefault="00574164" w:rsidP="007847F2">
            <w:pPr>
              <w:pStyle w:val="TableBullet10"/>
              <w:keepNext/>
              <w:numPr>
                <w:ilvl w:val="0"/>
                <w:numId w:val="0"/>
              </w:numPr>
              <w:spacing w:before="0" w:after="20" w:line="240" w:lineRule="auto"/>
              <w:ind w:left="85" w:right="0"/>
              <w:rPr>
                <w:rFonts w:asciiTheme="majorHAnsi" w:hAnsiTheme="majorHAnsi" w:cstheme="majorHAnsi"/>
                <w:sz w:val="15"/>
                <w:szCs w:val="15"/>
              </w:rPr>
            </w:pPr>
            <w:r w:rsidRPr="00B759D9">
              <w:rPr>
                <w:rFonts w:asciiTheme="majorHAnsi" w:hAnsiTheme="majorHAnsi" w:cstheme="majorHAnsi"/>
                <w:sz w:val="15"/>
                <w:szCs w:val="15"/>
              </w:rPr>
              <w:t xml:space="preserve">Similar to the US, the NEB licensing process fosters a competitive process for signing contracts. </w:t>
            </w:r>
          </w:p>
        </w:tc>
        <w:tc>
          <w:tcPr>
            <w:tcW w:w="1902" w:type="dxa"/>
            <w:tcBorders>
              <w:top w:val="nil"/>
              <w:left w:val="nil"/>
              <w:bottom w:val="single" w:sz="8" w:space="0" w:color="auto"/>
              <w:right w:val="single" w:sz="8" w:space="0" w:color="auto"/>
            </w:tcBorders>
          </w:tcPr>
          <w:p w14:paraId="4B17190E" w14:textId="77777777" w:rsidR="00574164" w:rsidRPr="00B759D9" w:rsidRDefault="00574164" w:rsidP="007847F2">
            <w:pPr>
              <w:pStyle w:val="TableBullet10"/>
              <w:keepNext/>
              <w:numPr>
                <w:ilvl w:val="0"/>
                <w:numId w:val="24"/>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The entry-exit system in EU largely rules out pipeline competition by de-linking transport from physical paths.</w:t>
            </w:r>
          </w:p>
          <w:p w14:paraId="502913D7" w14:textId="77777777" w:rsidR="00574164" w:rsidRPr="00B759D9" w:rsidRDefault="00574164" w:rsidP="007847F2">
            <w:pPr>
              <w:pStyle w:val="TableBullet10"/>
              <w:keepNext/>
              <w:numPr>
                <w:ilvl w:val="0"/>
                <w:numId w:val="24"/>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Interconnectors between entry-exit market areas may be provided by the market in principle, although are frequently sponsored by TSOs in neighbouring member states</w:t>
            </w:r>
            <w:r w:rsidR="00B759D9">
              <w:rPr>
                <w:rFonts w:asciiTheme="majorHAnsi" w:hAnsiTheme="majorHAnsi" w:cstheme="majorHAnsi"/>
                <w:sz w:val="15"/>
                <w:szCs w:val="15"/>
              </w:rPr>
              <w:t>.</w:t>
            </w:r>
          </w:p>
        </w:tc>
        <w:tc>
          <w:tcPr>
            <w:tcW w:w="2169" w:type="dxa"/>
            <w:tcBorders>
              <w:top w:val="nil"/>
              <w:left w:val="nil"/>
              <w:bottom w:val="single" w:sz="8" w:space="0" w:color="auto"/>
              <w:right w:val="single" w:sz="8" w:space="0" w:color="auto"/>
            </w:tcBorders>
          </w:tcPr>
          <w:p w14:paraId="52EAEC35" w14:textId="77777777" w:rsidR="00574164" w:rsidRPr="00B759D9" w:rsidRDefault="00574164" w:rsidP="007847F2">
            <w:pPr>
              <w:pStyle w:val="TableBullet10"/>
              <w:keepNext/>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Within the NTS, competition is essentially crowded out by centrally planned investment decision-making and regulatory regime which provides returns on those investments.</w:t>
            </w:r>
          </w:p>
          <w:p w14:paraId="19748393" w14:textId="0732CA33" w:rsidR="00574164" w:rsidRPr="00B759D9" w:rsidRDefault="00574164" w:rsidP="007847F2">
            <w:pPr>
              <w:pStyle w:val="TableBullet10"/>
              <w:keepNext/>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Interconnectors between GB and Europe have historically been provided by the market, with some regulatory exemptions being provided.</w:t>
            </w:r>
          </w:p>
        </w:tc>
      </w:tr>
      <w:tr w:rsidR="00574164" w:rsidRPr="00B759D9" w14:paraId="4DDB4A38" w14:textId="77777777" w:rsidTr="00E945FF">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9E5DB" w14:textId="77777777" w:rsidR="00574164" w:rsidRPr="00B759D9" w:rsidRDefault="00574164" w:rsidP="00F74086">
            <w:pPr>
              <w:keepNext/>
              <w:spacing w:after="20" w:line="240" w:lineRule="auto"/>
              <w:rPr>
                <w:rFonts w:asciiTheme="majorHAnsi" w:hAnsiTheme="majorHAnsi" w:cstheme="majorHAnsi"/>
                <w:b/>
                <w:sz w:val="15"/>
                <w:szCs w:val="15"/>
              </w:rPr>
            </w:pPr>
            <w:r w:rsidRPr="00B759D9">
              <w:rPr>
                <w:rFonts w:asciiTheme="majorHAnsi" w:hAnsiTheme="majorHAnsi" w:cstheme="majorHAnsi"/>
                <w:b/>
                <w:sz w:val="15"/>
                <w:szCs w:val="15"/>
              </w:rPr>
              <w:t>Approach to interconnection / denial of access by pipeline competitors</w:t>
            </w:r>
          </w:p>
        </w:tc>
        <w:tc>
          <w:tcPr>
            <w:tcW w:w="2271" w:type="dxa"/>
            <w:tcBorders>
              <w:top w:val="single" w:sz="8" w:space="0" w:color="auto"/>
              <w:left w:val="single" w:sz="8" w:space="0" w:color="auto"/>
              <w:bottom w:val="single" w:sz="8" w:space="0" w:color="auto"/>
              <w:right w:val="single" w:sz="8" w:space="0" w:color="auto"/>
            </w:tcBorders>
            <w:shd w:val="clear" w:color="auto" w:fill="E1E2E7" w:themeFill="background2"/>
          </w:tcPr>
          <w:p w14:paraId="3CC3E58A" w14:textId="77777777" w:rsidR="004C1FED" w:rsidRPr="00B759D9" w:rsidRDefault="004C1FED" w:rsidP="00F74086">
            <w:pPr>
              <w:pStyle w:val="TableBullet10"/>
              <w:keepNext/>
              <w:numPr>
                <w:ilvl w:val="0"/>
                <w:numId w:val="26"/>
              </w:numPr>
              <w:spacing w:before="0" w:after="20" w:line="240" w:lineRule="auto"/>
              <w:ind w:right="0"/>
              <w:rPr>
                <w:rFonts w:asciiTheme="majorHAnsi" w:hAnsiTheme="majorHAnsi" w:cstheme="majorHAnsi"/>
                <w:sz w:val="15"/>
                <w:szCs w:val="15"/>
              </w:rPr>
            </w:pPr>
            <w:r w:rsidRPr="00B759D9">
              <w:rPr>
                <w:rFonts w:asciiTheme="majorHAnsi" w:hAnsiTheme="majorHAnsi" w:cstheme="majorHAnsi"/>
                <w:color w:val="000000"/>
                <w:sz w:val="15"/>
                <w:szCs w:val="15"/>
              </w:rPr>
              <w:t>F</w:t>
            </w:r>
            <w:r w:rsidRPr="004C1FED">
              <w:rPr>
                <w:rFonts w:asciiTheme="majorHAnsi" w:hAnsiTheme="majorHAnsi" w:cstheme="majorHAnsi"/>
                <w:color w:val="000000"/>
                <w:sz w:val="15"/>
                <w:szCs w:val="15"/>
              </w:rPr>
              <w:t>ull and light regulation</w:t>
            </w:r>
            <w:r w:rsidRPr="00B759D9">
              <w:rPr>
                <w:rFonts w:asciiTheme="majorHAnsi" w:hAnsiTheme="majorHAnsi" w:cstheme="majorHAnsi"/>
                <w:color w:val="000000"/>
                <w:sz w:val="15"/>
                <w:szCs w:val="15"/>
              </w:rPr>
              <w:t xml:space="preserve">: </w:t>
            </w:r>
            <w:r w:rsidR="00B759D9">
              <w:rPr>
                <w:rFonts w:asciiTheme="majorHAnsi" w:hAnsiTheme="majorHAnsi" w:cstheme="majorHAnsi"/>
                <w:color w:val="000000"/>
                <w:sz w:val="15"/>
                <w:szCs w:val="15"/>
              </w:rPr>
              <w:t>S</w:t>
            </w:r>
            <w:r w:rsidRPr="004C1FED">
              <w:rPr>
                <w:rFonts w:asciiTheme="majorHAnsi" w:hAnsiTheme="majorHAnsi" w:cstheme="majorHAnsi"/>
                <w:color w:val="000000"/>
                <w:sz w:val="15"/>
                <w:szCs w:val="15"/>
              </w:rPr>
              <w:t xml:space="preserve">ervice </w:t>
            </w:r>
            <w:r w:rsidRPr="004C1FED">
              <w:rPr>
                <w:rFonts w:asciiTheme="majorHAnsi" w:hAnsiTheme="majorHAnsi" w:cstheme="majorHAnsi"/>
                <w:sz w:val="15"/>
                <w:szCs w:val="15"/>
              </w:rPr>
              <w:t>providers prohibited from preventing or hindering access, which includes interconnection</w:t>
            </w:r>
            <w:r w:rsidR="00F74086">
              <w:rPr>
                <w:rFonts w:asciiTheme="majorHAnsi" w:hAnsiTheme="majorHAnsi" w:cstheme="majorHAnsi"/>
                <w:sz w:val="15"/>
                <w:szCs w:val="15"/>
              </w:rPr>
              <w:t>s</w:t>
            </w:r>
            <w:r w:rsidRPr="004C1FED">
              <w:rPr>
                <w:rFonts w:asciiTheme="majorHAnsi" w:hAnsiTheme="majorHAnsi" w:cstheme="majorHAnsi"/>
                <w:sz w:val="15"/>
                <w:szCs w:val="15"/>
              </w:rPr>
              <w:t xml:space="preserve">. A competing pipeline seeking to interconnect therefore has a right to negotiate </w:t>
            </w:r>
            <w:r w:rsidR="00F74086">
              <w:rPr>
                <w:rFonts w:asciiTheme="majorHAnsi" w:hAnsiTheme="majorHAnsi" w:cstheme="majorHAnsi"/>
                <w:sz w:val="15"/>
                <w:szCs w:val="15"/>
              </w:rPr>
              <w:t xml:space="preserve">an interconnection </w:t>
            </w:r>
            <w:r w:rsidRPr="004C1FED">
              <w:rPr>
                <w:rFonts w:asciiTheme="majorHAnsi" w:hAnsiTheme="majorHAnsi" w:cstheme="majorHAnsi"/>
                <w:sz w:val="15"/>
                <w:szCs w:val="15"/>
              </w:rPr>
              <w:t>and can take action if a service provider seeks to prevent or hinder access</w:t>
            </w:r>
            <w:r w:rsidRPr="00B759D9">
              <w:rPr>
                <w:rFonts w:asciiTheme="majorHAnsi" w:hAnsiTheme="majorHAnsi" w:cstheme="majorHAnsi"/>
                <w:sz w:val="15"/>
                <w:szCs w:val="15"/>
              </w:rPr>
              <w:t>.</w:t>
            </w:r>
          </w:p>
          <w:p w14:paraId="4249B6F3" w14:textId="77777777" w:rsidR="00574164" w:rsidRPr="00B759D9" w:rsidRDefault="004C1FED" w:rsidP="00F74086">
            <w:pPr>
              <w:pStyle w:val="TableBullet10"/>
              <w:keepNext/>
              <w:numPr>
                <w:ilvl w:val="0"/>
                <w:numId w:val="26"/>
              </w:numPr>
              <w:spacing w:before="0" w:after="20" w:line="240" w:lineRule="auto"/>
              <w:ind w:right="0"/>
              <w:rPr>
                <w:rFonts w:asciiTheme="majorHAnsi" w:hAnsiTheme="majorHAnsi" w:cstheme="majorHAnsi"/>
                <w:color w:val="000000"/>
                <w:sz w:val="15"/>
                <w:szCs w:val="15"/>
              </w:rPr>
            </w:pPr>
            <w:r w:rsidRPr="00B759D9">
              <w:rPr>
                <w:rFonts w:asciiTheme="majorHAnsi" w:hAnsiTheme="majorHAnsi" w:cstheme="majorHAnsi"/>
                <w:sz w:val="15"/>
                <w:szCs w:val="15"/>
              </w:rPr>
              <w:t xml:space="preserve">Part 23: </w:t>
            </w:r>
            <w:r w:rsidR="00B759D9">
              <w:rPr>
                <w:rFonts w:asciiTheme="majorHAnsi" w:hAnsiTheme="majorHAnsi" w:cstheme="majorHAnsi"/>
                <w:sz w:val="15"/>
                <w:szCs w:val="15"/>
              </w:rPr>
              <w:t>S</w:t>
            </w:r>
            <w:r w:rsidR="00707136" w:rsidRPr="00707136">
              <w:rPr>
                <w:rFonts w:asciiTheme="majorHAnsi" w:hAnsiTheme="majorHAnsi" w:cstheme="majorHAnsi"/>
                <w:sz w:val="15"/>
                <w:szCs w:val="15"/>
              </w:rPr>
              <w:t>ervice providers are not prohibited from preventing or hindering access. The arbitration provisions in Part 23 do, however,</w:t>
            </w:r>
            <w:r w:rsidR="00707136" w:rsidRPr="00707136">
              <w:rPr>
                <w:rFonts w:asciiTheme="majorHAnsi" w:hAnsiTheme="majorHAnsi" w:cstheme="majorHAnsi"/>
                <w:color w:val="000000"/>
                <w:sz w:val="15"/>
                <w:szCs w:val="15"/>
              </w:rPr>
              <w:t xml:space="preserve"> provide for an access determination to be made about interconnections</w:t>
            </w:r>
          </w:p>
        </w:tc>
        <w:tc>
          <w:tcPr>
            <w:tcW w:w="2399" w:type="dxa"/>
            <w:tcBorders>
              <w:top w:val="nil"/>
              <w:left w:val="nil"/>
              <w:bottom w:val="single" w:sz="8" w:space="0" w:color="auto"/>
              <w:right w:val="single" w:sz="8" w:space="0" w:color="auto"/>
            </w:tcBorders>
          </w:tcPr>
          <w:p w14:paraId="20FC5D9F" w14:textId="77777777" w:rsidR="00574164" w:rsidRPr="00B759D9" w:rsidRDefault="00574164" w:rsidP="007847F2">
            <w:pPr>
              <w:pStyle w:val="TableBullet10"/>
              <w:keepNext/>
              <w:numPr>
                <w:ilvl w:val="0"/>
                <w:numId w:val="0"/>
              </w:numPr>
              <w:spacing w:before="0" w:after="20" w:line="240" w:lineRule="auto"/>
              <w:ind w:left="85" w:right="0"/>
              <w:rPr>
                <w:rFonts w:asciiTheme="majorHAnsi" w:hAnsiTheme="majorHAnsi" w:cstheme="majorHAnsi"/>
                <w:sz w:val="15"/>
                <w:szCs w:val="15"/>
              </w:rPr>
            </w:pPr>
            <w:r w:rsidRPr="00B759D9">
              <w:rPr>
                <w:rFonts w:asciiTheme="majorHAnsi" w:hAnsiTheme="majorHAnsi" w:cstheme="majorHAnsi"/>
                <w:sz w:val="15"/>
                <w:szCs w:val="15"/>
              </w:rPr>
              <w:t>Access codes generally allow for interconnection on an open access basis subject to meeting technical specifications</w:t>
            </w:r>
          </w:p>
        </w:tc>
        <w:tc>
          <w:tcPr>
            <w:tcW w:w="2119" w:type="dxa"/>
            <w:tcBorders>
              <w:top w:val="nil"/>
              <w:left w:val="nil"/>
              <w:bottom w:val="single" w:sz="8" w:space="0" w:color="auto"/>
              <w:right w:val="single" w:sz="8" w:space="0" w:color="auto"/>
            </w:tcBorders>
          </w:tcPr>
          <w:p w14:paraId="0CA07255" w14:textId="77777777" w:rsidR="00574164" w:rsidRPr="00B759D9" w:rsidRDefault="00574164" w:rsidP="007847F2">
            <w:pPr>
              <w:pStyle w:val="TableBullet10"/>
              <w:keepNext/>
              <w:numPr>
                <w:ilvl w:val="0"/>
                <w:numId w:val="0"/>
              </w:numPr>
              <w:spacing w:before="0" w:after="20" w:line="240" w:lineRule="auto"/>
              <w:ind w:left="85" w:right="0"/>
              <w:rPr>
                <w:rFonts w:asciiTheme="majorHAnsi" w:hAnsiTheme="majorHAnsi" w:cstheme="majorHAnsi"/>
                <w:sz w:val="15"/>
                <w:szCs w:val="15"/>
              </w:rPr>
            </w:pPr>
            <w:r w:rsidRPr="00B759D9">
              <w:rPr>
                <w:rFonts w:asciiTheme="majorHAnsi" w:hAnsiTheme="majorHAnsi" w:cstheme="majorHAnsi"/>
                <w:sz w:val="15"/>
                <w:szCs w:val="15"/>
              </w:rPr>
              <w:t>Pipelines cannot deny interconnection if shipper pays and the connection does not impair the pipeline’s ability to serve FERC-licensed capacity contracts</w:t>
            </w:r>
          </w:p>
        </w:tc>
        <w:tc>
          <w:tcPr>
            <w:tcW w:w="2258" w:type="dxa"/>
            <w:tcBorders>
              <w:top w:val="nil"/>
              <w:left w:val="nil"/>
              <w:bottom w:val="single" w:sz="8" w:space="0" w:color="auto"/>
              <w:right w:val="single" w:sz="8" w:space="0" w:color="auto"/>
            </w:tcBorders>
          </w:tcPr>
          <w:p w14:paraId="024EEAFE" w14:textId="77777777" w:rsidR="00574164" w:rsidRPr="00B759D9" w:rsidRDefault="00574164" w:rsidP="007847F2">
            <w:pPr>
              <w:pStyle w:val="TableBullet10"/>
              <w:keepNext/>
              <w:numPr>
                <w:ilvl w:val="0"/>
                <w:numId w:val="0"/>
              </w:numPr>
              <w:spacing w:before="0" w:after="20" w:line="240" w:lineRule="auto"/>
              <w:ind w:left="85" w:right="0"/>
              <w:rPr>
                <w:rFonts w:asciiTheme="majorHAnsi" w:hAnsiTheme="majorHAnsi" w:cstheme="majorHAnsi"/>
                <w:sz w:val="15"/>
                <w:szCs w:val="15"/>
              </w:rPr>
            </w:pPr>
            <w:r w:rsidRPr="00B759D9">
              <w:rPr>
                <w:rFonts w:asciiTheme="majorHAnsi" w:hAnsiTheme="majorHAnsi" w:cstheme="majorHAnsi"/>
                <w:sz w:val="15"/>
                <w:szCs w:val="15"/>
              </w:rPr>
              <w:t>If a pipeline refuses an application for interconnection, the applicant can apply to the regulator to force interconnection as long as such interconnection does not place an undue burden on the pipeline.</w:t>
            </w:r>
          </w:p>
        </w:tc>
        <w:tc>
          <w:tcPr>
            <w:tcW w:w="1902" w:type="dxa"/>
            <w:tcBorders>
              <w:top w:val="nil"/>
              <w:left w:val="nil"/>
              <w:bottom w:val="single" w:sz="8" w:space="0" w:color="auto"/>
              <w:right w:val="single" w:sz="8" w:space="0" w:color="auto"/>
            </w:tcBorders>
          </w:tcPr>
          <w:p w14:paraId="2899CA06" w14:textId="77777777" w:rsidR="00574164" w:rsidRPr="00B759D9" w:rsidRDefault="00574164" w:rsidP="007847F2">
            <w:pPr>
              <w:pStyle w:val="TableBullet10"/>
              <w:keepNext/>
              <w:numPr>
                <w:ilvl w:val="0"/>
                <w:numId w:val="24"/>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EU rules require that TSOs provide Third Party Access to their infrastructure, such that they are required to flow gas across their networks at published </w:t>
            </w:r>
            <w:r w:rsidR="00945816">
              <w:rPr>
                <w:rFonts w:asciiTheme="majorHAnsi" w:hAnsiTheme="majorHAnsi" w:cstheme="majorHAnsi"/>
                <w:sz w:val="15"/>
                <w:szCs w:val="15"/>
              </w:rPr>
              <w:t xml:space="preserve">rates </w:t>
            </w:r>
            <w:r w:rsidRPr="00B759D9">
              <w:rPr>
                <w:rFonts w:asciiTheme="majorHAnsi" w:hAnsiTheme="majorHAnsi" w:cstheme="majorHAnsi"/>
                <w:sz w:val="15"/>
                <w:szCs w:val="15"/>
              </w:rPr>
              <w:t xml:space="preserve">and access terms that do not discriminate between network users.  </w:t>
            </w:r>
          </w:p>
          <w:p w14:paraId="2EE8010E" w14:textId="77777777" w:rsidR="00574164" w:rsidRPr="00B759D9" w:rsidRDefault="00574164" w:rsidP="007847F2">
            <w:pPr>
              <w:pStyle w:val="TableBullet10"/>
              <w:keepNext/>
              <w:numPr>
                <w:ilvl w:val="0"/>
                <w:numId w:val="24"/>
              </w:numPr>
              <w:spacing w:before="0" w:after="20" w:line="240" w:lineRule="auto"/>
              <w:ind w:left="300" w:right="0" w:hanging="215"/>
              <w:rPr>
                <w:rFonts w:asciiTheme="majorHAnsi" w:hAnsiTheme="majorHAnsi" w:cstheme="majorHAnsi"/>
                <w:b/>
                <w:sz w:val="15"/>
                <w:szCs w:val="15"/>
              </w:rPr>
            </w:pPr>
            <w:r w:rsidRPr="00B759D9">
              <w:rPr>
                <w:rFonts w:asciiTheme="majorHAnsi" w:hAnsiTheme="majorHAnsi" w:cstheme="majorHAnsi"/>
                <w:sz w:val="15"/>
                <w:szCs w:val="15"/>
              </w:rPr>
              <w:t xml:space="preserve">EU authorities mandated entry-exit charging in the Third Package, which created a system of interconnected systems largely within national borders, within which all gas was fungible.  </w:t>
            </w:r>
          </w:p>
        </w:tc>
        <w:tc>
          <w:tcPr>
            <w:tcW w:w="2169" w:type="dxa"/>
            <w:tcBorders>
              <w:top w:val="nil"/>
              <w:left w:val="nil"/>
              <w:bottom w:val="single" w:sz="8" w:space="0" w:color="auto"/>
              <w:right w:val="single" w:sz="8" w:space="0" w:color="auto"/>
            </w:tcBorders>
          </w:tcPr>
          <w:p w14:paraId="157D3B66" w14:textId="77777777" w:rsidR="00574164" w:rsidRPr="00B759D9" w:rsidRDefault="00574164" w:rsidP="007847F2">
            <w:pPr>
              <w:pStyle w:val="TableBullet10"/>
              <w:keepNext/>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Existing or new users of transmission network may request an entry or exit or storage connection to the NTS through NGG’s Application to Offer process. </w:t>
            </w:r>
          </w:p>
          <w:p w14:paraId="005C6C36" w14:textId="77777777" w:rsidR="00574164" w:rsidRPr="00B759D9" w:rsidRDefault="00574164" w:rsidP="007847F2">
            <w:pPr>
              <w:pStyle w:val="TableBullet10"/>
              <w:keepNext/>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The shipper must have obtained sufficient NTS entry or exit capacity and the contractual rights to use that capacity;</w:t>
            </w:r>
          </w:p>
          <w:p w14:paraId="74AFF0E9" w14:textId="77777777" w:rsidR="00574164" w:rsidRPr="00B759D9" w:rsidRDefault="00574164" w:rsidP="007847F2">
            <w:pPr>
              <w:pStyle w:val="TableBullet10"/>
              <w:keepNext/>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The physical connection to the NTS must be completed and commissioned, with the required metering equipment; </w:t>
            </w:r>
          </w:p>
          <w:p w14:paraId="1CBA1BAD" w14:textId="77777777" w:rsidR="00574164" w:rsidRPr="00B759D9" w:rsidRDefault="00574164" w:rsidP="007847F2">
            <w:pPr>
              <w:pStyle w:val="TableBullet10"/>
              <w:keepNext/>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The shipper must have entered </w:t>
            </w:r>
            <w:r w:rsidR="007847F2">
              <w:rPr>
                <w:rFonts w:asciiTheme="majorHAnsi" w:hAnsiTheme="majorHAnsi" w:cstheme="majorHAnsi"/>
                <w:sz w:val="15"/>
                <w:szCs w:val="15"/>
              </w:rPr>
              <w:t xml:space="preserve">an </w:t>
            </w:r>
            <w:r w:rsidRPr="00B759D9">
              <w:rPr>
                <w:rFonts w:asciiTheme="majorHAnsi" w:hAnsiTheme="majorHAnsi" w:cstheme="majorHAnsi"/>
                <w:sz w:val="15"/>
                <w:szCs w:val="15"/>
              </w:rPr>
              <w:t xml:space="preserve">operational agreement with NGG. </w:t>
            </w:r>
          </w:p>
          <w:p w14:paraId="2AC47578" w14:textId="77777777" w:rsidR="00574164" w:rsidRPr="00B759D9" w:rsidRDefault="00574164" w:rsidP="007847F2">
            <w:pPr>
              <w:pStyle w:val="TableBullet10"/>
              <w:keepNext/>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NGG charges users upfront fees for the provision of exit connections. </w:t>
            </w:r>
          </w:p>
        </w:tc>
      </w:tr>
      <w:tr w:rsidR="00574164" w:rsidRPr="00B759D9" w14:paraId="79E82C8E" w14:textId="77777777" w:rsidTr="00E945FF">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BB2713" w14:textId="77777777" w:rsidR="00574164" w:rsidRPr="00B759D9" w:rsidRDefault="00574164" w:rsidP="00F74086">
            <w:pPr>
              <w:spacing w:after="20" w:line="240" w:lineRule="auto"/>
              <w:rPr>
                <w:rFonts w:asciiTheme="majorHAnsi" w:hAnsiTheme="majorHAnsi" w:cstheme="majorHAnsi"/>
                <w:b/>
                <w:sz w:val="15"/>
                <w:szCs w:val="15"/>
              </w:rPr>
            </w:pPr>
            <w:r w:rsidRPr="00B759D9">
              <w:rPr>
                <w:rFonts w:asciiTheme="majorHAnsi" w:hAnsiTheme="majorHAnsi" w:cstheme="majorHAnsi"/>
                <w:b/>
                <w:sz w:val="15"/>
                <w:szCs w:val="15"/>
              </w:rPr>
              <w:t>Pricing principles for new capacity</w:t>
            </w:r>
          </w:p>
        </w:tc>
        <w:tc>
          <w:tcPr>
            <w:tcW w:w="2271" w:type="dxa"/>
            <w:tcBorders>
              <w:top w:val="single" w:sz="8" w:space="0" w:color="auto"/>
              <w:left w:val="single" w:sz="8" w:space="0" w:color="auto"/>
              <w:bottom w:val="single" w:sz="8" w:space="0" w:color="auto"/>
              <w:right w:val="single" w:sz="8" w:space="0" w:color="auto"/>
            </w:tcBorders>
            <w:shd w:val="clear" w:color="auto" w:fill="E1E2E7" w:themeFill="background2"/>
          </w:tcPr>
          <w:p w14:paraId="56D6F0D9" w14:textId="77777777" w:rsidR="00574164" w:rsidRPr="00B759D9" w:rsidRDefault="00671021" w:rsidP="00F74086">
            <w:pPr>
              <w:pStyle w:val="TableBullet10"/>
              <w:numPr>
                <w:ilvl w:val="0"/>
                <w:numId w:val="25"/>
              </w:numPr>
              <w:spacing w:before="0" w:after="20" w:line="240" w:lineRule="auto"/>
              <w:ind w:right="0"/>
              <w:rPr>
                <w:rFonts w:asciiTheme="majorHAnsi" w:hAnsiTheme="majorHAnsi" w:cstheme="majorHAnsi"/>
                <w:sz w:val="15"/>
                <w:szCs w:val="15"/>
              </w:rPr>
            </w:pPr>
            <w:r w:rsidRPr="00B759D9">
              <w:rPr>
                <w:rFonts w:asciiTheme="majorHAnsi" w:hAnsiTheme="majorHAnsi" w:cstheme="majorHAnsi"/>
                <w:bCs/>
                <w:sz w:val="15"/>
                <w:szCs w:val="15"/>
              </w:rPr>
              <w:t xml:space="preserve">Full regulation: There are some constraints on the use of the rolled-in </w:t>
            </w:r>
            <w:r w:rsidRPr="00B759D9">
              <w:rPr>
                <w:rFonts w:asciiTheme="majorHAnsi" w:hAnsiTheme="majorHAnsi" w:cstheme="majorHAnsi"/>
                <w:sz w:val="15"/>
                <w:szCs w:val="15"/>
              </w:rPr>
              <w:t>approach.</w:t>
            </w:r>
          </w:p>
          <w:p w14:paraId="0EE292DF" w14:textId="77777777" w:rsidR="00671021" w:rsidRPr="00B759D9" w:rsidRDefault="00671021" w:rsidP="00F74086">
            <w:pPr>
              <w:pStyle w:val="TableBullet10"/>
              <w:numPr>
                <w:ilvl w:val="0"/>
                <w:numId w:val="25"/>
              </w:numPr>
              <w:spacing w:before="0" w:after="20" w:line="240" w:lineRule="auto"/>
              <w:ind w:right="0"/>
              <w:rPr>
                <w:rFonts w:asciiTheme="majorHAnsi" w:hAnsiTheme="majorHAnsi" w:cstheme="majorHAnsi"/>
                <w:b/>
                <w:sz w:val="15"/>
                <w:szCs w:val="15"/>
              </w:rPr>
            </w:pPr>
            <w:r w:rsidRPr="00B759D9">
              <w:rPr>
                <w:rFonts w:asciiTheme="majorHAnsi" w:hAnsiTheme="majorHAnsi" w:cstheme="majorHAnsi"/>
                <w:sz w:val="15"/>
                <w:szCs w:val="15"/>
              </w:rPr>
              <w:t>Light regulation and Part 23: No pricing principles or constraints on</w:t>
            </w:r>
            <w:r w:rsidRPr="00B759D9">
              <w:rPr>
                <w:rFonts w:asciiTheme="majorHAnsi" w:hAnsiTheme="majorHAnsi" w:cstheme="majorHAnsi"/>
                <w:bCs/>
                <w:sz w:val="15"/>
                <w:szCs w:val="15"/>
              </w:rPr>
              <w:t xml:space="preserve"> using the rolled-in approach.</w:t>
            </w:r>
            <w:r w:rsidRPr="00B759D9">
              <w:rPr>
                <w:rFonts w:asciiTheme="majorHAnsi" w:hAnsiTheme="majorHAnsi" w:cstheme="majorHAnsi"/>
                <w:b/>
                <w:sz w:val="15"/>
                <w:szCs w:val="15"/>
              </w:rPr>
              <w:t xml:space="preserve"> </w:t>
            </w:r>
          </w:p>
        </w:tc>
        <w:tc>
          <w:tcPr>
            <w:tcW w:w="2399" w:type="dxa"/>
            <w:tcBorders>
              <w:top w:val="nil"/>
              <w:left w:val="nil"/>
              <w:bottom w:val="single" w:sz="8" w:space="0" w:color="auto"/>
              <w:right w:val="single" w:sz="8" w:space="0" w:color="auto"/>
            </w:tcBorders>
          </w:tcPr>
          <w:p w14:paraId="252926EA" w14:textId="77777777" w:rsidR="00574164" w:rsidRPr="00B759D9" w:rsidRDefault="00574164" w:rsidP="007847F2">
            <w:pPr>
              <w:pStyle w:val="TableBullet10"/>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The Commerce Commission’s pricing principles state that prices must be within incremental and stand-alone cost, though these principles are not binding.</w:t>
            </w:r>
          </w:p>
        </w:tc>
        <w:tc>
          <w:tcPr>
            <w:tcW w:w="2119" w:type="dxa"/>
            <w:tcBorders>
              <w:top w:val="nil"/>
              <w:left w:val="nil"/>
              <w:bottom w:val="single" w:sz="8" w:space="0" w:color="auto"/>
              <w:right w:val="single" w:sz="8" w:space="0" w:color="auto"/>
            </w:tcBorders>
          </w:tcPr>
          <w:p w14:paraId="36C6B7CC"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Incremental pricing based on costs and return for extensions or expansions. New pipelines are priced using at the cost of service, including regulated rate of return.</w:t>
            </w:r>
          </w:p>
        </w:tc>
        <w:tc>
          <w:tcPr>
            <w:tcW w:w="2258" w:type="dxa"/>
            <w:tcBorders>
              <w:top w:val="nil"/>
              <w:left w:val="nil"/>
              <w:bottom w:val="single" w:sz="8" w:space="0" w:color="auto"/>
              <w:right w:val="single" w:sz="8" w:space="0" w:color="auto"/>
            </w:tcBorders>
          </w:tcPr>
          <w:p w14:paraId="0085F052"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Cost of service including regulated rate of return for new pipelines.</w:t>
            </w:r>
          </w:p>
          <w:p w14:paraId="2D6119C9" w14:textId="77777777" w:rsidR="00574164" w:rsidRPr="00B759D9" w:rsidRDefault="00574164" w:rsidP="007847F2">
            <w:pPr>
              <w:pStyle w:val="TableBullet10"/>
              <w:numPr>
                <w:ilvl w:val="0"/>
                <w:numId w:val="26"/>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Rolled-in or incremental pricing for extensions or expansions reviewed on a case-by-case basis.</w:t>
            </w:r>
          </w:p>
        </w:tc>
        <w:tc>
          <w:tcPr>
            <w:tcW w:w="1902" w:type="dxa"/>
            <w:tcBorders>
              <w:top w:val="nil"/>
              <w:left w:val="nil"/>
              <w:bottom w:val="single" w:sz="8" w:space="0" w:color="auto"/>
              <w:right w:val="single" w:sz="8" w:space="0" w:color="auto"/>
            </w:tcBorders>
          </w:tcPr>
          <w:p w14:paraId="0126FD01" w14:textId="77777777" w:rsidR="00574164" w:rsidRPr="00B759D9" w:rsidRDefault="00574164" w:rsidP="007847F2">
            <w:pPr>
              <w:pStyle w:val="TableBullet10"/>
              <w:numPr>
                <w:ilvl w:val="0"/>
                <w:numId w:val="24"/>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Primary gas transmission capacity is allocated through an auction system in line with the EU Network Code on Capacity Allocation Mechanisms in Gas Transmission Systems.</w:t>
            </w:r>
          </w:p>
          <w:p w14:paraId="4FC4CB31" w14:textId="77777777" w:rsidR="00574164" w:rsidRPr="00B759D9" w:rsidRDefault="00574164" w:rsidP="007847F2">
            <w:pPr>
              <w:pStyle w:val="TableBullet10"/>
              <w:numPr>
                <w:ilvl w:val="0"/>
                <w:numId w:val="24"/>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Entry-exit prices are set.  The proportional recovery of revenues from entry and exit prices varies across countries.  </w:t>
            </w:r>
          </w:p>
        </w:tc>
        <w:tc>
          <w:tcPr>
            <w:tcW w:w="2169" w:type="dxa"/>
            <w:tcBorders>
              <w:top w:val="nil"/>
              <w:left w:val="nil"/>
              <w:bottom w:val="single" w:sz="8" w:space="0" w:color="auto"/>
              <w:right w:val="single" w:sz="8" w:space="0" w:color="auto"/>
            </w:tcBorders>
          </w:tcPr>
          <w:p w14:paraId="4BB4055C" w14:textId="77777777" w:rsidR="00574164" w:rsidRPr="00B759D9" w:rsidRDefault="00574164" w:rsidP="007847F2">
            <w:pPr>
              <w:pStyle w:val="TableBullet10"/>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 xml:space="preserve">The reference prices used to set reserve prices for entry capacity auctions and exit capacity charges currently reflect the estimated Long Run Marginal Cost of developing the system to meet a sustained increase in demand and supply. </w:t>
            </w:r>
          </w:p>
          <w:p w14:paraId="543E6CFE" w14:textId="49233649" w:rsidR="00574164" w:rsidRPr="00B759D9" w:rsidRDefault="00574164" w:rsidP="007847F2">
            <w:pPr>
              <w:pStyle w:val="TableBullet10"/>
              <w:numPr>
                <w:ilvl w:val="0"/>
                <w:numId w:val="25"/>
              </w:numPr>
              <w:spacing w:before="0" w:after="20" w:line="240" w:lineRule="auto"/>
              <w:ind w:left="300" w:right="0" w:hanging="215"/>
              <w:rPr>
                <w:rFonts w:asciiTheme="majorHAnsi" w:hAnsiTheme="majorHAnsi" w:cstheme="majorHAnsi"/>
                <w:sz w:val="15"/>
                <w:szCs w:val="15"/>
              </w:rPr>
            </w:pPr>
            <w:r w:rsidRPr="00B759D9">
              <w:rPr>
                <w:rFonts w:asciiTheme="majorHAnsi" w:hAnsiTheme="majorHAnsi" w:cstheme="majorHAnsi"/>
                <w:sz w:val="15"/>
                <w:szCs w:val="15"/>
              </w:rPr>
              <w:t>Gas transmission charging is under review and likely to shift away from LRMC model to a Capacity Weighted Distance approach.</w:t>
            </w:r>
          </w:p>
        </w:tc>
      </w:tr>
    </w:tbl>
    <w:p w14:paraId="5B022D15" w14:textId="77777777" w:rsidR="0007070D" w:rsidRPr="00B759D9" w:rsidRDefault="00E83F7D" w:rsidP="00215EBD">
      <w:pPr>
        <w:pStyle w:val="BodyText"/>
        <w:spacing w:before="0"/>
        <w:rPr>
          <w:color w:val="0000FF"/>
          <w:sz w:val="16"/>
          <w:szCs w:val="16"/>
        </w:rPr>
      </w:pPr>
      <w:r w:rsidRPr="00B759D9">
        <w:rPr>
          <w:sz w:val="16"/>
          <w:szCs w:val="16"/>
        </w:rPr>
        <w:t>Source: NERA Economic Consulting, International Review of Pipeline Regulation: Vol. 1 – Synthesis and Reform Options, 2</w:t>
      </w:r>
      <w:r w:rsidR="006630F4" w:rsidRPr="00B759D9">
        <w:rPr>
          <w:sz w:val="16"/>
          <w:szCs w:val="16"/>
        </w:rPr>
        <w:t>8</w:t>
      </w:r>
      <w:r w:rsidRPr="00B759D9">
        <w:rPr>
          <w:sz w:val="16"/>
          <w:szCs w:val="16"/>
        </w:rPr>
        <w:t xml:space="preserve"> June 2019.</w:t>
      </w:r>
      <w:r w:rsidR="00215EBD" w:rsidRPr="00B759D9">
        <w:rPr>
          <w:sz w:val="16"/>
          <w:szCs w:val="16"/>
        </w:rPr>
        <w:t xml:space="preserve"> </w:t>
      </w:r>
    </w:p>
    <w:p w14:paraId="7D88753D" w14:textId="77777777" w:rsidR="0007070D" w:rsidRPr="00B759D9" w:rsidRDefault="0007070D" w:rsidP="00D91DDA">
      <w:pPr>
        <w:pStyle w:val="BodyText"/>
        <w:rPr>
          <w:color w:val="0000FF"/>
          <w:sz w:val="16"/>
          <w:szCs w:val="16"/>
        </w:rPr>
        <w:sectPr w:rsidR="0007070D" w:rsidRPr="00B759D9" w:rsidSect="00E945FF">
          <w:footerReference w:type="default" r:id="rId30"/>
          <w:pgSz w:w="16839" w:h="11907" w:orient="landscape" w:code="9"/>
          <w:pgMar w:top="851" w:right="1418" w:bottom="567" w:left="1701" w:header="567" w:footer="223" w:gutter="0"/>
          <w:cols w:space="708"/>
          <w:docGrid w:linePitch="360"/>
        </w:sectPr>
      </w:pPr>
    </w:p>
    <w:p w14:paraId="7706939A" w14:textId="77C9B579" w:rsidR="003B5A36" w:rsidRPr="006B4639" w:rsidRDefault="003B5A36" w:rsidP="003B5A36">
      <w:pPr>
        <w:pStyle w:val="Caption"/>
        <w:spacing w:after="0"/>
      </w:pPr>
      <w:bookmarkStart w:id="68" w:name="_Ref15225867"/>
      <w:bookmarkStart w:id="69" w:name="_Toc7793502"/>
      <w:bookmarkStart w:id="70" w:name="_Toc7798132"/>
      <w:bookmarkStart w:id="71" w:name="_Toc8390030"/>
      <w:bookmarkStart w:id="72" w:name="_Toc8390172"/>
      <w:bookmarkStart w:id="73" w:name="_Toc8394165"/>
      <w:bookmarkStart w:id="74" w:name="_Toc10197844"/>
      <w:bookmarkStart w:id="75" w:name="_Toc10213280"/>
      <w:bookmarkStart w:id="76" w:name="_Toc11149687"/>
      <w:bookmarkStart w:id="77" w:name="_Toc11150057"/>
      <w:r w:rsidRPr="006B4639">
        <w:lastRenderedPageBreak/>
        <w:t xml:space="preserve">Box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2</w:t>
      </w:r>
      <w:r w:rsidR="00F323B2">
        <w:rPr>
          <w:noProof/>
        </w:rPr>
        <w:fldChar w:fldCharType="end"/>
      </w:r>
      <w:r w:rsidR="00B80405">
        <w:t>.</w:t>
      </w:r>
      <w:r w:rsidR="00F323B2">
        <w:rPr>
          <w:noProof/>
        </w:rPr>
        <w:fldChar w:fldCharType="begin"/>
      </w:r>
      <w:r w:rsidR="00F323B2">
        <w:rPr>
          <w:noProof/>
        </w:rPr>
        <w:instrText xml:space="preserve"> SEQ Box \* ARABIC \s 1 </w:instrText>
      </w:r>
      <w:r w:rsidR="00F323B2">
        <w:rPr>
          <w:noProof/>
        </w:rPr>
        <w:fldChar w:fldCharType="separate"/>
      </w:r>
      <w:r w:rsidR="004031E8">
        <w:rPr>
          <w:noProof/>
        </w:rPr>
        <w:t>6</w:t>
      </w:r>
      <w:r w:rsidR="00F323B2">
        <w:rPr>
          <w:noProof/>
        </w:rPr>
        <w:fldChar w:fldCharType="end"/>
      </w:r>
      <w:bookmarkEnd w:id="68"/>
      <w:r w:rsidRPr="006B4639">
        <w:t>: Third party access in the United States and Canada</w:t>
      </w:r>
    </w:p>
    <w:tbl>
      <w:tblPr>
        <w:tblStyle w:val="PullOutBoxTable"/>
        <w:tblW w:w="5000" w:type="pct"/>
        <w:tblLook w:val="0600" w:firstRow="0" w:lastRow="0" w:firstColumn="0" w:lastColumn="0" w:noHBand="1" w:noVBand="1"/>
      </w:tblPr>
      <w:tblGrid>
        <w:gridCol w:w="8788"/>
      </w:tblGrid>
      <w:tr w:rsidR="003B5A36" w:rsidRPr="006B4639" w14:paraId="7F101D8C" w14:textId="77777777" w:rsidTr="00CF688C">
        <w:tc>
          <w:tcPr>
            <w:tcW w:w="5000" w:type="pct"/>
          </w:tcPr>
          <w:p w14:paraId="52597142" w14:textId="080A4939" w:rsidR="003B5A36" w:rsidRPr="006B4639" w:rsidRDefault="003B5A36" w:rsidP="00CF688C">
            <w:pPr>
              <w:pStyle w:val="PullOutBoxBodyText"/>
              <w:spacing w:before="0" w:line="264" w:lineRule="auto"/>
              <w:rPr>
                <w:rFonts w:cs="Arial"/>
                <w:sz w:val="20"/>
                <w:szCs w:val="20"/>
              </w:rPr>
            </w:pPr>
            <w:r w:rsidRPr="006B4639">
              <w:rPr>
                <w:sz w:val="20"/>
                <w:szCs w:val="20"/>
              </w:rPr>
              <w:t xml:space="preserve">In the US, </w:t>
            </w:r>
            <w:r w:rsidRPr="006B4639">
              <w:rPr>
                <w:rFonts w:cs="Arial"/>
                <w:color w:val="000000"/>
                <w:sz w:val="20"/>
                <w:szCs w:val="20"/>
              </w:rPr>
              <w:t>operators of new and existing interstate pipelines are required to operate on an open access basis (i.e. to provide third-party access) and to provide services on a non-discriminatory basis,</w:t>
            </w:r>
            <w:r w:rsidR="00370905">
              <w:rPr>
                <w:rFonts w:ascii="ZWAdobeF" w:hAnsi="ZWAdobeF" w:cs="ZWAdobeF"/>
                <w:sz w:val="2"/>
                <w:szCs w:val="2"/>
              </w:rPr>
              <w:t>66F</w:t>
            </w:r>
            <w:r w:rsidRPr="006B4639">
              <w:rPr>
                <w:rStyle w:val="FootnoteReference"/>
                <w:rFonts w:cs="Arial"/>
                <w:color w:val="000000"/>
                <w:sz w:val="20"/>
                <w:szCs w:val="20"/>
              </w:rPr>
              <w:footnoteReference w:id="68"/>
            </w:r>
            <w:r w:rsidRPr="006B4639">
              <w:rPr>
                <w:rFonts w:cs="Arial"/>
                <w:color w:val="000000"/>
                <w:sz w:val="20"/>
                <w:szCs w:val="20"/>
              </w:rPr>
              <w:t xml:space="preserve"> which is defined as </w:t>
            </w:r>
            <w:r w:rsidRPr="006B4639">
              <w:rPr>
                <w:rFonts w:eastAsia="Times New Roman" w:cs="Arial"/>
                <w:sz w:val="20"/>
                <w:szCs w:val="20"/>
                <w:lang w:eastAsia="en-AU"/>
              </w:rPr>
              <w:t xml:space="preserve">the provision of </w:t>
            </w:r>
            <w:r w:rsidRPr="006B4639">
              <w:rPr>
                <w:rFonts w:cs="Arial"/>
                <w:sz w:val="20"/>
                <w:szCs w:val="20"/>
              </w:rPr>
              <w:t>services:</w:t>
            </w:r>
            <w:r w:rsidR="00370905">
              <w:rPr>
                <w:rFonts w:ascii="ZWAdobeF" w:hAnsi="ZWAdobeF" w:cs="ZWAdobeF"/>
                <w:sz w:val="2"/>
                <w:szCs w:val="2"/>
              </w:rPr>
              <w:t>67F</w:t>
            </w:r>
            <w:r w:rsidRPr="006B4639">
              <w:rPr>
                <w:rStyle w:val="FootnoteReference"/>
                <w:rFonts w:cs="Arial"/>
                <w:sz w:val="20"/>
                <w:szCs w:val="20"/>
              </w:rPr>
              <w:footnoteReference w:id="69"/>
            </w:r>
            <w:r w:rsidRPr="006B4639">
              <w:rPr>
                <w:rFonts w:cs="Arial"/>
                <w:sz w:val="20"/>
                <w:szCs w:val="20"/>
              </w:rPr>
              <w:t xml:space="preserve"> </w:t>
            </w:r>
          </w:p>
          <w:p w14:paraId="4C5AC39F" w14:textId="77777777" w:rsidR="003B5A36" w:rsidRPr="006B4639" w:rsidRDefault="003B5A36" w:rsidP="00CF688C">
            <w:pPr>
              <w:pStyle w:val="PullOutBoxBodyText"/>
              <w:spacing w:before="0" w:line="264" w:lineRule="auto"/>
              <w:ind w:left="357" w:right="357"/>
              <w:rPr>
                <w:rFonts w:cs="Arial"/>
                <w:i/>
                <w:iCs/>
                <w:color w:val="000000"/>
                <w:sz w:val="20"/>
                <w:szCs w:val="20"/>
              </w:rPr>
            </w:pPr>
            <w:r w:rsidRPr="006B4639">
              <w:rPr>
                <w:rFonts w:cs="Arial"/>
                <w:i/>
                <w:iCs/>
                <w:sz w:val="20"/>
                <w:szCs w:val="20"/>
              </w:rPr>
              <w:t xml:space="preserve">“…without undue discrimination, or preference, including undue discrimination or preference in the quality of service provided, the duration of service, the categories, prices, or volumes of natural gas to be transported, customer classification, or undue discrimination or preference of any kind.” </w:t>
            </w:r>
          </w:p>
          <w:p w14:paraId="510F9203" w14:textId="79CC3EAA" w:rsidR="003B5A36" w:rsidRPr="006B4639" w:rsidRDefault="003B5A36" w:rsidP="00CF688C">
            <w:pPr>
              <w:pStyle w:val="PullOutBoxBodyText"/>
              <w:spacing w:line="264" w:lineRule="auto"/>
              <w:rPr>
                <w:rFonts w:cs="Arial"/>
                <w:color w:val="000000"/>
                <w:sz w:val="20"/>
                <w:szCs w:val="20"/>
              </w:rPr>
            </w:pPr>
            <w:r w:rsidRPr="006B4639">
              <w:rPr>
                <w:rFonts w:cs="Arial"/>
                <w:color w:val="000000"/>
                <w:sz w:val="20"/>
                <w:szCs w:val="20"/>
              </w:rPr>
              <w:t>In a similar manner to the US, international and inter-provincial pipelines in Canada are required to operate on an open access basis and are prohibited from engaging in any “unjust discrimination in tolls, services or facilities against any person or locality”.</w:t>
            </w:r>
            <w:r w:rsidR="00370905">
              <w:rPr>
                <w:rFonts w:ascii="ZWAdobeF" w:hAnsi="ZWAdobeF" w:cs="ZWAdobeF"/>
                <w:sz w:val="2"/>
                <w:szCs w:val="2"/>
              </w:rPr>
              <w:t>68F</w:t>
            </w:r>
            <w:r w:rsidRPr="006B4639">
              <w:rPr>
                <w:rStyle w:val="FootnoteReference"/>
                <w:rFonts w:cs="Arial"/>
                <w:color w:val="000000"/>
                <w:sz w:val="20"/>
                <w:szCs w:val="20"/>
              </w:rPr>
              <w:footnoteReference w:id="70"/>
            </w:r>
            <w:r w:rsidRPr="006B4639">
              <w:rPr>
                <w:rFonts w:cs="Arial"/>
                <w:color w:val="000000"/>
                <w:sz w:val="20"/>
                <w:szCs w:val="20"/>
              </w:rPr>
              <w:t xml:space="preserve"> The National Energy Board, which is responsible for regulating these pipelines, has interpreted this requirement as follows:</w:t>
            </w:r>
            <w:r w:rsidR="00370905">
              <w:rPr>
                <w:rFonts w:ascii="ZWAdobeF" w:hAnsi="ZWAdobeF" w:cs="ZWAdobeF"/>
                <w:sz w:val="2"/>
                <w:szCs w:val="2"/>
              </w:rPr>
              <w:t>69F</w:t>
            </w:r>
            <w:r w:rsidRPr="006B4639">
              <w:rPr>
                <w:rStyle w:val="FootnoteReference"/>
                <w:rFonts w:cs="Arial"/>
                <w:color w:val="000000"/>
                <w:sz w:val="20"/>
                <w:szCs w:val="20"/>
              </w:rPr>
              <w:footnoteReference w:id="71"/>
            </w:r>
            <w:r w:rsidRPr="006B4639">
              <w:rPr>
                <w:rFonts w:cs="Arial"/>
                <w:color w:val="000000"/>
                <w:sz w:val="20"/>
                <w:szCs w:val="20"/>
              </w:rPr>
              <w:t xml:space="preserve"> </w:t>
            </w:r>
          </w:p>
          <w:p w14:paraId="5D616277" w14:textId="77777777" w:rsidR="003B5A36" w:rsidRPr="006B4639" w:rsidRDefault="003B5A36" w:rsidP="00CF688C">
            <w:pPr>
              <w:spacing w:after="60" w:line="264" w:lineRule="auto"/>
              <w:ind w:left="357" w:right="357"/>
              <w:rPr>
                <w:i/>
                <w:iCs/>
                <w:sz w:val="20"/>
                <w:szCs w:val="20"/>
              </w:rPr>
            </w:pPr>
            <w:r w:rsidRPr="006B4639">
              <w:rPr>
                <w:i/>
                <w:iCs/>
                <w:sz w:val="20"/>
                <w:szCs w:val="20"/>
              </w:rPr>
              <w:t xml:space="preserve">“…all parties must have access to transportation on a non-discriminatory basis, as long as they meet the requirements of the tariff. </w:t>
            </w:r>
          </w:p>
          <w:p w14:paraId="7C0B6637" w14:textId="77777777" w:rsidR="003B5A36" w:rsidRPr="006B4639" w:rsidRDefault="003B5A36" w:rsidP="00CF688C">
            <w:pPr>
              <w:spacing w:after="60" w:line="264" w:lineRule="auto"/>
              <w:ind w:left="357" w:right="357"/>
              <w:rPr>
                <w:i/>
                <w:iCs/>
                <w:sz w:val="20"/>
                <w:szCs w:val="20"/>
              </w:rPr>
            </w:pPr>
            <w:r w:rsidRPr="006B4639">
              <w:rPr>
                <w:i/>
                <w:iCs/>
                <w:sz w:val="20"/>
                <w:szCs w:val="20"/>
              </w:rPr>
              <w:t>In addition, tolls for services provided under similar circumstances and conditions with respect to all traffic of the same description, carried over the same route, must be the same for all customers.”</w:t>
            </w:r>
          </w:p>
          <w:p w14:paraId="5C5D36E7" w14:textId="77777777" w:rsidR="003B5A36" w:rsidRPr="006B4639" w:rsidRDefault="003B5A36" w:rsidP="00CF688C">
            <w:pPr>
              <w:pStyle w:val="PullOutBoxBodyText"/>
              <w:spacing w:line="264" w:lineRule="auto"/>
              <w:rPr>
                <w:sz w:val="20"/>
                <w:szCs w:val="20"/>
              </w:rPr>
            </w:pPr>
            <w:r w:rsidRPr="006B4639">
              <w:rPr>
                <w:rFonts w:cs="Arial"/>
                <w:color w:val="000000"/>
                <w:sz w:val="20"/>
                <w:szCs w:val="20"/>
              </w:rPr>
              <w:t xml:space="preserve">Where a service provider’s prices is found to differ by person or locality, the burden of proving that the discrimination is not unjust lies with the service provider. </w:t>
            </w:r>
          </w:p>
        </w:tc>
      </w:tr>
    </w:tbl>
    <w:p w14:paraId="284A77B3" w14:textId="77777777" w:rsidR="00AE6CC1" w:rsidRDefault="00AE6CC1" w:rsidP="00AE6CC1">
      <w:pPr>
        <w:pStyle w:val="BodyText"/>
      </w:pPr>
      <w:r w:rsidRPr="00312467">
        <w:t xml:space="preserve">Further detail on the regulatory arrangements applying in these jurisdictions can be found in NERA Economic Consulting’s </w:t>
      </w:r>
      <w:r w:rsidRPr="00312467">
        <w:rPr>
          <w:i/>
          <w:iCs/>
        </w:rPr>
        <w:t>International Review of Pipeline Regulation</w:t>
      </w:r>
      <w:r w:rsidRPr="00312467">
        <w:t xml:space="preserve">, which can be found on the Energy </w:t>
      </w:r>
      <w:r w:rsidR="00937073">
        <w:t xml:space="preserve">Minister’s </w:t>
      </w:r>
      <w:r w:rsidRPr="00312467">
        <w:t>website.</w:t>
      </w:r>
      <w:r>
        <w:br w:type="page"/>
      </w:r>
    </w:p>
    <w:p w14:paraId="4BDEE0F9" w14:textId="77777777" w:rsidR="00907DFD" w:rsidRDefault="004B3764" w:rsidP="00B021D4">
      <w:pPr>
        <w:pStyle w:val="Heading1"/>
      </w:pPr>
      <w:bookmarkStart w:id="78" w:name="_Toc62219400"/>
      <w:r>
        <w:lastRenderedPageBreak/>
        <w:t>Problems with the</w:t>
      </w:r>
      <w:r w:rsidR="000201A9">
        <w:t xml:space="preserve"> </w:t>
      </w:r>
      <w:r>
        <w:t xml:space="preserve">regulatory framework and </w:t>
      </w:r>
      <w:r w:rsidR="00304BEB">
        <w:t xml:space="preserve">the </w:t>
      </w:r>
      <w:r w:rsidRPr="00150692">
        <w:t>o</w:t>
      </w:r>
      <w:r w:rsidR="00907DFD" w:rsidRPr="00150692">
        <w:t>bjectives of action</w:t>
      </w:r>
      <w:r w:rsidR="00B021D4" w:rsidRPr="00150692">
        <w:t xml:space="preserve"> </w:t>
      </w:r>
      <w:bookmarkEnd w:id="69"/>
      <w:bookmarkEnd w:id="70"/>
      <w:bookmarkEnd w:id="71"/>
      <w:bookmarkEnd w:id="72"/>
      <w:bookmarkEnd w:id="73"/>
      <w:bookmarkEnd w:id="74"/>
      <w:bookmarkEnd w:id="75"/>
      <w:bookmarkEnd w:id="76"/>
      <w:bookmarkEnd w:id="77"/>
      <w:r w:rsidR="00AE6CC1">
        <w:t xml:space="preserve">to </w:t>
      </w:r>
      <w:r w:rsidR="00304BEB">
        <w:t>address the problems</w:t>
      </w:r>
      <w:bookmarkEnd w:id="78"/>
    </w:p>
    <w:p w14:paraId="40698D38" w14:textId="3326E199" w:rsidR="00956445" w:rsidRDefault="0031264F" w:rsidP="0031264F">
      <w:pPr>
        <w:pStyle w:val="BodyText"/>
      </w:pPr>
      <w:r w:rsidRPr="006B4639">
        <w:t xml:space="preserve">Despite recent interventions to improve aspects of the regulatory framework, </w:t>
      </w:r>
      <w:r w:rsidR="00257F50">
        <w:t xml:space="preserve">the </w:t>
      </w:r>
      <w:r w:rsidRPr="006B4639">
        <w:t xml:space="preserve">reviews </w:t>
      </w:r>
      <w:r w:rsidR="00257F50">
        <w:t xml:space="preserve">recently </w:t>
      </w:r>
      <w:r w:rsidRPr="006B4639">
        <w:t>carried out</w:t>
      </w:r>
      <w:r w:rsidR="003E35D5">
        <w:t xml:space="preserve"> </w:t>
      </w:r>
      <w:r w:rsidR="00316809">
        <w:t>by the ACCC, AEMC, GMRG</w:t>
      </w:r>
      <w:r w:rsidR="00663563">
        <w:t>,</w:t>
      </w:r>
      <w:r w:rsidR="00166820">
        <w:t xml:space="preserve"> </w:t>
      </w:r>
      <w:r w:rsidR="00316809">
        <w:t>Brattle</w:t>
      </w:r>
      <w:r w:rsidR="00166820">
        <w:t>,</w:t>
      </w:r>
      <w:r w:rsidR="00316809">
        <w:t xml:space="preserve"> </w:t>
      </w:r>
      <w:r w:rsidR="00663563">
        <w:t xml:space="preserve">NERA </w:t>
      </w:r>
      <w:r w:rsidR="003E35D5">
        <w:t xml:space="preserve">and </w:t>
      </w:r>
      <w:r w:rsidR="007F287D">
        <w:t xml:space="preserve">stakeholder consultation undertaken as part of this RIS (including through the </w:t>
      </w:r>
      <w:r w:rsidR="009F66BB">
        <w:t>OGW shipper survey</w:t>
      </w:r>
      <w:r w:rsidR="007F287D">
        <w:t>)</w:t>
      </w:r>
      <w:r w:rsidR="006127B1">
        <w:t xml:space="preserve"> indicate</w:t>
      </w:r>
      <w:r>
        <w:t xml:space="preserve"> </w:t>
      </w:r>
      <w:r w:rsidRPr="006B4639">
        <w:t xml:space="preserve">that there are </w:t>
      </w:r>
      <w:r w:rsidR="00F02E8E">
        <w:t xml:space="preserve">still </w:t>
      </w:r>
      <w:r w:rsidR="00F5127A">
        <w:t xml:space="preserve">a number of </w:t>
      </w:r>
      <w:r w:rsidRPr="006B4639">
        <w:t xml:space="preserve">problems with </w:t>
      </w:r>
      <w:r>
        <w:t xml:space="preserve">the </w:t>
      </w:r>
      <w:r w:rsidRPr="006B4639">
        <w:t>regulatory framework</w:t>
      </w:r>
      <w:r w:rsidR="006E7968">
        <w:t xml:space="preserve">. </w:t>
      </w:r>
    </w:p>
    <w:p w14:paraId="2C5B723D" w14:textId="77777777" w:rsidR="00956445" w:rsidRPr="006B4639" w:rsidRDefault="00956445" w:rsidP="00956445">
      <w:pPr>
        <w:pStyle w:val="BodyText"/>
      </w:pPr>
      <w:r w:rsidRPr="006B4639">
        <w:t>The remainder of this chapter provides an overview of the problems that have been identified</w:t>
      </w:r>
      <w:r>
        <w:t xml:space="preserve"> with the current regulatory framework</w:t>
      </w:r>
      <w:r w:rsidR="002C6E26">
        <w:t xml:space="preserve"> and </w:t>
      </w:r>
      <w:r w:rsidRPr="006B4639">
        <w:t xml:space="preserve">the objectives of </w:t>
      </w:r>
      <w:r w:rsidR="00150692" w:rsidRPr="00807EA1">
        <w:t>Energy National Cabinet Reform Committee</w:t>
      </w:r>
      <w:r w:rsidR="00150692">
        <w:t xml:space="preserve"> </w:t>
      </w:r>
      <w:r>
        <w:t xml:space="preserve">action </w:t>
      </w:r>
      <w:r w:rsidR="002C6E26">
        <w:t xml:space="preserve">in addressing these problems. </w:t>
      </w:r>
    </w:p>
    <w:p w14:paraId="4B3A6048" w14:textId="77777777" w:rsidR="00956445" w:rsidRDefault="001F0F6C" w:rsidP="00FD2F4A">
      <w:pPr>
        <w:pStyle w:val="Heading2"/>
      </w:pPr>
      <w:bookmarkStart w:id="79" w:name="_Toc62219401"/>
      <w:r>
        <w:t xml:space="preserve">What are the problems with the </w:t>
      </w:r>
      <w:r w:rsidR="00FD2F4A">
        <w:t>current regulatory framework</w:t>
      </w:r>
      <w:r>
        <w:t>?</w:t>
      </w:r>
      <w:bookmarkEnd w:id="79"/>
    </w:p>
    <w:p w14:paraId="198C86FF" w14:textId="77777777" w:rsidR="00DF7F1C" w:rsidRPr="006B4639" w:rsidRDefault="00040CB5" w:rsidP="00DF7F1C">
      <w:pPr>
        <w:pStyle w:val="BodyText"/>
      </w:pPr>
      <w:r>
        <w:t xml:space="preserve">The regulatory framework has been subject to a number of reviews </w:t>
      </w:r>
      <w:r w:rsidR="008B4789">
        <w:t>over the last five year</w:t>
      </w:r>
      <w:r w:rsidR="007F287D">
        <w:t xml:space="preserve">s, the findings of which </w:t>
      </w:r>
      <w:r w:rsidR="00C749DA">
        <w:t xml:space="preserve">are set out in detail in Appendix B. </w:t>
      </w:r>
      <w:r w:rsidR="00F84DAF">
        <w:t xml:space="preserve">Through these reviews and the </w:t>
      </w:r>
      <w:r w:rsidR="00BF7F83">
        <w:t>consultation undertaken as part of this RIS</w:t>
      </w:r>
      <w:r w:rsidR="00924232">
        <w:t xml:space="preserve">, a number of </w:t>
      </w:r>
      <w:r w:rsidR="00DF7F1C" w:rsidRPr="006B4639">
        <w:t xml:space="preserve">problems have been </w:t>
      </w:r>
      <w:r w:rsidR="00924232">
        <w:t>identified with</w:t>
      </w:r>
      <w:r w:rsidR="00BF7F83">
        <w:t xml:space="preserve"> the </w:t>
      </w:r>
      <w:r w:rsidR="002C6E26">
        <w:t xml:space="preserve">following elements of the </w:t>
      </w:r>
      <w:r w:rsidR="00BF7F83">
        <w:t>regulatory framework</w:t>
      </w:r>
      <w:r w:rsidR="00DF7F1C" w:rsidRPr="006B4639">
        <w:t>:</w:t>
      </w:r>
    </w:p>
    <w:p w14:paraId="3F239A23" w14:textId="77777777" w:rsidR="00656779" w:rsidRPr="006B4639" w:rsidRDefault="00656779" w:rsidP="00E945FF">
      <w:pPr>
        <w:pStyle w:val="Listfortext"/>
        <w:numPr>
          <w:ilvl w:val="0"/>
          <w:numId w:val="136"/>
        </w:numPr>
        <w:ind w:left="357" w:hanging="357"/>
      </w:pPr>
      <w:r>
        <w:t>the threshold used to determine when a pipeline should be subject to economic regulation (including in relation to greenfield developments and pipelines that are not voluntarily providing third party access</w:t>
      </w:r>
      <w:r w:rsidR="005A1AB7">
        <w:t>)</w:t>
      </w:r>
      <w:r w:rsidRPr="006B4639">
        <w:t xml:space="preserve">; </w:t>
      </w:r>
    </w:p>
    <w:p w14:paraId="53DCFEB7" w14:textId="77777777" w:rsidR="00DC41E5" w:rsidRPr="006B4639" w:rsidRDefault="00DC41E5" w:rsidP="00E945FF">
      <w:pPr>
        <w:pStyle w:val="Listfortext"/>
        <w:numPr>
          <w:ilvl w:val="0"/>
          <w:numId w:val="136"/>
        </w:numPr>
        <w:ind w:left="357" w:hanging="357"/>
      </w:pPr>
      <w:r w:rsidRPr="00C746D6">
        <w:t xml:space="preserve">the forms of regulation that can be applied to a pipeline if </w:t>
      </w:r>
      <w:r>
        <w:t xml:space="preserve">they are subject to regulation </w:t>
      </w:r>
      <w:r w:rsidRPr="00C746D6">
        <w:t xml:space="preserve">and how movements between the </w:t>
      </w:r>
      <w:r>
        <w:t xml:space="preserve">alternative </w:t>
      </w:r>
      <w:r w:rsidRPr="00C746D6">
        <w:t>forms of regulation occur</w:t>
      </w:r>
      <w:r w:rsidRPr="006B4639">
        <w:t xml:space="preserve">; </w:t>
      </w:r>
    </w:p>
    <w:p w14:paraId="60248FB1" w14:textId="77777777" w:rsidR="00DC41E5" w:rsidRPr="006B4639" w:rsidRDefault="00DC41E5" w:rsidP="00E945FF">
      <w:pPr>
        <w:pStyle w:val="Listfortext"/>
        <w:numPr>
          <w:ilvl w:val="0"/>
          <w:numId w:val="136"/>
        </w:numPr>
        <w:ind w:left="357" w:hanging="357"/>
      </w:pPr>
      <w:r>
        <w:t xml:space="preserve">the governance arrangements applying to when </w:t>
      </w:r>
      <w:r w:rsidR="00656779">
        <w:t xml:space="preserve">to regulate </w:t>
      </w:r>
      <w:r>
        <w:t>and how to regulate decisions;</w:t>
      </w:r>
    </w:p>
    <w:p w14:paraId="75A951A3" w14:textId="77777777" w:rsidR="00DF7F1C" w:rsidRPr="00C746D6" w:rsidRDefault="00DF7F1C" w:rsidP="00E945FF">
      <w:pPr>
        <w:pStyle w:val="Listfortext"/>
        <w:numPr>
          <w:ilvl w:val="0"/>
          <w:numId w:val="136"/>
        </w:numPr>
        <w:ind w:left="357" w:hanging="357"/>
      </w:pPr>
      <w:r w:rsidRPr="00C746D6">
        <w:t xml:space="preserve">the information disclosure obligations that service providers are subject to under the various forms of regulation; and </w:t>
      </w:r>
    </w:p>
    <w:p w14:paraId="7BADE055" w14:textId="77777777" w:rsidR="00DF7F1C" w:rsidRPr="006B4639" w:rsidRDefault="00DF7F1C" w:rsidP="00E945FF">
      <w:pPr>
        <w:pStyle w:val="Listfortext"/>
        <w:numPr>
          <w:ilvl w:val="0"/>
          <w:numId w:val="136"/>
        </w:numPr>
        <w:ind w:left="357" w:hanging="357"/>
      </w:pPr>
      <w:r w:rsidRPr="00C746D6">
        <w:t>the negotiation frameworks and dispute resolution mechanisms applying under the various forms</w:t>
      </w:r>
      <w:r w:rsidRPr="006B4639">
        <w:t xml:space="preserve"> of regulation.</w:t>
      </w:r>
    </w:p>
    <w:p w14:paraId="5884227A" w14:textId="77777777" w:rsidR="00325045" w:rsidRDefault="00554B87" w:rsidP="00671FE5">
      <w:pPr>
        <w:pStyle w:val="BodyText"/>
      </w:pPr>
      <w:r w:rsidRPr="006B4639">
        <w:t>A brief overview of the problems that have been identified, which are complex and interrelated, is provided below.</w:t>
      </w:r>
      <w:r>
        <w:t xml:space="preserve"> </w:t>
      </w:r>
      <w:r w:rsidR="00D64DD8">
        <w:t>Further detail on these problems and the feedback that stakeholders provided can be found in chapters 4-7.</w:t>
      </w:r>
    </w:p>
    <w:p w14:paraId="602B7710" w14:textId="77777777" w:rsidR="002E72B6" w:rsidRPr="006B4639" w:rsidRDefault="002E72B6" w:rsidP="00671FE5">
      <w:pPr>
        <w:pStyle w:val="Heading3"/>
      </w:pPr>
      <w:r w:rsidRPr="006B4639">
        <w:t xml:space="preserve">When a pipeline should be regulated </w:t>
      </w:r>
    </w:p>
    <w:p w14:paraId="7E838B5B" w14:textId="77777777" w:rsidR="002E72B6" w:rsidRPr="006B4639" w:rsidRDefault="002E72B6" w:rsidP="002E72B6">
      <w:pPr>
        <w:pStyle w:val="BodyText"/>
        <w:spacing w:before="120"/>
      </w:pPr>
      <w:bookmarkStart w:id="80" w:name="_Hlk18237205"/>
      <w:r w:rsidRPr="006B4639">
        <w:t xml:space="preserve">Under the current regulatory framework: </w:t>
      </w:r>
    </w:p>
    <w:p w14:paraId="17862D81" w14:textId="77777777" w:rsidR="002E72B6" w:rsidRPr="006B4639" w:rsidRDefault="002E72B6" w:rsidP="00E945FF">
      <w:pPr>
        <w:pStyle w:val="ListBullet"/>
        <w:numPr>
          <w:ilvl w:val="0"/>
          <w:numId w:val="81"/>
        </w:numPr>
        <w:ind w:left="357" w:hanging="357"/>
      </w:pPr>
      <w:r w:rsidRPr="006B4639">
        <w:t xml:space="preserve">all pipelines that are providing third party access are subject to some form of regulation; </w:t>
      </w:r>
    </w:p>
    <w:p w14:paraId="118C62B1" w14:textId="2CEEB9E5" w:rsidR="002E72B6" w:rsidRPr="006B4639" w:rsidRDefault="002E72B6" w:rsidP="00E945FF">
      <w:pPr>
        <w:pStyle w:val="ListBullet"/>
        <w:numPr>
          <w:ilvl w:val="0"/>
          <w:numId w:val="81"/>
        </w:numPr>
        <w:ind w:left="357" w:hanging="357"/>
      </w:pPr>
      <w:r w:rsidRPr="006B4639">
        <w:t xml:space="preserve">access to a pipeline that is not providing third party access can only be obtained if the Minister, having regard to the NCC’s recommendation, finds that all the coverage criteria are satisfied (see </w:t>
      </w:r>
      <w:r w:rsidR="00290DFE">
        <w:fldChar w:fldCharType="begin" w:fldLock="1"/>
      </w:r>
      <w:r w:rsidR="00290DFE">
        <w:instrText xml:space="preserve"> REF _Ref49700216 \h </w:instrText>
      </w:r>
      <w:r w:rsidR="00290DFE">
        <w:fldChar w:fldCharType="separate"/>
      </w:r>
      <w:r w:rsidR="00036405">
        <w:t xml:space="preserve">Box </w:t>
      </w:r>
      <w:r w:rsidR="00036405">
        <w:rPr>
          <w:noProof/>
        </w:rPr>
        <w:t>2</w:t>
      </w:r>
      <w:r w:rsidR="00036405">
        <w:t>.</w:t>
      </w:r>
      <w:r w:rsidR="00036405">
        <w:rPr>
          <w:noProof/>
        </w:rPr>
        <w:t>4</w:t>
      </w:r>
      <w:r w:rsidR="00290DFE">
        <w:fldChar w:fldCharType="end"/>
      </w:r>
      <w:r w:rsidRPr="006B4639">
        <w:t>); and</w:t>
      </w:r>
    </w:p>
    <w:p w14:paraId="51B2D5F3" w14:textId="77777777" w:rsidR="002E72B6" w:rsidRPr="006B4639" w:rsidRDefault="002E72B6" w:rsidP="00E945FF">
      <w:pPr>
        <w:pStyle w:val="ListBullet"/>
        <w:numPr>
          <w:ilvl w:val="0"/>
          <w:numId w:val="81"/>
        </w:numPr>
        <w:ind w:left="357" w:hanging="357"/>
      </w:pPr>
      <w:r w:rsidRPr="006B4639">
        <w:t xml:space="preserve">a 15-year exemption from coverage (greenfield exemption) can be obtained by pipelines that are yet to be commissioned if the Minister, having regard to the NCC’s recommendation, finds that one or more of the coverage criteria are not satisfied. </w:t>
      </w:r>
    </w:p>
    <w:p w14:paraId="54C6A737" w14:textId="5844D491" w:rsidR="002E72B6" w:rsidRPr="006B4639" w:rsidRDefault="002E72B6" w:rsidP="00F03428">
      <w:pPr>
        <w:pStyle w:val="BodyText"/>
      </w:pPr>
      <w:r w:rsidRPr="006B4639">
        <w:lastRenderedPageBreak/>
        <w:t xml:space="preserve">The </w:t>
      </w:r>
      <w:r>
        <w:t xml:space="preserve">problem </w:t>
      </w:r>
      <w:r w:rsidRPr="006B4639">
        <w:t xml:space="preserve">identified </w:t>
      </w:r>
      <w:r>
        <w:t xml:space="preserve">with this element of the regulatory framework, which </w:t>
      </w:r>
      <w:r w:rsidR="00F03428">
        <w:t>has</w:t>
      </w:r>
      <w:r>
        <w:t xml:space="preserve"> been confirmed through stakeholder consultation</w:t>
      </w:r>
      <w:r w:rsidR="00505DDF">
        <w:t xml:space="preserve"> (see section </w:t>
      </w:r>
      <w:r w:rsidR="00505DDF">
        <w:fldChar w:fldCharType="begin" w:fldLock="1"/>
      </w:r>
      <w:r w:rsidR="00505DDF">
        <w:instrText xml:space="preserve"> REF _Ref18149060 \r \h </w:instrText>
      </w:r>
      <w:r w:rsidR="00505DDF">
        <w:fldChar w:fldCharType="separate"/>
      </w:r>
      <w:r w:rsidR="00036405">
        <w:t>4.2</w:t>
      </w:r>
      <w:r w:rsidR="00505DDF">
        <w:fldChar w:fldCharType="end"/>
      </w:r>
      <w:r w:rsidR="00505DDF">
        <w:t xml:space="preserve">) </w:t>
      </w:r>
      <w:r w:rsidR="00F03428">
        <w:t>is</w:t>
      </w:r>
      <w:r w:rsidR="00505DDF">
        <w:t xml:space="preserve"> that</w:t>
      </w:r>
      <w:r w:rsidR="00F03428">
        <w:t xml:space="preserve"> </w:t>
      </w:r>
      <w:r w:rsidRPr="006B4639">
        <w:t xml:space="preserve">the use of the coverage test to determine whether a pipeline </w:t>
      </w:r>
      <w:r w:rsidR="00C65CFC">
        <w:t xml:space="preserve">that is not voluntarily providing third party access </w:t>
      </w:r>
      <w:r w:rsidRPr="006B4639">
        <w:t xml:space="preserve">should be required to </w:t>
      </w:r>
      <w:r w:rsidR="00C65CFC">
        <w:t xml:space="preserve">do so </w:t>
      </w:r>
      <w:r w:rsidR="00216579">
        <w:t>can</w:t>
      </w:r>
      <w:r w:rsidRPr="006B4639">
        <w:t xml:space="preserve"> </w:t>
      </w:r>
      <w:r>
        <w:t>result in under-regulation</w:t>
      </w:r>
      <w:r w:rsidR="00370905">
        <w:rPr>
          <w:rFonts w:ascii="ZWAdobeF" w:hAnsi="ZWAdobeF" w:cs="ZWAdobeF"/>
          <w:sz w:val="2"/>
          <w:szCs w:val="2"/>
        </w:rPr>
        <w:t>70F</w:t>
      </w:r>
      <w:r w:rsidR="00D536EE">
        <w:rPr>
          <w:rStyle w:val="FootnoteReference"/>
        </w:rPr>
        <w:footnoteReference w:id="72"/>
      </w:r>
      <w:r>
        <w:t xml:space="preserve"> and inefficient investment in and use of </w:t>
      </w:r>
      <w:r w:rsidR="00C65CFC">
        <w:t xml:space="preserve">these </w:t>
      </w:r>
      <w:r>
        <w:t>pipelines</w:t>
      </w:r>
      <w:r w:rsidR="00F03428">
        <w:t>.</w:t>
      </w:r>
      <w:r w:rsidR="00F03428" w:rsidRPr="00F03428">
        <w:rPr>
          <w:rStyle w:val="FootnoteReference"/>
        </w:rPr>
        <w:t xml:space="preserve"> </w:t>
      </w:r>
      <w:r w:rsidR="00370905">
        <w:rPr>
          <w:rFonts w:ascii="ZWAdobeF" w:hAnsi="ZWAdobeF" w:cs="ZWAdobeF"/>
          <w:sz w:val="2"/>
          <w:szCs w:val="2"/>
        </w:rPr>
        <w:t>71F</w:t>
      </w:r>
      <w:r w:rsidR="00F03428">
        <w:rPr>
          <w:rStyle w:val="FootnoteReference"/>
        </w:rPr>
        <w:footnoteReference w:id="73"/>
      </w:r>
    </w:p>
    <w:bookmarkEnd w:id="80"/>
    <w:p w14:paraId="6409BDF3" w14:textId="77777777" w:rsidR="002E72B6" w:rsidRPr="006B4639" w:rsidRDefault="002E72B6" w:rsidP="00432F38">
      <w:pPr>
        <w:pStyle w:val="Heading3"/>
      </w:pPr>
      <w:r w:rsidRPr="006B4639">
        <w:t>How a pipeline should be regulated if a decision is made to regulate</w:t>
      </w:r>
    </w:p>
    <w:p w14:paraId="64C8EC5D" w14:textId="77777777" w:rsidR="008D7F44" w:rsidRDefault="002E72B6" w:rsidP="002E72B6">
      <w:pPr>
        <w:pStyle w:val="BodyText"/>
        <w:spacing w:before="120"/>
      </w:pPr>
      <w:r w:rsidRPr="006B4639">
        <w:t xml:space="preserve">The regulatory framework currently provides for three forms of regulation that a pipeline can be subject to if a decision is made that it should be regulated (full regulation, light regulation and Part 23), with the coverage test acting as the gateway for movements between Part 23 and full regulation and vice versa. </w:t>
      </w:r>
    </w:p>
    <w:p w14:paraId="0B20AADE" w14:textId="5A8B984D" w:rsidR="002E72B6" w:rsidRPr="006B4639" w:rsidRDefault="002E72B6" w:rsidP="002E72B6">
      <w:pPr>
        <w:pStyle w:val="BodyText"/>
        <w:spacing w:before="120"/>
      </w:pPr>
      <w:r w:rsidRPr="006B4639">
        <w:t xml:space="preserve">The </w:t>
      </w:r>
      <w:r w:rsidR="008D7F44">
        <w:t xml:space="preserve">problems identified with this element of the regulatory framework, which have been confirmed through stakeholder consultation (see section </w:t>
      </w:r>
      <w:r w:rsidR="008D7F44">
        <w:fldChar w:fldCharType="begin" w:fldLock="1"/>
      </w:r>
      <w:r w:rsidR="008D7F44">
        <w:instrText xml:space="preserve"> REF _Ref49784891 \r \h </w:instrText>
      </w:r>
      <w:r w:rsidR="008D7F44">
        <w:fldChar w:fldCharType="separate"/>
      </w:r>
      <w:r w:rsidR="00036405">
        <w:t>5.2</w:t>
      </w:r>
      <w:r w:rsidR="008D7F44">
        <w:fldChar w:fldCharType="end"/>
      </w:r>
      <w:r w:rsidR="008D7F44">
        <w:t>), are that</w:t>
      </w:r>
      <w:r w:rsidRPr="006B4639">
        <w:t xml:space="preserve">: </w:t>
      </w:r>
    </w:p>
    <w:p w14:paraId="7F47BC85" w14:textId="77777777" w:rsidR="004D161C" w:rsidRPr="006B4639" w:rsidRDefault="004D161C" w:rsidP="00AD36B8">
      <w:pPr>
        <w:pStyle w:val="ListBullet"/>
      </w:pPr>
      <w:r w:rsidRPr="006B4639">
        <w:t xml:space="preserve">the inconsistencies and overlap between some forms of regulation (i.e. Part 23 and light regulation) </w:t>
      </w:r>
      <w:r>
        <w:t>is</w:t>
      </w:r>
      <w:r w:rsidRPr="006B4639">
        <w:t xml:space="preserve"> increas</w:t>
      </w:r>
      <w:r>
        <w:t>ing</w:t>
      </w:r>
      <w:r w:rsidRPr="006B4639">
        <w:t xml:space="preserve"> the </w:t>
      </w:r>
      <w:r w:rsidR="002276B0">
        <w:t xml:space="preserve">regulatory </w:t>
      </w:r>
      <w:r w:rsidRPr="006B4639">
        <w:t>complexity and administrative burden for regulators, shippers and service providers;</w:t>
      </w:r>
      <w:r w:rsidR="002276B0">
        <w:t xml:space="preserve"> and giving rise to unnecessary costs and inefficiencies;</w:t>
      </w:r>
      <w:r w:rsidRPr="006B4639">
        <w:t xml:space="preserve"> </w:t>
      </w:r>
    </w:p>
    <w:p w14:paraId="7E182B28" w14:textId="77777777" w:rsidR="002E72B6" w:rsidRPr="006B4639" w:rsidRDefault="002E72B6" w:rsidP="00AD36B8">
      <w:pPr>
        <w:pStyle w:val="ListBullet"/>
      </w:pPr>
      <w:r w:rsidRPr="006B4639">
        <w:t xml:space="preserve">the use of the coverage test as a gateway from Part 23 to full regulation </w:t>
      </w:r>
      <w:r w:rsidR="00016900">
        <w:t>can</w:t>
      </w:r>
      <w:r w:rsidRPr="006B4639">
        <w:t xml:space="preserve"> result in under-regulation</w:t>
      </w:r>
      <w:r w:rsidR="00080365">
        <w:t xml:space="preserve"> and </w:t>
      </w:r>
      <w:r w:rsidRPr="006B4639">
        <w:t xml:space="preserve">leave shippers more exposed to exercises of market power; </w:t>
      </w:r>
      <w:r w:rsidR="004D161C">
        <w:t>and</w:t>
      </w:r>
    </w:p>
    <w:p w14:paraId="003C8CA7" w14:textId="77777777" w:rsidR="002E72B6" w:rsidRPr="006B4639" w:rsidRDefault="002E72B6" w:rsidP="00AD36B8">
      <w:pPr>
        <w:pStyle w:val="ListBullet"/>
      </w:pPr>
      <w:r w:rsidRPr="006B4639">
        <w:t xml:space="preserve">the current forms of regulation do not effectively deal with potential exercises of dynamic market power (i.e. </w:t>
      </w:r>
      <w:r w:rsidR="002276B0">
        <w:t xml:space="preserve">the service provider </w:t>
      </w:r>
      <w:r w:rsidRPr="006B4639">
        <w:t>blocking</w:t>
      </w:r>
      <w:r>
        <w:t xml:space="preserve"> competition </w:t>
      </w:r>
      <w:r w:rsidR="000F72EE">
        <w:t>from other service providers</w:t>
      </w:r>
      <w:r w:rsidRPr="006B4639">
        <w:t xml:space="preserve">), which </w:t>
      </w:r>
      <w:r w:rsidR="000F72EE">
        <w:t xml:space="preserve">can </w:t>
      </w:r>
      <w:r w:rsidRPr="006B4639">
        <w:t>further entrench the incumbent service providers’ market power</w:t>
      </w:r>
      <w:r w:rsidR="006315B2">
        <w:t xml:space="preserve"> and prevent the efficiencies associated with competition </w:t>
      </w:r>
      <w:r w:rsidR="000F72EE">
        <w:t xml:space="preserve">for the development of new pipelines and augmentations </w:t>
      </w:r>
      <w:r w:rsidR="006315B2">
        <w:t>flowing through to the market</w:t>
      </w:r>
      <w:r w:rsidRPr="006B4639">
        <w:t>.</w:t>
      </w:r>
    </w:p>
    <w:p w14:paraId="2DECA488" w14:textId="77777777" w:rsidR="00066450" w:rsidRPr="006B4639" w:rsidRDefault="00066450" w:rsidP="00066450">
      <w:pPr>
        <w:pStyle w:val="Heading3"/>
      </w:pPr>
      <w:r>
        <w:t xml:space="preserve">Governance arrangements for when and how to </w:t>
      </w:r>
      <w:r w:rsidRPr="006B4639">
        <w:t>regulate</w:t>
      </w:r>
      <w:r>
        <w:t xml:space="preserve"> decisions</w:t>
      </w:r>
    </w:p>
    <w:p w14:paraId="6A70C248" w14:textId="77777777" w:rsidR="00A94807" w:rsidRDefault="00A94807" w:rsidP="00A94807">
      <w:pPr>
        <w:pStyle w:val="BodyText"/>
      </w:pPr>
      <w:r>
        <w:t>Under the current regulatory framework:</w:t>
      </w:r>
    </w:p>
    <w:p w14:paraId="02DA3A52" w14:textId="77777777" w:rsidR="00ED3D1A" w:rsidRDefault="006463E4" w:rsidP="00AD36B8">
      <w:pPr>
        <w:pStyle w:val="ListBullet"/>
      </w:pPr>
      <w:r>
        <w:t>T</w:t>
      </w:r>
      <w:r w:rsidR="00A94807" w:rsidRPr="00112E91">
        <w:t xml:space="preserve">he relevant Minister (on advice from </w:t>
      </w:r>
      <w:r w:rsidR="00A94807">
        <w:t>the NCC</w:t>
      </w:r>
      <w:r w:rsidR="00A94807" w:rsidRPr="00112E91">
        <w:t xml:space="preserve">) </w:t>
      </w:r>
      <w:r w:rsidR="00A94807">
        <w:t xml:space="preserve">is </w:t>
      </w:r>
      <w:r w:rsidR="00A94807" w:rsidRPr="00112E91">
        <w:t xml:space="preserve">responsible for </w:t>
      </w:r>
      <w:r w:rsidR="00A94807">
        <w:t xml:space="preserve">applying the coverage test, which is used to determine </w:t>
      </w:r>
      <w:r w:rsidR="00A94807" w:rsidRPr="00112E91">
        <w:t>whether</w:t>
      </w:r>
      <w:r w:rsidR="00ED3D1A">
        <w:t>:</w:t>
      </w:r>
      <w:r w:rsidR="00A94807" w:rsidRPr="00112E91">
        <w:t xml:space="preserve"> </w:t>
      </w:r>
    </w:p>
    <w:p w14:paraId="08FC206D" w14:textId="77777777" w:rsidR="00ED3D1A" w:rsidRDefault="00A94807" w:rsidP="00AD36B8">
      <w:pPr>
        <w:pStyle w:val="ListBullet2"/>
      </w:pPr>
      <w:r w:rsidRPr="00112E91">
        <w:t xml:space="preserve">a pipeline </w:t>
      </w:r>
      <w:r w:rsidR="00ED3D1A">
        <w:t xml:space="preserve">that is </w:t>
      </w:r>
      <w:r w:rsidRPr="00112E91">
        <w:t xml:space="preserve">not voluntarily providing </w:t>
      </w:r>
      <w:r>
        <w:t xml:space="preserve">third party </w:t>
      </w:r>
      <w:r w:rsidRPr="00112E91">
        <w:t>access should be required to do so</w:t>
      </w:r>
      <w:r w:rsidR="00ED3D1A">
        <w:t>;</w:t>
      </w:r>
      <w:r w:rsidRPr="00112E91">
        <w:t xml:space="preserve"> </w:t>
      </w:r>
      <w:r>
        <w:t xml:space="preserve">and </w:t>
      </w:r>
    </w:p>
    <w:p w14:paraId="4B74B7C3" w14:textId="77777777" w:rsidR="00A94807" w:rsidRDefault="00A94807" w:rsidP="00AD36B8">
      <w:pPr>
        <w:pStyle w:val="ListBullet2"/>
      </w:pPr>
      <w:r>
        <w:t xml:space="preserve">a pipeline </w:t>
      </w:r>
      <w:r w:rsidR="00B239A6">
        <w:t xml:space="preserve">that is </w:t>
      </w:r>
      <w:r>
        <w:t xml:space="preserve">subject to Part 23 should be </w:t>
      </w:r>
      <w:r w:rsidR="00B239A6">
        <w:t xml:space="preserve">a scheme pipeline and </w:t>
      </w:r>
      <w:r>
        <w:t xml:space="preserve">subject to </w:t>
      </w:r>
      <w:r w:rsidR="00ED3D1A">
        <w:t>full</w:t>
      </w:r>
      <w:r w:rsidR="00B239A6">
        <w:t xml:space="preserve"> or </w:t>
      </w:r>
      <w:r w:rsidR="00ED3D1A">
        <w:t>light regulation</w:t>
      </w:r>
      <w:r w:rsidR="00B239A6">
        <w:t xml:space="preserve"> or vice versa</w:t>
      </w:r>
      <w:r w:rsidR="006463E4">
        <w:t>.</w:t>
      </w:r>
    </w:p>
    <w:p w14:paraId="57BA8D38" w14:textId="3B1EB0C3" w:rsidR="006463E4" w:rsidRPr="00112E91" w:rsidRDefault="001431C4" w:rsidP="00AD36B8">
      <w:pPr>
        <w:pStyle w:val="ListBullet2"/>
        <w:numPr>
          <w:ilvl w:val="0"/>
          <w:numId w:val="0"/>
        </w:numPr>
        <w:ind w:left="357"/>
      </w:pPr>
      <w:r>
        <w:t xml:space="preserve">The coverage test </w:t>
      </w:r>
      <w:r w:rsidR="006463E4">
        <w:t xml:space="preserve">is also used to determine whether a </w:t>
      </w:r>
      <w:r w:rsidR="002746D6">
        <w:t xml:space="preserve">15-year no coverage determination </w:t>
      </w:r>
      <w:r w:rsidR="006463E4">
        <w:t>should be granted.</w:t>
      </w:r>
    </w:p>
    <w:p w14:paraId="2AC882A6" w14:textId="77777777" w:rsidR="00ED3D1A" w:rsidRDefault="006463E4" w:rsidP="00AD36B8">
      <w:pPr>
        <w:pStyle w:val="ListBullet"/>
      </w:pPr>
      <w:r>
        <w:t>T</w:t>
      </w:r>
      <w:r w:rsidR="00ED3D1A">
        <w:t>he relevant regulator is responsible for</w:t>
      </w:r>
      <w:r w:rsidR="00FA248F">
        <w:t xml:space="preserve"> </w:t>
      </w:r>
      <w:r w:rsidR="00516DFC">
        <w:t xml:space="preserve">approving </w:t>
      </w:r>
      <w:r w:rsidR="00AB159F">
        <w:t xml:space="preserve">competitive tender </w:t>
      </w:r>
      <w:r w:rsidR="00516DFC">
        <w:t xml:space="preserve">processes for the development of </w:t>
      </w:r>
      <w:r w:rsidR="00170983">
        <w:t>new pipelines</w:t>
      </w:r>
      <w:r w:rsidR="00FD373A">
        <w:t>, the outcomes of which can then be locked in for up to 15 years</w:t>
      </w:r>
      <w:r w:rsidR="00AB159F">
        <w:t>.</w:t>
      </w:r>
    </w:p>
    <w:p w14:paraId="6948E3F5" w14:textId="77777777" w:rsidR="00FD373A" w:rsidRPr="00112E91" w:rsidRDefault="00FD373A" w:rsidP="00AD36B8">
      <w:pPr>
        <w:pStyle w:val="ListBullet"/>
      </w:pPr>
      <w:r>
        <w:lastRenderedPageBreak/>
        <w:t>T</w:t>
      </w:r>
      <w:r w:rsidRPr="00112E91">
        <w:t xml:space="preserve">he NCC </w:t>
      </w:r>
      <w:r>
        <w:t xml:space="preserve">is </w:t>
      </w:r>
      <w:r w:rsidRPr="00112E91">
        <w:t>responsible for form of regulation decisions</w:t>
      </w:r>
      <w:r>
        <w:t xml:space="preserve"> for scheme pipelines (i.e. the choice between light regulation and full regulation). </w:t>
      </w:r>
    </w:p>
    <w:p w14:paraId="2C5E1D0D" w14:textId="77777777" w:rsidR="00066450" w:rsidRPr="006B4639" w:rsidRDefault="00AB159F" w:rsidP="006463E4">
      <w:pPr>
        <w:pStyle w:val="BodyText"/>
      </w:pPr>
      <w:r>
        <w:t xml:space="preserve">The problems identified with this element of the framework are that the </w:t>
      </w:r>
      <w:r w:rsidR="00066450" w:rsidRPr="006B4639">
        <w:t>governance arrangements</w:t>
      </w:r>
      <w:r w:rsidR="005A1AB7">
        <w:t xml:space="preserve"> can</w:t>
      </w:r>
      <w:r>
        <w:t xml:space="preserve"> </w:t>
      </w:r>
      <w:r w:rsidR="005B20C2">
        <w:t xml:space="preserve">give </w:t>
      </w:r>
      <w:r w:rsidR="00066450" w:rsidRPr="006B4639">
        <w:t>rise to unnecessary costs and delays</w:t>
      </w:r>
      <w:r w:rsidR="006463E4">
        <w:t xml:space="preserve"> in decision</w:t>
      </w:r>
      <w:r w:rsidR="005B20C2">
        <w:t xml:space="preserve"> </w:t>
      </w:r>
      <w:r w:rsidR="006463E4">
        <w:t>making</w:t>
      </w:r>
      <w:r w:rsidR="003A5E61">
        <w:t>, particularly in relation to coverage and greenfield exemption related decisions</w:t>
      </w:r>
      <w:r w:rsidR="006F3FD0">
        <w:t xml:space="preserve"> due to the duplication of effort </w:t>
      </w:r>
      <w:r w:rsidR="00494756">
        <w:t xml:space="preserve">and resourcing requirements </w:t>
      </w:r>
      <w:r w:rsidR="006F3FD0">
        <w:t>associated with these decisions</w:t>
      </w:r>
      <w:r w:rsidR="00066450" w:rsidRPr="006B4639">
        <w:t xml:space="preserve">. </w:t>
      </w:r>
      <w:r w:rsidR="003010CE">
        <w:t xml:space="preserve">While mixed views have been expressed by stakeholders on the significance of this problem (see section 4.2), </w:t>
      </w:r>
      <w:r w:rsidR="00494756">
        <w:t xml:space="preserve">concerns have been raised by a number of those jurisdictions where the relevant Minister has had to make these decisions. </w:t>
      </w:r>
    </w:p>
    <w:p w14:paraId="318D368B" w14:textId="77777777" w:rsidR="002E72B6" w:rsidRPr="006B4639" w:rsidRDefault="002E72B6" w:rsidP="00671FE5">
      <w:pPr>
        <w:pStyle w:val="Heading3"/>
      </w:pPr>
      <w:r w:rsidRPr="006B4639">
        <w:t xml:space="preserve">Information disclosure requirements </w:t>
      </w:r>
    </w:p>
    <w:p w14:paraId="11723C87" w14:textId="77777777" w:rsidR="008D7F44" w:rsidRDefault="002E72B6" w:rsidP="002E72B6">
      <w:pPr>
        <w:pStyle w:val="BodyText"/>
        <w:spacing w:before="120"/>
      </w:pPr>
      <w:r w:rsidRPr="006B4639">
        <w:t xml:space="preserve">Pipelines subject to full regulation, light regulation or Part 23 are (subject to some exceptions), required to publish a range of information that shippers can use to make a more informed decision about whether to seek access to a pipeline and to assess the reasonableness of a service provider’s offer. </w:t>
      </w:r>
    </w:p>
    <w:p w14:paraId="6688CC33" w14:textId="20920BFA" w:rsidR="008D7F44" w:rsidRPr="006B4639" w:rsidRDefault="008D7F44" w:rsidP="008D7F44">
      <w:pPr>
        <w:pStyle w:val="BodyText"/>
        <w:spacing w:before="120"/>
      </w:pPr>
      <w:r w:rsidRPr="006B4639">
        <w:t xml:space="preserve">The </w:t>
      </w:r>
      <w:r>
        <w:t xml:space="preserve">problems identified with this element of the regulatory framework, which have been confirmed through stakeholder consultation (see section </w:t>
      </w:r>
      <w:r w:rsidR="003A3544">
        <w:fldChar w:fldCharType="begin" w:fldLock="1"/>
      </w:r>
      <w:r w:rsidR="003A3544">
        <w:instrText xml:space="preserve"> REF _Ref18124549 \r \h </w:instrText>
      </w:r>
      <w:r w:rsidR="003A3544">
        <w:fldChar w:fldCharType="separate"/>
      </w:r>
      <w:r w:rsidR="00036405">
        <w:t>6.2</w:t>
      </w:r>
      <w:r w:rsidR="003A3544">
        <w:fldChar w:fldCharType="end"/>
      </w:r>
      <w:r>
        <w:t>), are that</w:t>
      </w:r>
      <w:r w:rsidRPr="006B4639">
        <w:t xml:space="preserve">: </w:t>
      </w:r>
    </w:p>
    <w:p w14:paraId="290EB378" w14:textId="77777777" w:rsidR="002E72B6" w:rsidRPr="006B4639" w:rsidRDefault="00CF688C" w:rsidP="00AD36B8">
      <w:pPr>
        <w:pStyle w:val="ListBullet"/>
      </w:pPr>
      <w:r>
        <w:t>t</w:t>
      </w:r>
      <w:r w:rsidR="002E72B6" w:rsidRPr="006B4639">
        <w:t>he</w:t>
      </w:r>
      <w:r>
        <w:t>re is</w:t>
      </w:r>
      <w:r w:rsidR="002E72B6" w:rsidRPr="006B4639">
        <w:t xml:space="preserve"> limited information </w:t>
      </w:r>
      <w:r w:rsidR="002E72B6">
        <w:t xml:space="preserve">available </w:t>
      </w:r>
      <w:r w:rsidR="002E72B6" w:rsidRPr="006B4639">
        <w:t xml:space="preserve">to shippers negotiating access to non-reference services on full regulation pipelines; and </w:t>
      </w:r>
    </w:p>
    <w:p w14:paraId="3407CE7F" w14:textId="77777777" w:rsidR="002E72B6" w:rsidRDefault="00A243CE" w:rsidP="00AD36B8">
      <w:pPr>
        <w:pStyle w:val="ListBullet"/>
      </w:pPr>
      <w:r w:rsidRPr="006B4639">
        <w:t>the</w:t>
      </w:r>
      <w:r>
        <w:t>re are a number of deficiencies in the</w:t>
      </w:r>
      <w:r w:rsidRPr="006B4639">
        <w:t xml:space="preserve"> information reported by </w:t>
      </w:r>
      <w:r>
        <w:t xml:space="preserve">Part 23 and light regulation </w:t>
      </w:r>
      <w:r w:rsidRPr="006B4639">
        <w:t xml:space="preserve">pipelines </w:t>
      </w:r>
      <w:r>
        <w:t xml:space="preserve">(including as a result of the availability of exemptions) that </w:t>
      </w:r>
      <w:r w:rsidR="00CE4A84">
        <w:t xml:space="preserve">are </w:t>
      </w:r>
      <w:r>
        <w:t>affect</w:t>
      </w:r>
      <w:r w:rsidR="00CE4A84">
        <w:t>ing</w:t>
      </w:r>
      <w:r>
        <w:t xml:space="preserve"> the </w:t>
      </w:r>
      <w:r w:rsidR="00CE4A84">
        <w:t xml:space="preserve">adequacy, </w:t>
      </w:r>
      <w:r>
        <w:t xml:space="preserve">quality and reliability, accessibility and usability of </w:t>
      </w:r>
      <w:r w:rsidR="00CD410B">
        <w:t xml:space="preserve">the reported </w:t>
      </w:r>
      <w:r>
        <w:t>information</w:t>
      </w:r>
      <w:r w:rsidR="002E72B6" w:rsidRPr="006B4639">
        <w:t xml:space="preserve">. </w:t>
      </w:r>
    </w:p>
    <w:p w14:paraId="2A89B80D" w14:textId="77777777" w:rsidR="00CF688C" w:rsidRPr="006B4639" w:rsidRDefault="00CF688C" w:rsidP="00AD36B8">
      <w:pPr>
        <w:pStyle w:val="ListBullet"/>
        <w:numPr>
          <w:ilvl w:val="0"/>
          <w:numId w:val="0"/>
        </w:numPr>
      </w:pPr>
      <w:r>
        <w:t xml:space="preserve">Both of these problems are </w:t>
      </w:r>
      <w:r w:rsidRPr="006B4639">
        <w:t>hindering the ability of shippers to negotiate access</w:t>
      </w:r>
      <w:r>
        <w:t>,</w:t>
      </w:r>
      <w:r w:rsidRPr="006B4639">
        <w:t xml:space="preserve"> imposing additional search and transaction costs on shippers</w:t>
      </w:r>
      <w:r>
        <w:t xml:space="preserve">, </w:t>
      </w:r>
      <w:r w:rsidRPr="006B4639">
        <w:t xml:space="preserve">making </w:t>
      </w:r>
      <w:r>
        <w:t xml:space="preserve">shippers </w:t>
      </w:r>
      <w:r w:rsidRPr="006B4639">
        <w:t>more susceptible to exercises of market power</w:t>
      </w:r>
      <w:r>
        <w:t xml:space="preserve"> and resulting in inefficient decision making.</w:t>
      </w:r>
    </w:p>
    <w:p w14:paraId="0066A35E" w14:textId="77777777" w:rsidR="002E72B6" w:rsidRPr="006B4639" w:rsidRDefault="002E72B6" w:rsidP="00671FE5">
      <w:pPr>
        <w:pStyle w:val="Heading3"/>
      </w:pPr>
      <w:r w:rsidRPr="006B4639">
        <w:t xml:space="preserve">Negotiation frameworks and dispute resolution mechanisms </w:t>
      </w:r>
    </w:p>
    <w:p w14:paraId="7C95FC0D" w14:textId="6BC76503" w:rsidR="003A3544" w:rsidRPr="006B4639" w:rsidRDefault="002E72B6" w:rsidP="003A3544">
      <w:pPr>
        <w:pStyle w:val="BodyText"/>
        <w:spacing w:before="120"/>
      </w:pPr>
      <w:r w:rsidRPr="006B4639">
        <w:t xml:space="preserve">Full regulation, light regulation and Part 23 are all variants of the negotiate-arbitrate form of regulation. </w:t>
      </w:r>
      <w:r w:rsidR="003A3544" w:rsidRPr="006B4639">
        <w:t xml:space="preserve">The </w:t>
      </w:r>
      <w:r w:rsidR="003A3544">
        <w:t xml:space="preserve">problems identified with this element of the regulatory framework, which have been confirmed through stakeholder consultation (see section </w:t>
      </w:r>
      <w:r w:rsidR="003A3544">
        <w:fldChar w:fldCharType="begin" w:fldLock="1"/>
      </w:r>
      <w:r w:rsidR="003A3544">
        <w:instrText xml:space="preserve"> REF _Ref18255506 \r \h </w:instrText>
      </w:r>
      <w:r w:rsidR="003A3544">
        <w:fldChar w:fldCharType="separate"/>
      </w:r>
      <w:r w:rsidR="00036405">
        <w:t>7.2</w:t>
      </w:r>
      <w:r w:rsidR="003A3544">
        <w:fldChar w:fldCharType="end"/>
      </w:r>
      <w:r w:rsidR="003A3544">
        <w:t>), are that</w:t>
      </w:r>
      <w:r w:rsidR="003A3544" w:rsidRPr="006B4639">
        <w:t xml:space="preserve">: </w:t>
      </w:r>
    </w:p>
    <w:p w14:paraId="20F373B0" w14:textId="77777777" w:rsidR="002E72B6" w:rsidRPr="006B4639" w:rsidRDefault="002E72B6" w:rsidP="00AD36B8">
      <w:pPr>
        <w:pStyle w:val="ListBullet"/>
      </w:pPr>
      <w:r w:rsidRPr="006B4639">
        <w:t>differences between the negotiation frameworks applying under the various forms of regulation</w:t>
      </w:r>
      <w:r w:rsidR="00080365">
        <w:t xml:space="preserve"> </w:t>
      </w:r>
      <w:r w:rsidR="00BA4D35">
        <w:t xml:space="preserve">is </w:t>
      </w:r>
      <w:r w:rsidR="00080365">
        <w:t xml:space="preserve">giving </w:t>
      </w:r>
      <w:r w:rsidRPr="006B4639">
        <w:t>rise to unnecessary costs and delays and hinder</w:t>
      </w:r>
      <w:r w:rsidR="00252665">
        <w:t>ing</w:t>
      </w:r>
      <w:r w:rsidRPr="006B4639">
        <w:t xml:space="preserve"> the ability of shippers to negotiate effectively with service providers; </w:t>
      </w:r>
    </w:p>
    <w:p w14:paraId="36A9FDA1" w14:textId="77777777" w:rsidR="002E72B6" w:rsidRPr="006B4639" w:rsidRDefault="002E72B6" w:rsidP="00AD36B8">
      <w:pPr>
        <w:pStyle w:val="ListBullet"/>
      </w:pPr>
      <w:r w:rsidRPr="006B4639">
        <w:t xml:space="preserve">the threat of arbitration by smaller shippers that are negotiating access to pipelines </w:t>
      </w:r>
      <w:r w:rsidR="004C0978">
        <w:t>may</w:t>
      </w:r>
      <w:r w:rsidR="00BA4D35">
        <w:t xml:space="preserve"> not </w:t>
      </w:r>
      <w:r w:rsidR="004C0978">
        <w:t xml:space="preserve">be </w:t>
      </w:r>
      <w:r>
        <w:t xml:space="preserve">viewed </w:t>
      </w:r>
      <w:r w:rsidRPr="006B4639">
        <w:t xml:space="preserve">as credible by </w:t>
      </w:r>
      <w:r w:rsidR="004C0978">
        <w:t xml:space="preserve">all </w:t>
      </w:r>
      <w:r w:rsidRPr="006B4639">
        <w:t xml:space="preserve">service providers, which </w:t>
      </w:r>
      <w:r w:rsidR="00D854BB">
        <w:t>can</w:t>
      </w:r>
      <w:r w:rsidRPr="006B4639">
        <w:t xml:space="preserve"> make this group of shippers more susceptible to exercises of market power by service providers; and</w:t>
      </w:r>
    </w:p>
    <w:p w14:paraId="3273E966" w14:textId="77777777" w:rsidR="002E72B6" w:rsidRDefault="002E72B6" w:rsidP="00AD36B8">
      <w:pPr>
        <w:pStyle w:val="ListBullet"/>
      </w:pPr>
      <w:r w:rsidRPr="006B4639">
        <w:t xml:space="preserve">aspects of the </w:t>
      </w:r>
      <w:r w:rsidR="004C0978">
        <w:t xml:space="preserve">full regulation </w:t>
      </w:r>
      <w:r w:rsidRPr="006B4639">
        <w:t xml:space="preserve">dispute resolution mechanism </w:t>
      </w:r>
      <w:r w:rsidR="00BA4D35">
        <w:t xml:space="preserve">are </w:t>
      </w:r>
      <w:r w:rsidR="004C0978">
        <w:t>not as effective or as efficient as they could be</w:t>
      </w:r>
      <w:r w:rsidR="00C65868">
        <w:t>, which undermine</w:t>
      </w:r>
      <w:r w:rsidR="007A5FC2">
        <w:t>s</w:t>
      </w:r>
      <w:r w:rsidRPr="006B4639">
        <w:t xml:space="preserve"> the constraint it is intended to impose on service providers of these pipelines.</w:t>
      </w:r>
    </w:p>
    <w:p w14:paraId="23CDB4B7" w14:textId="77777777" w:rsidR="00671FE5" w:rsidRPr="006B4639" w:rsidRDefault="00671FE5" w:rsidP="00671FE5">
      <w:pPr>
        <w:pStyle w:val="Heading3"/>
      </w:pPr>
      <w:r>
        <w:t>Conclusion</w:t>
      </w:r>
    </w:p>
    <w:p w14:paraId="259A8EF9" w14:textId="77777777" w:rsidR="00671FE5" w:rsidRDefault="00671FE5" w:rsidP="00671FE5">
      <w:pPr>
        <w:pStyle w:val="BodyText"/>
      </w:pPr>
      <w:r>
        <w:t xml:space="preserve">Further detail on these problems, which are taken as a focus for reform (through regulation or other means) is provided in </w:t>
      </w:r>
      <w:r w:rsidR="007A5FC2" w:rsidRPr="007A5FC2">
        <w:t xml:space="preserve">chapters </w:t>
      </w:r>
      <w:r w:rsidRPr="007A5FC2">
        <w:t>4</w:t>
      </w:r>
      <w:r w:rsidR="007A5FC2" w:rsidRPr="007A5FC2">
        <w:t>-</w:t>
      </w:r>
      <w:r w:rsidRPr="007A5FC2">
        <w:t xml:space="preserve">7. As noted in these chapters, the </w:t>
      </w:r>
      <w:r w:rsidRPr="007A5FC2">
        <w:lastRenderedPageBreak/>
        <w:t>problems that have been identified are having a detrimental effect</w:t>
      </w:r>
      <w:r>
        <w:t xml:space="preserve"> on economic efficiency (productive, allocative and dynamic efficiency) and consumers more generally, because they are, to varying extents: </w:t>
      </w:r>
    </w:p>
    <w:p w14:paraId="4307A235" w14:textId="639BB237" w:rsidR="003C22B4" w:rsidRDefault="003C22B4" w:rsidP="00AD36B8">
      <w:pPr>
        <w:pStyle w:val="ListBullet"/>
      </w:pPr>
      <w:r>
        <w:t>leaving shippers exposed to exercises of market power by service providers,</w:t>
      </w:r>
      <w:r w:rsidR="00370905">
        <w:rPr>
          <w:rFonts w:ascii="ZWAdobeF" w:hAnsi="ZWAdobeF" w:cs="ZWAdobeF"/>
          <w:sz w:val="2"/>
          <w:szCs w:val="2"/>
        </w:rPr>
        <w:t>72F</w:t>
      </w:r>
      <w:r>
        <w:rPr>
          <w:rStyle w:val="FootnoteReference"/>
        </w:rPr>
        <w:footnoteReference w:id="74"/>
      </w:r>
      <w:r>
        <w:t xml:space="preserve"> which can result in lower than efficient levels of consumption, production and investment across the gas market, upstream and downstream markets, and the broader economy (e.g. because prices are higher than they would be in a workably competitive market);</w:t>
      </w:r>
    </w:p>
    <w:p w14:paraId="7ECBD729" w14:textId="77777777" w:rsidR="00671FE5" w:rsidRDefault="00671FE5" w:rsidP="00AD36B8">
      <w:pPr>
        <w:pStyle w:val="ListBullet"/>
      </w:pPr>
      <w:r>
        <w:t>allowing incumbent service providers to use their market power to restrict competition</w:t>
      </w:r>
      <w:r w:rsidR="00FE2BE3">
        <w:t xml:space="preserve"> from other pipelines</w:t>
      </w:r>
      <w:r>
        <w:t xml:space="preserve">, which as noted in section 2.1.2 can prevent the productive, allocative and dynamic efficiency gains that would otherwise be associated with competition from flowing through to the gas market, upstream and downstream markets and broader economy; </w:t>
      </w:r>
    </w:p>
    <w:p w14:paraId="6D0A4531" w14:textId="77777777" w:rsidR="00671FE5" w:rsidRDefault="00671FE5" w:rsidP="00AD36B8">
      <w:pPr>
        <w:pStyle w:val="ListBullet"/>
      </w:pPr>
      <w:r>
        <w:t xml:space="preserve">giving rise to information deficiencies and asymmetries, which can result in inefficient </w:t>
      </w:r>
      <w:r w:rsidR="00252665">
        <w:t xml:space="preserve">consumption, production and investment decisions </w:t>
      </w:r>
      <w:r>
        <w:t>across the gas market, upstream and downstream markets and the broader economy; and</w:t>
      </w:r>
    </w:p>
    <w:p w14:paraId="3E0D4809" w14:textId="2E0736EC" w:rsidR="00671FE5" w:rsidRDefault="00671FE5" w:rsidP="00AD36B8">
      <w:pPr>
        <w:pStyle w:val="ListBullet"/>
      </w:pPr>
      <w:r>
        <w:t>imposing unnecessary costs and risks on shippers, service providers and regulators and, in some cases, delaying access to pipelines.</w:t>
      </w:r>
    </w:p>
    <w:p w14:paraId="1E915604" w14:textId="77777777" w:rsidR="00671FE5" w:rsidRDefault="00671FE5" w:rsidP="00671FE5">
      <w:pPr>
        <w:pStyle w:val="BodyText"/>
      </w:pPr>
      <w:r>
        <w:t xml:space="preserve">The problems that have been identified with the current regulatory framework can therefore be viewed as a </w:t>
      </w:r>
      <w:r w:rsidRPr="006B4639">
        <w:t xml:space="preserve">‘market failure’ </w:t>
      </w:r>
      <w:r>
        <w:t xml:space="preserve">that warrants </w:t>
      </w:r>
      <w:r>
        <w:rPr>
          <w:rFonts w:asciiTheme="majorHAnsi" w:hAnsiTheme="majorHAnsi" w:cstheme="majorHAnsi"/>
        </w:rPr>
        <w:t xml:space="preserve">further action by the </w:t>
      </w:r>
      <w:r w:rsidR="00150692" w:rsidRPr="00807EA1">
        <w:t>Energy National Cabinet Reform Committee</w:t>
      </w:r>
      <w:r w:rsidR="00150692" w:rsidRPr="006B4639">
        <w:rPr>
          <w:rFonts w:asciiTheme="majorHAnsi" w:hAnsiTheme="majorHAnsi" w:cstheme="majorHAnsi"/>
        </w:rPr>
        <w:t xml:space="preserve"> </w:t>
      </w:r>
      <w:r w:rsidRPr="006B4639">
        <w:rPr>
          <w:rFonts w:asciiTheme="majorHAnsi" w:hAnsiTheme="majorHAnsi" w:cstheme="majorHAnsi"/>
        </w:rPr>
        <w:t>to improve efficiency.</w:t>
      </w:r>
    </w:p>
    <w:p w14:paraId="489D9BA3" w14:textId="77777777" w:rsidR="00BF79D3" w:rsidRPr="00BF79D3" w:rsidRDefault="00BF79D3" w:rsidP="00BF79D3">
      <w:pPr>
        <w:pStyle w:val="Heading2"/>
      </w:pPr>
      <w:bookmarkStart w:id="81" w:name="_Ref59385881"/>
      <w:bookmarkStart w:id="82" w:name="_Toc62219402"/>
      <w:r w:rsidRPr="00150692">
        <w:t xml:space="preserve">What are the objectives of </w:t>
      </w:r>
      <w:r w:rsidR="00150692" w:rsidRPr="00150692">
        <w:t xml:space="preserve">Energy National Cabinet Reform Committee </w:t>
      </w:r>
      <w:r w:rsidRPr="00150692">
        <w:t>act</w:t>
      </w:r>
      <w:r>
        <w:t>ion</w:t>
      </w:r>
      <w:r w:rsidR="0036784F">
        <w:t>?</w:t>
      </w:r>
      <w:bookmarkEnd w:id="81"/>
      <w:bookmarkEnd w:id="82"/>
    </w:p>
    <w:p w14:paraId="6168A14B" w14:textId="77777777" w:rsidR="00F4517F" w:rsidRDefault="00907DFD" w:rsidP="00C07B86">
      <w:pPr>
        <w:keepNext/>
        <w:tabs>
          <w:tab w:val="left" w:pos="2268"/>
          <w:tab w:val="left" w:pos="4536"/>
          <w:tab w:val="left" w:pos="6804"/>
          <w:tab w:val="right" w:pos="9638"/>
        </w:tabs>
        <w:spacing w:before="240" w:after="120"/>
      </w:pPr>
      <w:r w:rsidRPr="006B4639">
        <w:t xml:space="preserve">Any action </w:t>
      </w:r>
      <w:r w:rsidR="00713700" w:rsidRPr="006B4639">
        <w:t xml:space="preserve">taken </w:t>
      </w:r>
      <w:r w:rsidRPr="006B4639">
        <w:t xml:space="preserve">by the </w:t>
      </w:r>
      <w:r w:rsidR="00150692" w:rsidRPr="00807EA1">
        <w:t>Energy National Cabinet Reform Committee</w:t>
      </w:r>
      <w:r w:rsidR="00150692" w:rsidRPr="006B4639">
        <w:t xml:space="preserve"> </w:t>
      </w:r>
      <w:r w:rsidRPr="006B4639">
        <w:t xml:space="preserve">to address the problems </w:t>
      </w:r>
      <w:r w:rsidR="003B3A41">
        <w:t xml:space="preserve">outlined above </w:t>
      </w:r>
      <w:r w:rsidRPr="006B4639">
        <w:t>will be guided by</w:t>
      </w:r>
      <w:r w:rsidR="00F4517F">
        <w:t>:</w:t>
      </w:r>
      <w:r w:rsidR="00C07B86" w:rsidRPr="006B4639">
        <w:t xml:space="preserve"> </w:t>
      </w:r>
    </w:p>
    <w:p w14:paraId="0600955D" w14:textId="77777777" w:rsidR="00FC5192" w:rsidRPr="0084068B" w:rsidRDefault="00FC5192" w:rsidP="00AD36B8">
      <w:pPr>
        <w:pStyle w:val="ListBullet"/>
      </w:pPr>
      <w:r w:rsidRPr="0084068B">
        <w:t>the National Gas Objective (NGO), which is to ‘promote efficient investment in, and efficient operation and use of, natural gas services for the long terms interests of consumers of natural gas</w:t>
      </w:r>
      <w:r w:rsidR="006267D9">
        <w:t>…</w:t>
      </w:r>
      <w:r w:rsidRPr="0084068B">
        <w:t>’</w:t>
      </w:r>
      <w:r w:rsidR="006267D9">
        <w:t>; and</w:t>
      </w:r>
      <w:r w:rsidRPr="0084068B">
        <w:t xml:space="preserve"> </w:t>
      </w:r>
    </w:p>
    <w:p w14:paraId="5F6EBF77" w14:textId="6710C544" w:rsidR="00FC5192" w:rsidRPr="0084068B" w:rsidRDefault="00FC5192" w:rsidP="00AD36B8">
      <w:pPr>
        <w:pStyle w:val="ListBullet"/>
      </w:pPr>
      <w:r w:rsidRPr="0084068B">
        <w:t xml:space="preserve">the </w:t>
      </w:r>
      <w:r w:rsidRPr="00807EA1">
        <w:t xml:space="preserve">Energy </w:t>
      </w:r>
      <w:r w:rsidR="002F7C6B">
        <w:t xml:space="preserve">Minister’s </w:t>
      </w:r>
      <w:r w:rsidRPr="006B4639">
        <w:t>Vision</w:t>
      </w:r>
      <w:r>
        <w:t xml:space="preserve"> for the Australian gas market</w:t>
      </w:r>
      <w:r w:rsidRPr="006B4639">
        <w:t>,</w:t>
      </w:r>
      <w:r w:rsidR="00370905">
        <w:rPr>
          <w:rFonts w:ascii="ZWAdobeF" w:hAnsi="ZWAdobeF" w:cs="ZWAdobeF"/>
          <w:sz w:val="2"/>
          <w:szCs w:val="2"/>
        </w:rPr>
        <w:t>73F</w:t>
      </w:r>
      <w:r w:rsidRPr="00B27F6D">
        <w:rPr>
          <w:bCs/>
          <w:vertAlign w:val="superscript"/>
        </w:rPr>
        <w:footnoteReference w:id="75"/>
      </w:r>
      <w:r w:rsidRPr="0084068B">
        <w:t xml:space="preserve"> which is to ‘establish a liquid gas market that provides market signals for investments and supply, where responses to those signals are facilitated by a supportive investment and regulatory environment…’. </w:t>
      </w:r>
    </w:p>
    <w:p w14:paraId="36B4184A" w14:textId="4F347440" w:rsidR="00FC5192" w:rsidRPr="00FC5192" w:rsidRDefault="00FC5192" w:rsidP="00FC5192">
      <w:r>
        <w:t xml:space="preserve">See </w:t>
      </w:r>
      <w:r>
        <w:fldChar w:fldCharType="begin" w:fldLock="1"/>
      </w:r>
      <w:r>
        <w:instrText xml:space="preserve"> REF _Ref59428293 \h </w:instrText>
      </w:r>
      <w:r>
        <w:fldChar w:fldCharType="separate"/>
      </w:r>
      <w:r w:rsidR="00036405">
        <w:t xml:space="preserve">Box </w:t>
      </w:r>
      <w:r w:rsidR="00036405">
        <w:rPr>
          <w:noProof/>
        </w:rPr>
        <w:t>3</w:t>
      </w:r>
      <w:r w:rsidR="00036405">
        <w:t>.</w:t>
      </w:r>
      <w:r w:rsidR="00036405">
        <w:rPr>
          <w:noProof/>
        </w:rPr>
        <w:t>1</w:t>
      </w:r>
      <w:r>
        <w:fldChar w:fldCharType="end"/>
      </w:r>
      <w:r>
        <w:t xml:space="preserve"> for more detail.</w:t>
      </w:r>
    </w:p>
    <w:p w14:paraId="3614A37A" w14:textId="791D755E" w:rsidR="00B839F0" w:rsidRDefault="00B839F0" w:rsidP="0063110D">
      <w:pPr>
        <w:pStyle w:val="Caption"/>
        <w:spacing w:after="0"/>
      </w:pPr>
      <w:bookmarkStart w:id="83" w:name="_Ref59428293"/>
      <w:r>
        <w:lastRenderedPageBreak/>
        <w:t xml:space="preserve">Box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3</w:t>
      </w:r>
      <w:r w:rsidR="00F323B2">
        <w:rPr>
          <w:noProof/>
        </w:rPr>
        <w:fldChar w:fldCharType="end"/>
      </w:r>
      <w:r w:rsidR="00B80405">
        <w:t>.</w:t>
      </w:r>
      <w:r w:rsidR="00F323B2">
        <w:rPr>
          <w:noProof/>
        </w:rPr>
        <w:fldChar w:fldCharType="begin"/>
      </w:r>
      <w:r w:rsidR="00F323B2">
        <w:rPr>
          <w:noProof/>
        </w:rPr>
        <w:instrText xml:space="preserve"> SEQ Box \* ARABIC \s 1 </w:instrText>
      </w:r>
      <w:r w:rsidR="00F323B2">
        <w:rPr>
          <w:noProof/>
        </w:rPr>
        <w:fldChar w:fldCharType="separate"/>
      </w:r>
      <w:r w:rsidR="004031E8">
        <w:rPr>
          <w:noProof/>
        </w:rPr>
        <w:t>1</w:t>
      </w:r>
      <w:r w:rsidR="00F323B2">
        <w:rPr>
          <w:noProof/>
        </w:rPr>
        <w:fldChar w:fldCharType="end"/>
      </w:r>
      <w:bookmarkEnd w:id="83"/>
      <w:r>
        <w:t xml:space="preserve">: National Gas Objective and </w:t>
      </w:r>
      <w:r w:rsidR="00FC5192">
        <w:t xml:space="preserve">the </w:t>
      </w:r>
      <w:r>
        <w:t xml:space="preserve">Vision </w:t>
      </w:r>
      <w:r w:rsidR="00FC5192">
        <w:t>for the Australian gas market</w:t>
      </w:r>
    </w:p>
    <w:tbl>
      <w:tblPr>
        <w:tblStyle w:val="PullOutBoxTable11"/>
        <w:tblW w:w="5000" w:type="pct"/>
        <w:tblLook w:val="0620" w:firstRow="1" w:lastRow="0" w:firstColumn="0" w:lastColumn="0" w:noHBand="1" w:noVBand="1"/>
        <w:tblCaption w:val="National Gas Objective and the Energy Council's Vision"/>
        <w:tblDescription w:val="Sets out the National Gas Objective and Vision for the Australian Gas Market. This box lists the outcomes the Energy Council will pursue in the next phase of gas market reform and development."/>
      </w:tblPr>
      <w:tblGrid>
        <w:gridCol w:w="8788"/>
      </w:tblGrid>
      <w:tr w:rsidR="00B839F0" w:rsidRPr="005A75D8" w14:paraId="4E069013" w14:textId="77777777" w:rsidTr="00004D3B">
        <w:trPr>
          <w:trHeight w:val="420"/>
        </w:trPr>
        <w:tc>
          <w:tcPr>
            <w:tcW w:w="5000" w:type="pct"/>
          </w:tcPr>
          <w:p w14:paraId="50D05BEE" w14:textId="77777777" w:rsidR="00B839F0" w:rsidRPr="005A75D8" w:rsidRDefault="00B839F0" w:rsidP="00004D3B">
            <w:pPr>
              <w:pStyle w:val="TableBodyTextBold"/>
              <w:keepNext/>
              <w:rPr>
                <w:color w:val="0099CC"/>
                <w:sz w:val="20"/>
                <w:szCs w:val="20"/>
              </w:rPr>
            </w:pPr>
            <w:r w:rsidRPr="005A75D8">
              <w:rPr>
                <w:sz w:val="20"/>
                <w:szCs w:val="20"/>
              </w:rPr>
              <w:t>National Gas Objective</w:t>
            </w:r>
          </w:p>
          <w:p w14:paraId="6463A6C8" w14:textId="77777777" w:rsidR="00B839F0" w:rsidRPr="005A75D8" w:rsidRDefault="00B839F0" w:rsidP="00004D3B">
            <w:pPr>
              <w:pStyle w:val="TableBodyText"/>
              <w:keepNext/>
              <w:rPr>
                <w:sz w:val="20"/>
                <w:szCs w:val="20"/>
              </w:rPr>
            </w:pPr>
            <w:r w:rsidRPr="005A75D8">
              <w:rPr>
                <w:sz w:val="20"/>
                <w:szCs w:val="20"/>
              </w:rPr>
              <w:t>The NGO is set out in section 23 of the NGL and states the following:</w:t>
            </w:r>
          </w:p>
          <w:p w14:paraId="5E022105" w14:textId="77777777" w:rsidR="00B839F0" w:rsidRPr="005A75D8" w:rsidRDefault="00B839F0" w:rsidP="00004D3B">
            <w:pPr>
              <w:pStyle w:val="Quote"/>
              <w:keepNext/>
              <w:rPr>
                <w:szCs w:val="20"/>
              </w:rPr>
            </w:pPr>
            <w:r w:rsidRPr="005A75D8">
              <w:rPr>
                <w:szCs w:val="20"/>
              </w:rPr>
              <w:t>The objective of this law is to promote efficient investment in, and efficient operation and use of, natural gas services for the long term interests of consumers of natural gas with respect to price, quality, safety, reliability and security of supply of natural gas.</w:t>
            </w:r>
          </w:p>
          <w:p w14:paraId="12B998E8" w14:textId="096CA104" w:rsidR="00B839F0" w:rsidRPr="00FC5192" w:rsidRDefault="00FC5192" w:rsidP="00004D3B">
            <w:pPr>
              <w:pStyle w:val="TableBodyTextBold"/>
              <w:keepNext/>
              <w:rPr>
                <w:sz w:val="20"/>
                <w:szCs w:val="20"/>
              </w:rPr>
            </w:pPr>
            <w:r w:rsidRPr="00FC5192">
              <w:rPr>
                <w:sz w:val="20"/>
                <w:szCs w:val="20"/>
              </w:rPr>
              <w:t xml:space="preserve">Energy </w:t>
            </w:r>
            <w:r w:rsidR="002F7C6B">
              <w:rPr>
                <w:sz w:val="20"/>
                <w:szCs w:val="20"/>
              </w:rPr>
              <w:t xml:space="preserve">Minister’s </w:t>
            </w:r>
            <w:r w:rsidRPr="00FC5192">
              <w:rPr>
                <w:sz w:val="20"/>
                <w:szCs w:val="20"/>
              </w:rPr>
              <w:t xml:space="preserve">Vision </w:t>
            </w:r>
            <w:r w:rsidR="00B839F0" w:rsidRPr="00FC5192">
              <w:rPr>
                <w:sz w:val="20"/>
                <w:szCs w:val="20"/>
              </w:rPr>
              <w:t>for the Australian Gas Market</w:t>
            </w:r>
            <w:r w:rsidR="00370905">
              <w:rPr>
                <w:rFonts w:ascii="ZWAdobeF" w:hAnsi="ZWAdobeF" w:cs="ZWAdobeF"/>
                <w:b w:val="0"/>
                <w:sz w:val="2"/>
                <w:szCs w:val="2"/>
              </w:rPr>
              <w:t>74F</w:t>
            </w:r>
            <w:r w:rsidR="00B839F0" w:rsidRPr="00FC5192">
              <w:rPr>
                <w:bCs/>
                <w:sz w:val="20"/>
                <w:szCs w:val="20"/>
                <w:vertAlign w:val="superscript"/>
              </w:rPr>
              <w:footnoteReference w:id="76"/>
            </w:r>
          </w:p>
          <w:p w14:paraId="752BB8D2" w14:textId="77777777" w:rsidR="00B839F0" w:rsidRPr="00FC5192" w:rsidRDefault="00B839F0" w:rsidP="00004D3B">
            <w:pPr>
              <w:pStyle w:val="TableBodyText"/>
              <w:keepNext/>
              <w:rPr>
                <w:sz w:val="20"/>
                <w:szCs w:val="20"/>
              </w:rPr>
            </w:pPr>
            <w:r w:rsidRPr="00FC5192">
              <w:rPr>
                <w:sz w:val="20"/>
                <w:szCs w:val="20"/>
              </w:rPr>
              <w:t xml:space="preserve">The </w:t>
            </w:r>
            <w:r w:rsidRPr="00FC5192">
              <w:rPr>
                <w:i/>
                <w:sz w:val="20"/>
                <w:szCs w:val="20"/>
              </w:rPr>
              <w:t>Vision</w:t>
            </w:r>
            <w:r w:rsidRPr="00FC5192">
              <w:rPr>
                <w:sz w:val="20"/>
                <w:szCs w:val="20"/>
              </w:rPr>
              <w:t xml:space="preserve"> is for:</w:t>
            </w:r>
          </w:p>
          <w:p w14:paraId="295E4780" w14:textId="77777777" w:rsidR="00B839F0" w:rsidRPr="005A75D8" w:rsidRDefault="00B839F0" w:rsidP="00004D3B">
            <w:pPr>
              <w:pStyle w:val="Quote"/>
              <w:keepNext/>
              <w:rPr>
                <w:szCs w:val="20"/>
              </w:rPr>
            </w:pPr>
            <w:r w:rsidRPr="005A75D8">
              <w:rPr>
                <w:szCs w:val="20"/>
              </w:rPr>
              <w:t>..the establishment of a liquid wholesale gas market that provides market signals for investment and supply, where responses to those signals are facilitated by a supportive investment and regulatory environment, where trade is focused at a point that best serves the needs of participants, where an efficient reference price is established, and producers, consumers and trading markets are connected to infrastructure that enables participants the opportunity to readily trade between locations and arbitrage trading opportunities.</w:t>
            </w:r>
          </w:p>
          <w:p w14:paraId="20E9D30B" w14:textId="77777777" w:rsidR="00B839F0" w:rsidRPr="005A75D8" w:rsidRDefault="00B839F0" w:rsidP="00004D3B">
            <w:pPr>
              <w:pStyle w:val="TableBodyText"/>
              <w:keepNext/>
              <w:rPr>
                <w:sz w:val="20"/>
                <w:szCs w:val="20"/>
              </w:rPr>
            </w:pPr>
            <w:r w:rsidRPr="005A75D8">
              <w:rPr>
                <w:sz w:val="20"/>
                <w:szCs w:val="20"/>
              </w:rPr>
              <w:t xml:space="preserve">At the time it released the </w:t>
            </w:r>
            <w:r w:rsidRPr="005A75D8">
              <w:rPr>
                <w:i/>
                <w:sz w:val="20"/>
                <w:szCs w:val="20"/>
              </w:rPr>
              <w:t>Vision</w:t>
            </w:r>
            <w:r w:rsidRPr="005A75D8">
              <w:rPr>
                <w:sz w:val="20"/>
                <w:szCs w:val="20"/>
              </w:rPr>
              <w:t xml:space="preserve">, </w:t>
            </w:r>
            <w:r w:rsidR="00A55AC7" w:rsidRPr="00FC5192">
              <w:rPr>
                <w:sz w:val="20"/>
                <w:szCs w:val="20"/>
              </w:rPr>
              <w:t xml:space="preserve">Energy </w:t>
            </w:r>
            <w:r w:rsidR="002F7C6B">
              <w:rPr>
                <w:sz w:val="20"/>
                <w:szCs w:val="20"/>
              </w:rPr>
              <w:t xml:space="preserve">Ministers </w:t>
            </w:r>
            <w:r w:rsidRPr="005A75D8">
              <w:rPr>
                <w:sz w:val="20"/>
                <w:szCs w:val="20"/>
              </w:rPr>
              <w:t xml:space="preserve">also </w:t>
            </w:r>
            <w:r w:rsidR="002F7C6B">
              <w:rPr>
                <w:sz w:val="20"/>
                <w:szCs w:val="20"/>
              </w:rPr>
              <w:t xml:space="preserve">agreed </w:t>
            </w:r>
            <w:r w:rsidRPr="005A75D8">
              <w:rPr>
                <w:sz w:val="20"/>
                <w:szCs w:val="20"/>
              </w:rPr>
              <w:t xml:space="preserve">that </w:t>
            </w:r>
            <w:r w:rsidR="002F7C6B">
              <w:rPr>
                <w:sz w:val="20"/>
                <w:szCs w:val="20"/>
              </w:rPr>
              <w:t xml:space="preserve">they </w:t>
            </w:r>
            <w:r w:rsidRPr="005A75D8">
              <w:rPr>
                <w:sz w:val="20"/>
                <w:szCs w:val="20"/>
              </w:rPr>
              <w:t>would pursue the following outcomes in the next phase of gas market reform and development:</w:t>
            </w:r>
          </w:p>
          <w:p w14:paraId="455202CB" w14:textId="77777777" w:rsidR="00B839F0" w:rsidRPr="005A75D8" w:rsidRDefault="00B839F0" w:rsidP="00004D3B">
            <w:pPr>
              <w:pStyle w:val="TableBodyTextBold"/>
              <w:keepNext/>
              <w:rPr>
                <w:sz w:val="20"/>
                <w:szCs w:val="20"/>
              </w:rPr>
            </w:pPr>
            <w:r w:rsidRPr="005A75D8">
              <w:rPr>
                <w:sz w:val="20"/>
                <w:szCs w:val="20"/>
              </w:rPr>
              <w:t>Stream 1: Encouraging competitive gas supply:</w:t>
            </w:r>
          </w:p>
          <w:p w14:paraId="76420F9E" w14:textId="77777777" w:rsidR="00B839F0" w:rsidRPr="005A75D8" w:rsidRDefault="00B839F0" w:rsidP="000A3668">
            <w:pPr>
              <w:pStyle w:val="TableBodyText"/>
              <w:keepNext/>
              <w:numPr>
                <w:ilvl w:val="0"/>
                <w:numId w:val="138"/>
              </w:numPr>
              <w:tabs>
                <w:tab w:val="left" w:pos="2268"/>
                <w:tab w:val="left" w:pos="4536"/>
                <w:tab w:val="left" w:pos="6804"/>
                <w:tab w:val="right" w:pos="9638"/>
              </w:tabs>
              <w:ind w:left="442" w:right="0" w:hanging="357"/>
              <w:rPr>
                <w:sz w:val="20"/>
                <w:szCs w:val="20"/>
              </w:rPr>
            </w:pPr>
            <w:r w:rsidRPr="005A75D8">
              <w:rPr>
                <w:sz w:val="20"/>
                <w:szCs w:val="20"/>
              </w:rPr>
              <w:t xml:space="preserve">Improvements to the regulatory and investment environment so that gas supply is able to respond flexibly to changes in market conditions. </w:t>
            </w:r>
          </w:p>
          <w:p w14:paraId="5F5E137D" w14:textId="77777777" w:rsidR="00B839F0" w:rsidRPr="005A75D8" w:rsidRDefault="00B839F0" w:rsidP="000A3668">
            <w:pPr>
              <w:pStyle w:val="TableBodyText"/>
              <w:keepNext/>
              <w:numPr>
                <w:ilvl w:val="0"/>
                <w:numId w:val="138"/>
              </w:numPr>
              <w:tabs>
                <w:tab w:val="left" w:pos="2268"/>
                <w:tab w:val="left" w:pos="4536"/>
                <w:tab w:val="left" w:pos="6804"/>
                <w:tab w:val="right" w:pos="9638"/>
              </w:tabs>
              <w:ind w:left="442" w:right="0" w:hanging="357"/>
              <w:rPr>
                <w:sz w:val="20"/>
                <w:szCs w:val="20"/>
              </w:rPr>
            </w:pPr>
            <w:r w:rsidRPr="005A75D8">
              <w:rPr>
                <w:sz w:val="20"/>
                <w:szCs w:val="20"/>
              </w:rPr>
              <w:t>A "social licence" for onshore natural gas development achieved through inclusion, consultation, improving the availability and accessibility of factual information to resources projects, and rigorous science to ensure communities concerns are addressed.</w:t>
            </w:r>
          </w:p>
          <w:p w14:paraId="371E7C40" w14:textId="77777777" w:rsidR="00B839F0" w:rsidRPr="005A75D8" w:rsidRDefault="00B839F0" w:rsidP="00004D3B">
            <w:pPr>
              <w:pStyle w:val="TableBodyTextBold"/>
              <w:keepNext/>
              <w:rPr>
                <w:sz w:val="20"/>
                <w:szCs w:val="20"/>
              </w:rPr>
            </w:pPr>
            <w:r w:rsidRPr="005A75D8">
              <w:rPr>
                <w:sz w:val="20"/>
                <w:szCs w:val="20"/>
              </w:rPr>
              <w:t>Stream 2: Enhancing transparency and price discovery:</w:t>
            </w:r>
          </w:p>
          <w:p w14:paraId="279174EC" w14:textId="77777777" w:rsidR="00B839F0" w:rsidRPr="005A75D8" w:rsidRDefault="00B839F0" w:rsidP="000A3668">
            <w:pPr>
              <w:pStyle w:val="TableBodyText"/>
              <w:keepNext/>
              <w:numPr>
                <w:ilvl w:val="0"/>
                <w:numId w:val="139"/>
              </w:numPr>
              <w:tabs>
                <w:tab w:val="left" w:pos="2268"/>
                <w:tab w:val="left" w:pos="4536"/>
                <w:tab w:val="left" w:pos="6804"/>
                <w:tab w:val="right" w:pos="9638"/>
              </w:tabs>
              <w:ind w:left="442" w:right="0" w:hanging="357"/>
              <w:rPr>
                <w:sz w:val="20"/>
                <w:szCs w:val="20"/>
              </w:rPr>
            </w:pPr>
            <w:r w:rsidRPr="005A75D8">
              <w:rPr>
                <w:sz w:val="20"/>
                <w:szCs w:val="20"/>
              </w:rPr>
              <w:t>Provision of accurate and transparent market making information on pipeline and large storage facilities operations and capacity, upstream resources, and the actions of producers, export facilities, large consumers and traders.</w:t>
            </w:r>
          </w:p>
          <w:p w14:paraId="123F5B20" w14:textId="77777777" w:rsidR="00B839F0" w:rsidRPr="005A75D8" w:rsidRDefault="00B839F0" w:rsidP="000A3668">
            <w:pPr>
              <w:pStyle w:val="TableBodyText"/>
              <w:keepNext/>
              <w:numPr>
                <w:ilvl w:val="0"/>
                <w:numId w:val="139"/>
              </w:numPr>
              <w:tabs>
                <w:tab w:val="left" w:pos="2268"/>
                <w:tab w:val="left" w:pos="4536"/>
                <w:tab w:val="left" w:pos="6804"/>
                <w:tab w:val="right" w:pos="9638"/>
              </w:tabs>
              <w:ind w:left="442" w:right="0" w:hanging="357"/>
              <w:rPr>
                <w:sz w:val="20"/>
                <w:szCs w:val="20"/>
              </w:rPr>
            </w:pPr>
            <w:r w:rsidRPr="005A75D8">
              <w:rPr>
                <w:sz w:val="20"/>
                <w:szCs w:val="20"/>
              </w:rPr>
              <w:t xml:space="preserve">Increased flexibility and opportunity for trade in pipeline capacity. </w:t>
            </w:r>
          </w:p>
          <w:p w14:paraId="2397A8DA" w14:textId="77777777" w:rsidR="00B839F0" w:rsidRPr="005A75D8" w:rsidRDefault="00B839F0" w:rsidP="000A3668">
            <w:pPr>
              <w:pStyle w:val="TableBodyText"/>
              <w:keepNext/>
              <w:numPr>
                <w:ilvl w:val="0"/>
                <w:numId w:val="139"/>
              </w:numPr>
              <w:tabs>
                <w:tab w:val="left" w:pos="2268"/>
                <w:tab w:val="left" w:pos="4536"/>
                <w:tab w:val="left" w:pos="6804"/>
                <w:tab w:val="right" w:pos="9638"/>
              </w:tabs>
              <w:ind w:left="442" w:right="0" w:hanging="357"/>
              <w:rPr>
                <w:sz w:val="20"/>
                <w:szCs w:val="20"/>
              </w:rPr>
            </w:pPr>
            <w:r w:rsidRPr="005A75D8">
              <w:rPr>
                <w:sz w:val="20"/>
                <w:szCs w:val="20"/>
              </w:rPr>
              <w:t xml:space="preserve">A competitive retail market that will provide customers with greater choice and large users with enhanced options for self-supply and shipment. </w:t>
            </w:r>
          </w:p>
          <w:p w14:paraId="0C357EF4" w14:textId="77777777" w:rsidR="00B839F0" w:rsidRPr="005A75D8" w:rsidRDefault="00B839F0" w:rsidP="00004D3B">
            <w:pPr>
              <w:pStyle w:val="TableBodyTextBold"/>
              <w:keepNext/>
              <w:rPr>
                <w:sz w:val="20"/>
                <w:szCs w:val="20"/>
              </w:rPr>
            </w:pPr>
            <w:r w:rsidRPr="005A75D8">
              <w:rPr>
                <w:sz w:val="20"/>
                <w:szCs w:val="20"/>
              </w:rPr>
              <w:t>Stream 3: Improving risk management:</w:t>
            </w:r>
          </w:p>
          <w:p w14:paraId="7B53FC40" w14:textId="77777777" w:rsidR="00B839F0" w:rsidRPr="005A75D8" w:rsidRDefault="00B839F0" w:rsidP="000A3668">
            <w:pPr>
              <w:pStyle w:val="TableBodyText"/>
              <w:keepNext/>
              <w:numPr>
                <w:ilvl w:val="0"/>
                <w:numId w:val="140"/>
              </w:numPr>
              <w:tabs>
                <w:tab w:val="left" w:pos="2268"/>
                <w:tab w:val="left" w:pos="4536"/>
                <w:tab w:val="left" w:pos="6804"/>
                <w:tab w:val="right" w:pos="9638"/>
              </w:tabs>
              <w:ind w:left="442" w:right="0" w:hanging="357"/>
              <w:rPr>
                <w:sz w:val="20"/>
                <w:szCs w:val="20"/>
              </w:rPr>
            </w:pPr>
            <w:r w:rsidRPr="005A75D8">
              <w:rPr>
                <w:sz w:val="20"/>
                <w:szCs w:val="20"/>
              </w:rPr>
              <w:t xml:space="preserve">Liquid and competitive wholesale spot and forward markets for gas that provide tools for participants to price and hedge risk. </w:t>
            </w:r>
          </w:p>
          <w:p w14:paraId="60012A7E" w14:textId="77777777" w:rsidR="00B839F0" w:rsidRPr="005A75D8" w:rsidRDefault="00B839F0" w:rsidP="000A3668">
            <w:pPr>
              <w:pStyle w:val="TableBodyText"/>
              <w:keepNext/>
              <w:numPr>
                <w:ilvl w:val="0"/>
                <w:numId w:val="140"/>
              </w:numPr>
              <w:tabs>
                <w:tab w:val="left" w:pos="2268"/>
                <w:tab w:val="left" w:pos="4536"/>
                <w:tab w:val="left" w:pos="6804"/>
                <w:tab w:val="right" w:pos="9638"/>
              </w:tabs>
              <w:ind w:left="442" w:right="0" w:hanging="357"/>
              <w:rPr>
                <w:sz w:val="20"/>
                <w:szCs w:val="20"/>
              </w:rPr>
            </w:pPr>
            <w:r w:rsidRPr="005A75D8">
              <w:rPr>
                <w:sz w:val="20"/>
                <w:szCs w:val="20"/>
              </w:rPr>
              <w:t xml:space="preserve">Access to regional demand markets through more harmonised pipeline capacity contracting arrangements which are flexible, comparable, transparent on price, and non-discriminatory in terms of shippers’ rights, to accommodate evolving market structures. </w:t>
            </w:r>
          </w:p>
          <w:p w14:paraId="27C81EBC" w14:textId="77777777" w:rsidR="00B839F0" w:rsidRPr="005A75D8" w:rsidRDefault="00B839F0" w:rsidP="000A3668">
            <w:pPr>
              <w:pStyle w:val="TableBodyText"/>
              <w:keepNext/>
              <w:numPr>
                <w:ilvl w:val="0"/>
                <w:numId w:val="140"/>
              </w:numPr>
              <w:tabs>
                <w:tab w:val="left" w:pos="2268"/>
                <w:tab w:val="left" w:pos="4536"/>
                <w:tab w:val="left" w:pos="6804"/>
                <w:tab w:val="right" w:pos="9638"/>
              </w:tabs>
              <w:ind w:left="442" w:right="0" w:hanging="357"/>
              <w:rPr>
                <w:sz w:val="20"/>
                <w:szCs w:val="20"/>
              </w:rPr>
            </w:pPr>
            <w:r w:rsidRPr="005A75D8">
              <w:rPr>
                <w:sz w:val="20"/>
                <w:szCs w:val="20"/>
              </w:rPr>
              <w:t xml:space="preserve">Harmonised market interfaces that enable participants to readily trade between locations and find opportunities for arbitrage and trade. </w:t>
            </w:r>
          </w:p>
          <w:p w14:paraId="434FC88C" w14:textId="77777777" w:rsidR="00B839F0" w:rsidRPr="005A75D8" w:rsidRDefault="00B839F0" w:rsidP="000A3668">
            <w:pPr>
              <w:pStyle w:val="TableBodyText"/>
              <w:keepNext/>
              <w:numPr>
                <w:ilvl w:val="0"/>
                <w:numId w:val="140"/>
              </w:numPr>
              <w:tabs>
                <w:tab w:val="left" w:pos="2268"/>
                <w:tab w:val="left" w:pos="4536"/>
                <w:tab w:val="left" w:pos="6804"/>
                <w:tab w:val="right" w:pos="9638"/>
              </w:tabs>
              <w:ind w:left="442" w:right="0" w:hanging="357"/>
              <w:rPr>
                <w:sz w:val="20"/>
                <w:szCs w:val="20"/>
              </w:rPr>
            </w:pPr>
            <w:r w:rsidRPr="005A75D8">
              <w:rPr>
                <w:sz w:val="20"/>
                <w:szCs w:val="20"/>
              </w:rPr>
              <w:t xml:space="preserve">Identified development pathways to improve interconnectivity between supply and demand centres, and existing facilitated gas markets, which enable the enhanced trading of gas.  </w:t>
            </w:r>
          </w:p>
          <w:p w14:paraId="66CD69D0" w14:textId="77777777" w:rsidR="00B839F0" w:rsidRPr="005A75D8" w:rsidRDefault="00B839F0" w:rsidP="00004D3B">
            <w:pPr>
              <w:pStyle w:val="TableBodyTextBold"/>
              <w:keepNext/>
              <w:rPr>
                <w:sz w:val="20"/>
                <w:szCs w:val="20"/>
              </w:rPr>
            </w:pPr>
            <w:r w:rsidRPr="005A75D8">
              <w:rPr>
                <w:sz w:val="20"/>
                <w:szCs w:val="20"/>
              </w:rPr>
              <w:t>Stream 4: Removing unnecessary regulatory barriers:</w:t>
            </w:r>
          </w:p>
          <w:p w14:paraId="71615149" w14:textId="77777777" w:rsidR="00B839F0" w:rsidRPr="005A75D8" w:rsidRDefault="00B839F0" w:rsidP="000A3668">
            <w:pPr>
              <w:pStyle w:val="TableBodyText"/>
              <w:keepNext/>
              <w:numPr>
                <w:ilvl w:val="0"/>
                <w:numId w:val="141"/>
              </w:numPr>
              <w:tabs>
                <w:tab w:val="left" w:pos="2268"/>
                <w:tab w:val="left" w:pos="4536"/>
                <w:tab w:val="left" w:pos="6804"/>
                <w:tab w:val="right" w:pos="9638"/>
              </w:tabs>
              <w:ind w:left="442" w:right="0" w:hanging="357"/>
              <w:rPr>
                <w:sz w:val="20"/>
                <w:szCs w:val="20"/>
              </w:rPr>
            </w:pPr>
            <w:r w:rsidRPr="005A75D8">
              <w:rPr>
                <w:sz w:val="20"/>
                <w:szCs w:val="20"/>
              </w:rPr>
              <w:t>Regulation of gas supply and infrastructure is appropriate and enables participants to pursue investment opportunities, in response to market signals, in an efficient and timely manner.</w:t>
            </w:r>
          </w:p>
          <w:p w14:paraId="3D785FF8" w14:textId="77777777" w:rsidR="00B839F0" w:rsidRPr="005A75D8" w:rsidRDefault="00B839F0" w:rsidP="00863D8A">
            <w:pPr>
              <w:pStyle w:val="TableBodyText"/>
              <w:keepNext/>
              <w:tabs>
                <w:tab w:val="left" w:pos="2268"/>
                <w:tab w:val="left" w:pos="4536"/>
                <w:tab w:val="left" w:pos="6804"/>
                <w:tab w:val="right" w:pos="9638"/>
              </w:tabs>
              <w:ind w:right="0"/>
              <w:rPr>
                <w:sz w:val="20"/>
                <w:szCs w:val="20"/>
              </w:rPr>
            </w:pPr>
            <w:r w:rsidRPr="005A75D8">
              <w:rPr>
                <w:sz w:val="20"/>
                <w:szCs w:val="20"/>
              </w:rPr>
              <w:t xml:space="preserve">The outcomes most relevant to the </w:t>
            </w:r>
            <w:r w:rsidR="00863D8A">
              <w:rPr>
                <w:sz w:val="20"/>
                <w:szCs w:val="20"/>
              </w:rPr>
              <w:t xml:space="preserve">Pipeline RIS </w:t>
            </w:r>
            <w:r w:rsidRPr="005A75D8">
              <w:rPr>
                <w:sz w:val="20"/>
                <w:szCs w:val="20"/>
              </w:rPr>
              <w:t xml:space="preserve">are Streams </w:t>
            </w:r>
            <w:r w:rsidR="00863D8A">
              <w:rPr>
                <w:sz w:val="20"/>
                <w:szCs w:val="20"/>
              </w:rPr>
              <w:t>1</w:t>
            </w:r>
            <w:r w:rsidRPr="005A75D8">
              <w:rPr>
                <w:sz w:val="20"/>
                <w:szCs w:val="20"/>
              </w:rPr>
              <w:t>(a)</w:t>
            </w:r>
            <w:r w:rsidR="00863D8A">
              <w:rPr>
                <w:sz w:val="20"/>
                <w:szCs w:val="20"/>
              </w:rPr>
              <w:t xml:space="preserve">, </w:t>
            </w:r>
            <w:r w:rsidR="00C42299">
              <w:rPr>
                <w:sz w:val="20"/>
                <w:szCs w:val="20"/>
              </w:rPr>
              <w:t>2(b), 3(b) and 4(a</w:t>
            </w:r>
            <w:r w:rsidRPr="005A75D8">
              <w:rPr>
                <w:sz w:val="20"/>
                <w:szCs w:val="20"/>
              </w:rPr>
              <w:t>).</w:t>
            </w:r>
          </w:p>
        </w:tc>
      </w:tr>
    </w:tbl>
    <w:p w14:paraId="6CD200B7" w14:textId="77777777" w:rsidR="00713700" w:rsidRPr="006B4639" w:rsidRDefault="00DA547E" w:rsidP="00DA547E">
      <w:pPr>
        <w:tabs>
          <w:tab w:val="left" w:pos="2268"/>
          <w:tab w:val="left" w:pos="4536"/>
          <w:tab w:val="left" w:pos="6804"/>
          <w:tab w:val="right" w:pos="9638"/>
        </w:tabs>
        <w:spacing w:before="240" w:after="120"/>
      </w:pPr>
      <w:r w:rsidRPr="006B4639">
        <w:t xml:space="preserve">In keeping with the NGO and Vision, the objectives of </w:t>
      </w:r>
      <w:r w:rsidR="00150692" w:rsidRPr="00807EA1">
        <w:t>Energy National Cabinet Reform Committee</w:t>
      </w:r>
      <w:r w:rsidR="00150692" w:rsidRPr="006B4639">
        <w:t xml:space="preserve"> </w:t>
      </w:r>
      <w:r w:rsidRPr="006B4639">
        <w:t xml:space="preserve">action </w:t>
      </w:r>
      <w:r w:rsidR="00B64179">
        <w:t xml:space="preserve">are to </w:t>
      </w:r>
      <w:r w:rsidR="000D161D" w:rsidRPr="006B4639">
        <w:t xml:space="preserve">implement a </w:t>
      </w:r>
      <w:r w:rsidR="008B70BF">
        <w:t xml:space="preserve">simpler, </w:t>
      </w:r>
      <w:r w:rsidR="000D161D" w:rsidRPr="006B4639">
        <w:t xml:space="preserve">more efficient, effective and integrated regulatory framework </w:t>
      </w:r>
      <w:r w:rsidR="00713700" w:rsidRPr="006B4639">
        <w:t xml:space="preserve">that </w:t>
      </w:r>
      <w:r w:rsidR="0037742E" w:rsidRPr="006B4639">
        <w:t>support</w:t>
      </w:r>
      <w:r w:rsidR="000D161D" w:rsidRPr="006B4639">
        <w:t>s</w:t>
      </w:r>
      <w:r w:rsidR="0037742E" w:rsidRPr="006B4639">
        <w:t xml:space="preserve"> the efficient operation of the gas market </w:t>
      </w:r>
      <w:r w:rsidR="000D161D" w:rsidRPr="006B4639">
        <w:t xml:space="preserve">and the long </w:t>
      </w:r>
      <w:r w:rsidR="000D161D" w:rsidRPr="006B4639">
        <w:lastRenderedPageBreak/>
        <w:t>term interests of gas users</w:t>
      </w:r>
      <w:r w:rsidR="00713700" w:rsidRPr="006B4639">
        <w:t xml:space="preserve"> and is fit for purpose, targeted and proportionate to the issues it is intended to address</w:t>
      </w:r>
      <w:r w:rsidR="008D5617" w:rsidRPr="006B4639">
        <w:t xml:space="preserve">. </w:t>
      </w:r>
    </w:p>
    <w:p w14:paraId="4F726830" w14:textId="31A07BAF" w:rsidR="00B8548E" w:rsidRDefault="008D5617" w:rsidP="00DA547E">
      <w:pPr>
        <w:tabs>
          <w:tab w:val="left" w:pos="2268"/>
          <w:tab w:val="left" w:pos="4536"/>
          <w:tab w:val="left" w:pos="6804"/>
          <w:tab w:val="right" w:pos="9638"/>
        </w:tabs>
        <w:spacing w:before="240" w:after="120"/>
      </w:pPr>
      <w:r w:rsidRPr="006B4639">
        <w:t xml:space="preserve">Some of the more specific objectives of </w:t>
      </w:r>
      <w:r w:rsidR="00150692" w:rsidRPr="00807EA1">
        <w:t>Energy National Cabinet Reform Committee</w:t>
      </w:r>
      <w:r w:rsidR="00150692" w:rsidRPr="006B4639">
        <w:t xml:space="preserve"> </w:t>
      </w:r>
      <w:r w:rsidRPr="006B4639">
        <w:t xml:space="preserve">action </w:t>
      </w:r>
      <w:r w:rsidR="00B64179">
        <w:t xml:space="preserve">are </w:t>
      </w:r>
      <w:r w:rsidR="00B8548E">
        <w:t xml:space="preserve">set out in </w:t>
      </w:r>
      <w:r w:rsidR="0063110D">
        <w:fldChar w:fldCharType="begin" w:fldLock="1"/>
      </w:r>
      <w:r w:rsidR="0063110D">
        <w:instrText xml:space="preserve"> REF _Ref60305068 \h </w:instrText>
      </w:r>
      <w:r w:rsidR="0063110D">
        <w:fldChar w:fldCharType="separate"/>
      </w:r>
      <w:r w:rsidR="00036405">
        <w:t xml:space="preserve">Box </w:t>
      </w:r>
      <w:r w:rsidR="00036405">
        <w:rPr>
          <w:noProof/>
        </w:rPr>
        <w:t>3</w:t>
      </w:r>
      <w:r w:rsidR="00036405">
        <w:t>.</w:t>
      </w:r>
      <w:r w:rsidR="00036405">
        <w:rPr>
          <w:noProof/>
        </w:rPr>
        <w:t>2</w:t>
      </w:r>
      <w:r w:rsidR="0063110D">
        <w:fldChar w:fldCharType="end"/>
      </w:r>
      <w:r w:rsidR="0063110D">
        <w:t>.</w:t>
      </w:r>
    </w:p>
    <w:p w14:paraId="7313CF14" w14:textId="7D141F7B" w:rsidR="00B8548E" w:rsidRDefault="00B8548E" w:rsidP="0063110D">
      <w:pPr>
        <w:pStyle w:val="Caption"/>
        <w:spacing w:after="0"/>
      </w:pPr>
      <w:bookmarkStart w:id="84" w:name="_Ref60305068"/>
      <w:r>
        <w:t xml:space="preserve">Box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3</w:t>
      </w:r>
      <w:r w:rsidR="00F323B2">
        <w:rPr>
          <w:noProof/>
        </w:rPr>
        <w:fldChar w:fldCharType="end"/>
      </w:r>
      <w:r>
        <w:t>.</w:t>
      </w:r>
      <w:r w:rsidR="00F323B2">
        <w:rPr>
          <w:noProof/>
        </w:rPr>
        <w:fldChar w:fldCharType="begin"/>
      </w:r>
      <w:r w:rsidR="00F323B2">
        <w:rPr>
          <w:noProof/>
        </w:rPr>
        <w:instrText xml:space="preserve"> SEQ Box \* ARABIC \s 1 </w:instrText>
      </w:r>
      <w:r w:rsidR="00F323B2">
        <w:rPr>
          <w:noProof/>
        </w:rPr>
        <w:fldChar w:fldCharType="separate"/>
      </w:r>
      <w:r w:rsidR="004031E8">
        <w:rPr>
          <w:noProof/>
        </w:rPr>
        <w:t>2</w:t>
      </w:r>
      <w:r w:rsidR="00F323B2">
        <w:rPr>
          <w:noProof/>
        </w:rPr>
        <w:fldChar w:fldCharType="end"/>
      </w:r>
      <w:bookmarkEnd w:id="84"/>
      <w:r>
        <w:t xml:space="preserve">: Specific objectives of </w:t>
      </w:r>
      <w:r w:rsidR="0063110D" w:rsidRPr="00807EA1">
        <w:t>Energy National Cabinet Reform Committee</w:t>
      </w:r>
      <w:r w:rsidR="0063110D" w:rsidRPr="006B4639">
        <w:t xml:space="preserve"> action</w:t>
      </w:r>
    </w:p>
    <w:tbl>
      <w:tblPr>
        <w:tblStyle w:val="PullOutBoxTable11"/>
        <w:tblW w:w="5000" w:type="pct"/>
        <w:tblLook w:val="0620" w:firstRow="1" w:lastRow="0" w:firstColumn="0" w:lastColumn="0" w:noHBand="1" w:noVBand="1"/>
        <w:tblCaption w:val="National Gas Objective and the Energy Council's Vision"/>
        <w:tblDescription w:val="Sets out the National Gas Objective and Vision for the Australian Gas Market. This box lists the outcomes the Energy Council will pursue in the next phase of gas market reform and development."/>
      </w:tblPr>
      <w:tblGrid>
        <w:gridCol w:w="8788"/>
      </w:tblGrid>
      <w:tr w:rsidR="00B8548E" w:rsidRPr="003670D9" w14:paraId="0C08A135" w14:textId="77777777" w:rsidTr="00004D3B">
        <w:trPr>
          <w:trHeight w:val="420"/>
        </w:trPr>
        <w:tc>
          <w:tcPr>
            <w:tcW w:w="5000" w:type="pct"/>
          </w:tcPr>
          <w:p w14:paraId="59FC23B5" w14:textId="77777777" w:rsidR="0063110D" w:rsidRPr="003670D9" w:rsidRDefault="0063110D" w:rsidP="0063110D">
            <w:pPr>
              <w:tabs>
                <w:tab w:val="left" w:pos="2268"/>
                <w:tab w:val="left" w:pos="4536"/>
                <w:tab w:val="left" w:pos="6804"/>
                <w:tab w:val="right" w:pos="9638"/>
              </w:tabs>
              <w:spacing w:after="120"/>
              <w:rPr>
                <w:sz w:val="20"/>
                <w:szCs w:val="20"/>
              </w:rPr>
            </w:pPr>
            <w:r w:rsidRPr="003670D9">
              <w:rPr>
                <w:sz w:val="20"/>
                <w:szCs w:val="20"/>
              </w:rPr>
              <w:t xml:space="preserve">The specific objectives of Energy National Cabinet Reform Committee action are to: </w:t>
            </w:r>
          </w:p>
          <w:p w14:paraId="38F2B0E5" w14:textId="77777777" w:rsidR="0063110D" w:rsidRPr="003670D9" w:rsidRDefault="0063110D" w:rsidP="00E945FF">
            <w:pPr>
              <w:pStyle w:val="ListBullet"/>
              <w:numPr>
                <w:ilvl w:val="0"/>
                <w:numId w:val="152"/>
              </w:numPr>
              <w:ind w:left="357" w:hanging="357"/>
              <w:rPr>
                <w:sz w:val="20"/>
                <w:szCs w:val="20"/>
              </w:rPr>
            </w:pPr>
            <w:r w:rsidRPr="003670D9">
              <w:rPr>
                <w:sz w:val="20"/>
                <w:szCs w:val="20"/>
              </w:rPr>
              <w:t>provide a framework for seeking access to pipelines;</w:t>
            </w:r>
          </w:p>
          <w:p w14:paraId="5179085F" w14:textId="77777777" w:rsidR="0063110D" w:rsidRPr="003670D9" w:rsidRDefault="0063110D" w:rsidP="00E945FF">
            <w:pPr>
              <w:pStyle w:val="ListBullet"/>
              <w:numPr>
                <w:ilvl w:val="0"/>
                <w:numId w:val="152"/>
              </w:numPr>
              <w:ind w:left="357" w:hanging="357"/>
              <w:rPr>
                <w:sz w:val="20"/>
                <w:szCs w:val="20"/>
              </w:rPr>
            </w:pPr>
            <w:r w:rsidRPr="003670D9">
              <w:rPr>
                <w:sz w:val="20"/>
                <w:szCs w:val="20"/>
              </w:rPr>
              <w:t>pose a more effective constraint on service providers’ market power;</w:t>
            </w:r>
          </w:p>
          <w:p w14:paraId="2B4313C8" w14:textId="77777777" w:rsidR="0063110D" w:rsidRPr="003670D9" w:rsidRDefault="0063110D" w:rsidP="00E945FF">
            <w:pPr>
              <w:pStyle w:val="ListBullet"/>
              <w:numPr>
                <w:ilvl w:val="0"/>
                <w:numId w:val="152"/>
              </w:numPr>
              <w:ind w:left="357" w:hanging="357"/>
              <w:rPr>
                <w:sz w:val="20"/>
                <w:szCs w:val="20"/>
              </w:rPr>
            </w:pPr>
            <w:r w:rsidRPr="003670D9">
              <w:rPr>
                <w:sz w:val="20"/>
                <w:szCs w:val="20"/>
              </w:rPr>
              <w:t xml:space="preserve">support efficient investment and innovation in pipeline services and continue to provide for the safe, reliable and efficient operation and use of pipelines; </w:t>
            </w:r>
          </w:p>
          <w:p w14:paraId="475AAF61" w14:textId="77777777" w:rsidR="0063110D" w:rsidRPr="003670D9" w:rsidRDefault="0063110D" w:rsidP="00E945FF">
            <w:pPr>
              <w:pStyle w:val="ListBullet"/>
              <w:numPr>
                <w:ilvl w:val="0"/>
                <w:numId w:val="152"/>
              </w:numPr>
              <w:ind w:left="357" w:hanging="357"/>
              <w:rPr>
                <w:sz w:val="20"/>
                <w:szCs w:val="20"/>
              </w:rPr>
            </w:pPr>
            <w:r w:rsidRPr="003670D9">
              <w:rPr>
                <w:sz w:val="20"/>
                <w:szCs w:val="20"/>
              </w:rPr>
              <w:t xml:space="preserve">reduce the degree of information asymmetry and imbalance in bargaining power that shippers </w:t>
            </w:r>
            <w:r w:rsidR="002D07F6" w:rsidRPr="003670D9">
              <w:rPr>
                <w:sz w:val="20"/>
                <w:szCs w:val="20"/>
              </w:rPr>
              <w:t xml:space="preserve">and interconnecting parties </w:t>
            </w:r>
            <w:r w:rsidRPr="003670D9">
              <w:rPr>
                <w:sz w:val="20"/>
                <w:szCs w:val="20"/>
              </w:rPr>
              <w:t xml:space="preserve">can face when negotiating with service providers; </w:t>
            </w:r>
          </w:p>
          <w:p w14:paraId="7D070044" w14:textId="77777777" w:rsidR="0063110D" w:rsidRPr="003670D9" w:rsidRDefault="0063110D" w:rsidP="00E945FF">
            <w:pPr>
              <w:pStyle w:val="ListBullet"/>
              <w:numPr>
                <w:ilvl w:val="0"/>
                <w:numId w:val="152"/>
              </w:numPr>
              <w:ind w:left="357" w:hanging="357"/>
              <w:rPr>
                <w:sz w:val="20"/>
                <w:szCs w:val="20"/>
              </w:rPr>
            </w:pPr>
            <w:r w:rsidRPr="003670D9">
              <w:rPr>
                <w:sz w:val="20"/>
                <w:szCs w:val="20"/>
              </w:rPr>
              <w:t>have a regulatory framework that:</w:t>
            </w:r>
          </w:p>
          <w:p w14:paraId="10A21D5A" w14:textId="77777777" w:rsidR="0063110D" w:rsidRPr="003670D9" w:rsidRDefault="0063110D" w:rsidP="00AD36B8">
            <w:pPr>
              <w:pStyle w:val="ListBullet2"/>
              <w:rPr>
                <w:sz w:val="20"/>
                <w:szCs w:val="20"/>
              </w:rPr>
            </w:pPr>
            <w:r w:rsidRPr="003670D9">
              <w:rPr>
                <w:sz w:val="20"/>
                <w:szCs w:val="20"/>
              </w:rPr>
              <w:t>is as simple and well-integrated as possible, with different forms of regulation based on common principles and approaches, where appropriate;</w:t>
            </w:r>
          </w:p>
          <w:p w14:paraId="364CC7DC" w14:textId="77777777" w:rsidR="0063110D" w:rsidRPr="003670D9" w:rsidRDefault="0063110D" w:rsidP="00AD36B8">
            <w:pPr>
              <w:pStyle w:val="ListBullet2"/>
              <w:rPr>
                <w:sz w:val="20"/>
                <w:szCs w:val="20"/>
              </w:rPr>
            </w:pPr>
            <w:r w:rsidRPr="003670D9">
              <w:rPr>
                <w:sz w:val="20"/>
                <w:szCs w:val="20"/>
              </w:rPr>
              <w:t>promotes clarity and consistency by providing clear objectives, rules and guidance for regulators and other decision-makers and support effective compliance monitoring and enforcement activities; and</w:t>
            </w:r>
          </w:p>
          <w:p w14:paraId="3A9C054F" w14:textId="77777777" w:rsidR="0063110D" w:rsidRPr="003670D9" w:rsidRDefault="0063110D" w:rsidP="00AD36B8">
            <w:pPr>
              <w:pStyle w:val="ListBullet2"/>
              <w:rPr>
                <w:sz w:val="20"/>
                <w:szCs w:val="20"/>
              </w:rPr>
            </w:pPr>
            <w:r w:rsidRPr="003670D9">
              <w:rPr>
                <w:sz w:val="20"/>
                <w:szCs w:val="20"/>
              </w:rPr>
              <w:t>minimises administrative burdens and compliance costs; and</w:t>
            </w:r>
          </w:p>
          <w:p w14:paraId="0E847EFE" w14:textId="77777777" w:rsidR="00B8548E" w:rsidRPr="003670D9" w:rsidRDefault="0063110D" w:rsidP="00E945FF">
            <w:pPr>
              <w:pStyle w:val="ListBullet"/>
              <w:numPr>
                <w:ilvl w:val="0"/>
                <w:numId w:val="152"/>
              </w:numPr>
              <w:ind w:left="357" w:hanging="357"/>
              <w:rPr>
                <w:sz w:val="20"/>
                <w:szCs w:val="20"/>
              </w:rPr>
            </w:pPr>
            <w:r w:rsidRPr="003670D9">
              <w:rPr>
                <w:sz w:val="20"/>
                <w:szCs w:val="20"/>
              </w:rPr>
              <w:t>support the current and future opportunities and challenges facing the gas and pipeline industries.</w:t>
            </w:r>
          </w:p>
        </w:tc>
      </w:tr>
    </w:tbl>
    <w:p w14:paraId="421D13F1" w14:textId="77777777" w:rsidR="00B8548E" w:rsidRDefault="00B8548E" w:rsidP="00DA547E">
      <w:pPr>
        <w:tabs>
          <w:tab w:val="left" w:pos="2268"/>
          <w:tab w:val="left" w:pos="4536"/>
          <w:tab w:val="left" w:pos="6804"/>
          <w:tab w:val="right" w:pos="9638"/>
        </w:tabs>
        <w:spacing w:before="240" w:after="120"/>
      </w:pPr>
    </w:p>
    <w:p w14:paraId="7092EC66" w14:textId="77777777" w:rsidR="00767D9D" w:rsidRPr="006B4639" w:rsidRDefault="00767D9D">
      <w:r w:rsidRPr="006B4639">
        <w:br w:type="page"/>
      </w:r>
    </w:p>
    <w:p w14:paraId="4F83FBD1" w14:textId="77777777" w:rsidR="00907DFD" w:rsidRPr="006B4639" w:rsidRDefault="00767D9D" w:rsidP="00767D9D">
      <w:pPr>
        <w:pStyle w:val="Heading1"/>
        <w:rPr>
          <w:sz w:val="29"/>
          <w:szCs w:val="29"/>
        </w:rPr>
      </w:pPr>
      <w:bookmarkStart w:id="85" w:name="_Toc62219403"/>
      <w:r w:rsidRPr="006B4639">
        <w:rPr>
          <w:sz w:val="29"/>
          <w:szCs w:val="29"/>
        </w:rPr>
        <w:lastRenderedPageBreak/>
        <w:t xml:space="preserve">Reform focus 1: </w:t>
      </w:r>
      <w:r w:rsidR="00533548" w:rsidRPr="006B4639">
        <w:rPr>
          <w:sz w:val="29"/>
          <w:szCs w:val="29"/>
        </w:rPr>
        <w:t xml:space="preserve">When </w:t>
      </w:r>
      <w:r w:rsidR="00B22871" w:rsidRPr="006B4639">
        <w:rPr>
          <w:sz w:val="29"/>
          <w:szCs w:val="29"/>
        </w:rPr>
        <w:t xml:space="preserve">a </w:t>
      </w:r>
      <w:r w:rsidR="006D7F84" w:rsidRPr="006B4639">
        <w:rPr>
          <w:sz w:val="29"/>
          <w:szCs w:val="29"/>
        </w:rPr>
        <w:t xml:space="preserve">pipeline should be </w:t>
      </w:r>
      <w:r w:rsidR="00F03428">
        <w:rPr>
          <w:sz w:val="29"/>
          <w:szCs w:val="29"/>
        </w:rPr>
        <w:t xml:space="preserve">regulated </w:t>
      </w:r>
      <w:r w:rsidR="006D7F84" w:rsidRPr="006B4639">
        <w:rPr>
          <w:sz w:val="29"/>
          <w:szCs w:val="29"/>
        </w:rPr>
        <w:t xml:space="preserve">and </w:t>
      </w:r>
      <w:r w:rsidR="00057187">
        <w:rPr>
          <w:sz w:val="29"/>
          <w:szCs w:val="29"/>
        </w:rPr>
        <w:t xml:space="preserve">governance arrangements </w:t>
      </w:r>
      <w:r w:rsidR="0061657C">
        <w:rPr>
          <w:sz w:val="29"/>
          <w:szCs w:val="29"/>
        </w:rPr>
        <w:t>for when and how to regulate decisions</w:t>
      </w:r>
      <w:bookmarkEnd w:id="85"/>
    </w:p>
    <w:p w14:paraId="15605705" w14:textId="77777777" w:rsidR="008E6D09" w:rsidRPr="006B4639" w:rsidRDefault="008E6D09" w:rsidP="00F62F4A">
      <w:pPr>
        <w:pStyle w:val="BodyText"/>
      </w:pPr>
      <w:bookmarkStart w:id="86" w:name="_Hlk17099584"/>
      <w:r w:rsidRPr="006B4639">
        <w:t xml:space="preserve">The focus of this chapter is on the more fundamental question of </w:t>
      </w:r>
      <w:r w:rsidRPr="006B4639">
        <w:rPr>
          <w:i/>
          <w:iCs/>
        </w:rPr>
        <w:t>when</w:t>
      </w:r>
      <w:r w:rsidRPr="006B4639">
        <w:t xml:space="preserve"> a pipeline should be subject to economic regulation and </w:t>
      </w:r>
      <w:r w:rsidR="00784DD7">
        <w:t xml:space="preserve">the governance arrangements for </w:t>
      </w:r>
      <w:r w:rsidR="00D26A9E">
        <w:t xml:space="preserve">decisions relating to when and how a pipeline should be regulated. </w:t>
      </w:r>
      <w:r w:rsidR="00A85704" w:rsidRPr="006B4639">
        <w:t>The following chapter</w:t>
      </w:r>
      <w:r w:rsidR="0031206C" w:rsidRPr="006B4639">
        <w:t>, on the other hand,</w:t>
      </w:r>
      <w:r w:rsidR="00A85704" w:rsidRPr="006B4639">
        <w:t xml:space="preserve"> considers </w:t>
      </w:r>
      <w:r w:rsidR="00AE59BD" w:rsidRPr="006B4639">
        <w:rPr>
          <w:i/>
          <w:iCs/>
        </w:rPr>
        <w:t>how</w:t>
      </w:r>
      <w:r w:rsidR="00AE59BD" w:rsidRPr="006B4639">
        <w:t xml:space="preserve"> a pipeline should be regulated </w:t>
      </w:r>
      <w:r w:rsidR="0031206C" w:rsidRPr="006B4639">
        <w:t xml:space="preserve">once </w:t>
      </w:r>
      <w:r w:rsidR="00AE59BD" w:rsidRPr="006B4639">
        <w:t xml:space="preserve">a </w:t>
      </w:r>
      <w:r w:rsidR="00A85704" w:rsidRPr="006B4639">
        <w:t>decision has been made that it should be regulated.</w:t>
      </w:r>
    </w:p>
    <w:p w14:paraId="2BF72958" w14:textId="01C51CDD" w:rsidR="00380B72" w:rsidRPr="006B4639" w:rsidRDefault="00380B72" w:rsidP="00380B72">
      <w:pPr>
        <w:pStyle w:val="BodyText"/>
      </w:pPr>
      <w:r w:rsidRPr="006B4639">
        <w:t>Prior to the introduction of Part 23, pipelines could become subject to economic regulation if they satisfied the coverage test</w:t>
      </w:r>
      <w:r w:rsidR="0031206C" w:rsidRPr="006B4639">
        <w:t>,</w:t>
      </w:r>
      <w:r w:rsidRPr="006B4639">
        <w:t xml:space="preserve"> or were deemed to satisfy this test when the Gas Code came into effect.</w:t>
      </w:r>
      <w:r w:rsidR="00370905">
        <w:rPr>
          <w:rFonts w:ascii="ZWAdobeF" w:hAnsi="ZWAdobeF" w:cs="ZWAdobeF"/>
          <w:sz w:val="2"/>
          <w:szCs w:val="2"/>
        </w:rPr>
        <w:t>75F</w:t>
      </w:r>
      <w:r w:rsidRPr="006B4639">
        <w:rPr>
          <w:rStyle w:val="FootnoteReference"/>
        </w:rPr>
        <w:footnoteReference w:id="77"/>
      </w:r>
      <w:r w:rsidRPr="006B4639">
        <w:t xml:space="preserve"> </w:t>
      </w:r>
      <w:r w:rsidR="005D45F1">
        <w:t xml:space="preserve">In 2016, a number of concerns </w:t>
      </w:r>
      <w:r w:rsidR="00687B57">
        <w:t xml:space="preserve">were raised </w:t>
      </w:r>
      <w:r w:rsidR="005D45F1">
        <w:t xml:space="preserve">about the </w:t>
      </w:r>
      <w:r w:rsidRPr="006B4639">
        <w:t>coverage test, with both the ACCC and AEMC finding that it was unlikely to be met by most pipelines because it was not directed at the right market failure.</w:t>
      </w:r>
      <w:r w:rsidR="00370905">
        <w:rPr>
          <w:rFonts w:ascii="ZWAdobeF" w:hAnsi="ZWAdobeF" w:cs="ZWAdobeF"/>
          <w:sz w:val="2"/>
          <w:szCs w:val="2"/>
        </w:rPr>
        <w:t>76F</w:t>
      </w:r>
      <w:r w:rsidRPr="006B4639">
        <w:rPr>
          <w:rStyle w:val="FootnoteReference"/>
        </w:rPr>
        <w:footnoteReference w:id="78"/>
      </w:r>
      <w:r w:rsidRPr="006B4639">
        <w:rPr>
          <w:vertAlign w:val="superscript"/>
        </w:rPr>
        <w:t>,</w:t>
      </w:r>
      <w:r w:rsidR="00370905">
        <w:rPr>
          <w:rFonts w:ascii="ZWAdobeF" w:hAnsi="ZWAdobeF" w:cs="ZWAdobeF"/>
          <w:sz w:val="2"/>
          <w:szCs w:val="2"/>
        </w:rPr>
        <w:t>77F</w:t>
      </w:r>
      <w:r w:rsidRPr="006B4639">
        <w:rPr>
          <w:rStyle w:val="FootnoteReference"/>
        </w:rPr>
        <w:footnoteReference w:id="79"/>
      </w:r>
      <w:r w:rsidRPr="006B4639">
        <w:t xml:space="preserve"> Dr</w:t>
      </w:r>
      <w:r w:rsidR="004924C0">
        <w:t> </w:t>
      </w:r>
      <w:r w:rsidRPr="006B4639">
        <w:t>Vertigan formed a similar view in his</w:t>
      </w:r>
      <w:r w:rsidR="00707F86" w:rsidRPr="006B4639">
        <w:t xml:space="preserve"> 2016</w:t>
      </w:r>
      <w:r w:rsidRPr="006B4639">
        <w:t xml:space="preserve"> Examination.</w:t>
      </w:r>
      <w:r w:rsidR="00370905">
        <w:rPr>
          <w:rFonts w:ascii="ZWAdobeF" w:hAnsi="ZWAdobeF" w:cs="ZWAdobeF"/>
          <w:sz w:val="2"/>
          <w:szCs w:val="2"/>
        </w:rPr>
        <w:t>78F</w:t>
      </w:r>
      <w:r w:rsidRPr="006B4639">
        <w:rPr>
          <w:rStyle w:val="FootnoteReference"/>
        </w:rPr>
        <w:footnoteReference w:id="80"/>
      </w:r>
      <w:r w:rsidRPr="006B4639">
        <w:t xml:space="preserve"> However, rather than changing the coverage test, Dr Vertigan recommended a new form of regulation be introduced and applied to all non-scheme pipelines providing third party access (including pipelines that had obtained a greenfield exemption). This recommendation was endorsed by the </w:t>
      </w:r>
      <w:r w:rsidR="004342AE">
        <w:t xml:space="preserve">former </w:t>
      </w:r>
      <w:r w:rsidR="00FA1168">
        <w:t xml:space="preserve">COAG </w:t>
      </w:r>
      <w:r w:rsidRPr="006B4639">
        <w:t>Energy Council in December 2016</w:t>
      </w:r>
      <w:r w:rsidR="00370905">
        <w:rPr>
          <w:rFonts w:ascii="ZWAdobeF" w:hAnsi="ZWAdobeF" w:cs="ZWAdobeF"/>
          <w:sz w:val="2"/>
          <w:szCs w:val="2"/>
        </w:rPr>
        <w:t>79F</w:t>
      </w:r>
      <w:r w:rsidRPr="006B4639">
        <w:rPr>
          <w:rStyle w:val="FootnoteReference"/>
        </w:rPr>
        <w:footnoteReference w:id="81"/>
      </w:r>
      <w:r w:rsidRPr="006B4639">
        <w:t xml:space="preserve"> and</w:t>
      </w:r>
      <w:r w:rsidR="00226F58">
        <w:t xml:space="preserve"> Part 23 commence</w:t>
      </w:r>
      <w:r w:rsidR="00FA1168">
        <w:t>d</w:t>
      </w:r>
      <w:r w:rsidRPr="006B4639">
        <w:t xml:space="preserve"> in August 2017.</w:t>
      </w:r>
    </w:p>
    <w:p w14:paraId="43F9D63B" w14:textId="77777777" w:rsidR="00380B72" w:rsidRPr="006B4639" w:rsidRDefault="00226F58" w:rsidP="00380B72">
      <w:pPr>
        <w:pStyle w:val="BodyText"/>
      </w:pPr>
      <w:r>
        <w:t xml:space="preserve">The application </w:t>
      </w:r>
      <w:r w:rsidR="00380B72" w:rsidRPr="006B4639">
        <w:t xml:space="preserve">of Part 23 </w:t>
      </w:r>
      <w:r>
        <w:t xml:space="preserve">to non-scheme pipelines, in effect, </w:t>
      </w:r>
      <w:r w:rsidR="00B936BC" w:rsidRPr="006B4639">
        <w:t xml:space="preserve">by-passed the coverage test for pipelines providing third party access and, in so doing, </w:t>
      </w:r>
      <w:r w:rsidR="00380B72" w:rsidRPr="006B4639">
        <w:t xml:space="preserve">lowered the threshold for economic regulation on </w:t>
      </w:r>
      <w:r w:rsidR="00B936BC" w:rsidRPr="006B4639">
        <w:t xml:space="preserve">these </w:t>
      </w:r>
      <w:r w:rsidR="00380B72" w:rsidRPr="006B4639">
        <w:t xml:space="preserve">pipelines. </w:t>
      </w:r>
      <w:r w:rsidR="00707F86" w:rsidRPr="006B4639">
        <w:t>T</w:t>
      </w:r>
      <w:r w:rsidR="00380B72" w:rsidRPr="006B4639">
        <w:t xml:space="preserve">he coverage test </w:t>
      </w:r>
      <w:r w:rsidR="00707F86" w:rsidRPr="006B4639">
        <w:t xml:space="preserve">now plays a relatively limited role in </w:t>
      </w:r>
      <w:r w:rsidR="0009739F" w:rsidRPr="006B4639">
        <w:t>determining when a pipeline should be subject to economic regulation</w:t>
      </w:r>
      <w:r w:rsidR="00707F86" w:rsidRPr="006B4639">
        <w:t xml:space="preserve">, with the test only used to </w:t>
      </w:r>
      <w:r w:rsidR="00380B72" w:rsidRPr="006B4639">
        <w:t>determin</w:t>
      </w:r>
      <w:r w:rsidR="00707F86" w:rsidRPr="006B4639">
        <w:t>e</w:t>
      </w:r>
      <w:r w:rsidR="00380B72" w:rsidRPr="006B4639">
        <w:t xml:space="preserve"> whether a pipeline that is not providing third party access should be required to do so</w:t>
      </w:r>
      <w:r w:rsidR="00707F86" w:rsidRPr="006B4639">
        <w:t>,</w:t>
      </w:r>
      <w:r w:rsidR="00380B72" w:rsidRPr="006B4639">
        <w:t xml:space="preserve"> and </w:t>
      </w:r>
      <w:r w:rsidR="00B216D0">
        <w:t xml:space="preserve">if </w:t>
      </w:r>
      <w:r w:rsidR="00380B72" w:rsidRPr="006B4639">
        <w:t xml:space="preserve">a greenfield exemption should be granted. </w:t>
      </w:r>
      <w:r w:rsidR="00797A0A" w:rsidRPr="006B4639">
        <w:t>T</w:t>
      </w:r>
      <w:r w:rsidR="00B936BC" w:rsidRPr="006B4639">
        <w:t xml:space="preserve">he coverage test also </w:t>
      </w:r>
      <w:r w:rsidR="00797A0A" w:rsidRPr="006B4639">
        <w:t xml:space="preserve">has a role to play </w:t>
      </w:r>
      <w:r w:rsidR="00B936BC" w:rsidRPr="006B4639">
        <w:t>in form of regulation decisions</w:t>
      </w:r>
      <w:r w:rsidR="00B216D0">
        <w:t xml:space="preserve"> as </w:t>
      </w:r>
      <w:r w:rsidR="00B936BC" w:rsidRPr="006B4639">
        <w:t>discussed in Ch</w:t>
      </w:r>
      <w:r w:rsidR="00B936BC" w:rsidRPr="001A428B">
        <w:t xml:space="preserve">apter </w:t>
      </w:r>
      <w:r w:rsidR="005125C6" w:rsidRPr="001A428B">
        <w:t>5</w:t>
      </w:r>
      <w:r w:rsidR="00B936BC" w:rsidRPr="001A428B">
        <w:t>.</w:t>
      </w:r>
    </w:p>
    <w:p w14:paraId="629C774A" w14:textId="77777777" w:rsidR="00707F86" w:rsidRPr="006B4639" w:rsidRDefault="00707F86" w:rsidP="00B56CD6">
      <w:pPr>
        <w:pStyle w:val="BodyText"/>
      </w:pPr>
      <w:r w:rsidRPr="006B4639">
        <w:t xml:space="preserve">While the introduction of Part 23 addressed </w:t>
      </w:r>
      <w:r w:rsidR="00444BE2" w:rsidRPr="006B4639">
        <w:t xml:space="preserve">most of the </w:t>
      </w:r>
      <w:r w:rsidRPr="006B4639">
        <w:t xml:space="preserve">problems identified in 2016, </w:t>
      </w:r>
      <w:r w:rsidR="00444BE2" w:rsidRPr="006B4639">
        <w:t xml:space="preserve">concerns </w:t>
      </w:r>
      <w:r w:rsidR="0009739F" w:rsidRPr="006B4639">
        <w:t xml:space="preserve">have subsequently been </w:t>
      </w:r>
      <w:r w:rsidR="00444BE2" w:rsidRPr="006B4639">
        <w:t>raised about</w:t>
      </w:r>
      <w:r w:rsidR="00511B28">
        <w:t xml:space="preserve"> the potential for</w:t>
      </w:r>
      <w:r w:rsidR="00965938">
        <w:t xml:space="preserve"> </w:t>
      </w:r>
      <w:r w:rsidR="00E51219">
        <w:t xml:space="preserve">the current regulatory framework to result in </w:t>
      </w:r>
      <w:r w:rsidR="00965938">
        <w:t>over-regulation and</w:t>
      </w:r>
      <w:r w:rsidR="00E51219">
        <w:t>/or</w:t>
      </w:r>
      <w:r w:rsidR="00965938">
        <w:t xml:space="preserve"> under-regulation </w:t>
      </w:r>
      <w:r w:rsidR="00B56CD6">
        <w:t>of pipelines</w:t>
      </w:r>
      <w:r w:rsidR="008E3E95">
        <w:t xml:space="preserve"> and the </w:t>
      </w:r>
      <w:r w:rsidR="00444BE2" w:rsidRPr="006B4639">
        <w:t xml:space="preserve">governance arrangements associated with </w:t>
      </w:r>
      <w:r w:rsidR="008E3E95">
        <w:t xml:space="preserve">when </w:t>
      </w:r>
      <w:r w:rsidR="0066748F">
        <w:t xml:space="preserve">and how </w:t>
      </w:r>
      <w:r w:rsidR="008E3E95">
        <w:t xml:space="preserve">to </w:t>
      </w:r>
      <w:r w:rsidR="00444BE2" w:rsidRPr="006B4639">
        <w:t>regulate</w:t>
      </w:r>
      <w:r w:rsidR="00511B28">
        <w:t xml:space="preserve"> </w:t>
      </w:r>
      <w:r w:rsidR="008E3E95">
        <w:t>decisions</w:t>
      </w:r>
      <w:r w:rsidR="00444BE2" w:rsidRPr="006B4639">
        <w:t>.</w:t>
      </w:r>
    </w:p>
    <w:p w14:paraId="27993444" w14:textId="77777777" w:rsidR="00D45AD8" w:rsidRDefault="00D45AD8" w:rsidP="00D45AD8">
      <w:pPr>
        <w:pStyle w:val="BodyText"/>
      </w:pPr>
      <w:bookmarkStart w:id="87" w:name="_Ref18153039"/>
      <w:r w:rsidRPr="006B4639">
        <w:t xml:space="preserve">The remainder of this chapter provides further detail on </w:t>
      </w:r>
      <w:r w:rsidR="00273702">
        <w:t>what the regulatory framework currently provides for</w:t>
      </w:r>
      <w:r>
        <w:t xml:space="preserve">, </w:t>
      </w:r>
      <w:r w:rsidRPr="006B4639">
        <w:t xml:space="preserve">the problems </w:t>
      </w:r>
      <w:r>
        <w:t xml:space="preserve">that have been </w:t>
      </w:r>
      <w:r w:rsidRPr="006B4639">
        <w:t>identified</w:t>
      </w:r>
      <w:r>
        <w:t xml:space="preserve"> with this aspect of the regulatory framework and</w:t>
      </w:r>
      <w:r w:rsidRPr="006B4639">
        <w:t xml:space="preserve"> </w:t>
      </w:r>
      <w:r>
        <w:t xml:space="preserve">the feedback stakeholders provided on the options identified in the Consultation RIS to address these problems. It also sets out how this feedback has been taken into account in the development of the reform options. </w:t>
      </w:r>
    </w:p>
    <w:p w14:paraId="3B76DB23" w14:textId="77777777" w:rsidR="006B3B6B" w:rsidRPr="006B4639" w:rsidRDefault="006B3B6B" w:rsidP="00A96F9D">
      <w:pPr>
        <w:pStyle w:val="Heading2"/>
        <w:spacing w:after="120"/>
      </w:pPr>
      <w:bookmarkStart w:id="88" w:name="_Toc62219404"/>
      <w:r w:rsidRPr="006B4639">
        <w:lastRenderedPageBreak/>
        <w:t>What is the current situation?</w:t>
      </w:r>
      <w:bookmarkEnd w:id="87"/>
      <w:bookmarkEnd w:id="88"/>
    </w:p>
    <w:p w14:paraId="59C19DA9" w14:textId="77777777" w:rsidR="00197CD8" w:rsidRPr="006B4639" w:rsidRDefault="00C93DA1" w:rsidP="00A96F9D">
      <w:pPr>
        <w:pStyle w:val="BodyText"/>
        <w:keepNext/>
        <w:spacing w:before="120" w:line="252" w:lineRule="auto"/>
      </w:pPr>
      <w:r w:rsidRPr="006B4639">
        <w:t>T</w:t>
      </w:r>
      <w:r w:rsidR="00197CD8" w:rsidRPr="006B4639">
        <w:t xml:space="preserve">he regulatory framework </w:t>
      </w:r>
      <w:r w:rsidR="00707F86" w:rsidRPr="006B4639">
        <w:t xml:space="preserve">currently </w:t>
      </w:r>
      <w:r w:rsidR="00197CD8" w:rsidRPr="006B4639">
        <w:t>provides for:</w:t>
      </w:r>
    </w:p>
    <w:p w14:paraId="73CA5553" w14:textId="77777777" w:rsidR="00197CD8" w:rsidRPr="006B4639" w:rsidRDefault="00197CD8" w:rsidP="00AD36B8">
      <w:pPr>
        <w:pStyle w:val="ListBullet"/>
      </w:pPr>
      <w:r w:rsidRPr="006B4639">
        <w:t>all pipelines that are providing third party access to be subject to some form of economic regulation (i.e. full regulation, light regulation or Part 23); and</w:t>
      </w:r>
    </w:p>
    <w:p w14:paraId="343857CD" w14:textId="61F1BAAB" w:rsidR="00197CD8" w:rsidRPr="006B4639" w:rsidRDefault="00197CD8" w:rsidP="00AD36B8">
      <w:pPr>
        <w:pStyle w:val="ListBullet"/>
      </w:pPr>
      <w:r w:rsidRPr="006B4639">
        <w:t xml:space="preserve">pipelines that are not providing third party access to be required to do so (i.e. through the application of full or light regulation) if the relevant Minister, having regard to the NCC’s recommendation, is satisfied the coverage </w:t>
      </w:r>
      <w:r w:rsidR="00AE59BD" w:rsidRPr="006B4639">
        <w:t xml:space="preserve">test is </w:t>
      </w:r>
      <w:r w:rsidRPr="006B4639">
        <w:t xml:space="preserve">met (see </w:t>
      </w:r>
      <w:r w:rsidR="00FD2BC8">
        <w:fldChar w:fldCharType="begin" w:fldLock="1"/>
      </w:r>
      <w:r w:rsidR="00FD2BC8">
        <w:instrText xml:space="preserve"> REF _Ref49700216 \h </w:instrText>
      </w:r>
      <w:r w:rsidR="00FD2BC8">
        <w:fldChar w:fldCharType="separate"/>
      </w:r>
      <w:r w:rsidR="00036405">
        <w:t xml:space="preserve">Box </w:t>
      </w:r>
      <w:r w:rsidR="00036405">
        <w:rPr>
          <w:noProof/>
        </w:rPr>
        <w:t>2</w:t>
      </w:r>
      <w:r w:rsidR="00036405">
        <w:t>.</w:t>
      </w:r>
      <w:r w:rsidR="00036405">
        <w:rPr>
          <w:noProof/>
        </w:rPr>
        <w:t>4</w:t>
      </w:r>
      <w:r w:rsidR="00FD2BC8">
        <w:fldChar w:fldCharType="end"/>
      </w:r>
      <w:r w:rsidRPr="006B4639">
        <w:t>).</w:t>
      </w:r>
    </w:p>
    <w:p w14:paraId="708D16AE" w14:textId="531338F5" w:rsidR="00A36038" w:rsidRDefault="006453CF" w:rsidP="00A96F9D">
      <w:pPr>
        <w:pStyle w:val="BodyText"/>
        <w:spacing w:line="252" w:lineRule="auto"/>
        <w:rPr>
          <w:rFonts w:cs="Arial"/>
        </w:rPr>
      </w:pPr>
      <w:r>
        <w:t xml:space="preserve">As noted in section </w:t>
      </w:r>
      <w:r>
        <w:fldChar w:fldCharType="begin" w:fldLock="1"/>
      </w:r>
      <w:r>
        <w:instrText xml:space="preserve"> REF _Ref52807127 \r \h </w:instrText>
      </w:r>
      <w:r>
        <w:fldChar w:fldCharType="separate"/>
      </w:r>
      <w:r w:rsidR="00036405">
        <w:t>2.2.2</w:t>
      </w:r>
      <w:r>
        <w:fldChar w:fldCharType="end"/>
      </w:r>
      <w:r>
        <w:t>, t</w:t>
      </w:r>
      <w:r w:rsidR="00136272" w:rsidRPr="006B4639">
        <w:t xml:space="preserve">he regulatory framework also </w:t>
      </w:r>
      <w:r w:rsidR="000A04F3">
        <w:t>includes the following mechanism</w:t>
      </w:r>
      <w:r w:rsidR="0024453A">
        <w:t>s</w:t>
      </w:r>
      <w:r w:rsidR="000A04F3">
        <w:t xml:space="preserve">, which were implemented to try and </w:t>
      </w:r>
      <w:r w:rsidR="00A36038">
        <w:rPr>
          <w:rFonts w:cs="Arial"/>
        </w:rPr>
        <w:t>counter the adverse effects that stronger forms of regulation may have on new pipeline developments:</w:t>
      </w:r>
    </w:p>
    <w:p w14:paraId="6FAC0ECA" w14:textId="1BE42794" w:rsidR="00A36038" w:rsidRPr="005D09E4" w:rsidRDefault="00A36038" w:rsidP="00AD36B8">
      <w:pPr>
        <w:pStyle w:val="ListBullet"/>
        <w:rPr>
          <w:sz w:val="20"/>
          <w:szCs w:val="20"/>
        </w:rPr>
      </w:pPr>
      <w:r w:rsidRPr="005D09E4">
        <w:t xml:space="preserve">The </w:t>
      </w:r>
      <w:r w:rsidR="00A870BF" w:rsidRPr="00A870BF">
        <w:rPr>
          <w:b/>
        </w:rPr>
        <w:t>Competitive Tender Process (</w:t>
      </w:r>
      <w:r w:rsidRPr="00A870BF">
        <w:rPr>
          <w:b/>
          <w:bCs/>
        </w:rPr>
        <w:t>CTP</w:t>
      </w:r>
      <w:r w:rsidR="00A870BF">
        <w:rPr>
          <w:b/>
          <w:bCs/>
        </w:rPr>
        <w:t>)</w:t>
      </w:r>
      <w:r w:rsidRPr="00AD1407">
        <w:rPr>
          <w:b/>
          <w:bCs/>
        </w:rPr>
        <w:t>,</w:t>
      </w:r>
      <w:r w:rsidRPr="005D09E4">
        <w:t xml:space="preserve"> which allows proponents of new pipelines</w:t>
      </w:r>
      <w:r>
        <w:t xml:space="preserve"> </w:t>
      </w:r>
      <w:r w:rsidRPr="005D09E4">
        <w:t>to apply to have a proposed tender approved as a competitive tender</w:t>
      </w:r>
      <w:r>
        <w:t xml:space="preserve">. If approved by the regulator, </w:t>
      </w:r>
      <w:r w:rsidRPr="005D09E4">
        <w:t xml:space="preserve">the price and other conditions of access determined through the tender </w:t>
      </w:r>
      <w:r>
        <w:t xml:space="preserve">can </w:t>
      </w:r>
      <w:r w:rsidRPr="005D09E4">
        <w:t xml:space="preserve">form the basis </w:t>
      </w:r>
      <w:r>
        <w:t xml:space="preserve">of </w:t>
      </w:r>
      <w:r w:rsidRPr="005D09E4">
        <w:t xml:space="preserve">an </w:t>
      </w:r>
      <w:r w:rsidR="005A1AB7">
        <w:t>AA</w:t>
      </w:r>
      <w:r w:rsidRPr="005D09E4">
        <w:t xml:space="preserve"> </w:t>
      </w:r>
      <w:r>
        <w:t xml:space="preserve">that can apply for up to </w:t>
      </w:r>
      <w:r w:rsidRPr="005D09E4">
        <w:t xml:space="preserve">15 years. </w:t>
      </w:r>
    </w:p>
    <w:p w14:paraId="36C045B5" w14:textId="77777777" w:rsidR="00A36038" w:rsidRPr="006C6DBD" w:rsidRDefault="00A36038" w:rsidP="00AD36B8">
      <w:pPr>
        <w:pStyle w:val="ListBullet"/>
        <w:rPr>
          <w:rFonts w:cstheme="majorHAnsi"/>
          <w:i/>
          <w:iCs/>
          <w:sz w:val="19"/>
          <w:szCs w:val="19"/>
        </w:rPr>
      </w:pPr>
      <w:r w:rsidRPr="00206596">
        <w:t xml:space="preserve">The </w:t>
      </w:r>
      <w:r w:rsidRPr="00AD1407">
        <w:rPr>
          <w:b/>
          <w:bCs/>
        </w:rPr>
        <w:t>15-year no coverage determination,</w:t>
      </w:r>
      <w:r w:rsidRPr="00206596">
        <w:t xml:space="preserve"> which allows pipelines that are yet to be commissioned to obtain an exemption from coverage if </w:t>
      </w:r>
      <w:r>
        <w:t xml:space="preserve">the coverage test is not </w:t>
      </w:r>
      <w:r w:rsidRPr="00206596">
        <w:t>met</w:t>
      </w:r>
      <w:r>
        <w:t xml:space="preserve"> (see Box 2.1)</w:t>
      </w:r>
      <w:r w:rsidRPr="00206596">
        <w:t>. In effect, this determination means the pipeline is exempt from full and light regulation and cannot be compelled to provide third party access</w:t>
      </w:r>
      <w:r>
        <w:t xml:space="preserve">. It </w:t>
      </w:r>
      <w:r w:rsidRPr="00206596">
        <w:t>can</w:t>
      </w:r>
      <w:r>
        <w:t>, however,</w:t>
      </w:r>
      <w:r w:rsidRPr="00206596">
        <w:t xml:space="preserve"> be subject to Part 23 if it </w:t>
      </w:r>
      <w:r>
        <w:t xml:space="preserve">provides </w:t>
      </w:r>
      <w:r w:rsidRPr="00206596">
        <w:t>third party access.</w:t>
      </w:r>
      <w:r>
        <w:t xml:space="preserve"> </w:t>
      </w:r>
    </w:p>
    <w:p w14:paraId="093F0101" w14:textId="59667D15" w:rsidR="00271FD7" w:rsidRDefault="0035717A" w:rsidP="00A96F9D">
      <w:pPr>
        <w:pStyle w:val="BodyText"/>
        <w:spacing w:line="252" w:lineRule="auto"/>
      </w:pPr>
      <w:r w:rsidRPr="006E586B">
        <w:rPr>
          <w:rFonts w:cstheme="majorHAnsi"/>
          <w:lang w:eastAsia="en-US"/>
        </w:rPr>
        <w:t>The first of these mechanisms has been used on three occasions since it was introduced in 1997,</w:t>
      </w:r>
      <w:r w:rsidR="00370905">
        <w:rPr>
          <w:rFonts w:ascii="ZWAdobeF" w:hAnsi="ZWAdobeF" w:cs="ZWAdobeF"/>
          <w:sz w:val="2"/>
          <w:szCs w:val="2"/>
          <w:lang w:eastAsia="en-US"/>
        </w:rPr>
        <w:t>80F</w:t>
      </w:r>
      <w:r>
        <w:rPr>
          <w:rStyle w:val="FootnoteReference"/>
          <w:rFonts w:cstheme="majorHAnsi"/>
          <w:lang w:eastAsia="en-US"/>
        </w:rPr>
        <w:footnoteReference w:id="82"/>
      </w:r>
      <w:r w:rsidRPr="006E586B">
        <w:rPr>
          <w:rFonts w:cstheme="majorHAnsi"/>
          <w:lang w:eastAsia="en-US"/>
        </w:rPr>
        <w:t xml:space="preserve"> while the latter </w:t>
      </w:r>
      <w:r w:rsidR="00333F10">
        <w:rPr>
          <w:rFonts w:cstheme="majorHAnsi"/>
          <w:lang w:eastAsia="en-US"/>
        </w:rPr>
        <w:t xml:space="preserve">mechanism </w:t>
      </w:r>
      <w:r w:rsidRPr="006E586B">
        <w:rPr>
          <w:rFonts w:cstheme="majorHAnsi"/>
          <w:lang w:eastAsia="en-US"/>
        </w:rPr>
        <w:t xml:space="preserve">has been used on four occasions since </w:t>
      </w:r>
      <w:r w:rsidR="001070A2">
        <w:rPr>
          <w:rFonts w:cstheme="majorHAnsi"/>
          <w:lang w:eastAsia="en-US"/>
        </w:rPr>
        <w:t xml:space="preserve">its introduction </w:t>
      </w:r>
      <w:r w:rsidRPr="006E586B">
        <w:rPr>
          <w:rFonts w:cstheme="majorHAnsi"/>
          <w:lang w:eastAsia="en-US"/>
        </w:rPr>
        <w:t>in 2006.</w:t>
      </w:r>
      <w:r w:rsidR="00370905">
        <w:rPr>
          <w:rFonts w:ascii="ZWAdobeF" w:hAnsi="ZWAdobeF" w:cs="ZWAdobeF"/>
          <w:sz w:val="2"/>
          <w:szCs w:val="2"/>
          <w:lang w:eastAsia="en-US"/>
        </w:rPr>
        <w:t>81F</w:t>
      </w:r>
      <w:r>
        <w:rPr>
          <w:rStyle w:val="FootnoteReference"/>
          <w:rFonts w:cstheme="majorHAnsi"/>
          <w:lang w:eastAsia="en-US"/>
        </w:rPr>
        <w:footnoteReference w:id="83"/>
      </w:r>
      <w:r>
        <w:rPr>
          <w:rFonts w:cstheme="majorHAnsi"/>
          <w:lang w:eastAsia="en-US"/>
        </w:rPr>
        <w:t xml:space="preserve"> </w:t>
      </w:r>
      <w:r w:rsidR="00A529D3">
        <w:t xml:space="preserve">Interestingly, </w:t>
      </w:r>
      <w:r w:rsidR="00271FD7">
        <w:t xml:space="preserve">the only </w:t>
      </w:r>
      <w:r w:rsidR="00F8788D">
        <w:t xml:space="preserve">parties </w:t>
      </w:r>
      <w:r w:rsidR="00271FD7">
        <w:t xml:space="preserve">that have sought a 15-year no coverage determination over the last 14 years have been </w:t>
      </w:r>
      <w:r w:rsidR="00A7305C">
        <w:t xml:space="preserve">the Gladstone </w:t>
      </w:r>
      <w:r w:rsidR="00753320" w:rsidRPr="006B4639">
        <w:t xml:space="preserve">LNG </w:t>
      </w:r>
      <w:r w:rsidR="00271FD7">
        <w:t>exporters</w:t>
      </w:r>
      <w:r w:rsidR="00DA5A69">
        <w:t>. I</w:t>
      </w:r>
      <w:r w:rsidR="00AE6DB9">
        <w:t xml:space="preserve">n each case, the </w:t>
      </w:r>
      <w:r w:rsidR="00AE6DB9" w:rsidRPr="006B4639">
        <w:t xml:space="preserve">Minister’s decision was made 1-4 years after the decision was made to develop the LNG facilities, which suggests </w:t>
      </w:r>
      <w:r w:rsidR="00F8788D">
        <w:t xml:space="preserve">the exemption had little bearing on the decision to develop these </w:t>
      </w:r>
      <w:r w:rsidR="00AE6DB9" w:rsidRPr="006B4639">
        <w:t>pipeline</w:t>
      </w:r>
      <w:r w:rsidR="00F8788D">
        <w:t>s.</w:t>
      </w:r>
      <w:r w:rsidR="00271FD7">
        <w:t xml:space="preserve"> All the other pipelines </w:t>
      </w:r>
      <w:r w:rsidR="00152042">
        <w:t xml:space="preserve">that </w:t>
      </w:r>
      <w:r w:rsidR="00271FD7">
        <w:t xml:space="preserve">have been </w:t>
      </w:r>
      <w:r w:rsidR="00152042">
        <w:t>commissioned over this period,</w:t>
      </w:r>
      <w:r w:rsidR="00271FD7">
        <w:t xml:space="preserve"> of which there are </w:t>
      </w:r>
      <w:r w:rsidR="00321421">
        <w:t>large number</w:t>
      </w:r>
      <w:r w:rsidR="00271FD7">
        <w:t>,</w:t>
      </w:r>
      <w:r w:rsidR="00370905">
        <w:rPr>
          <w:rFonts w:ascii="ZWAdobeF" w:hAnsi="ZWAdobeF" w:cs="ZWAdobeF"/>
          <w:sz w:val="2"/>
          <w:szCs w:val="2"/>
        </w:rPr>
        <w:t>82F</w:t>
      </w:r>
      <w:r w:rsidR="00271FD7" w:rsidRPr="006B4639">
        <w:rPr>
          <w:rStyle w:val="FootnoteReference"/>
        </w:rPr>
        <w:footnoteReference w:id="84"/>
      </w:r>
      <w:r w:rsidR="00271FD7">
        <w:t xml:space="preserve"> have </w:t>
      </w:r>
      <w:r w:rsidR="00152042">
        <w:t xml:space="preserve">been developed without recourse to either of these </w:t>
      </w:r>
      <w:r w:rsidR="00321421">
        <w:t xml:space="preserve">two </w:t>
      </w:r>
      <w:r w:rsidR="00AE6DB9">
        <w:t>mechanisms</w:t>
      </w:r>
      <w:r w:rsidR="00271FD7">
        <w:t>.</w:t>
      </w:r>
    </w:p>
    <w:p w14:paraId="51164B72" w14:textId="77777777" w:rsidR="00AE59BD" w:rsidRPr="006B4639" w:rsidRDefault="00AE59BD" w:rsidP="00A96F9D">
      <w:pPr>
        <w:pStyle w:val="BodyText"/>
        <w:spacing w:line="252" w:lineRule="auto"/>
      </w:pPr>
      <w:r w:rsidRPr="006B4639">
        <w:t>Further detail on how a pipeline can currently become subject to economic regulation can be fo</w:t>
      </w:r>
      <w:r w:rsidRPr="00CC46B3">
        <w:t xml:space="preserve">und in </w:t>
      </w:r>
      <w:r w:rsidR="00E46C50">
        <w:t>section 2.2</w:t>
      </w:r>
      <w:r w:rsidRPr="006B4639">
        <w:t xml:space="preserve">. </w:t>
      </w:r>
    </w:p>
    <w:p w14:paraId="5F592436" w14:textId="77777777" w:rsidR="002E4CC6" w:rsidRDefault="002E4CC6" w:rsidP="002E4CC6">
      <w:pPr>
        <w:pStyle w:val="Heading2"/>
      </w:pPr>
      <w:bookmarkStart w:id="89" w:name="_Toc62219405"/>
      <w:bookmarkStart w:id="90" w:name="_Ref18149060"/>
      <w:r w:rsidRPr="006B4639">
        <w:t>What problem</w:t>
      </w:r>
      <w:r>
        <w:t>s have been identified with this aspect of the regulatory framework</w:t>
      </w:r>
      <w:r w:rsidRPr="006B4639">
        <w:t>?</w:t>
      </w:r>
      <w:bookmarkEnd w:id="89"/>
    </w:p>
    <w:p w14:paraId="79CF169D" w14:textId="77777777" w:rsidR="00CE5131" w:rsidRDefault="00CE5131" w:rsidP="00CE5131">
      <w:pPr>
        <w:pStyle w:val="Heading3"/>
      </w:pPr>
      <w:r>
        <w:t>Potential problems identified in the Consultation RIS</w:t>
      </w:r>
    </w:p>
    <w:p w14:paraId="18A36D90" w14:textId="77777777" w:rsidR="002068CC" w:rsidRPr="006B4639" w:rsidRDefault="00D00835" w:rsidP="002068CC">
      <w:pPr>
        <w:pStyle w:val="BodyText"/>
      </w:pPr>
      <w:r>
        <w:t xml:space="preserve">In the Consultation RIS, the following </w:t>
      </w:r>
      <w:r w:rsidRPr="00B370BB">
        <w:rPr>
          <w:i/>
          <w:iCs/>
        </w:rPr>
        <w:t>potential</w:t>
      </w:r>
      <w:r>
        <w:t xml:space="preserve"> problems </w:t>
      </w:r>
      <w:r w:rsidR="00956DC5">
        <w:t xml:space="preserve">were identified </w:t>
      </w:r>
      <w:r>
        <w:t>with this aspect of the regulatory framework</w:t>
      </w:r>
      <w:r w:rsidR="0080375B">
        <w:t>, based on the reviews of the regulatory framework that have been undertaken by the AEMC and NERA (see Appendix B)</w:t>
      </w:r>
      <w:r w:rsidR="002068CC" w:rsidRPr="006B4639">
        <w:t>:</w:t>
      </w:r>
    </w:p>
    <w:p w14:paraId="50AEEFC6" w14:textId="4BD96890" w:rsidR="00D319B1" w:rsidRDefault="007456C9" w:rsidP="00A82C52">
      <w:pPr>
        <w:pStyle w:val="ListBullet"/>
        <w:numPr>
          <w:ilvl w:val="0"/>
          <w:numId w:val="101"/>
        </w:numPr>
        <w:ind w:left="357" w:hanging="357"/>
      </w:pPr>
      <w:r>
        <w:lastRenderedPageBreak/>
        <w:t>t</w:t>
      </w:r>
      <w:r w:rsidR="00CC46B3" w:rsidRPr="006B4639">
        <w:t xml:space="preserve">he </w:t>
      </w:r>
      <w:r w:rsidR="00EE5A35">
        <w:t xml:space="preserve">current </w:t>
      </w:r>
      <w:r w:rsidR="00CC46B3" w:rsidRPr="006B4639">
        <w:t>threshold for economic regulation</w:t>
      </w:r>
      <w:r w:rsidR="00EE5A35">
        <w:t xml:space="preserve"> </w:t>
      </w:r>
      <w:r w:rsidR="00D00835" w:rsidRPr="00B370BB">
        <w:rPr>
          <w:i/>
          <w:iCs/>
        </w:rPr>
        <w:t>may</w:t>
      </w:r>
      <w:r w:rsidR="00D00835">
        <w:t xml:space="preserve"> </w:t>
      </w:r>
      <w:r w:rsidR="00CC46B3" w:rsidRPr="006B4639">
        <w:t>result in over-regulation</w:t>
      </w:r>
      <w:r w:rsidR="00EE5A35">
        <w:t xml:space="preserve"> because all pipelines providing third party access are now at a minimum subject to Part 23</w:t>
      </w:r>
      <w:r>
        <w:t>;</w:t>
      </w:r>
      <w:r w:rsidR="00370905">
        <w:rPr>
          <w:rFonts w:ascii="ZWAdobeF" w:hAnsi="ZWAdobeF" w:cs="ZWAdobeF"/>
          <w:sz w:val="2"/>
          <w:szCs w:val="2"/>
        </w:rPr>
        <w:t>83F</w:t>
      </w:r>
      <w:r w:rsidR="001B0D69" w:rsidRPr="006B4639">
        <w:rPr>
          <w:rStyle w:val="FootnoteReference"/>
        </w:rPr>
        <w:footnoteReference w:id="85"/>
      </w:r>
    </w:p>
    <w:p w14:paraId="62315D30" w14:textId="6E8D2D15" w:rsidR="00EA05EF" w:rsidRDefault="00EA05EF" w:rsidP="00A82C52">
      <w:pPr>
        <w:pStyle w:val="ListBullet"/>
        <w:numPr>
          <w:ilvl w:val="0"/>
          <w:numId w:val="101"/>
        </w:numPr>
        <w:ind w:left="357" w:hanging="357"/>
      </w:pPr>
      <w:r>
        <w:t>t</w:t>
      </w:r>
      <w:r w:rsidRPr="006B4639">
        <w:t xml:space="preserve">he application of Part 23 to pipelines with a greenfield exemption that are providing third party access </w:t>
      </w:r>
      <w:r w:rsidRPr="00B370BB">
        <w:rPr>
          <w:i/>
          <w:iCs/>
        </w:rPr>
        <w:t>may</w:t>
      </w:r>
      <w:r>
        <w:t xml:space="preserve"> </w:t>
      </w:r>
      <w:r w:rsidRPr="006B4639">
        <w:t>distort investment incentives for greenfield pipelines</w:t>
      </w:r>
      <w:r>
        <w:t>;</w:t>
      </w:r>
      <w:r w:rsidRPr="007456C9">
        <w:rPr>
          <w:rStyle w:val="FootnoteReference"/>
        </w:rPr>
        <w:t xml:space="preserve"> </w:t>
      </w:r>
      <w:r w:rsidR="00370905">
        <w:rPr>
          <w:rFonts w:ascii="ZWAdobeF" w:hAnsi="ZWAdobeF" w:cs="ZWAdobeF"/>
          <w:sz w:val="2"/>
          <w:szCs w:val="2"/>
        </w:rPr>
        <w:t>84F</w:t>
      </w:r>
      <w:r w:rsidRPr="006B4639">
        <w:rPr>
          <w:rStyle w:val="FootnoteReference"/>
        </w:rPr>
        <w:footnoteReference w:id="86"/>
      </w:r>
      <w:r>
        <w:t xml:space="preserve"> </w:t>
      </w:r>
    </w:p>
    <w:p w14:paraId="1AD0E79C" w14:textId="3907777D" w:rsidR="00782FCD" w:rsidRDefault="00782FCD" w:rsidP="00A82C52">
      <w:pPr>
        <w:pStyle w:val="ListBullet"/>
        <w:numPr>
          <w:ilvl w:val="0"/>
          <w:numId w:val="101"/>
        </w:numPr>
        <w:ind w:left="357" w:hanging="357"/>
      </w:pPr>
      <w:r>
        <w:t>t</w:t>
      </w:r>
      <w:r w:rsidRPr="006B4639">
        <w:t xml:space="preserve">he use of the coverage test in third party access decisions </w:t>
      </w:r>
      <w:r w:rsidR="00D00835" w:rsidRPr="00B370BB">
        <w:rPr>
          <w:i/>
          <w:iCs/>
        </w:rPr>
        <w:t>may</w:t>
      </w:r>
      <w:r w:rsidR="00D00835">
        <w:t xml:space="preserve"> </w:t>
      </w:r>
      <w:r w:rsidRPr="006B4639">
        <w:t xml:space="preserve">result in </w:t>
      </w:r>
      <w:r>
        <w:t xml:space="preserve">under-regulation and inefficient use of and investment in </w:t>
      </w:r>
      <w:r w:rsidRPr="006B4639">
        <w:t>pipelines</w:t>
      </w:r>
      <w:r>
        <w:t xml:space="preserve"> that are not providing third party access;</w:t>
      </w:r>
      <w:r w:rsidR="00370905">
        <w:rPr>
          <w:rFonts w:ascii="ZWAdobeF" w:hAnsi="ZWAdobeF" w:cs="ZWAdobeF"/>
          <w:sz w:val="2"/>
          <w:szCs w:val="2"/>
        </w:rPr>
        <w:t>85F</w:t>
      </w:r>
      <w:r>
        <w:rPr>
          <w:rStyle w:val="FootnoteReference"/>
        </w:rPr>
        <w:footnoteReference w:id="87"/>
      </w:r>
      <w:r>
        <w:t xml:space="preserve"> </w:t>
      </w:r>
      <w:r w:rsidR="00EA05EF">
        <w:t>and</w:t>
      </w:r>
    </w:p>
    <w:p w14:paraId="5B521819" w14:textId="6E7FCFCC" w:rsidR="0009651A" w:rsidRDefault="00B76D9A" w:rsidP="00A82C52">
      <w:pPr>
        <w:pStyle w:val="ListBullet"/>
        <w:numPr>
          <w:ilvl w:val="0"/>
          <w:numId w:val="101"/>
        </w:numPr>
        <w:ind w:left="357" w:hanging="357"/>
      </w:pPr>
      <w:r>
        <w:t>t</w:t>
      </w:r>
      <w:r w:rsidR="00CC46B3" w:rsidRPr="006B4639">
        <w:t xml:space="preserve">he governance arrangements associated with </w:t>
      </w:r>
      <w:r w:rsidR="00943361">
        <w:t>coverage</w:t>
      </w:r>
      <w:r w:rsidR="00050314">
        <w:t xml:space="preserve"> </w:t>
      </w:r>
      <w:r w:rsidR="00CC46B3" w:rsidRPr="006B4639">
        <w:t xml:space="preserve">and greenfield exemption decisions </w:t>
      </w:r>
      <w:r w:rsidR="00D00835" w:rsidRPr="00B370BB">
        <w:rPr>
          <w:i/>
          <w:iCs/>
        </w:rPr>
        <w:t>may</w:t>
      </w:r>
      <w:r w:rsidR="00D00835">
        <w:t xml:space="preserve"> </w:t>
      </w:r>
      <w:r w:rsidR="00CC46B3" w:rsidRPr="006B4639">
        <w:t>give rise to unnecessary costs and delays.</w:t>
      </w:r>
      <w:r w:rsidR="00370905">
        <w:rPr>
          <w:rFonts w:ascii="ZWAdobeF" w:hAnsi="ZWAdobeF" w:cs="ZWAdobeF"/>
          <w:sz w:val="2"/>
          <w:szCs w:val="2"/>
        </w:rPr>
        <w:t>86F</w:t>
      </w:r>
      <w:r w:rsidR="007456C9">
        <w:rPr>
          <w:rStyle w:val="FootnoteReference"/>
        </w:rPr>
        <w:footnoteReference w:id="88"/>
      </w:r>
      <w:r w:rsidR="00CC46B3" w:rsidRPr="006B4639">
        <w:t xml:space="preserve"> </w:t>
      </w:r>
    </w:p>
    <w:p w14:paraId="77735B68" w14:textId="77777777" w:rsidR="00D226A6" w:rsidRDefault="00EA7092" w:rsidP="00AD36B8">
      <w:pPr>
        <w:pStyle w:val="ListBullet"/>
        <w:numPr>
          <w:ilvl w:val="0"/>
          <w:numId w:val="0"/>
        </w:numPr>
      </w:pPr>
      <w:r>
        <w:t xml:space="preserve">The Consultation RIS </w:t>
      </w:r>
      <w:r w:rsidR="001F2E9E">
        <w:t xml:space="preserve">did, however, note that it was </w:t>
      </w:r>
      <w:r>
        <w:t xml:space="preserve">unclear how significant the potential problems </w:t>
      </w:r>
      <w:r w:rsidR="00CC4A56">
        <w:t xml:space="preserve">in (a) and (b) </w:t>
      </w:r>
      <w:r>
        <w:t xml:space="preserve">were </w:t>
      </w:r>
      <w:r w:rsidR="001F2E9E">
        <w:t xml:space="preserve">given the relatively light handed nature of Part 23. </w:t>
      </w:r>
      <w:r w:rsidR="00D73430">
        <w:t xml:space="preserve">Stakeholders were therefore asked for their views on whether these were in fact problems with the current framework and, if so, how significant a problem they were. </w:t>
      </w:r>
    </w:p>
    <w:p w14:paraId="1F86AD4E" w14:textId="77777777" w:rsidR="00B46AAC" w:rsidRDefault="00B46AAC" w:rsidP="00B46AAC">
      <w:pPr>
        <w:pStyle w:val="Heading3"/>
      </w:pPr>
      <w:r>
        <w:t xml:space="preserve">Stakeholder feedback on the potential problems </w:t>
      </w:r>
    </w:p>
    <w:p w14:paraId="0CB33B04" w14:textId="3853B9B3" w:rsidR="00B704CA" w:rsidRDefault="00E25827" w:rsidP="00281EEB">
      <w:pPr>
        <w:pStyle w:val="BodyText"/>
        <w:spacing w:line="252" w:lineRule="auto"/>
      </w:pPr>
      <w:r>
        <w:fldChar w:fldCharType="begin" w:fldLock="1"/>
      </w:r>
      <w:r>
        <w:instrText xml:space="preserve"> REF _Ref52727591 \h </w:instrText>
      </w:r>
      <w:r>
        <w:fldChar w:fldCharType="separate"/>
      </w:r>
      <w:r w:rsidR="00036405">
        <w:t xml:space="preserve">Table </w:t>
      </w:r>
      <w:r w:rsidR="00036405">
        <w:rPr>
          <w:noProof/>
        </w:rPr>
        <w:t>4</w:t>
      </w:r>
      <w:r w:rsidR="00036405">
        <w:t>.</w:t>
      </w:r>
      <w:r w:rsidR="00036405">
        <w:rPr>
          <w:noProof/>
        </w:rPr>
        <w:t>1</w:t>
      </w:r>
      <w:r>
        <w:fldChar w:fldCharType="end"/>
      </w:r>
      <w:r>
        <w:t xml:space="preserve"> provides an overview of the feedback that stakeholders provided on these potential problems.</w:t>
      </w:r>
      <w:r w:rsidR="00370905">
        <w:rPr>
          <w:rFonts w:ascii="ZWAdobeF" w:hAnsi="ZWAdobeF" w:cs="ZWAdobeF"/>
          <w:sz w:val="2"/>
          <w:szCs w:val="2"/>
        </w:rPr>
        <w:t>87F</w:t>
      </w:r>
      <w:r>
        <w:rPr>
          <w:rStyle w:val="FootnoteReference"/>
        </w:rPr>
        <w:footnoteReference w:id="89"/>
      </w:r>
      <w:r>
        <w:t xml:space="preserve"> </w:t>
      </w:r>
      <w:r w:rsidR="00004D3B">
        <w:t xml:space="preserve">As </w:t>
      </w:r>
      <w:r w:rsidR="0005644E">
        <w:t xml:space="preserve">this table </w:t>
      </w:r>
      <w:r w:rsidR="00004D3B">
        <w:t xml:space="preserve">shows, </w:t>
      </w:r>
      <w:r w:rsidR="00281EEB">
        <w:t xml:space="preserve">the </w:t>
      </w:r>
      <w:r w:rsidR="00004D3B">
        <w:t xml:space="preserve">majority </w:t>
      </w:r>
      <w:r w:rsidR="00BC787B">
        <w:t xml:space="preserve">of stakeholders </w:t>
      </w:r>
      <w:r w:rsidR="00A21045">
        <w:t xml:space="preserve">did not agree </w:t>
      </w:r>
      <w:r w:rsidR="00194D09">
        <w:t xml:space="preserve">with </w:t>
      </w:r>
      <w:r w:rsidR="00A21045">
        <w:t>the potential problems identified in (a) and (b)</w:t>
      </w:r>
      <w:r w:rsidR="00194D09">
        <w:t xml:space="preserve">, with most of these stakeholders </w:t>
      </w:r>
      <w:r w:rsidR="002C500F">
        <w:t xml:space="preserve">noting </w:t>
      </w:r>
      <w:r w:rsidR="00004D3B">
        <w:t>that</w:t>
      </w:r>
      <w:r w:rsidR="00E75637">
        <w:t>:</w:t>
      </w:r>
      <w:r w:rsidR="00EF47AC">
        <w:t xml:space="preserve"> </w:t>
      </w:r>
    </w:p>
    <w:p w14:paraId="52EBCC56" w14:textId="77777777" w:rsidR="00E75637" w:rsidRDefault="00E75637" w:rsidP="00AD36B8">
      <w:pPr>
        <w:pStyle w:val="ListBullet"/>
      </w:pPr>
      <w:r>
        <w:t xml:space="preserve">the application of economic regulation to all pipelines providing third party access was either </w:t>
      </w:r>
      <w:r w:rsidRPr="00B46AAC">
        <w:rPr>
          <w:b/>
          <w:bCs/>
        </w:rPr>
        <w:t>not</w:t>
      </w:r>
      <w:r>
        <w:t xml:space="preserve"> giving rise to over-regulation, or </w:t>
      </w:r>
      <w:r w:rsidR="00B43CA7">
        <w:t xml:space="preserve">that </w:t>
      </w:r>
      <w:r>
        <w:t xml:space="preserve">the risk of over-regulation was </w:t>
      </w:r>
      <w:r w:rsidRPr="00A73BC9">
        <w:rPr>
          <w:b/>
          <w:bCs/>
        </w:rPr>
        <w:t>not</w:t>
      </w:r>
      <w:r>
        <w:t xml:space="preserve"> significant enough to warrant a change to the regulatory framework; </w:t>
      </w:r>
    </w:p>
    <w:p w14:paraId="3B0AEED0" w14:textId="77777777" w:rsidR="0026352B" w:rsidRDefault="00E75637" w:rsidP="00AD36B8">
      <w:pPr>
        <w:pStyle w:val="ListBullet"/>
      </w:pPr>
      <w:r w:rsidRPr="00D0634B">
        <w:t xml:space="preserve">the application of Part 23 to pipelines with a greenfield exemption was either </w:t>
      </w:r>
      <w:r w:rsidRPr="00A73BC9">
        <w:rPr>
          <w:b/>
          <w:bCs/>
        </w:rPr>
        <w:t>not</w:t>
      </w:r>
      <w:r w:rsidRPr="00D0634B">
        <w:t xml:space="preserve"> affecting the incentive to invest in new pipelines, or </w:t>
      </w:r>
      <w:r>
        <w:t xml:space="preserve">was </w:t>
      </w:r>
      <w:r w:rsidRPr="00A73BC9">
        <w:rPr>
          <w:b/>
          <w:bCs/>
        </w:rPr>
        <w:t>not</w:t>
      </w:r>
      <w:r>
        <w:t xml:space="preserve"> </w:t>
      </w:r>
      <w:r w:rsidR="002224A3">
        <w:t>having a significant enough effect to warrant a change to the regulatory framework</w:t>
      </w:r>
      <w:r w:rsidR="006A4702">
        <w:t>.</w:t>
      </w:r>
    </w:p>
    <w:p w14:paraId="2D7866CC" w14:textId="77777777" w:rsidR="00004D3B" w:rsidRPr="00A10996" w:rsidRDefault="001F6606" w:rsidP="00AD36B8">
      <w:pPr>
        <w:pStyle w:val="ListBullet"/>
        <w:numPr>
          <w:ilvl w:val="0"/>
          <w:numId w:val="0"/>
        </w:numPr>
      </w:pPr>
      <w:r>
        <w:t>In contrast to these two potential problems, the majority of s</w:t>
      </w:r>
      <w:r w:rsidR="00AC3D2F">
        <w:t>takeholders agree</w:t>
      </w:r>
      <w:r>
        <w:t>d</w:t>
      </w:r>
      <w:r w:rsidR="00AC3D2F">
        <w:t xml:space="preserve"> that the </w:t>
      </w:r>
      <w:r w:rsidR="00004D3B">
        <w:t xml:space="preserve">use of the </w:t>
      </w:r>
      <w:r w:rsidR="00004D3B" w:rsidRPr="00A10996">
        <w:t xml:space="preserve">coverage test </w:t>
      </w:r>
      <w:r w:rsidR="00D8722B">
        <w:t xml:space="preserve">for </w:t>
      </w:r>
      <w:r w:rsidR="00004D3B">
        <w:t>third party access decisions</w:t>
      </w:r>
      <w:r w:rsidR="00004D3B" w:rsidRPr="00A10996">
        <w:t xml:space="preserve"> was resulting in under-regulation</w:t>
      </w:r>
      <w:r>
        <w:t xml:space="preserve"> </w:t>
      </w:r>
      <w:r w:rsidR="00594355">
        <w:t>and inefficient investment in and use of these pipelines</w:t>
      </w:r>
      <w:r w:rsidR="00D8722B">
        <w:t>.</w:t>
      </w:r>
      <w:r>
        <w:t xml:space="preserve"> </w:t>
      </w:r>
    </w:p>
    <w:p w14:paraId="7F0C73A7" w14:textId="7CD4174C" w:rsidR="00004D3B" w:rsidRDefault="00004D3B" w:rsidP="00004D3B">
      <w:pPr>
        <w:pStyle w:val="BodyText"/>
        <w:spacing w:line="252" w:lineRule="auto"/>
      </w:pPr>
      <w:r>
        <w:t>Stakeholder</w:t>
      </w:r>
      <w:r w:rsidR="001F6DBE">
        <w:t xml:space="preserve"> views</w:t>
      </w:r>
      <w:r w:rsidR="00AC3D2F">
        <w:t xml:space="preserve"> </w:t>
      </w:r>
      <w:r>
        <w:t xml:space="preserve">were more divided on </w:t>
      </w:r>
      <w:r w:rsidRPr="00033A3B">
        <w:t xml:space="preserve">whether the </w:t>
      </w:r>
      <w:r>
        <w:t xml:space="preserve">existing </w:t>
      </w:r>
      <w:r w:rsidRPr="00033A3B">
        <w:t xml:space="preserve">governance arrangements </w:t>
      </w:r>
      <w:r w:rsidR="001F6DBE">
        <w:t xml:space="preserve">constituted a problem. </w:t>
      </w:r>
      <w:r>
        <w:t>U</w:t>
      </w:r>
      <w:r w:rsidRPr="00033A3B">
        <w:t>ser associations</w:t>
      </w:r>
      <w:r w:rsidR="00FA7D09">
        <w:t>,</w:t>
      </w:r>
      <w:r w:rsidRPr="00033A3B">
        <w:t xml:space="preserve"> Energy Matrix</w:t>
      </w:r>
      <w:r w:rsidR="00FA7D09">
        <w:t xml:space="preserve"> and a number of the jurisdictional agencies that have been involved in coverage and greenfield </w:t>
      </w:r>
      <w:r w:rsidR="00EF29B4">
        <w:t xml:space="preserve">exemption </w:t>
      </w:r>
      <w:r w:rsidR="00FA7D09">
        <w:t>decisions</w:t>
      </w:r>
      <w:r>
        <w:t xml:space="preserve">, for example, were of the view that </w:t>
      </w:r>
      <w:r w:rsidR="001F6DBE">
        <w:t xml:space="preserve">the current arrangements </w:t>
      </w:r>
      <w:r w:rsidR="00306545">
        <w:t xml:space="preserve">give </w:t>
      </w:r>
      <w:r w:rsidR="001F6DBE" w:rsidRPr="00033A3B">
        <w:t>rise to unnecessary costs and delays</w:t>
      </w:r>
      <w:r w:rsidR="001F6DBE">
        <w:t xml:space="preserve">. </w:t>
      </w:r>
      <w:r w:rsidR="00306545">
        <w:t xml:space="preserve">The </w:t>
      </w:r>
      <w:r w:rsidRPr="00033A3B">
        <w:t>NCC</w:t>
      </w:r>
      <w:r>
        <w:t>,</w:t>
      </w:r>
      <w:r w:rsidRPr="00033A3B">
        <w:t xml:space="preserve"> service providers </w:t>
      </w:r>
      <w:r>
        <w:t>and a number of producers that own pipelines</w:t>
      </w:r>
      <w:r w:rsidR="00306545">
        <w:t>, on the other hand,</w:t>
      </w:r>
      <w:r>
        <w:t xml:space="preserve"> did not agree </w:t>
      </w:r>
      <w:r w:rsidR="00EF29B4">
        <w:t xml:space="preserve">this </w:t>
      </w:r>
      <w:r>
        <w:t>was a problem</w:t>
      </w:r>
      <w:r w:rsidRPr="00033A3B">
        <w:t xml:space="preserve">. Other stakeholders did not express a view on whether this constituted a problem, but a number did support the </w:t>
      </w:r>
      <w:r>
        <w:t xml:space="preserve">proposal to </w:t>
      </w:r>
      <w:r w:rsidR="009F6AFE">
        <w:t xml:space="preserve">move </w:t>
      </w:r>
      <w:r w:rsidR="002128DE">
        <w:t>to</w:t>
      </w:r>
      <w:r>
        <w:t xml:space="preserve"> a </w:t>
      </w:r>
      <w:r w:rsidRPr="00033A3B">
        <w:t>single decision-maker</w:t>
      </w:r>
      <w:r w:rsidR="00A73BC9">
        <w:t>,</w:t>
      </w:r>
      <w:r>
        <w:t xml:space="preserve"> while others supported </w:t>
      </w:r>
      <w:r w:rsidRPr="00033A3B">
        <w:t xml:space="preserve">the retention of the </w:t>
      </w:r>
      <w:r>
        <w:t xml:space="preserve">existing process for </w:t>
      </w:r>
      <w:r w:rsidR="007B6667">
        <w:t>third party access</w:t>
      </w:r>
      <w:r>
        <w:t xml:space="preserve"> and greenfield </w:t>
      </w:r>
      <w:r w:rsidR="00A73BC9">
        <w:t>exemption</w:t>
      </w:r>
      <w:r w:rsidR="002128DE">
        <w:t xml:space="preserve"> decision</w:t>
      </w:r>
      <w:r w:rsidR="00A73BC9">
        <w:t>s</w:t>
      </w:r>
      <w:r w:rsidR="00964A34">
        <w:t xml:space="preserve"> (see </w:t>
      </w:r>
      <w:r w:rsidR="00964A34">
        <w:fldChar w:fldCharType="begin" w:fldLock="1"/>
      </w:r>
      <w:r w:rsidR="00964A34">
        <w:instrText xml:space="preserve"> REF _Ref52858392 \h </w:instrText>
      </w:r>
      <w:r w:rsidR="00964A34">
        <w:fldChar w:fldCharType="separate"/>
      </w:r>
      <w:r w:rsidR="00036405">
        <w:t xml:space="preserve">Table </w:t>
      </w:r>
      <w:r w:rsidR="00036405">
        <w:rPr>
          <w:noProof/>
        </w:rPr>
        <w:t>4</w:t>
      </w:r>
      <w:r w:rsidR="00036405">
        <w:t>.</w:t>
      </w:r>
      <w:r w:rsidR="00036405">
        <w:rPr>
          <w:noProof/>
        </w:rPr>
        <w:t>3</w:t>
      </w:r>
      <w:r w:rsidR="00964A34">
        <w:fldChar w:fldCharType="end"/>
      </w:r>
      <w:r w:rsidR="00964A34">
        <w:t>)</w:t>
      </w:r>
      <w:r>
        <w:t xml:space="preserve">. </w:t>
      </w:r>
    </w:p>
    <w:p w14:paraId="1BBDBBD1" w14:textId="77777777" w:rsidR="00004D3B" w:rsidRDefault="00004D3B" w:rsidP="00CC46B3">
      <w:pPr>
        <w:pStyle w:val="BodyText"/>
        <w:sectPr w:rsidR="00004D3B" w:rsidSect="00795317">
          <w:headerReference w:type="default" r:id="rId31"/>
          <w:footerReference w:type="default" r:id="rId32"/>
          <w:pgSz w:w="11907" w:h="16839" w:code="9"/>
          <w:pgMar w:top="1361" w:right="1418" w:bottom="992" w:left="1701" w:header="567" w:footer="397" w:gutter="0"/>
          <w:cols w:space="708"/>
          <w:docGrid w:linePitch="360"/>
        </w:sectPr>
      </w:pPr>
    </w:p>
    <w:p w14:paraId="58DAF500" w14:textId="500CFECF" w:rsidR="001A2A7E" w:rsidRDefault="00096E8F" w:rsidP="00642A8F">
      <w:pPr>
        <w:pStyle w:val="Caption"/>
        <w:spacing w:before="0" w:after="0"/>
      </w:pPr>
      <w:bookmarkStart w:id="91" w:name="_Ref52727591"/>
      <w:r>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4</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1</w:t>
      </w:r>
      <w:r w:rsidR="00F323B2">
        <w:rPr>
          <w:noProof/>
        </w:rPr>
        <w:fldChar w:fldCharType="end"/>
      </w:r>
      <w:bookmarkEnd w:id="91"/>
      <w:r>
        <w:t xml:space="preserve">: </w:t>
      </w:r>
      <w:r w:rsidR="00642A8F">
        <w:t xml:space="preserve">Potential problems identified in the </w:t>
      </w:r>
      <w:r w:rsidR="00C30FAF">
        <w:t>Consultation RIS</w:t>
      </w:r>
      <w:r w:rsidR="00642A8F">
        <w:t xml:space="preserve"> and stakeholder feedback on the problems</w:t>
      </w:r>
    </w:p>
    <w:tbl>
      <w:tblPr>
        <w:tblStyle w:val="TableGrid"/>
        <w:tblW w:w="5150" w:type="pct"/>
        <w:tblLayout w:type="fixed"/>
        <w:tblLook w:val="0420" w:firstRow="1" w:lastRow="0" w:firstColumn="0" w:lastColumn="0" w:noHBand="0" w:noVBand="1"/>
      </w:tblPr>
      <w:tblGrid>
        <w:gridCol w:w="554"/>
        <w:gridCol w:w="969"/>
        <w:gridCol w:w="12609"/>
      </w:tblGrid>
      <w:tr w:rsidR="00B6377C" w:rsidRPr="00027D36" w14:paraId="0E3ACBE0" w14:textId="77777777" w:rsidTr="00D57D65">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3"/>
            <w:tcBorders>
              <w:bottom w:val="single" w:sz="4" w:space="0" w:color="auto"/>
            </w:tcBorders>
            <w:shd w:val="clear" w:color="auto" w:fill="002060"/>
          </w:tcPr>
          <w:p w14:paraId="62F5E40E" w14:textId="77777777" w:rsidR="00B6377C" w:rsidRPr="00027D36" w:rsidRDefault="00B6377C" w:rsidP="00BB437F">
            <w:pPr>
              <w:pStyle w:val="TableHeading"/>
              <w:spacing w:before="20" w:after="20" w:line="252" w:lineRule="auto"/>
              <w:rPr>
                <w:sz w:val="16"/>
                <w:szCs w:val="16"/>
                <w:lang w:eastAsia="fr-CA"/>
              </w:rPr>
            </w:pPr>
            <w:r w:rsidRPr="00027D36">
              <w:rPr>
                <w:sz w:val="16"/>
                <w:szCs w:val="16"/>
                <w:lang w:eastAsia="fr-CA"/>
              </w:rPr>
              <w:t>Detail</w:t>
            </w:r>
          </w:p>
        </w:tc>
      </w:tr>
      <w:tr w:rsidR="008E32BB" w:rsidRPr="00027D36" w14:paraId="60D202BD" w14:textId="77777777" w:rsidTr="00D57D65">
        <w:trPr>
          <w:cantSplit/>
        </w:trPr>
        <w:tc>
          <w:tcPr>
            <w:tcW w:w="5000" w:type="pct"/>
            <w:gridSpan w:val="3"/>
            <w:tcBorders>
              <w:bottom w:val="single" w:sz="4" w:space="0" w:color="auto"/>
            </w:tcBorders>
            <w:shd w:val="clear" w:color="auto" w:fill="65697F" w:themeFill="background2" w:themeFillShade="80"/>
          </w:tcPr>
          <w:p w14:paraId="00ABFB3D" w14:textId="77777777" w:rsidR="009A27D2" w:rsidRPr="00027D36" w:rsidRDefault="00453EFB" w:rsidP="00BB437F">
            <w:pPr>
              <w:pStyle w:val="TableBodyText"/>
              <w:spacing w:before="20" w:after="20" w:line="252" w:lineRule="auto"/>
              <w:jc w:val="center"/>
              <w:rPr>
                <w:b/>
                <w:bCs/>
                <w:color w:val="FFFFFF" w:themeColor="background1"/>
                <w:sz w:val="16"/>
                <w:szCs w:val="16"/>
              </w:rPr>
            </w:pPr>
            <w:r w:rsidRPr="00027D36">
              <w:rPr>
                <w:b/>
                <w:bCs/>
                <w:color w:val="FFFFFF" w:themeColor="background1"/>
                <w:sz w:val="16"/>
                <w:szCs w:val="16"/>
              </w:rPr>
              <w:t xml:space="preserve">Potential risk of over-regulation </w:t>
            </w:r>
          </w:p>
        </w:tc>
      </w:tr>
      <w:tr w:rsidR="009A27D2" w:rsidRPr="00027D36" w14:paraId="18EB6DFF" w14:textId="77777777" w:rsidTr="00D57D65">
        <w:trPr>
          <w:cnfStyle w:val="000000010000" w:firstRow="0" w:lastRow="0" w:firstColumn="0" w:lastColumn="0" w:oddVBand="0" w:evenVBand="0" w:oddHBand="0" w:evenHBand="1" w:firstRowFirstColumn="0" w:firstRowLastColumn="0" w:lastRowFirstColumn="0" w:lastRowLastColumn="0"/>
          <w:cantSplit/>
        </w:trPr>
        <w:tc>
          <w:tcPr>
            <w:tcW w:w="539" w:type="pct"/>
            <w:gridSpan w:val="2"/>
            <w:shd w:val="clear" w:color="auto" w:fill="FFFFFF" w:themeFill="background1"/>
          </w:tcPr>
          <w:p w14:paraId="73BFF39C" w14:textId="77777777" w:rsidR="009A27D2" w:rsidRPr="00027D36" w:rsidRDefault="009A27D2" w:rsidP="00BB437F">
            <w:pPr>
              <w:pStyle w:val="TableBodyText"/>
              <w:spacing w:before="20" w:after="20" w:line="252" w:lineRule="auto"/>
              <w:rPr>
                <w:sz w:val="16"/>
                <w:szCs w:val="16"/>
              </w:rPr>
            </w:pPr>
            <w:r w:rsidRPr="00027D36">
              <w:rPr>
                <w:sz w:val="16"/>
                <w:szCs w:val="16"/>
              </w:rPr>
              <w:t>Description of potential problem</w:t>
            </w:r>
          </w:p>
        </w:tc>
        <w:tc>
          <w:tcPr>
            <w:tcW w:w="4461" w:type="pct"/>
            <w:shd w:val="clear" w:color="auto" w:fill="FFFFFF" w:themeFill="background1"/>
          </w:tcPr>
          <w:p w14:paraId="25F1A301" w14:textId="7F07D3C7" w:rsidR="009A27D2" w:rsidRPr="00027D36" w:rsidRDefault="005C64C7" w:rsidP="00027D36">
            <w:pPr>
              <w:pStyle w:val="ListBullet"/>
              <w:numPr>
                <w:ilvl w:val="0"/>
                <w:numId w:val="0"/>
              </w:numPr>
              <w:spacing w:before="0" w:after="40"/>
              <w:ind w:left="85"/>
              <w:rPr>
                <w:sz w:val="16"/>
                <w:szCs w:val="16"/>
              </w:rPr>
            </w:pPr>
            <w:r w:rsidRPr="00027D36">
              <w:rPr>
                <w:sz w:val="16"/>
                <w:szCs w:val="16"/>
              </w:rPr>
              <w:t xml:space="preserve">In its </w:t>
            </w:r>
            <w:r w:rsidR="009A27D2" w:rsidRPr="00027D36">
              <w:rPr>
                <w:sz w:val="16"/>
                <w:szCs w:val="16"/>
              </w:rPr>
              <w:t xml:space="preserve">2017-18 </w:t>
            </w:r>
            <w:r w:rsidR="00004D3B" w:rsidRPr="00027D36">
              <w:rPr>
                <w:sz w:val="16"/>
                <w:szCs w:val="16"/>
              </w:rPr>
              <w:t>Economic regulation review</w:t>
            </w:r>
            <w:r w:rsidRPr="00027D36">
              <w:rPr>
                <w:sz w:val="16"/>
                <w:szCs w:val="16"/>
              </w:rPr>
              <w:t xml:space="preserve">, the AEMC </w:t>
            </w:r>
            <w:r w:rsidR="00D617C6" w:rsidRPr="00027D36">
              <w:rPr>
                <w:sz w:val="16"/>
                <w:szCs w:val="16"/>
              </w:rPr>
              <w:t>made the following observation</w:t>
            </w:r>
            <w:r w:rsidR="00437EFB" w:rsidRPr="00027D36">
              <w:rPr>
                <w:sz w:val="16"/>
                <w:szCs w:val="16"/>
              </w:rPr>
              <w:t xml:space="preserve"> about the </w:t>
            </w:r>
            <w:r w:rsidR="00F002BF" w:rsidRPr="00027D36">
              <w:rPr>
                <w:sz w:val="16"/>
                <w:szCs w:val="16"/>
              </w:rPr>
              <w:t>introduction of Part 23</w:t>
            </w:r>
            <w:r w:rsidR="009A27D2" w:rsidRPr="00027D36">
              <w:rPr>
                <w:sz w:val="16"/>
                <w:szCs w:val="16"/>
              </w:rPr>
              <w:t>:</w:t>
            </w:r>
            <w:r w:rsidR="009A27D2" w:rsidRPr="00027D36">
              <w:rPr>
                <w:rStyle w:val="FootnoteReference"/>
                <w:sz w:val="16"/>
                <w:szCs w:val="16"/>
              </w:rPr>
              <w:t xml:space="preserve"> </w:t>
            </w:r>
            <w:r w:rsidR="00370905">
              <w:rPr>
                <w:rFonts w:ascii="ZWAdobeF" w:hAnsi="ZWAdobeF" w:cs="ZWAdobeF"/>
                <w:sz w:val="2"/>
                <w:szCs w:val="2"/>
              </w:rPr>
              <w:t>88F</w:t>
            </w:r>
            <w:r w:rsidR="009A27D2" w:rsidRPr="00027D36">
              <w:rPr>
                <w:rStyle w:val="FootnoteReference"/>
                <w:sz w:val="16"/>
                <w:szCs w:val="16"/>
              </w:rPr>
              <w:footnoteReference w:id="90"/>
            </w:r>
          </w:p>
          <w:p w14:paraId="4207369A" w14:textId="77777777" w:rsidR="009A27D2" w:rsidRPr="00027D36" w:rsidRDefault="009A27D2" w:rsidP="00027D36">
            <w:pPr>
              <w:pStyle w:val="ListBullet"/>
              <w:numPr>
                <w:ilvl w:val="0"/>
                <w:numId w:val="0"/>
              </w:numPr>
              <w:spacing w:before="40" w:after="40"/>
              <w:ind w:left="312"/>
              <w:rPr>
                <w:i/>
                <w:iCs/>
                <w:sz w:val="16"/>
                <w:szCs w:val="16"/>
              </w:rPr>
            </w:pPr>
            <w:r w:rsidRPr="00027D36">
              <w:rPr>
                <w:i/>
                <w:iCs/>
                <w:sz w:val="16"/>
                <w:szCs w:val="16"/>
              </w:rPr>
              <w:t xml:space="preserve">“…the practical effect of introducing Part 23 of the NGR has been to apply near-universal regulation regardless of whether a market failure has been identified on a case-by-case basis. Specifically, the market failure of service providers using market power is assumed. The coverage determination process has in effect been bypassed. The possible impact of this is unnecessary regulation of those pipelines where there is no or only limited or transient market power, with associated direct and indirect costs.” </w:t>
            </w:r>
          </w:p>
          <w:p w14:paraId="29C69899" w14:textId="6A546BA2" w:rsidR="00E8529B" w:rsidRPr="00027D36" w:rsidRDefault="0047043E" w:rsidP="00BB437F">
            <w:pPr>
              <w:pStyle w:val="TableBodyText"/>
              <w:spacing w:before="20" w:after="20" w:line="252" w:lineRule="auto"/>
              <w:rPr>
                <w:i/>
                <w:iCs/>
                <w:sz w:val="16"/>
                <w:szCs w:val="16"/>
              </w:rPr>
            </w:pPr>
            <w:r w:rsidRPr="00027D36">
              <w:rPr>
                <w:sz w:val="16"/>
                <w:szCs w:val="16"/>
              </w:rPr>
              <w:t xml:space="preserve">While identifying this as a potential problem, the AEMC </w:t>
            </w:r>
            <w:r w:rsidR="00D617C6" w:rsidRPr="00027D36">
              <w:rPr>
                <w:sz w:val="16"/>
                <w:szCs w:val="16"/>
              </w:rPr>
              <w:t xml:space="preserve">went on </w:t>
            </w:r>
            <w:r w:rsidRPr="00027D36">
              <w:rPr>
                <w:sz w:val="16"/>
                <w:szCs w:val="16"/>
              </w:rPr>
              <w:t>to note that:</w:t>
            </w:r>
            <w:r w:rsidRPr="00027D36">
              <w:rPr>
                <w:rStyle w:val="FootnoteReference"/>
                <w:sz w:val="16"/>
                <w:szCs w:val="16"/>
              </w:rPr>
              <w:t xml:space="preserve"> </w:t>
            </w:r>
            <w:r w:rsidR="00370905">
              <w:rPr>
                <w:rFonts w:ascii="ZWAdobeF" w:hAnsi="ZWAdobeF" w:cs="ZWAdobeF"/>
                <w:sz w:val="2"/>
                <w:szCs w:val="2"/>
              </w:rPr>
              <w:t>89F</w:t>
            </w:r>
            <w:r w:rsidRPr="00027D36">
              <w:rPr>
                <w:rStyle w:val="FootnoteReference"/>
                <w:sz w:val="16"/>
                <w:szCs w:val="16"/>
              </w:rPr>
              <w:footnoteReference w:id="91"/>
            </w:r>
          </w:p>
          <w:p w14:paraId="42D8F994" w14:textId="77777777" w:rsidR="009A27D2" w:rsidRPr="00027D36" w:rsidRDefault="0047043E" w:rsidP="00BB437F">
            <w:pPr>
              <w:pStyle w:val="TableBodyText"/>
              <w:spacing w:before="20" w:after="20" w:line="252" w:lineRule="auto"/>
              <w:ind w:left="312"/>
              <w:rPr>
                <w:sz w:val="16"/>
                <w:szCs w:val="16"/>
              </w:rPr>
            </w:pPr>
            <w:r w:rsidRPr="00027D36">
              <w:rPr>
                <w:i/>
                <w:iCs/>
                <w:sz w:val="16"/>
                <w:szCs w:val="16"/>
              </w:rPr>
              <w:t>“</w:t>
            </w:r>
            <w:r w:rsidR="009A27D2" w:rsidRPr="00027D36">
              <w:rPr>
                <w:i/>
                <w:iCs/>
                <w:sz w:val="16"/>
                <w:szCs w:val="16"/>
              </w:rPr>
              <w:t>In practice, the overarching effect of the introduction of Part 23 may be an appropriate increase in regulation to address previous concerns with the regime… without imposing unnecessary regulation given the widespread monopoly power found by the ACCC, nor having detrimental impacts on future investment. It may be practically more appropriate to apply some form of regulation to (nearly) all pipelines given the likelihood of market power, rather than risking the mis-application of the test for determining whether regulation should be applied (at all) and so under-regulating.”</w:t>
            </w:r>
          </w:p>
        </w:tc>
      </w:tr>
      <w:tr w:rsidR="008E32BB" w:rsidRPr="00027D36" w14:paraId="45552DBF" w14:textId="77777777" w:rsidTr="00D57D65">
        <w:trPr>
          <w:cantSplit/>
        </w:trPr>
        <w:tc>
          <w:tcPr>
            <w:tcW w:w="196" w:type="pct"/>
            <w:vMerge w:val="restart"/>
            <w:tcBorders>
              <w:top w:val="nil"/>
              <w:bottom w:val="nil"/>
              <w:right w:val="single" w:sz="4" w:space="0" w:color="auto"/>
            </w:tcBorders>
            <w:shd w:val="clear" w:color="auto" w:fill="FFFFFF" w:themeFill="background1"/>
            <w:textDirection w:val="btLr"/>
          </w:tcPr>
          <w:p w14:paraId="1AE79134" w14:textId="77777777" w:rsidR="008E32BB" w:rsidRPr="00027D36" w:rsidRDefault="008E32BB" w:rsidP="00BB437F">
            <w:pPr>
              <w:pStyle w:val="TableBodyText"/>
              <w:spacing w:before="20" w:after="20" w:line="252" w:lineRule="auto"/>
              <w:jc w:val="center"/>
              <w:rPr>
                <w:sz w:val="16"/>
                <w:szCs w:val="16"/>
              </w:rPr>
            </w:pPr>
            <w:r w:rsidRPr="00027D36">
              <w:rPr>
                <w:sz w:val="16"/>
                <w:szCs w:val="16"/>
              </w:rPr>
              <w:t>Stakeholder feedback</w:t>
            </w:r>
          </w:p>
        </w:tc>
        <w:tc>
          <w:tcPr>
            <w:tcW w:w="343" w:type="pct"/>
            <w:tcBorders>
              <w:left w:val="single" w:sz="4" w:space="0" w:color="auto"/>
              <w:bottom w:val="single" w:sz="4" w:space="0" w:color="auto"/>
            </w:tcBorders>
            <w:shd w:val="clear" w:color="auto" w:fill="BFF9D6"/>
          </w:tcPr>
          <w:p w14:paraId="40BA28E5" w14:textId="77777777" w:rsidR="008E32BB" w:rsidRPr="00027D36" w:rsidRDefault="008E32BB" w:rsidP="00BB437F">
            <w:pPr>
              <w:pStyle w:val="TableBodyText"/>
              <w:spacing w:before="20" w:after="20" w:line="252" w:lineRule="auto"/>
              <w:rPr>
                <w:sz w:val="16"/>
                <w:szCs w:val="16"/>
              </w:rPr>
            </w:pPr>
            <w:r w:rsidRPr="00027D36">
              <w:rPr>
                <w:sz w:val="16"/>
                <w:szCs w:val="16"/>
              </w:rPr>
              <w:t>Agree</w:t>
            </w:r>
          </w:p>
        </w:tc>
        <w:tc>
          <w:tcPr>
            <w:tcW w:w="4461" w:type="pct"/>
            <w:tcBorders>
              <w:bottom w:val="single" w:sz="4" w:space="0" w:color="auto"/>
            </w:tcBorders>
            <w:shd w:val="clear" w:color="auto" w:fill="BFF9D6"/>
          </w:tcPr>
          <w:p w14:paraId="40BFAB17" w14:textId="77777777" w:rsidR="003927FA" w:rsidRPr="00027D36" w:rsidRDefault="005921E6" w:rsidP="00857981">
            <w:pPr>
              <w:pStyle w:val="TableBullet10"/>
              <w:spacing w:before="20" w:after="20" w:line="252" w:lineRule="auto"/>
              <w:rPr>
                <w:sz w:val="16"/>
                <w:szCs w:val="16"/>
              </w:rPr>
            </w:pPr>
            <w:r w:rsidRPr="00027D36">
              <w:rPr>
                <w:sz w:val="16"/>
                <w:szCs w:val="16"/>
              </w:rPr>
              <w:t xml:space="preserve">The </w:t>
            </w:r>
            <w:r w:rsidRPr="00027D36">
              <w:rPr>
                <w:color w:val="FF0000"/>
                <w:sz w:val="16"/>
                <w:szCs w:val="16"/>
              </w:rPr>
              <w:t>AER</w:t>
            </w:r>
            <w:r w:rsidR="00BE70CB" w:rsidRPr="00027D36">
              <w:rPr>
                <w:color w:val="FF0000"/>
                <w:sz w:val="16"/>
                <w:szCs w:val="16"/>
              </w:rPr>
              <w:t xml:space="preserve">, </w:t>
            </w:r>
            <w:r w:rsidR="00BE70CB" w:rsidRPr="00027D36">
              <w:rPr>
                <w:color w:val="7030A0"/>
                <w:sz w:val="16"/>
                <w:szCs w:val="16"/>
              </w:rPr>
              <w:t>ATCO</w:t>
            </w:r>
            <w:r w:rsidR="003927FA" w:rsidRPr="00027D36">
              <w:rPr>
                <w:color w:val="FF0000"/>
                <w:sz w:val="16"/>
                <w:szCs w:val="16"/>
              </w:rPr>
              <w:t xml:space="preserve"> </w:t>
            </w:r>
            <w:r w:rsidR="00CD730B" w:rsidRPr="00027D36">
              <w:rPr>
                <w:sz w:val="16"/>
                <w:szCs w:val="16"/>
              </w:rPr>
              <w:t xml:space="preserve">and a confidential submitter </w:t>
            </w:r>
            <w:r w:rsidR="008E32BB" w:rsidRPr="00027D36">
              <w:rPr>
                <w:sz w:val="16"/>
                <w:szCs w:val="16"/>
              </w:rPr>
              <w:t>agreed the application of regulation to all pipelines providing third party access may result in over-regulation</w:t>
            </w:r>
            <w:r w:rsidR="003927FA" w:rsidRPr="00027D36">
              <w:rPr>
                <w:sz w:val="16"/>
                <w:szCs w:val="16"/>
              </w:rPr>
              <w:t xml:space="preserve"> and supported the inclusion of a full exemption from regulation where a pipeline can demonstrate it lacks substantial market power</w:t>
            </w:r>
            <w:r w:rsidR="002E0F57" w:rsidRPr="00027D36">
              <w:rPr>
                <w:color w:val="000000" w:themeColor="text1"/>
                <w:sz w:val="16"/>
                <w:szCs w:val="16"/>
              </w:rPr>
              <w:t xml:space="preserve">. </w:t>
            </w:r>
          </w:p>
          <w:p w14:paraId="1413594A" w14:textId="77777777" w:rsidR="00030C6D" w:rsidRPr="00027D36" w:rsidRDefault="003927FA" w:rsidP="00740BB2">
            <w:pPr>
              <w:pStyle w:val="TableBullet10"/>
              <w:spacing w:before="20" w:after="20" w:line="252" w:lineRule="auto"/>
              <w:rPr>
                <w:color w:val="000000" w:themeColor="text1"/>
                <w:sz w:val="16"/>
                <w:szCs w:val="16"/>
              </w:rPr>
            </w:pPr>
            <w:r w:rsidRPr="00027D36">
              <w:rPr>
                <w:color w:val="D60093"/>
                <w:sz w:val="16"/>
                <w:szCs w:val="16"/>
              </w:rPr>
              <w:t>APPEA</w:t>
            </w:r>
            <w:r w:rsidRPr="00027D36">
              <w:rPr>
                <w:color w:val="7030A0"/>
                <w:sz w:val="16"/>
                <w:szCs w:val="16"/>
              </w:rPr>
              <w:t xml:space="preserve"> </w:t>
            </w:r>
            <w:r w:rsidRPr="00027D36">
              <w:rPr>
                <w:sz w:val="16"/>
                <w:szCs w:val="16"/>
              </w:rPr>
              <w:t xml:space="preserve">and </w:t>
            </w:r>
            <w:r w:rsidRPr="00027D36">
              <w:rPr>
                <w:color w:val="7030A0"/>
                <w:sz w:val="16"/>
                <w:szCs w:val="16"/>
              </w:rPr>
              <w:t xml:space="preserve">AGIG </w:t>
            </w:r>
            <w:r w:rsidRPr="00027D36">
              <w:rPr>
                <w:sz w:val="16"/>
                <w:szCs w:val="16"/>
              </w:rPr>
              <w:t>did not express a view on whether this constituted a problem, but supported the adoption of an exemption from regulation for pipelines that can demonstrate they do not have substantial market power.</w:t>
            </w:r>
          </w:p>
        </w:tc>
      </w:tr>
      <w:tr w:rsidR="008E32BB" w:rsidRPr="00027D36" w14:paraId="77B2251A" w14:textId="77777777" w:rsidTr="00D57D65">
        <w:trPr>
          <w:cnfStyle w:val="000000010000" w:firstRow="0" w:lastRow="0" w:firstColumn="0" w:lastColumn="0" w:oddVBand="0" w:evenVBand="0" w:oddHBand="0" w:evenHBand="1" w:firstRowFirstColumn="0" w:firstRowLastColumn="0" w:lastRowFirstColumn="0" w:lastRowLastColumn="0"/>
          <w:cantSplit/>
        </w:trPr>
        <w:tc>
          <w:tcPr>
            <w:tcW w:w="196" w:type="pct"/>
            <w:vMerge/>
            <w:tcBorders>
              <w:top w:val="nil"/>
              <w:bottom w:val="nil"/>
              <w:right w:val="single" w:sz="4" w:space="0" w:color="auto"/>
            </w:tcBorders>
            <w:shd w:val="clear" w:color="auto" w:fill="FFFFFF" w:themeFill="background1"/>
          </w:tcPr>
          <w:p w14:paraId="6FC8C543" w14:textId="77777777" w:rsidR="008E32BB" w:rsidRPr="00027D36" w:rsidRDefault="008E32BB" w:rsidP="00BB437F">
            <w:pPr>
              <w:pStyle w:val="TableBodyText"/>
              <w:spacing w:before="20" w:after="20" w:line="252" w:lineRule="auto"/>
              <w:rPr>
                <w:sz w:val="16"/>
                <w:szCs w:val="16"/>
              </w:rPr>
            </w:pPr>
          </w:p>
        </w:tc>
        <w:tc>
          <w:tcPr>
            <w:tcW w:w="343" w:type="pct"/>
            <w:tcBorders>
              <w:left w:val="single" w:sz="4" w:space="0" w:color="auto"/>
              <w:bottom w:val="single" w:sz="4" w:space="0" w:color="auto"/>
            </w:tcBorders>
            <w:shd w:val="clear" w:color="auto" w:fill="FFD9DC"/>
          </w:tcPr>
          <w:p w14:paraId="0444831F" w14:textId="77777777" w:rsidR="008E32BB" w:rsidRPr="00027D36" w:rsidRDefault="008E32BB" w:rsidP="00BB437F">
            <w:pPr>
              <w:pStyle w:val="TableBodyText"/>
              <w:spacing w:before="20" w:after="20" w:line="252" w:lineRule="auto"/>
              <w:rPr>
                <w:sz w:val="16"/>
                <w:szCs w:val="16"/>
              </w:rPr>
            </w:pPr>
            <w:r w:rsidRPr="00027D36">
              <w:rPr>
                <w:sz w:val="16"/>
                <w:szCs w:val="16"/>
              </w:rPr>
              <w:t>Disagree</w:t>
            </w:r>
          </w:p>
        </w:tc>
        <w:tc>
          <w:tcPr>
            <w:tcW w:w="4461" w:type="pct"/>
            <w:tcBorders>
              <w:bottom w:val="single" w:sz="4" w:space="0" w:color="auto"/>
            </w:tcBorders>
            <w:shd w:val="clear" w:color="auto" w:fill="FFD9DC"/>
          </w:tcPr>
          <w:p w14:paraId="5366DF67" w14:textId="77777777" w:rsidR="00866C2F" w:rsidRPr="00027D36" w:rsidRDefault="008E32BB" w:rsidP="00BB437F">
            <w:pPr>
              <w:pStyle w:val="TableBullet10"/>
              <w:spacing w:before="20" w:after="20" w:line="252" w:lineRule="auto"/>
              <w:rPr>
                <w:sz w:val="16"/>
                <w:szCs w:val="16"/>
              </w:rPr>
            </w:pPr>
            <w:r w:rsidRPr="00027D36">
              <w:rPr>
                <w:sz w:val="16"/>
                <w:szCs w:val="16"/>
              </w:rPr>
              <w:t xml:space="preserve">The </w:t>
            </w:r>
            <w:r w:rsidRPr="00027D36">
              <w:rPr>
                <w:color w:val="FF0000"/>
                <w:sz w:val="16"/>
                <w:szCs w:val="16"/>
              </w:rPr>
              <w:t>ACCC</w:t>
            </w:r>
            <w:r w:rsidRPr="00027D36">
              <w:rPr>
                <w:sz w:val="16"/>
                <w:szCs w:val="16"/>
              </w:rPr>
              <w:t xml:space="preserve">, </w:t>
            </w:r>
            <w:r w:rsidRPr="00027D36">
              <w:rPr>
                <w:color w:val="0000FF"/>
                <w:sz w:val="16"/>
                <w:szCs w:val="16"/>
              </w:rPr>
              <w:t>EUAA, Chemistry Australia, NSW BC, MEU</w:t>
            </w:r>
            <w:r w:rsidR="006C47C1" w:rsidRPr="00027D36">
              <w:rPr>
                <w:color w:val="0000FF"/>
                <w:sz w:val="16"/>
                <w:szCs w:val="16"/>
              </w:rPr>
              <w:t>,</w:t>
            </w:r>
            <w:r w:rsidRPr="00027D36">
              <w:rPr>
                <w:sz w:val="16"/>
                <w:szCs w:val="16"/>
              </w:rPr>
              <w:t xml:space="preserve"> </w:t>
            </w:r>
            <w:r w:rsidRPr="00027D36">
              <w:rPr>
                <w:color w:val="D60093"/>
                <w:sz w:val="16"/>
                <w:szCs w:val="16"/>
              </w:rPr>
              <w:t>APLNG</w:t>
            </w:r>
            <w:r w:rsidRPr="00027D36">
              <w:rPr>
                <w:sz w:val="16"/>
                <w:szCs w:val="16"/>
              </w:rPr>
              <w:t xml:space="preserve"> </w:t>
            </w:r>
            <w:r w:rsidR="006C47C1" w:rsidRPr="00027D36">
              <w:rPr>
                <w:sz w:val="16"/>
                <w:szCs w:val="16"/>
              </w:rPr>
              <w:t xml:space="preserve">and </w:t>
            </w:r>
            <w:r w:rsidR="006C47C1" w:rsidRPr="00027D36">
              <w:rPr>
                <w:color w:val="D60093"/>
                <w:sz w:val="16"/>
                <w:szCs w:val="16"/>
              </w:rPr>
              <w:t xml:space="preserve">COPA </w:t>
            </w:r>
            <w:r w:rsidRPr="00027D36">
              <w:rPr>
                <w:sz w:val="16"/>
                <w:szCs w:val="16"/>
              </w:rPr>
              <w:t xml:space="preserve">either disagreed that this was problem, or did not think it was a material problem. The </w:t>
            </w:r>
            <w:r w:rsidRPr="00027D36">
              <w:rPr>
                <w:color w:val="000000" w:themeColor="text1"/>
                <w:sz w:val="16"/>
                <w:szCs w:val="16"/>
              </w:rPr>
              <w:t xml:space="preserve">ACCC, for </w:t>
            </w:r>
            <w:r w:rsidRPr="00027D36">
              <w:rPr>
                <w:sz w:val="16"/>
                <w:szCs w:val="16"/>
              </w:rPr>
              <w:t>example, noted that “while, in principle, there is a risk that the extension of Part 23 to all pipelines providing third party access could result in ‘over regulation’, in practice we do not consider this to be a significant risk given the relatively light handed nature of Part 23 (even in its strengthened form).” It also noted that the current threshold for regulation in Australia is less interventionist than that used in other countries</w:t>
            </w:r>
            <w:r w:rsidR="00FD7F06" w:rsidRPr="00027D36">
              <w:rPr>
                <w:sz w:val="16"/>
                <w:szCs w:val="16"/>
              </w:rPr>
              <w:t xml:space="preserve"> </w:t>
            </w:r>
            <w:r w:rsidRPr="00027D36">
              <w:rPr>
                <w:sz w:val="16"/>
                <w:szCs w:val="16"/>
              </w:rPr>
              <w:t xml:space="preserve">where all pipelines are </w:t>
            </w:r>
            <w:r w:rsidR="00FD7F06" w:rsidRPr="00027D36">
              <w:rPr>
                <w:sz w:val="16"/>
                <w:szCs w:val="16"/>
              </w:rPr>
              <w:t>regulated</w:t>
            </w:r>
            <w:r w:rsidRPr="00027D36">
              <w:rPr>
                <w:sz w:val="16"/>
                <w:szCs w:val="16"/>
              </w:rPr>
              <w:t xml:space="preserve">. </w:t>
            </w:r>
          </w:p>
          <w:p w14:paraId="2C955387" w14:textId="77777777" w:rsidR="00023210" w:rsidRPr="00027D36" w:rsidRDefault="003007E5" w:rsidP="00BB437F">
            <w:pPr>
              <w:pStyle w:val="TableBullet10"/>
              <w:spacing w:before="20" w:after="20" w:line="252" w:lineRule="auto"/>
              <w:rPr>
                <w:sz w:val="16"/>
                <w:szCs w:val="16"/>
              </w:rPr>
            </w:pPr>
            <w:r w:rsidRPr="00027D36">
              <w:rPr>
                <w:color w:val="00B0F0"/>
                <w:sz w:val="16"/>
                <w:szCs w:val="16"/>
              </w:rPr>
              <w:t xml:space="preserve">AGL, </w:t>
            </w:r>
            <w:r w:rsidR="00023210" w:rsidRPr="00027D36">
              <w:rPr>
                <w:color w:val="00B0F0"/>
                <w:sz w:val="16"/>
                <w:szCs w:val="16"/>
              </w:rPr>
              <w:t>EnergyAustralia</w:t>
            </w:r>
            <w:r w:rsidRPr="00027D36">
              <w:rPr>
                <w:color w:val="00B0F0"/>
                <w:sz w:val="16"/>
                <w:szCs w:val="16"/>
              </w:rPr>
              <w:t>,</w:t>
            </w:r>
            <w:r w:rsidR="002468F1" w:rsidRPr="00027D36">
              <w:rPr>
                <w:color w:val="00B0F0"/>
                <w:sz w:val="16"/>
                <w:szCs w:val="16"/>
              </w:rPr>
              <w:t xml:space="preserve"> </w:t>
            </w:r>
            <w:r w:rsidR="002468F1" w:rsidRPr="00027D36">
              <w:rPr>
                <w:sz w:val="16"/>
                <w:szCs w:val="16"/>
              </w:rPr>
              <w:t xml:space="preserve">and </w:t>
            </w:r>
            <w:r w:rsidRPr="00027D36">
              <w:rPr>
                <w:color w:val="7030A0"/>
                <w:sz w:val="16"/>
                <w:szCs w:val="16"/>
              </w:rPr>
              <w:t xml:space="preserve">APA </w:t>
            </w:r>
            <w:r w:rsidR="00023210" w:rsidRPr="00027D36">
              <w:rPr>
                <w:sz w:val="16"/>
                <w:szCs w:val="16"/>
              </w:rPr>
              <w:t>did not express a view on whether this constituted a problem</w:t>
            </w:r>
            <w:r w:rsidRPr="00027D36">
              <w:rPr>
                <w:sz w:val="16"/>
                <w:szCs w:val="16"/>
              </w:rPr>
              <w:t xml:space="preserve">. </w:t>
            </w:r>
            <w:r w:rsidRPr="00027D36">
              <w:rPr>
                <w:color w:val="00B0F0"/>
                <w:sz w:val="16"/>
                <w:szCs w:val="16"/>
              </w:rPr>
              <w:t xml:space="preserve">AGL </w:t>
            </w:r>
            <w:r w:rsidRPr="00027D36">
              <w:rPr>
                <w:sz w:val="16"/>
                <w:szCs w:val="16"/>
              </w:rPr>
              <w:t xml:space="preserve">and </w:t>
            </w:r>
            <w:r w:rsidRPr="00027D36">
              <w:rPr>
                <w:color w:val="00B0F0"/>
                <w:sz w:val="16"/>
                <w:szCs w:val="16"/>
              </w:rPr>
              <w:t>EnergyAustralia</w:t>
            </w:r>
            <w:r w:rsidRPr="00027D36">
              <w:rPr>
                <w:sz w:val="16"/>
                <w:szCs w:val="16"/>
              </w:rPr>
              <w:t xml:space="preserve"> did, however, </w:t>
            </w:r>
            <w:r w:rsidR="00023210" w:rsidRPr="00027D36">
              <w:rPr>
                <w:sz w:val="16"/>
                <w:szCs w:val="16"/>
              </w:rPr>
              <w:t xml:space="preserve">support the </w:t>
            </w:r>
            <w:r w:rsidR="002468F1" w:rsidRPr="00027D36">
              <w:rPr>
                <w:sz w:val="16"/>
                <w:szCs w:val="16"/>
              </w:rPr>
              <w:t xml:space="preserve">continued </w:t>
            </w:r>
            <w:r w:rsidR="00023210" w:rsidRPr="00027D36">
              <w:rPr>
                <w:sz w:val="16"/>
                <w:szCs w:val="16"/>
              </w:rPr>
              <w:t>application of regulation to all pipelines providing third party access</w:t>
            </w:r>
            <w:r w:rsidRPr="00027D36">
              <w:rPr>
                <w:sz w:val="16"/>
                <w:szCs w:val="16"/>
              </w:rPr>
              <w:t xml:space="preserve">, while </w:t>
            </w:r>
            <w:r w:rsidR="006D3BE0" w:rsidRPr="00027D36">
              <w:rPr>
                <w:color w:val="7030A0"/>
                <w:sz w:val="16"/>
                <w:szCs w:val="16"/>
              </w:rPr>
              <w:t xml:space="preserve">APA </w:t>
            </w:r>
            <w:r w:rsidR="00BD6961" w:rsidRPr="00027D36">
              <w:rPr>
                <w:sz w:val="16"/>
                <w:szCs w:val="16"/>
              </w:rPr>
              <w:t xml:space="preserve">noted </w:t>
            </w:r>
            <w:r w:rsidR="005455DC" w:rsidRPr="00027D36">
              <w:rPr>
                <w:sz w:val="16"/>
                <w:szCs w:val="16"/>
              </w:rPr>
              <w:t xml:space="preserve">that the existing exemption framework </w:t>
            </w:r>
            <w:r w:rsidR="00A714F2" w:rsidRPr="00027D36">
              <w:rPr>
                <w:sz w:val="16"/>
                <w:szCs w:val="16"/>
              </w:rPr>
              <w:t>limits the risk of over-regulation.</w:t>
            </w:r>
          </w:p>
        </w:tc>
      </w:tr>
      <w:tr w:rsidR="008E32BB" w:rsidRPr="00027D36" w14:paraId="45ECE0F8" w14:textId="77777777" w:rsidTr="00D57D65">
        <w:trPr>
          <w:cantSplit/>
        </w:trPr>
        <w:tc>
          <w:tcPr>
            <w:tcW w:w="196" w:type="pct"/>
            <w:vMerge/>
            <w:tcBorders>
              <w:top w:val="nil"/>
              <w:bottom w:val="nil"/>
              <w:right w:val="single" w:sz="4" w:space="0" w:color="auto"/>
            </w:tcBorders>
            <w:shd w:val="clear" w:color="auto" w:fill="FFFFFF" w:themeFill="background1"/>
          </w:tcPr>
          <w:p w14:paraId="08464618" w14:textId="77777777" w:rsidR="008E32BB" w:rsidRPr="00027D36" w:rsidRDefault="008E32BB" w:rsidP="00BB437F">
            <w:pPr>
              <w:pStyle w:val="TableBodyText"/>
              <w:spacing w:before="20" w:after="20" w:line="252" w:lineRule="auto"/>
              <w:rPr>
                <w:sz w:val="16"/>
                <w:szCs w:val="16"/>
              </w:rPr>
            </w:pPr>
          </w:p>
        </w:tc>
        <w:tc>
          <w:tcPr>
            <w:tcW w:w="343" w:type="pct"/>
            <w:tcBorders>
              <w:left w:val="single" w:sz="4" w:space="0" w:color="auto"/>
              <w:bottom w:val="single" w:sz="4" w:space="0" w:color="auto"/>
            </w:tcBorders>
            <w:shd w:val="clear" w:color="auto" w:fill="E1E2E7" w:themeFill="background2"/>
          </w:tcPr>
          <w:p w14:paraId="0AFBACB6" w14:textId="77777777" w:rsidR="008E32BB" w:rsidRPr="00027D36" w:rsidRDefault="008E32BB" w:rsidP="00BB437F">
            <w:pPr>
              <w:pStyle w:val="TableBodyText"/>
              <w:spacing w:before="20" w:after="20" w:line="252" w:lineRule="auto"/>
              <w:rPr>
                <w:sz w:val="16"/>
                <w:szCs w:val="16"/>
              </w:rPr>
            </w:pPr>
            <w:r w:rsidRPr="00027D36">
              <w:rPr>
                <w:sz w:val="16"/>
                <w:szCs w:val="16"/>
              </w:rPr>
              <w:t xml:space="preserve">Other </w:t>
            </w:r>
          </w:p>
        </w:tc>
        <w:tc>
          <w:tcPr>
            <w:tcW w:w="4461" w:type="pct"/>
            <w:tcBorders>
              <w:bottom w:val="single" w:sz="4" w:space="0" w:color="auto"/>
            </w:tcBorders>
            <w:shd w:val="clear" w:color="auto" w:fill="E1E2E7" w:themeFill="background2"/>
          </w:tcPr>
          <w:p w14:paraId="741D791D" w14:textId="77777777" w:rsidR="00F66581" w:rsidRPr="00027D36" w:rsidRDefault="00F66581" w:rsidP="00BB437F">
            <w:pPr>
              <w:pStyle w:val="TableBullet10"/>
              <w:spacing w:before="20" w:after="20" w:line="252" w:lineRule="auto"/>
              <w:rPr>
                <w:sz w:val="16"/>
                <w:szCs w:val="16"/>
              </w:rPr>
            </w:pPr>
            <w:r w:rsidRPr="00027D36">
              <w:rPr>
                <w:color w:val="00B050"/>
                <w:sz w:val="16"/>
                <w:szCs w:val="16"/>
              </w:rPr>
              <w:t xml:space="preserve">Energy Matrix </w:t>
            </w:r>
            <w:r w:rsidRPr="00027D36">
              <w:rPr>
                <w:sz w:val="16"/>
                <w:szCs w:val="16"/>
              </w:rPr>
              <w:t xml:space="preserve">supported the extension of regulation to all licensed pipelines (with the exception of pipelines that connect a single facility, are short in length and/or are not subject to a request for third party access). </w:t>
            </w:r>
          </w:p>
          <w:p w14:paraId="29BC33D0" w14:textId="77777777" w:rsidR="00AE2200" w:rsidRPr="00027D36" w:rsidRDefault="00AE2200" w:rsidP="00BB437F">
            <w:pPr>
              <w:pStyle w:val="TableBullet10"/>
              <w:spacing w:before="20" w:after="20" w:line="252" w:lineRule="auto"/>
              <w:rPr>
                <w:sz w:val="16"/>
                <w:szCs w:val="16"/>
              </w:rPr>
            </w:pPr>
            <w:r w:rsidRPr="00027D36">
              <w:rPr>
                <w:color w:val="7030A0"/>
                <w:sz w:val="16"/>
                <w:szCs w:val="16"/>
              </w:rPr>
              <w:t xml:space="preserve">Jemena </w:t>
            </w:r>
            <w:r w:rsidRPr="00027D36">
              <w:rPr>
                <w:color w:val="000000" w:themeColor="text1"/>
                <w:sz w:val="16"/>
                <w:szCs w:val="16"/>
              </w:rPr>
              <w:t xml:space="preserve">and </w:t>
            </w:r>
            <w:r w:rsidRPr="00027D36">
              <w:rPr>
                <w:color w:val="7030A0"/>
                <w:sz w:val="16"/>
                <w:szCs w:val="16"/>
              </w:rPr>
              <w:t xml:space="preserve">APGA </w:t>
            </w:r>
            <w:r w:rsidRPr="00027D36">
              <w:rPr>
                <w:color w:val="000000" w:themeColor="text1"/>
                <w:sz w:val="16"/>
                <w:szCs w:val="16"/>
              </w:rPr>
              <w:t xml:space="preserve">noted the potential for over-regulation, but did not support the inclusion of any additional exemptions to address this problem. Rather, </w:t>
            </w:r>
            <w:r w:rsidRPr="00027D36">
              <w:rPr>
                <w:color w:val="7030A0"/>
                <w:sz w:val="16"/>
                <w:szCs w:val="16"/>
              </w:rPr>
              <w:t xml:space="preserve">Jemena </w:t>
            </w:r>
            <w:r w:rsidRPr="00027D36">
              <w:rPr>
                <w:color w:val="000000" w:themeColor="text1"/>
                <w:sz w:val="16"/>
                <w:szCs w:val="16"/>
              </w:rPr>
              <w:t>noted that it “</w:t>
            </w:r>
            <w:r w:rsidRPr="00027D36">
              <w:rPr>
                <w:i/>
                <w:iCs/>
                <w:color w:val="000000" w:themeColor="text1"/>
                <w:sz w:val="16"/>
                <w:szCs w:val="16"/>
              </w:rPr>
              <w:t>does not consider that there are likely to be material benefits, at least in the near term, from further reforms that would unwind these arrangements”</w:t>
            </w:r>
            <w:r w:rsidRPr="00027D36">
              <w:rPr>
                <w:color w:val="000000" w:themeColor="text1"/>
                <w:sz w:val="16"/>
                <w:szCs w:val="16"/>
              </w:rPr>
              <w:t xml:space="preserve">, while </w:t>
            </w:r>
            <w:r w:rsidRPr="00027D36">
              <w:rPr>
                <w:color w:val="7030A0"/>
                <w:sz w:val="16"/>
                <w:szCs w:val="16"/>
              </w:rPr>
              <w:t xml:space="preserve">APGA </w:t>
            </w:r>
            <w:r w:rsidRPr="00027D36">
              <w:rPr>
                <w:color w:val="000000" w:themeColor="text1"/>
                <w:sz w:val="16"/>
                <w:szCs w:val="16"/>
              </w:rPr>
              <w:t xml:space="preserve">noted that </w:t>
            </w:r>
            <w:r w:rsidRPr="00027D36">
              <w:rPr>
                <w:i/>
                <w:iCs/>
                <w:color w:val="000000" w:themeColor="text1"/>
                <w:sz w:val="16"/>
                <w:szCs w:val="16"/>
              </w:rPr>
              <w:t xml:space="preserve">“Part 23 is a good news story overall that has led to a better functioning gas market. It is relatively light-handed and </w:t>
            </w:r>
            <w:r w:rsidRPr="00027D36">
              <w:rPr>
                <w:i/>
                <w:iCs/>
                <w:sz w:val="16"/>
                <w:szCs w:val="16"/>
              </w:rPr>
              <w:t xml:space="preserve">supports a flexible, commercially oriented negotiate-arbitrate framework, includes appropriate exemptions, and the costs and risks associated with arbitration are so far very low – with arbitration unlikely to be triggered if market power is not being exercised”.  </w:t>
            </w:r>
          </w:p>
          <w:p w14:paraId="341C8A28" w14:textId="77777777" w:rsidR="008E32BB" w:rsidRPr="00027D36" w:rsidRDefault="008E32BB" w:rsidP="00BB437F">
            <w:pPr>
              <w:pStyle w:val="TableBullet10"/>
              <w:spacing w:before="20" w:after="20" w:line="252" w:lineRule="auto"/>
              <w:rPr>
                <w:sz w:val="16"/>
                <w:szCs w:val="16"/>
              </w:rPr>
            </w:pPr>
            <w:r w:rsidRPr="00027D36">
              <w:rPr>
                <w:rFonts w:asciiTheme="majorHAnsi" w:hAnsiTheme="majorHAnsi"/>
                <w:sz w:val="16"/>
                <w:szCs w:val="16"/>
              </w:rPr>
              <w:t xml:space="preserve">Other stakeholders, including a large number of service providers, did not express a view on </w:t>
            </w:r>
            <w:r w:rsidR="00CE601A" w:rsidRPr="00027D36">
              <w:rPr>
                <w:rFonts w:asciiTheme="majorHAnsi" w:hAnsiTheme="majorHAnsi"/>
                <w:sz w:val="16"/>
                <w:szCs w:val="16"/>
              </w:rPr>
              <w:t>whether this</w:t>
            </w:r>
            <w:r w:rsidRPr="00027D36">
              <w:rPr>
                <w:rFonts w:asciiTheme="majorHAnsi" w:hAnsiTheme="majorHAnsi"/>
                <w:sz w:val="16"/>
                <w:szCs w:val="16"/>
              </w:rPr>
              <w:t xml:space="preserve"> </w:t>
            </w:r>
            <w:r w:rsidR="00CE601A" w:rsidRPr="00027D36">
              <w:rPr>
                <w:rFonts w:asciiTheme="majorHAnsi" w:hAnsiTheme="majorHAnsi"/>
                <w:sz w:val="16"/>
                <w:szCs w:val="16"/>
              </w:rPr>
              <w:t>constituted a problem</w:t>
            </w:r>
            <w:r w:rsidRPr="00027D36">
              <w:rPr>
                <w:rFonts w:asciiTheme="majorHAnsi" w:hAnsiTheme="majorHAnsi"/>
                <w:sz w:val="16"/>
                <w:szCs w:val="16"/>
              </w:rPr>
              <w:t xml:space="preserve">. </w:t>
            </w:r>
          </w:p>
        </w:tc>
      </w:tr>
      <w:tr w:rsidR="008E32BB" w:rsidRPr="00027D36" w14:paraId="52600B87" w14:textId="77777777" w:rsidTr="00D57D65">
        <w:trPr>
          <w:cnfStyle w:val="000000010000" w:firstRow="0" w:lastRow="0" w:firstColumn="0" w:lastColumn="0" w:oddVBand="0" w:evenVBand="0" w:oddHBand="0" w:evenHBand="1" w:firstRowFirstColumn="0" w:firstRowLastColumn="0" w:lastRowFirstColumn="0" w:lastRowLastColumn="0"/>
          <w:cantSplit/>
        </w:trPr>
        <w:tc>
          <w:tcPr>
            <w:tcW w:w="5000" w:type="pct"/>
            <w:gridSpan w:val="3"/>
            <w:shd w:val="clear" w:color="auto" w:fill="65697F" w:themeFill="background2" w:themeFillShade="80"/>
          </w:tcPr>
          <w:p w14:paraId="2B7F6C07" w14:textId="77777777" w:rsidR="008E32BB" w:rsidRPr="00027D36" w:rsidRDefault="00453EFB" w:rsidP="00BB437F">
            <w:pPr>
              <w:pStyle w:val="TableBodyText"/>
              <w:keepNext/>
              <w:spacing w:before="20" w:after="20" w:line="252" w:lineRule="auto"/>
              <w:jc w:val="center"/>
              <w:rPr>
                <w:b/>
                <w:bCs/>
                <w:color w:val="FFFFFF" w:themeColor="background1"/>
                <w:sz w:val="16"/>
                <w:szCs w:val="16"/>
                <w:lang w:eastAsia="fr-CA"/>
              </w:rPr>
            </w:pPr>
            <w:r w:rsidRPr="00027D36">
              <w:rPr>
                <w:b/>
                <w:bCs/>
                <w:color w:val="FFFFFF" w:themeColor="background1"/>
                <w:sz w:val="16"/>
                <w:szCs w:val="16"/>
              </w:rPr>
              <w:t>Potential impact on greenfield investment incentives</w:t>
            </w:r>
          </w:p>
        </w:tc>
      </w:tr>
      <w:tr w:rsidR="0044337E" w:rsidRPr="00027D36" w14:paraId="0DC4E9AD" w14:textId="77777777" w:rsidTr="00D57D65">
        <w:trPr>
          <w:cantSplit/>
        </w:trPr>
        <w:tc>
          <w:tcPr>
            <w:tcW w:w="539" w:type="pct"/>
            <w:gridSpan w:val="2"/>
            <w:shd w:val="clear" w:color="auto" w:fill="FFFFFF" w:themeFill="background1"/>
          </w:tcPr>
          <w:p w14:paraId="49A722B8" w14:textId="77777777" w:rsidR="0044337E" w:rsidRPr="00027D36" w:rsidRDefault="0044337E" w:rsidP="00BB437F">
            <w:pPr>
              <w:pStyle w:val="TableBodyText"/>
              <w:spacing w:before="20" w:after="20" w:line="252" w:lineRule="auto"/>
              <w:rPr>
                <w:sz w:val="16"/>
                <w:szCs w:val="16"/>
              </w:rPr>
            </w:pPr>
            <w:r w:rsidRPr="00027D36">
              <w:rPr>
                <w:sz w:val="16"/>
                <w:szCs w:val="16"/>
              </w:rPr>
              <w:t>Description of potential problem</w:t>
            </w:r>
          </w:p>
        </w:tc>
        <w:tc>
          <w:tcPr>
            <w:tcW w:w="4461" w:type="pct"/>
            <w:shd w:val="clear" w:color="auto" w:fill="FFFFFF" w:themeFill="background1"/>
          </w:tcPr>
          <w:p w14:paraId="1E0F6164" w14:textId="43B206E2" w:rsidR="00027D36" w:rsidRPr="00027D36" w:rsidRDefault="005C64C7" w:rsidP="00027D36">
            <w:pPr>
              <w:pStyle w:val="TableBodyText"/>
              <w:spacing w:before="0" w:after="40"/>
              <w:rPr>
                <w:sz w:val="16"/>
                <w:szCs w:val="16"/>
              </w:rPr>
            </w:pPr>
            <w:r w:rsidRPr="00027D36">
              <w:rPr>
                <w:sz w:val="16"/>
                <w:szCs w:val="16"/>
              </w:rPr>
              <w:t xml:space="preserve">In its </w:t>
            </w:r>
            <w:r w:rsidR="0044337E" w:rsidRPr="00027D36">
              <w:rPr>
                <w:sz w:val="16"/>
                <w:szCs w:val="16"/>
              </w:rPr>
              <w:t xml:space="preserve">2017-18 </w:t>
            </w:r>
            <w:r w:rsidR="00004D3B" w:rsidRPr="00027D36">
              <w:rPr>
                <w:sz w:val="16"/>
                <w:szCs w:val="16"/>
              </w:rPr>
              <w:t>Economic regulation review</w:t>
            </w:r>
            <w:r w:rsidR="0044337E" w:rsidRPr="00027D36">
              <w:rPr>
                <w:sz w:val="16"/>
                <w:szCs w:val="16"/>
              </w:rPr>
              <w:t xml:space="preserve">, the AEMC </w:t>
            </w:r>
            <w:r w:rsidRPr="00027D36">
              <w:rPr>
                <w:sz w:val="16"/>
                <w:szCs w:val="16"/>
              </w:rPr>
              <w:t xml:space="preserve">noted </w:t>
            </w:r>
            <w:r w:rsidR="0044337E" w:rsidRPr="00027D36">
              <w:rPr>
                <w:sz w:val="16"/>
                <w:szCs w:val="16"/>
              </w:rPr>
              <w:t xml:space="preserve">that the application of Part 23 to pipelines with a 15-year no coverage determination </w:t>
            </w:r>
            <w:r w:rsidR="00D617C6" w:rsidRPr="00027D36">
              <w:rPr>
                <w:sz w:val="16"/>
                <w:szCs w:val="16"/>
              </w:rPr>
              <w:t>may</w:t>
            </w:r>
            <w:r w:rsidR="0044337E" w:rsidRPr="00027D36">
              <w:rPr>
                <w:sz w:val="16"/>
                <w:szCs w:val="16"/>
              </w:rPr>
              <w:t>:</w:t>
            </w:r>
            <w:r w:rsidR="0044337E" w:rsidRPr="00027D36">
              <w:rPr>
                <w:rStyle w:val="FootnoteReference"/>
                <w:sz w:val="16"/>
                <w:szCs w:val="16"/>
              </w:rPr>
              <w:t xml:space="preserve"> </w:t>
            </w:r>
            <w:r w:rsidR="0044337E" w:rsidRPr="00027D36">
              <w:rPr>
                <w:rStyle w:val="FootnoteReference"/>
                <w:sz w:val="16"/>
                <w:szCs w:val="16"/>
                <w:vertAlign w:val="baseline"/>
              </w:rPr>
              <w:t>(a)</w:t>
            </w:r>
            <w:r w:rsidR="0044337E" w:rsidRPr="00027D36">
              <w:rPr>
                <w:rStyle w:val="FootnoteReference"/>
                <w:sz w:val="16"/>
                <w:szCs w:val="16"/>
              </w:rPr>
              <w:t xml:space="preserve"> </w:t>
            </w:r>
            <w:r w:rsidR="0044337E" w:rsidRPr="00027D36">
              <w:rPr>
                <w:sz w:val="16"/>
                <w:szCs w:val="16"/>
              </w:rPr>
              <w:t>reduce the effectiveness of the greenfield pipeline incentive framework; and (b) adversely affect future investment by increasing regulatory risk.</w:t>
            </w:r>
            <w:r w:rsidR="0044337E" w:rsidRPr="00027D36">
              <w:rPr>
                <w:rStyle w:val="FootnoteReference"/>
                <w:sz w:val="16"/>
                <w:szCs w:val="16"/>
              </w:rPr>
              <w:t xml:space="preserve"> </w:t>
            </w:r>
            <w:r w:rsidR="00370905">
              <w:rPr>
                <w:rFonts w:ascii="ZWAdobeF" w:hAnsi="ZWAdobeF" w:cs="ZWAdobeF"/>
                <w:sz w:val="2"/>
                <w:szCs w:val="2"/>
              </w:rPr>
              <w:t>90F</w:t>
            </w:r>
            <w:r w:rsidR="0044337E" w:rsidRPr="00027D36">
              <w:rPr>
                <w:rStyle w:val="FootnoteReference"/>
                <w:sz w:val="16"/>
                <w:szCs w:val="16"/>
              </w:rPr>
              <w:footnoteReference w:id="92"/>
            </w:r>
            <w:r w:rsidR="0044337E" w:rsidRPr="00027D36">
              <w:rPr>
                <w:sz w:val="16"/>
                <w:szCs w:val="16"/>
              </w:rPr>
              <w:t xml:space="preserve"> While identifying this as a potential problem, the AEMC noted that</w:t>
            </w:r>
            <w:r w:rsidR="00027D36" w:rsidRPr="00027D36">
              <w:rPr>
                <w:sz w:val="16"/>
                <w:szCs w:val="16"/>
              </w:rPr>
              <w:t>:</w:t>
            </w:r>
            <w:r w:rsidR="0044337E" w:rsidRPr="00027D36">
              <w:rPr>
                <w:sz w:val="16"/>
                <w:szCs w:val="16"/>
              </w:rPr>
              <w:t xml:space="preserve"> </w:t>
            </w:r>
          </w:p>
          <w:p w14:paraId="2BEBBD2B" w14:textId="1FBEEE8F" w:rsidR="0044337E" w:rsidRPr="00027D36" w:rsidRDefault="0044337E" w:rsidP="00027D36">
            <w:pPr>
              <w:pStyle w:val="ListBullet"/>
              <w:numPr>
                <w:ilvl w:val="0"/>
                <w:numId w:val="0"/>
              </w:numPr>
              <w:spacing w:before="40" w:after="40"/>
              <w:ind w:left="312"/>
              <w:rPr>
                <w:sz w:val="16"/>
                <w:szCs w:val="16"/>
              </w:rPr>
            </w:pPr>
            <w:r w:rsidRPr="00027D36">
              <w:rPr>
                <w:rFonts w:asciiTheme="majorHAnsi" w:hAnsiTheme="majorHAnsi" w:cstheme="majorHAnsi"/>
                <w:i/>
                <w:iCs/>
                <w:sz w:val="16"/>
                <w:szCs w:val="16"/>
              </w:rPr>
              <w:t>“three of the four pipelines that currently have an exemption from coverage under the greenfields pipeline incentive framework also have an exemption from Part 23 as pipelines which do not provide third party access, and so the current impact of this issue may be limited”</w:t>
            </w:r>
            <w:r w:rsidRPr="00027D36">
              <w:rPr>
                <w:sz w:val="16"/>
                <w:szCs w:val="16"/>
              </w:rPr>
              <w:t>:</w:t>
            </w:r>
            <w:r w:rsidR="00370905">
              <w:rPr>
                <w:rFonts w:ascii="ZWAdobeF" w:hAnsi="ZWAdobeF" w:cs="ZWAdobeF"/>
                <w:sz w:val="2"/>
                <w:szCs w:val="2"/>
              </w:rPr>
              <w:t>91F</w:t>
            </w:r>
            <w:r w:rsidRPr="00027D36">
              <w:rPr>
                <w:rStyle w:val="FootnoteReference"/>
                <w:sz w:val="16"/>
                <w:szCs w:val="16"/>
              </w:rPr>
              <w:footnoteReference w:id="93"/>
            </w:r>
          </w:p>
        </w:tc>
      </w:tr>
      <w:tr w:rsidR="005C1F16" w:rsidRPr="00027D36" w14:paraId="24E74BB9" w14:textId="77777777" w:rsidTr="00D57D65">
        <w:trPr>
          <w:cnfStyle w:val="000000010000" w:firstRow="0" w:lastRow="0" w:firstColumn="0" w:lastColumn="0" w:oddVBand="0" w:evenVBand="0" w:oddHBand="0" w:evenHBand="1" w:firstRowFirstColumn="0" w:firstRowLastColumn="0" w:lastRowFirstColumn="0" w:lastRowLastColumn="0"/>
          <w:cantSplit/>
        </w:trPr>
        <w:tc>
          <w:tcPr>
            <w:tcW w:w="196" w:type="pct"/>
            <w:vMerge w:val="restart"/>
            <w:tcBorders>
              <w:top w:val="nil"/>
              <w:right w:val="single" w:sz="4" w:space="0" w:color="auto"/>
            </w:tcBorders>
            <w:shd w:val="clear" w:color="auto" w:fill="FFFFFF" w:themeFill="background1"/>
            <w:textDirection w:val="btLr"/>
          </w:tcPr>
          <w:p w14:paraId="56453729" w14:textId="77777777" w:rsidR="005C1F16" w:rsidRPr="00027D36" w:rsidRDefault="005C1F16" w:rsidP="00BB437F">
            <w:pPr>
              <w:pStyle w:val="TableBodyText"/>
              <w:spacing w:before="20" w:after="20" w:line="252" w:lineRule="auto"/>
              <w:jc w:val="center"/>
              <w:rPr>
                <w:sz w:val="16"/>
                <w:szCs w:val="16"/>
              </w:rPr>
            </w:pPr>
            <w:r w:rsidRPr="00027D36">
              <w:rPr>
                <w:sz w:val="16"/>
                <w:szCs w:val="16"/>
              </w:rPr>
              <w:t>Stakeholder feedback</w:t>
            </w:r>
          </w:p>
        </w:tc>
        <w:tc>
          <w:tcPr>
            <w:tcW w:w="343" w:type="pct"/>
            <w:tcBorders>
              <w:left w:val="single" w:sz="4" w:space="0" w:color="auto"/>
              <w:bottom w:val="single" w:sz="4" w:space="0" w:color="auto"/>
            </w:tcBorders>
            <w:shd w:val="clear" w:color="auto" w:fill="BFF9D6"/>
          </w:tcPr>
          <w:p w14:paraId="38620B44" w14:textId="77777777" w:rsidR="005C1F16" w:rsidRPr="00027D36" w:rsidRDefault="005C1F16" w:rsidP="00BB437F">
            <w:pPr>
              <w:pStyle w:val="TableBodyText"/>
              <w:spacing w:before="20" w:after="20" w:line="252" w:lineRule="auto"/>
              <w:rPr>
                <w:sz w:val="16"/>
                <w:szCs w:val="16"/>
              </w:rPr>
            </w:pPr>
            <w:r w:rsidRPr="00027D36">
              <w:rPr>
                <w:sz w:val="16"/>
                <w:szCs w:val="16"/>
              </w:rPr>
              <w:t>Agree</w:t>
            </w:r>
          </w:p>
        </w:tc>
        <w:tc>
          <w:tcPr>
            <w:tcW w:w="4461" w:type="pct"/>
            <w:tcBorders>
              <w:bottom w:val="single" w:sz="4" w:space="0" w:color="auto"/>
            </w:tcBorders>
            <w:shd w:val="clear" w:color="auto" w:fill="BFF9D6"/>
          </w:tcPr>
          <w:p w14:paraId="245714B5" w14:textId="77777777" w:rsidR="005C1F16" w:rsidRPr="00027D36" w:rsidRDefault="005C1F16" w:rsidP="00BB437F">
            <w:pPr>
              <w:pStyle w:val="TableBullet10"/>
              <w:spacing w:before="20" w:after="20" w:line="252" w:lineRule="auto"/>
              <w:rPr>
                <w:sz w:val="16"/>
                <w:szCs w:val="16"/>
              </w:rPr>
            </w:pPr>
            <w:r w:rsidRPr="00027D36">
              <w:rPr>
                <w:color w:val="800080" w:themeColor="accent6"/>
                <w:sz w:val="16"/>
                <w:szCs w:val="16"/>
              </w:rPr>
              <w:t xml:space="preserve">APGA </w:t>
            </w:r>
            <w:r w:rsidRPr="00027D36">
              <w:rPr>
                <w:sz w:val="16"/>
                <w:szCs w:val="16"/>
              </w:rPr>
              <w:t xml:space="preserve">and </w:t>
            </w:r>
            <w:r w:rsidRPr="00027D36">
              <w:rPr>
                <w:color w:val="800080" w:themeColor="accent6"/>
                <w:sz w:val="16"/>
                <w:szCs w:val="16"/>
              </w:rPr>
              <w:t xml:space="preserve">Jemena </w:t>
            </w:r>
            <w:r w:rsidRPr="00027D36">
              <w:rPr>
                <w:sz w:val="16"/>
                <w:szCs w:val="16"/>
              </w:rPr>
              <w:t xml:space="preserve">noted that the application of Part 23 to pipelines with a greenfield exemption could potentially distort investment incentives, with </w:t>
            </w:r>
            <w:r w:rsidRPr="00027D36">
              <w:rPr>
                <w:color w:val="7030A0"/>
                <w:sz w:val="16"/>
                <w:szCs w:val="16"/>
              </w:rPr>
              <w:t xml:space="preserve">APGA </w:t>
            </w:r>
            <w:r w:rsidRPr="00027D36">
              <w:rPr>
                <w:sz w:val="16"/>
                <w:szCs w:val="16"/>
              </w:rPr>
              <w:t xml:space="preserve">noting that “even a low level effect could be critical to the FID for a proposed pipeline” and </w:t>
            </w:r>
            <w:r w:rsidRPr="00027D36">
              <w:rPr>
                <w:color w:val="7030A0"/>
                <w:sz w:val="16"/>
                <w:szCs w:val="16"/>
              </w:rPr>
              <w:t xml:space="preserve">Jemena </w:t>
            </w:r>
            <w:r w:rsidRPr="00027D36">
              <w:rPr>
                <w:sz w:val="16"/>
                <w:szCs w:val="16"/>
              </w:rPr>
              <w:t xml:space="preserve">noting that it could give rise to “underinvestment in new pipelines that are required to connect new sources to existing markets”. </w:t>
            </w:r>
          </w:p>
          <w:p w14:paraId="3BC237E6" w14:textId="77777777" w:rsidR="005C1F16" w:rsidRPr="00027D36" w:rsidRDefault="005C1F16" w:rsidP="00BB437F">
            <w:pPr>
              <w:pStyle w:val="TableBullet10"/>
              <w:spacing w:before="20" w:after="20" w:line="252" w:lineRule="auto"/>
              <w:rPr>
                <w:sz w:val="16"/>
                <w:szCs w:val="16"/>
              </w:rPr>
            </w:pPr>
            <w:r w:rsidRPr="00027D36">
              <w:rPr>
                <w:color w:val="800080" w:themeColor="accent6"/>
                <w:sz w:val="16"/>
                <w:szCs w:val="16"/>
              </w:rPr>
              <w:t xml:space="preserve">APA </w:t>
            </w:r>
            <w:r w:rsidRPr="00027D36">
              <w:rPr>
                <w:sz w:val="16"/>
                <w:szCs w:val="16"/>
              </w:rPr>
              <w:t>and a confidential submitter did not express a view on whether this constituted a problem, but supported a full exemption from regulation</w:t>
            </w:r>
            <w:r w:rsidR="00004D3B" w:rsidRPr="00027D36">
              <w:rPr>
                <w:sz w:val="16"/>
                <w:szCs w:val="16"/>
              </w:rPr>
              <w:t xml:space="preserve"> for greenfield pipelines</w:t>
            </w:r>
            <w:r w:rsidRPr="00027D36">
              <w:rPr>
                <w:sz w:val="16"/>
                <w:szCs w:val="16"/>
              </w:rPr>
              <w:t xml:space="preserve">. </w:t>
            </w:r>
          </w:p>
        </w:tc>
      </w:tr>
      <w:tr w:rsidR="005C1F16" w:rsidRPr="00027D36" w14:paraId="3ACFF3C4" w14:textId="77777777" w:rsidTr="00D57D65">
        <w:trPr>
          <w:cantSplit/>
        </w:trPr>
        <w:tc>
          <w:tcPr>
            <w:tcW w:w="196" w:type="pct"/>
            <w:vMerge/>
            <w:tcBorders>
              <w:right w:val="single" w:sz="4" w:space="0" w:color="auto"/>
            </w:tcBorders>
            <w:shd w:val="clear" w:color="auto" w:fill="FFFFFF" w:themeFill="background1"/>
            <w:textDirection w:val="btLr"/>
          </w:tcPr>
          <w:p w14:paraId="5850B187" w14:textId="77777777" w:rsidR="005C1F16" w:rsidRPr="00027D36" w:rsidRDefault="005C1F16" w:rsidP="00BB437F">
            <w:pPr>
              <w:pStyle w:val="TableBodyText"/>
              <w:spacing w:before="20" w:after="20" w:line="252" w:lineRule="auto"/>
              <w:jc w:val="center"/>
              <w:rPr>
                <w:sz w:val="16"/>
                <w:szCs w:val="16"/>
              </w:rPr>
            </w:pPr>
          </w:p>
        </w:tc>
        <w:tc>
          <w:tcPr>
            <w:tcW w:w="343" w:type="pct"/>
            <w:tcBorders>
              <w:left w:val="single" w:sz="4" w:space="0" w:color="auto"/>
              <w:bottom w:val="single" w:sz="4" w:space="0" w:color="auto"/>
            </w:tcBorders>
            <w:shd w:val="clear" w:color="auto" w:fill="FFD9DC"/>
          </w:tcPr>
          <w:p w14:paraId="2AB76029" w14:textId="77777777" w:rsidR="005C1F16" w:rsidRPr="00027D36" w:rsidRDefault="005C1F16" w:rsidP="00BB437F">
            <w:pPr>
              <w:pStyle w:val="TableBodyText"/>
              <w:spacing w:before="20" w:after="20" w:line="252" w:lineRule="auto"/>
              <w:rPr>
                <w:sz w:val="16"/>
                <w:szCs w:val="16"/>
              </w:rPr>
            </w:pPr>
            <w:r w:rsidRPr="00027D36">
              <w:rPr>
                <w:sz w:val="16"/>
                <w:szCs w:val="16"/>
              </w:rPr>
              <w:t>Disagree</w:t>
            </w:r>
          </w:p>
        </w:tc>
        <w:tc>
          <w:tcPr>
            <w:tcW w:w="4461" w:type="pct"/>
            <w:tcBorders>
              <w:bottom w:val="single" w:sz="4" w:space="0" w:color="auto"/>
            </w:tcBorders>
            <w:shd w:val="clear" w:color="auto" w:fill="FFD9DC"/>
          </w:tcPr>
          <w:p w14:paraId="57F0CFBF" w14:textId="77777777" w:rsidR="005C1F16" w:rsidRPr="00027D36" w:rsidRDefault="005C1F16" w:rsidP="00BB437F">
            <w:pPr>
              <w:pStyle w:val="TableBullet10"/>
              <w:spacing w:before="20" w:after="20" w:line="252" w:lineRule="auto"/>
              <w:rPr>
                <w:sz w:val="16"/>
                <w:szCs w:val="16"/>
              </w:rPr>
            </w:pPr>
            <w:r w:rsidRPr="00027D36">
              <w:rPr>
                <w:color w:val="000000" w:themeColor="text1"/>
                <w:sz w:val="16"/>
                <w:szCs w:val="16"/>
              </w:rPr>
              <w:t xml:space="preserve">The </w:t>
            </w:r>
            <w:r w:rsidRPr="00027D36">
              <w:rPr>
                <w:color w:val="FF0000"/>
                <w:sz w:val="16"/>
                <w:szCs w:val="16"/>
              </w:rPr>
              <w:t>ACCC</w:t>
            </w:r>
            <w:r w:rsidRPr="00027D36">
              <w:rPr>
                <w:color w:val="0000FF"/>
                <w:sz w:val="16"/>
                <w:szCs w:val="16"/>
              </w:rPr>
              <w:t xml:space="preserve">, EUAA, NSW BC, Chemistry Australia, MEU, </w:t>
            </w:r>
            <w:r w:rsidRPr="00027D36">
              <w:rPr>
                <w:color w:val="D60093"/>
                <w:sz w:val="16"/>
                <w:szCs w:val="16"/>
              </w:rPr>
              <w:t xml:space="preserve">APLNG </w:t>
            </w:r>
            <w:r w:rsidRPr="00027D36">
              <w:rPr>
                <w:sz w:val="16"/>
                <w:szCs w:val="16"/>
              </w:rPr>
              <w:t xml:space="preserve">and </w:t>
            </w:r>
            <w:r w:rsidRPr="00027D36">
              <w:rPr>
                <w:color w:val="D60093"/>
                <w:sz w:val="16"/>
                <w:szCs w:val="16"/>
              </w:rPr>
              <w:t xml:space="preserve">COPA </w:t>
            </w:r>
            <w:r w:rsidRPr="00027D36">
              <w:rPr>
                <w:sz w:val="16"/>
                <w:szCs w:val="16"/>
              </w:rPr>
              <w:t xml:space="preserve">either disagreed that this was problem, or did not think it would have a material effect. </w:t>
            </w:r>
            <w:r w:rsidRPr="00027D36">
              <w:rPr>
                <w:color w:val="D60093"/>
                <w:sz w:val="16"/>
                <w:szCs w:val="16"/>
              </w:rPr>
              <w:t xml:space="preserve">APLNG </w:t>
            </w:r>
            <w:r w:rsidRPr="00027D36">
              <w:rPr>
                <w:sz w:val="16"/>
                <w:szCs w:val="16"/>
              </w:rPr>
              <w:t xml:space="preserve">(an owner of a pipeline with a 15-year no coverage determination), for example, stated that it: </w:t>
            </w:r>
          </w:p>
          <w:p w14:paraId="4C5EBDD5" w14:textId="77777777" w:rsidR="005C1F16" w:rsidRPr="00027D36" w:rsidRDefault="005C1F16" w:rsidP="00BB437F">
            <w:pPr>
              <w:pStyle w:val="TableBullet10"/>
              <w:numPr>
                <w:ilvl w:val="0"/>
                <w:numId w:val="0"/>
              </w:numPr>
              <w:spacing w:line="252" w:lineRule="auto"/>
              <w:ind w:left="420"/>
              <w:rPr>
                <w:i/>
                <w:iCs/>
                <w:sz w:val="16"/>
                <w:szCs w:val="16"/>
              </w:rPr>
            </w:pPr>
            <w:r w:rsidRPr="00027D36">
              <w:rPr>
                <w:i/>
                <w:iCs/>
                <w:sz w:val="16"/>
                <w:szCs w:val="16"/>
              </w:rPr>
              <w:t xml:space="preserve">“does not believe the application of Part 23 to third party pipelines which have obtained a greenfield exemption is deterring investment in greenfield pipelines”. </w:t>
            </w:r>
          </w:p>
          <w:p w14:paraId="69A58059" w14:textId="77777777" w:rsidR="005C1F16" w:rsidRPr="00027D36" w:rsidRDefault="005C1F16" w:rsidP="00BB437F">
            <w:pPr>
              <w:pStyle w:val="TableBullet10"/>
              <w:numPr>
                <w:ilvl w:val="0"/>
                <w:numId w:val="0"/>
              </w:numPr>
              <w:spacing w:line="252" w:lineRule="auto"/>
              <w:ind w:left="312"/>
              <w:rPr>
                <w:sz w:val="16"/>
                <w:szCs w:val="16"/>
              </w:rPr>
            </w:pPr>
            <w:r w:rsidRPr="00027D36">
              <w:rPr>
                <w:sz w:val="16"/>
                <w:szCs w:val="16"/>
              </w:rPr>
              <w:t xml:space="preserve">The </w:t>
            </w:r>
            <w:r w:rsidRPr="00027D36">
              <w:rPr>
                <w:color w:val="FF0000"/>
                <w:sz w:val="16"/>
                <w:szCs w:val="16"/>
              </w:rPr>
              <w:t xml:space="preserve">ACCC </w:t>
            </w:r>
            <w:r w:rsidRPr="00027D36">
              <w:rPr>
                <w:sz w:val="16"/>
                <w:szCs w:val="16"/>
              </w:rPr>
              <w:t xml:space="preserve">expressed a similar view, noting that: </w:t>
            </w:r>
          </w:p>
          <w:p w14:paraId="0D39CCB9" w14:textId="77777777" w:rsidR="005C1F16" w:rsidRPr="00027D36" w:rsidRDefault="005C1F16" w:rsidP="00BB437F">
            <w:pPr>
              <w:pStyle w:val="Quote"/>
              <w:spacing w:before="40" w:after="40" w:line="252" w:lineRule="auto"/>
              <w:ind w:left="420"/>
              <w:rPr>
                <w:rFonts w:eastAsia="Calibri"/>
                <w:sz w:val="16"/>
                <w:szCs w:val="16"/>
              </w:rPr>
            </w:pPr>
            <w:r w:rsidRPr="00027D36">
              <w:rPr>
                <w:rFonts w:eastAsia="Calibri"/>
                <w:sz w:val="16"/>
                <w:szCs w:val="16"/>
              </w:rPr>
              <w:t xml:space="preserve">“We do </w:t>
            </w:r>
            <w:r w:rsidRPr="00027D36">
              <w:rPr>
                <w:rFonts w:eastAsia="Calibri"/>
                <w:b/>
                <w:bCs/>
                <w:sz w:val="16"/>
                <w:szCs w:val="16"/>
              </w:rPr>
              <w:t>not</w:t>
            </w:r>
            <w:r w:rsidRPr="00027D36">
              <w:rPr>
                <w:rFonts w:eastAsia="Calibri"/>
                <w:sz w:val="16"/>
                <w:szCs w:val="16"/>
              </w:rPr>
              <w:t xml:space="preserve"> agree that the application of Part 23 (even in the strengthened form proposed in the Consultation RIS) to pipelines that have a greenfield exemption but are providing third party access will distort the incentives pipeline operators have to invest in new pipelines. As noted in our July 2019 report, we sought internal documents from pipeline operators as part of our review of the operation of Part 23 and found no evidence to suggest that Part 23 is deterring investment. Rather, we found evidence that pipeline operators were investigating a range of publicly announced and other pipeline investments that would be captured by Part 23. </w:t>
            </w:r>
          </w:p>
          <w:p w14:paraId="7D6F8861" w14:textId="77777777" w:rsidR="005C1F16" w:rsidRPr="00027D36" w:rsidRDefault="005C1F16" w:rsidP="00BB437F">
            <w:pPr>
              <w:pStyle w:val="Quote"/>
              <w:spacing w:before="40" w:after="40" w:line="252" w:lineRule="auto"/>
              <w:ind w:left="420"/>
              <w:rPr>
                <w:rFonts w:eastAsia="Calibri"/>
                <w:sz w:val="16"/>
                <w:szCs w:val="16"/>
              </w:rPr>
            </w:pPr>
            <w:r w:rsidRPr="00027D36">
              <w:rPr>
                <w:rFonts w:eastAsia="Calibri"/>
                <w:sz w:val="16"/>
                <w:szCs w:val="16"/>
              </w:rPr>
              <w:t>It is also noteworthy that no greenfield exemptions have been sought in the last five years, but new pipelines have continued to be built over this period, indicating that investment is occurring without having to rely on the greenfield incentive. It is difficult therefore to see how Part 23 can distort an incentive that is not being relied upon.”</w:t>
            </w:r>
          </w:p>
        </w:tc>
      </w:tr>
      <w:tr w:rsidR="005C1F16" w:rsidRPr="00027D36" w14:paraId="229F3F75" w14:textId="77777777" w:rsidTr="00D57D65">
        <w:trPr>
          <w:cnfStyle w:val="000000010000" w:firstRow="0" w:lastRow="0" w:firstColumn="0" w:lastColumn="0" w:oddVBand="0" w:evenVBand="0" w:oddHBand="0" w:evenHBand="1" w:firstRowFirstColumn="0" w:firstRowLastColumn="0" w:lastRowFirstColumn="0" w:lastRowLastColumn="0"/>
          <w:cantSplit/>
        </w:trPr>
        <w:tc>
          <w:tcPr>
            <w:tcW w:w="196" w:type="pct"/>
            <w:vMerge/>
            <w:tcBorders>
              <w:bottom w:val="nil"/>
              <w:right w:val="single" w:sz="4" w:space="0" w:color="auto"/>
            </w:tcBorders>
            <w:shd w:val="clear" w:color="auto" w:fill="FFFFFF" w:themeFill="background1"/>
          </w:tcPr>
          <w:p w14:paraId="56C769DD" w14:textId="77777777" w:rsidR="005C1F16" w:rsidRPr="00027D36" w:rsidRDefault="005C1F16" w:rsidP="00BB437F">
            <w:pPr>
              <w:pStyle w:val="TableBodyText"/>
              <w:spacing w:before="20" w:after="20" w:line="252" w:lineRule="auto"/>
              <w:rPr>
                <w:sz w:val="16"/>
                <w:szCs w:val="16"/>
              </w:rPr>
            </w:pPr>
          </w:p>
        </w:tc>
        <w:tc>
          <w:tcPr>
            <w:tcW w:w="343" w:type="pct"/>
            <w:tcBorders>
              <w:left w:val="single" w:sz="4" w:space="0" w:color="auto"/>
              <w:bottom w:val="single" w:sz="4" w:space="0" w:color="auto"/>
            </w:tcBorders>
          </w:tcPr>
          <w:p w14:paraId="3B351DF3" w14:textId="77777777" w:rsidR="005C1F16" w:rsidRPr="00027D36" w:rsidRDefault="005C1F16" w:rsidP="00BB437F">
            <w:pPr>
              <w:pStyle w:val="TableBodyText"/>
              <w:spacing w:before="20" w:after="20" w:line="252" w:lineRule="auto"/>
              <w:rPr>
                <w:sz w:val="16"/>
                <w:szCs w:val="16"/>
              </w:rPr>
            </w:pPr>
            <w:r w:rsidRPr="00027D36">
              <w:rPr>
                <w:sz w:val="16"/>
                <w:szCs w:val="16"/>
              </w:rPr>
              <w:t xml:space="preserve">Other </w:t>
            </w:r>
          </w:p>
        </w:tc>
        <w:tc>
          <w:tcPr>
            <w:tcW w:w="4461" w:type="pct"/>
            <w:tcBorders>
              <w:bottom w:val="single" w:sz="4" w:space="0" w:color="auto"/>
            </w:tcBorders>
          </w:tcPr>
          <w:p w14:paraId="7FCAC4DF" w14:textId="77777777" w:rsidR="005C1F16" w:rsidRPr="00027D36" w:rsidRDefault="005C1F16" w:rsidP="00BB437F">
            <w:pPr>
              <w:pStyle w:val="TableBullet10"/>
              <w:spacing w:before="20" w:after="20" w:line="252" w:lineRule="auto"/>
              <w:rPr>
                <w:sz w:val="16"/>
                <w:szCs w:val="16"/>
              </w:rPr>
            </w:pPr>
            <w:r w:rsidRPr="00027D36">
              <w:rPr>
                <w:bCs/>
                <w:color w:val="00B050"/>
                <w:sz w:val="16"/>
                <w:szCs w:val="16"/>
              </w:rPr>
              <w:t>Energy Matrix</w:t>
            </w:r>
            <w:r w:rsidRPr="00027D36">
              <w:rPr>
                <w:color w:val="00B050"/>
                <w:sz w:val="16"/>
                <w:szCs w:val="16"/>
              </w:rPr>
              <w:t xml:space="preserve"> </w:t>
            </w:r>
            <w:r w:rsidRPr="00027D36">
              <w:rPr>
                <w:sz w:val="16"/>
                <w:szCs w:val="16"/>
              </w:rPr>
              <w:t xml:space="preserve">thought that Part 23 may have resulted in modest distortion in investment incentives, but </w:t>
            </w:r>
            <w:r w:rsidR="00004D3B" w:rsidRPr="00027D36">
              <w:rPr>
                <w:sz w:val="16"/>
                <w:szCs w:val="16"/>
              </w:rPr>
              <w:t>“</w:t>
            </w:r>
            <w:r w:rsidRPr="00027D36">
              <w:rPr>
                <w:i/>
                <w:sz w:val="16"/>
                <w:szCs w:val="16"/>
              </w:rPr>
              <w:t>not more so than a monopoly market would produce</w:t>
            </w:r>
            <w:r w:rsidR="00004D3B" w:rsidRPr="00027D36">
              <w:rPr>
                <w:sz w:val="16"/>
                <w:szCs w:val="16"/>
              </w:rPr>
              <w:t>”</w:t>
            </w:r>
            <w:r w:rsidRPr="00027D36">
              <w:rPr>
                <w:sz w:val="16"/>
                <w:szCs w:val="16"/>
              </w:rPr>
              <w:t>.</w:t>
            </w:r>
          </w:p>
          <w:p w14:paraId="20EF97CC" w14:textId="77777777" w:rsidR="005C1F16" w:rsidRPr="00027D36" w:rsidRDefault="005C1F16" w:rsidP="00BB437F">
            <w:pPr>
              <w:pStyle w:val="TableBullet10"/>
              <w:spacing w:line="252" w:lineRule="auto"/>
              <w:rPr>
                <w:sz w:val="16"/>
                <w:szCs w:val="16"/>
              </w:rPr>
            </w:pPr>
            <w:r w:rsidRPr="00027D36">
              <w:rPr>
                <w:bCs/>
                <w:sz w:val="16"/>
                <w:szCs w:val="16"/>
              </w:rPr>
              <w:t>Other stakeholders, including a number of service providers, did not express a view on whether this potential problem constituted a problem.</w:t>
            </w:r>
          </w:p>
        </w:tc>
      </w:tr>
      <w:tr w:rsidR="00A30EC0" w:rsidRPr="00027D36" w14:paraId="37104B9A" w14:textId="77777777" w:rsidTr="00D57D65">
        <w:trPr>
          <w:cantSplit/>
        </w:trPr>
        <w:tc>
          <w:tcPr>
            <w:tcW w:w="5000" w:type="pct"/>
            <w:gridSpan w:val="3"/>
            <w:shd w:val="clear" w:color="auto" w:fill="65697F" w:themeFill="background2" w:themeFillShade="80"/>
          </w:tcPr>
          <w:p w14:paraId="525236E2" w14:textId="77777777" w:rsidR="00A30EC0" w:rsidRPr="00027D36" w:rsidRDefault="00A30EC0" w:rsidP="00857981">
            <w:pPr>
              <w:pStyle w:val="TableBodyText"/>
              <w:spacing w:before="20" w:after="20" w:line="252" w:lineRule="auto"/>
              <w:jc w:val="center"/>
              <w:rPr>
                <w:b/>
                <w:bCs/>
                <w:color w:val="FFFFFF" w:themeColor="background1"/>
                <w:sz w:val="16"/>
                <w:szCs w:val="16"/>
                <w:lang w:eastAsia="fr-CA"/>
              </w:rPr>
            </w:pPr>
            <w:r w:rsidRPr="00027D36">
              <w:rPr>
                <w:b/>
                <w:bCs/>
                <w:color w:val="FFFFFF" w:themeColor="background1"/>
                <w:sz w:val="16"/>
                <w:szCs w:val="16"/>
              </w:rPr>
              <w:t>Potential for under-regulation of pipelines not providing third party access</w:t>
            </w:r>
          </w:p>
        </w:tc>
      </w:tr>
      <w:tr w:rsidR="00A30EC0" w:rsidRPr="00027D36" w14:paraId="0722F554" w14:textId="77777777" w:rsidTr="00D57D65">
        <w:trPr>
          <w:cnfStyle w:val="000000010000" w:firstRow="0" w:lastRow="0" w:firstColumn="0" w:lastColumn="0" w:oddVBand="0" w:evenVBand="0" w:oddHBand="0" w:evenHBand="1" w:firstRowFirstColumn="0" w:firstRowLastColumn="0" w:lastRowFirstColumn="0" w:lastRowLastColumn="0"/>
          <w:cantSplit/>
        </w:trPr>
        <w:tc>
          <w:tcPr>
            <w:tcW w:w="539" w:type="pct"/>
            <w:gridSpan w:val="2"/>
            <w:shd w:val="clear" w:color="auto" w:fill="FFFFFF" w:themeFill="background1"/>
          </w:tcPr>
          <w:p w14:paraId="07312213" w14:textId="77777777" w:rsidR="00A30EC0" w:rsidRPr="00027D36" w:rsidRDefault="00A30EC0" w:rsidP="00857981">
            <w:pPr>
              <w:pStyle w:val="TableBodyText"/>
              <w:spacing w:before="20" w:after="20" w:line="252" w:lineRule="auto"/>
              <w:rPr>
                <w:sz w:val="16"/>
                <w:szCs w:val="16"/>
              </w:rPr>
            </w:pPr>
            <w:r w:rsidRPr="00027D36">
              <w:rPr>
                <w:sz w:val="16"/>
                <w:szCs w:val="16"/>
              </w:rPr>
              <w:t>Description of potential problem</w:t>
            </w:r>
          </w:p>
        </w:tc>
        <w:tc>
          <w:tcPr>
            <w:tcW w:w="4461" w:type="pct"/>
            <w:shd w:val="clear" w:color="auto" w:fill="FFFFFF" w:themeFill="background1"/>
          </w:tcPr>
          <w:p w14:paraId="02F4DF30" w14:textId="7AD2B159" w:rsidR="00A30EC0" w:rsidRPr="00027D36" w:rsidRDefault="00A30EC0" w:rsidP="0023640B">
            <w:pPr>
              <w:pStyle w:val="TableBodyText"/>
              <w:spacing w:before="0" w:after="0"/>
              <w:rPr>
                <w:sz w:val="16"/>
                <w:szCs w:val="16"/>
              </w:rPr>
            </w:pPr>
            <w:r w:rsidRPr="00027D36">
              <w:rPr>
                <w:sz w:val="16"/>
                <w:szCs w:val="16"/>
              </w:rPr>
              <w:t>In its international review of pipeline regulation, NERA found that the distinction currently drawn between pipelines providing third party access and those that are not is unique by international standards, with service providers in other jurisdictions either required to vertically separate, or operate on an open access basis.</w:t>
            </w:r>
            <w:r w:rsidR="00370905">
              <w:rPr>
                <w:rFonts w:ascii="ZWAdobeF" w:hAnsi="ZWAdobeF" w:cs="ZWAdobeF"/>
                <w:sz w:val="2"/>
                <w:szCs w:val="2"/>
              </w:rPr>
              <w:t>92F</w:t>
            </w:r>
            <w:r w:rsidRPr="00027D36">
              <w:rPr>
                <w:rStyle w:val="FootnoteReference"/>
                <w:sz w:val="16"/>
                <w:szCs w:val="16"/>
              </w:rPr>
              <w:footnoteReference w:id="94"/>
            </w:r>
            <w:r w:rsidRPr="00027D36">
              <w:rPr>
                <w:sz w:val="16"/>
                <w:szCs w:val="16"/>
              </w:rPr>
              <w:t xml:space="preserve"> A pipeline in Australia that is not providing third party access, on the other hand, can currently only be required to do so if it is found to satisfy the coverage test.  As noted in the introduction to this chapter, concerns have previously been raised about the coverage test and while it may appear more appropriate to use in this context (i.e. because it is a denial of access test), there is a concern that its application may not yield outcomes consistent with the NGO.  There is therefore a risk that the continued use of the coverage test may result in under-regulation, inefficient use of and investment in pipelines that are not providing third party access.</w:t>
            </w:r>
          </w:p>
        </w:tc>
      </w:tr>
      <w:tr w:rsidR="00A30EC0" w:rsidRPr="00027D36" w14:paraId="40498568" w14:textId="77777777" w:rsidTr="00D57D65">
        <w:trPr>
          <w:cantSplit/>
        </w:trPr>
        <w:tc>
          <w:tcPr>
            <w:tcW w:w="196" w:type="pct"/>
            <w:vMerge w:val="restart"/>
            <w:tcBorders>
              <w:top w:val="nil"/>
              <w:bottom w:val="nil"/>
              <w:right w:val="single" w:sz="4" w:space="0" w:color="auto"/>
            </w:tcBorders>
            <w:shd w:val="clear" w:color="auto" w:fill="FFFFFF" w:themeFill="background1"/>
            <w:textDirection w:val="btLr"/>
          </w:tcPr>
          <w:p w14:paraId="632A5688" w14:textId="77777777" w:rsidR="00A30EC0" w:rsidRPr="00027D36" w:rsidRDefault="00A30EC0" w:rsidP="00857981">
            <w:pPr>
              <w:pStyle w:val="TableBodyText"/>
              <w:spacing w:before="20" w:after="20" w:line="252" w:lineRule="auto"/>
              <w:jc w:val="center"/>
              <w:rPr>
                <w:sz w:val="16"/>
                <w:szCs w:val="16"/>
              </w:rPr>
            </w:pPr>
            <w:r w:rsidRPr="00027D36">
              <w:rPr>
                <w:sz w:val="16"/>
                <w:szCs w:val="16"/>
              </w:rPr>
              <w:t>Stakeholder feedback</w:t>
            </w:r>
          </w:p>
        </w:tc>
        <w:tc>
          <w:tcPr>
            <w:tcW w:w="343" w:type="pct"/>
            <w:tcBorders>
              <w:left w:val="single" w:sz="4" w:space="0" w:color="auto"/>
              <w:bottom w:val="single" w:sz="4" w:space="0" w:color="auto"/>
            </w:tcBorders>
            <w:shd w:val="clear" w:color="auto" w:fill="BFF9D6"/>
          </w:tcPr>
          <w:p w14:paraId="6A468705" w14:textId="77777777" w:rsidR="00A30EC0" w:rsidRPr="00027D36" w:rsidRDefault="00A30EC0" w:rsidP="00857981">
            <w:pPr>
              <w:pStyle w:val="TableBodyText"/>
              <w:spacing w:before="20" w:after="20" w:line="252" w:lineRule="auto"/>
              <w:rPr>
                <w:sz w:val="16"/>
                <w:szCs w:val="16"/>
              </w:rPr>
            </w:pPr>
            <w:r w:rsidRPr="00027D36">
              <w:rPr>
                <w:sz w:val="16"/>
                <w:szCs w:val="16"/>
              </w:rPr>
              <w:t>Agree</w:t>
            </w:r>
          </w:p>
        </w:tc>
        <w:tc>
          <w:tcPr>
            <w:tcW w:w="4461" w:type="pct"/>
            <w:tcBorders>
              <w:bottom w:val="single" w:sz="4" w:space="0" w:color="auto"/>
            </w:tcBorders>
            <w:shd w:val="clear" w:color="auto" w:fill="BFF9D6"/>
          </w:tcPr>
          <w:p w14:paraId="2EB6C3C1" w14:textId="77777777" w:rsidR="00A30EC0" w:rsidRPr="00027D36" w:rsidRDefault="00A30EC0" w:rsidP="00857981">
            <w:pPr>
              <w:pStyle w:val="TableBullet10"/>
              <w:spacing w:before="20" w:after="20" w:line="252" w:lineRule="auto"/>
              <w:rPr>
                <w:sz w:val="16"/>
                <w:szCs w:val="16"/>
              </w:rPr>
            </w:pPr>
            <w:r w:rsidRPr="00027D36">
              <w:rPr>
                <w:bCs/>
                <w:color w:val="FF0000"/>
                <w:sz w:val="16"/>
                <w:szCs w:val="16"/>
              </w:rPr>
              <w:t>AER</w:t>
            </w:r>
            <w:r w:rsidRPr="00027D36">
              <w:rPr>
                <w:bCs/>
                <w:sz w:val="16"/>
                <w:szCs w:val="16"/>
              </w:rPr>
              <w:t xml:space="preserve">, </w:t>
            </w:r>
            <w:r w:rsidRPr="00027D36">
              <w:rPr>
                <w:bCs/>
                <w:color w:val="0000FF"/>
                <w:sz w:val="16"/>
                <w:szCs w:val="16"/>
              </w:rPr>
              <w:t>EUAA, NSW BC, Chemistry Australia</w:t>
            </w:r>
            <w:r w:rsidRPr="00027D36">
              <w:rPr>
                <w:bCs/>
                <w:sz w:val="16"/>
                <w:szCs w:val="16"/>
              </w:rPr>
              <w:t xml:space="preserve"> and </w:t>
            </w:r>
            <w:r w:rsidRPr="00027D36">
              <w:rPr>
                <w:bCs/>
                <w:color w:val="0000FF"/>
                <w:sz w:val="16"/>
                <w:szCs w:val="16"/>
              </w:rPr>
              <w:t xml:space="preserve">MEU </w:t>
            </w:r>
            <w:r w:rsidRPr="00027D36">
              <w:rPr>
                <w:bCs/>
                <w:sz w:val="16"/>
                <w:szCs w:val="16"/>
              </w:rPr>
              <w:t xml:space="preserve">agreed that the use of the </w:t>
            </w:r>
            <w:r w:rsidRPr="00027D36">
              <w:rPr>
                <w:sz w:val="16"/>
                <w:szCs w:val="16"/>
              </w:rPr>
              <w:t>coverage test for third party access decisions could result in under-regulation.</w:t>
            </w:r>
          </w:p>
          <w:p w14:paraId="34807D09" w14:textId="77777777" w:rsidR="00A30EC0" w:rsidRPr="00027D36" w:rsidRDefault="00A30EC0" w:rsidP="00857981">
            <w:pPr>
              <w:pStyle w:val="TableBullet10"/>
              <w:spacing w:before="20" w:after="20" w:line="252" w:lineRule="auto"/>
              <w:rPr>
                <w:sz w:val="16"/>
                <w:szCs w:val="16"/>
              </w:rPr>
            </w:pPr>
            <w:r w:rsidRPr="00027D36">
              <w:rPr>
                <w:sz w:val="16"/>
                <w:szCs w:val="16"/>
              </w:rPr>
              <w:t xml:space="preserve">The </w:t>
            </w:r>
            <w:r w:rsidRPr="00027D36">
              <w:rPr>
                <w:color w:val="FF0000"/>
                <w:sz w:val="16"/>
                <w:szCs w:val="16"/>
              </w:rPr>
              <w:t>ACCC</w:t>
            </w:r>
            <w:r w:rsidRPr="00027D36">
              <w:rPr>
                <w:sz w:val="16"/>
                <w:szCs w:val="16"/>
              </w:rPr>
              <w:t xml:space="preserve">, </w:t>
            </w:r>
            <w:r w:rsidRPr="00027D36">
              <w:rPr>
                <w:color w:val="D60093"/>
                <w:sz w:val="16"/>
                <w:szCs w:val="16"/>
              </w:rPr>
              <w:t>APLNG</w:t>
            </w:r>
            <w:r w:rsidRPr="00027D36">
              <w:rPr>
                <w:sz w:val="16"/>
                <w:szCs w:val="16"/>
              </w:rPr>
              <w:t xml:space="preserve">, </w:t>
            </w:r>
            <w:r w:rsidRPr="00027D36">
              <w:rPr>
                <w:color w:val="D60093"/>
                <w:sz w:val="16"/>
                <w:szCs w:val="16"/>
              </w:rPr>
              <w:t>COPA</w:t>
            </w:r>
            <w:r w:rsidRPr="00027D36">
              <w:rPr>
                <w:sz w:val="16"/>
                <w:szCs w:val="16"/>
              </w:rPr>
              <w:t xml:space="preserve">, </w:t>
            </w:r>
            <w:r w:rsidRPr="00027D36">
              <w:rPr>
                <w:color w:val="0000FF"/>
                <w:sz w:val="16"/>
                <w:szCs w:val="16"/>
              </w:rPr>
              <w:t xml:space="preserve">Qenos, </w:t>
            </w:r>
            <w:r w:rsidRPr="00027D36">
              <w:rPr>
                <w:color w:val="00B0F0"/>
                <w:sz w:val="16"/>
                <w:szCs w:val="16"/>
              </w:rPr>
              <w:t xml:space="preserve">AGL, </w:t>
            </w:r>
            <w:r w:rsidRPr="00027D36">
              <w:rPr>
                <w:color w:val="800080" w:themeColor="accent6"/>
                <w:sz w:val="16"/>
                <w:szCs w:val="16"/>
              </w:rPr>
              <w:t xml:space="preserve">APA, APGA </w:t>
            </w:r>
            <w:r w:rsidRPr="00027D36">
              <w:rPr>
                <w:sz w:val="16"/>
                <w:szCs w:val="16"/>
              </w:rPr>
              <w:t xml:space="preserve">and </w:t>
            </w:r>
            <w:r w:rsidRPr="00027D36">
              <w:rPr>
                <w:bCs/>
                <w:color w:val="800080" w:themeColor="accent6"/>
                <w:sz w:val="16"/>
                <w:szCs w:val="16"/>
              </w:rPr>
              <w:t xml:space="preserve">AGIG </w:t>
            </w:r>
            <w:r w:rsidRPr="00027D36">
              <w:rPr>
                <w:sz w:val="16"/>
                <w:szCs w:val="16"/>
              </w:rPr>
              <w:t>did not express a view on whether this constituted a problem, but did support the use of an alternative approach to accessing pipelines not voluntarily providing third party access (i.e. by applying a different test or mandating pipelines provide access).</w:t>
            </w:r>
          </w:p>
        </w:tc>
      </w:tr>
      <w:tr w:rsidR="00A30EC0" w:rsidRPr="00027D36" w14:paraId="135D1CC1" w14:textId="77777777" w:rsidTr="00D57D65">
        <w:trPr>
          <w:cnfStyle w:val="000000010000" w:firstRow="0" w:lastRow="0" w:firstColumn="0" w:lastColumn="0" w:oddVBand="0" w:evenVBand="0" w:oddHBand="0" w:evenHBand="1" w:firstRowFirstColumn="0" w:firstRowLastColumn="0" w:lastRowFirstColumn="0" w:lastRowLastColumn="0"/>
          <w:cantSplit/>
        </w:trPr>
        <w:tc>
          <w:tcPr>
            <w:tcW w:w="196" w:type="pct"/>
            <w:vMerge/>
            <w:tcBorders>
              <w:top w:val="nil"/>
              <w:bottom w:val="nil"/>
              <w:right w:val="single" w:sz="4" w:space="0" w:color="auto"/>
            </w:tcBorders>
            <w:shd w:val="clear" w:color="auto" w:fill="FFFFFF" w:themeFill="background1"/>
          </w:tcPr>
          <w:p w14:paraId="5F8FB707" w14:textId="77777777" w:rsidR="00A30EC0" w:rsidRPr="00027D36" w:rsidRDefault="00A30EC0" w:rsidP="00857981">
            <w:pPr>
              <w:pStyle w:val="TableBodyText"/>
              <w:spacing w:before="20" w:after="20" w:line="252" w:lineRule="auto"/>
              <w:rPr>
                <w:sz w:val="16"/>
                <w:szCs w:val="16"/>
              </w:rPr>
            </w:pPr>
          </w:p>
        </w:tc>
        <w:tc>
          <w:tcPr>
            <w:tcW w:w="343" w:type="pct"/>
            <w:tcBorders>
              <w:left w:val="single" w:sz="4" w:space="0" w:color="auto"/>
              <w:bottom w:val="single" w:sz="4" w:space="0" w:color="auto"/>
            </w:tcBorders>
            <w:shd w:val="clear" w:color="auto" w:fill="FFD9DC"/>
          </w:tcPr>
          <w:p w14:paraId="276D75FD" w14:textId="77777777" w:rsidR="00A30EC0" w:rsidRPr="00027D36" w:rsidRDefault="00A30EC0" w:rsidP="00857981">
            <w:pPr>
              <w:pStyle w:val="TableBodyText"/>
              <w:spacing w:before="20" w:after="20" w:line="252" w:lineRule="auto"/>
              <w:rPr>
                <w:sz w:val="16"/>
                <w:szCs w:val="16"/>
              </w:rPr>
            </w:pPr>
            <w:r w:rsidRPr="00027D36">
              <w:rPr>
                <w:sz w:val="16"/>
                <w:szCs w:val="16"/>
              </w:rPr>
              <w:t>Disagree</w:t>
            </w:r>
          </w:p>
        </w:tc>
        <w:tc>
          <w:tcPr>
            <w:tcW w:w="4461" w:type="pct"/>
            <w:tcBorders>
              <w:bottom w:val="single" w:sz="4" w:space="0" w:color="auto"/>
            </w:tcBorders>
            <w:shd w:val="clear" w:color="auto" w:fill="FFD9DC"/>
          </w:tcPr>
          <w:p w14:paraId="2D543AB6" w14:textId="77777777" w:rsidR="00A30EC0" w:rsidRPr="00027D36" w:rsidRDefault="00A30EC0" w:rsidP="00857981">
            <w:pPr>
              <w:pStyle w:val="TableBullet10"/>
              <w:spacing w:before="20" w:after="20" w:line="252" w:lineRule="auto"/>
              <w:rPr>
                <w:sz w:val="16"/>
                <w:szCs w:val="16"/>
              </w:rPr>
            </w:pPr>
            <w:r w:rsidRPr="00027D36">
              <w:rPr>
                <w:color w:val="800080" w:themeColor="accent6"/>
                <w:sz w:val="16"/>
                <w:szCs w:val="16"/>
              </w:rPr>
              <w:t xml:space="preserve">Jemena </w:t>
            </w:r>
            <w:r w:rsidRPr="00027D36">
              <w:rPr>
                <w:sz w:val="16"/>
                <w:szCs w:val="16"/>
              </w:rPr>
              <w:t xml:space="preserve">disagreed with this potential problem and stated that in its view the “existing coverage test remains the appropriate basis upon whether to decide if a pipeline should be compelled to provide access to third parties.” </w:t>
            </w:r>
          </w:p>
        </w:tc>
      </w:tr>
      <w:tr w:rsidR="00A30EC0" w:rsidRPr="00027D36" w14:paraId="4BDB551C" w14:textId="77777777" w:rsidTr="00D57D65">
        <w:trPr>
          <w:cantSplit/>
        </w:trPr>
        <w:tc>
          <w:tcPr>
            <w:tcW w:w="196" w:type="pct"/>
            <w:vMerge/>
            <w:tcBorders>
              <w:top w:val="nil"/>
              <w:bottom w:val="nil"/>
              <w:right w:val="single" w:sz="4" w:space="0" w:color="auto"/>
            </w:tcBorders>
            <w:shd w:val="clear" w:color="auto" w:fill="FFFFFF" w:themeFill="background1"/>
          </w:tcPr>
          <w:p w14:paraId="7624DA46" w14:textId="77777777" w:rsidR="00A30EC0" w:rsidRPr="00027D36" w:rsidRDefault="00A30EC0" w:rsidP="00857981">
            <w:pPr>
              <w:pStyle w:val="TableBodyText"/>
              <w:spacing w:before="20" w:after="20" w:line="252" w:lineRule="auto"/>
              <w:rPr>
                <w:sz w:val="16"/>
                <w:szCs w:val="16"/>
              </w:rPr>
            </w:pPr>
          </w:p>
        </w:tc>
        <w:tc>
          <w:tcPr>
            <w:tcW w:w="343" w:type="pct"/>
            <w:tcBorders>
              <w:left w:val="single" w:sz="4" w:space="0" w:color="auto"/>
              <w:bottom w:val="single" w:sz="4" w:space="0" w:color="auto"/>
            </w:tcBorders>
          </w:tcPr>
          <w:p w14:paraId="7ED6982D" w14:textId="77777777" w:rsidR="00A30EC0" w:rsidRPr="00027D36" w:rsidRDefault="00A30EC0" w:rsidP="00857981">
            <w:pPr>
              <w:pStyle w:val="TableBodyText"/>
              <w:spacing w:before="20" w:after="20" w:line="252" w:lineRule="auto"/>
              <w:rPr>
                <w:sz w:val="16"/>
                <w:szCs w:val="16"/>
              </w:rPr>
            </w:pPr>
            <w:r w:rsidRPr="00027D36">
              <w:rPr>
                <w:sz w:val="16"/>
                <w:szCs w:val="16"/>
              </w:rPr>
              <w:t xml:space="preserve">Other </w:t>
            </w:r>
          </w:p>
        </w:tc>
        <w:tc>
          <w:tcPr>
            <w:tcW w:w="4461" w:type="pct"/>
            <w:tcBorders>
              <w:bottom w:val="single" w:sz="4" w:space="0" w:color="auto"/>
            </w:tcBorders>
          </w:tcPr>
          <w:p w14:paraId="0998F428" w14:textId="77777777" w:rsidR="00A30EC0" w:rsidRPr="00027D36" w:rsidRDefault="00A30EC0" w:rsidP="00857981">
            <w:pPr>
              <w:pStyle w:val="TableBullet10"/>
              <w:spacing w:before="20" w:after="20" w:line="252" w:lineRule="auto"/>
              <w:rPr>
                <w:sz w:val="16"/>
                <w:szCs w:val="16"/>
              </w:rPr>
            </w:pPr>
            <w:r w:rsidRPr="00027D36">
              <w:rPr>
                <w:sz w:val="16"/>
                <w:szCs w:val="16"/>
              </w:rPr>
              <w:t>Other stakeholders did not express a view on whether this constituted a problem.</w:t>
            </w:r>
            <w:r w:rsidRPr="00027D36">
              <w:rPr>
                <w:rFonts w:asciiTheme="majorHAnsi" w:hAnsiTheme="majorHAnsi"/>
                <w:sz w:val="16"/>
                <w:szCs w:val="16"/>
              </w:rPr>
              <w:t xml:space="preserve"> </w:t>
            </w:r>
          </w:p>
        </w:tc>
      </w:tr>
      <w:tr w:rsidR="001E1447" w:rsidRPr="00027D36" w14:paraId="5DBB97C1" w14:textId="77777777" w:rsidTr="00D57D65">
        <w:trPr>
          <w:cnfStyle w:val="000000010000" w:firstRow="0" w:lastRow="0" w:firstColumn="0" w:lastColumn="0" w:oddVBand="0" w:evenVBand="0" w:oddHBand="0" w:evenHBand="1" w:firstRowFirstColumn="0" w:firstRowLastColumn="0" w:lastRowFirstColumn="0" w:lastRowLastColumn="0"/>
          <w:cantSplit/>
        </w:trPr>
        <w:tc>
          <w:tcPr>
            <w:tcW w:w="5000" w:type="pct"/>
            <w:gridSpan w:val="3"/>
            <w:shd w:val="clear" w:color="auto" w:fill="65697F" w:themeFill="background2" w:themeFillShade="80"/>
          </w:tcPr>
          <w:p w14:paraId="385CDDF3" w14:textId="77777777" w:rsidR="001E1447" w:rsidRPr="00027D36" w:rsidRDefault="001E1447" w:rsidP="00BB437F">
            <w:pPr>
              <w:pStyle w:val="TableBodyText"/>
              <w:spacing w:before="20" w:after="20" w:line="252" w:lineRule="auto"/>
              <w:jc w:val="center"/>
              <w:rPr>
                <w:b/>
                <w:bCs/>
                <w:color w:val="FFFFFF" w:themeColor="background1"/>
                <w:sz w:val="16"/>
                <w:szCs w:val="16"/>
                <w:lang w:eastAsia="fr-CA"/>
              </w:rPr>
            </w:pPr>
            <w:r w:rsidRPr="00027D36">
              <w:rPr>
                <w:b/>
                <w:bCs/>
                <w:color w:val="FFFFFF" w:themeColor="background1"/>
                <w:sz w:val="16"/>
                <w:szCs w:val="16"/>
              </w:rPr>
              <w:t>Potential for the existing governance arrangements to give rise to unnecessary costs and delays</w:t>
            </w:r>
          </w:p>
        </w:tc>
      </w:tr>
      <w:tr w:rsidR="001E1447" w:rsidRPr="00027D36" w14:paraId="3D24E9FB" w14:textId="77777777" w:rsidTr="00D57D65">
        <w:trPr>
          <w:cantSplit/>
        </w:trPr>
        <w:tc>
          <w:tcPr>
            <w:tcW w:w="539" w:type="pct"/>
            <w:gridSpan w:val="2"/>
            <w:shd w:val="clear" w:color="auto" w:fill="FFFFFF" w:themeFill="background1"/>
          </w:tcPr>
          <w:p w14:paraId="00B9B736" w14:textId="77777777" w:rsidR="001E1447" w:rsidRPr="00027D36" w:rsidRDefault="001E1447" w:rsidP="00BB437F">
            <w:pPr>
              <w:pStyle w:val="TableBodyText"/>
              <w:spacing w:before="20" w:after="20" w:line="252" w:lineRule="auto"/>
              <w:rPr>
                <w:sz w:val="16"/>
                <w:szCs w:val="16"/>
              </w:rPr>
            </w:pPr>
            <w:r w:rsidRPr="00027D36">
              <w:rPr>
                <w:sz w:val="16"/>
                <w:szCs w:val="16"/>
              </w:rPr>
              <w:t>Description of potential problem</w:t>
            </w:r>
          </w:p>
        </w:tc>
        <w:tc>
          <w:tcPr>
            <w:tcW w:w="4461" w:type="pct"/>
            <w:shd w:val="clear" w:color="auto" w:fill="FFFFFF" w:themeFill="background1"/>
          </w:tcPr>
          <w:p w14:paraId="6FB63BE6" w14:textId="7FEA9585" w:rsidR="001E1447" w:rsidRPr="00027D36" w:rsidRDefault="00491B57" w:rsidP="0023640B">
            <w:pPr>
              <w:pStyle w:val="TableBodyText"/>
              <w:spacing w:before="0" w:after="0"/>
              <w:rPr>
                <w:sz w:val="16"/>
                <w:szCs w:val="16"/>
              </w:rPr>
            </w:pPr>
            <w:r w:rsidRPr="00027D36">
              <w:rPr>
                <w:sz w:val="16"/>
                <w:szCs w:val="16"/>
              </w:rPr>
              <w:t xml:space="preserve">In its </w:t>
            </w:r>
            <w:r w:rsidR="001E1447" w:rsidRPr="00027D36">
              <w:rPr>
                <w:sz w:val="16"/>
                <w:szCs w:val="16"/>
              </w:rPr>
              <w:t xml:space="preserve">2017-18 </w:t>
            </w:r>
            <w:r w:rsidR="00004D3B" w:rsidRPr="00027D36">
              <w:rPr>
                <w:sz w:val="16"/>
                <w:szCs w:val="16"/>
              </w:rPr>
              <w:t>Economic regulation review</w:t>
            </w:r>
            <w:r w:rsidRPr="00027D36">
              <w:rPr>
                <w:sz w:val="16"/>
                <w:szCs w:val="16"/>
              </w:rPr>
              <w:t>,</w:t>
            </w:r>
            <w:r w:rsidR="001E1447" w:rsidRPr="00027D36">
              <w:rPr>
                <w:sz w:val="16"/>
                <w:szCs w:val="16"/>
              </w:rPr>
              <w:t xml:space="preserve"> </w:t>
            </w:r>
            <w:r w:rsidRPr="00027D36">
              <w:rPr>
                <w:sz w:val="16"/>
                <w:szCs w:val="16"/>
              </w:rPr>
              <w:t xml:space="preserve">the AEMC noted the need for the governance arrangements </w:t>
            </w:r>
            <w:r w:rsidR="00A605AE" w:rsidRPr="00027D36">
              <w:rPr>
                <w:sz w:val="16"/>
                <w:szCs w:val="16"/>
              </w:rPr>
              <w:t>associated with the various tests to be reviewed</w:t>
            </w:r>
            <w:r w:rsidR="009E6ECC" w:rsidRPr="00027D36">
              <w:rPr>
                <w:sz w:val="16"/>
                <w:szCs w:val="16"/>
              </w:rPr>
              <w:t xml:space="preserve"> to </w:t>
            </w:r>
            <w:r w:rsidR="00F10056" w:rsidRPr="00027D36">
              <w:rPr>
                <w:sz w:val="16"/>
                <w:szCs w:val="16"/>
              </w:rPr>
              <w:t>ensure they are fit for purpose, timely, accessible, low cost and conform with best practice regulation and best practice stakeholder consultation</w:t>
            </w:r>
            <w:r w:rsidR="00A605AE" w:rsidRPr="00027D36">
              <w:rPr>
                <w:sz w:val="16"/>
                <w:szCs w:val="16"/>
              </w:rPr>
              <w:t>.</w:t>
            </w:r>
            <w:r w:rsidR="00433C7D" w:rsidRPr="00027D36">
              <w:rPr>
                <w:rStyle w:val="FootnoteReference"/>
                <w:sz w:val="16"/>
                <w:szCs w:val="16"/>
              </w:rPr>
              <w:t xml:space="preserve"> </w:t>
            </w:r>
            <w:r w:rsidR="00370905">
              <w:rPr>
                <w:rFonts w:ascii="ZWAdobeF" w:hAnsi="ZWAdobeF" w:cs="ZWAdobeF"/>
                <w:sz w:val="2"/>
                <w:szCs w:val="2"/>
              </w:rPr>
              <w:t>93F</w:t>
            </w:r>
            <w:r w:rsidR="00433C7D" w:rsidRPr="00027D36">
              <w:rPr>
                <w:rStyle w:val="FootnoteReference"/>
                <w:sz w:val="16"/>
                <w:szCs w:val="16"/>
              </w:rPr>
              <w:footnoteReference w:id="95"/>
            </w:r>
            <w:r w:rsidR="00A605AE" w:rsidRPr="00027D36">
              <w:rPr>
                <w:sz w:val="16"/>
                <w:szCs w:val="16"/>
              </w:rPr>
              <w:t xml:space="preserve"> </w:t>
            </w:r>
            <w:r w:rsidR="009E6ECC" w:rsidRPr="00027D36">
              <w:rPr>
                <w:sz w:val="16"/>
                <w:szCs w:val="16"/>
              </w:rPr>
              <w:t xml:space="preserve">One of the main </w:t>
            </w:r>
            <w:r w:rsidR="001E1447" w:rsidRPr="00027D36">
              <w:rPr>
                <w:sz w:val="16"/>
                <w:szCs w:val="16"/>
              </w:rPr>
              <w:t>problem</w:t>
            </w:r>
            <w:r w:rsidR="009E6ECC" w:rsidRPr="00027D36">
              <w:rPr>
                <w:sz w:val="16"/>
                <w:szCs w:val="16"/>
              </w:rPr>
              <w:t xml:space="preserve">s that has been identified </w:t>
            </w:r>
            <w:r w:rsidR="00F10056" w:rsidRPr="00027D36">
              <w:rPr>
                <w:sz w:val="16"/>
                <w:szCs w:val="16"/>
              </w:rPr>
              <w:t xml:space="preserve">with this aspect of the regulatory framework, is that </w:t>
            </w:r>
            <w:r w:rsidR="001E1447" w:rsidRPr="00027D36">
              <w:rPr>
                <w:sz w:val="16"/>
                <w:szCs w:val="16"/>
              </w:rPr>
              <w:t>two separate assessments must effectively be conducted by the NCC and the relevant Minister using the same criteria</w:t>
            </w:r>
            <w:r w:rsidR="00050314" w:rsidRPr="00027D36">
              <w:rPr>
                <w:sz w:val="16"/>
                <w:szCs w:val="16"/>
              </w:rPr>
              <w:t>, when making decisions about coverage and greenfield exemption</w:t>
            </w:r>
            <w:r w:rsidR="00433C7D" w:rsidRPr="00027D36">
              <w:rPr>
                <w:sz w:val="16"/>
                <w:szCs w:val="16"/>
              </w:rPr>
              <w:t>s</w:t>
            </w:r>
            <w:r w:rsidR="00B64D0E" w:rsidRPr="00027D36">
              <w:rPr>
                <w:sz w:val="16"/>
                <w:szCs w:val="16"/>
              </w:rPr>
              <w:t xml:space="preserve">, which could give </w:t>
            </w:r>
            <w:r w:rsidR="001E1447" w:rsidRPr="00027D36">
              <w:rPr>
                <w:sz w:val="16"/>
                <w:szCs w:val="16"/>
              </w:rPr>
              <w:t xml:space="preserve">rise to unnecessary costs and delays </w:t>
            </w:r>
            <w:r w:rsidR="00B64D0E" w:rsidRPr="00027D36">
              <w:rPr>
                <w:sz w:val="16"/>
                <w:szCs w:val="16"/>
              </w:rPr>
              <w:t>for access seekers, service providers and decision-makers</w:t>
            </w:r>
            <w:r w:rsidR="001E1447" w:rsidRPr="00027D36">
              <w:rPr>
                <w:sz w:val="16"/>
                <w:szCs w:val="16"/>
              </w:rPr>
              <w:t xml:space="preserve">. Another potential limitation with these arrangements is that </w:t>
            </w:r>
            <w:r w:rsidR="004A3710" w:rsidRPr="00027D36">
              <w:rPr>
                <w:sz w:val="16"/>
                <w:szCs w:val="16"/>
              </w:rPr>
              <w:t xml:space="preserve">neither the NCC nor the relevant Minister have any </w:t>
            </w:r>
            <w:r w:rsidR="001E1447" w:rsidRPr="00027D36">
              <w:rPr>
                <w:sz w:val="16"/>
                <w:szCs w:val="16"/>
              </w:rPr>
              <w:t>information gathering power</w:t>
            </w:r>
            <w:r w:rsidR="004A3710" w:rsidRPr="00027D36">
              <w:rPr>
                <w:sz w:val="16"/>
                <w:szCs w:val="16"/>
              </w:rPr>
              <w:t>s,</w:t>
            </w:r>
            <w:r w:rsidR="001E1447" w:rsidRPr="00027D36">
              <w:rPr>
                <w:sz w:val="16"/>
                <w:szCs w:val="16"/>
              </w:rPr>
              <w:t xml:space="preserve"> or other investigatory powers</w:t>
            </w:r>
            <w:r w:rsidR="004A3710" w:rsidRPr="00027D36">
              <w:rPr>
                <w:sz w:val="16"/>
                <w:szCs w:val="16"/>
              </w:rPr>
              <w:t xml:space="preserve"> that they can have recourse to when making these </w:t>
            </w:r>
            <w:r w:rsidR="001E1447" w:rsidRPr="00027D36">
              <w:rPr>
                <w:sz w:val="16"/>
                <w:szCs w:val="16"/>
              </w:rPr>
              <w:t>decisions.</w:t>
            </w:r>
          </w:p>
        </w:tc>
      </w:tr>
      <w:tr w:rsidR="00341617" w:rsidRPr="00027D36" w14:paraId="51C6DA68" w14:textId="77777777" w:rsidTr="00D57D65">
        <w:trPr>
          <w:cnfStyle w:val="000000010000" w:firstRow="0" w:lastRow="0" w:firstColumn="0" w:lastColumn="0" w:oddVBand="0" w:evenVBand="0" w:oddHBand="0" w:evenHBand="1" w:firstRowFirstColumn="0" w:firstRowLastColumn="0" w:lastRowFirstColumn="0" w:lastRowLastColumn="0"/>
          <w:cantSplit/>
        </w:trPr>
        <w:tc>
          <w:tcPr>
            <w:tcW w:w="196" w:type="pct"/>
            <w:vMerge w:val="restart"/>
            <w:tcBorders>
              <w:top w:val="nil"/>
              <w:right w:val="single" w:sz="4" w:space="0" w:color="auto"/>
            </w:tcBorders>
            <w:shd w:val="clear" w:color="auto" w:fill="FFFFFF" w:themeFill="background1"/>
            <w:textDirection w:val="btLr"/>
          </w:tcPr>
          <w:p w14:paraId="4C311820" w14:textId="77777777" w:rsidR="00341617" w:rsidRPr="00027D36" w:rsidRDefault="00341617" w:rsidP="00BB437F">
            <w:pPr>
              <w:pStyle w:val="TableBodyText"/>
              <w:spacing w:before="20" w:after="20" w:line="252" w:lineRule="auto"/>
              <w:jc w:val="center"/>
              <w:rPr>
                <w:sz w:val="16"/>
                <w:szCs w:val="16"/>
              </w:rPr>
            </w:pPr>
            <w:r w:rsidRPr="00027D36">
              <w:rPr>
                <w:sz w:val="16"/>
                <w:szCs w:val="16"/>
              </w:rPr>
              <w:t>Stakeholder feedback</w:t>
            </w:r>
          </w:p>
        </w:tc>
        <w:tc>
          <w:tcPr>
            <w:tcW w:w="343" w:type="pct"/>
            <w:tcBorders>
              <w:left w:val="single" w:sz="4" w:space="0" w:color="auto"/>
              <w:bottom w:val="single" w:sz="4" w:space="0" w:color="auto"/>
            </w:tcBorders>
            <w:shd w:val="clear" w:color="auto" w:fill="BFF9D6"/>
          </w:tcPr>
          <w:p w14:paraId="12776A94" w14:textId="77777777" w:rsidR="00341617" w:rsidRPr="00027D36" w:rsidRDefault="00341617" w:rsidP="00BB437F">
            <w:pPr>
              <w:pStyle w:val="TableBodyText"/>
              <w:spacing w:before="20" w:after="20" w:line="252" w:lineRule="auto"/>
              <w:rPr>
                <w:sz w:val="16"/>
                <w:szCs w:val="16"/>
              </w:rPr>
            </w:pPr>
            <w:r w:rsidRPr="00027D36">
              <w:rPr>
                <w:sz w:val="16"/>
                <w:szCs w:val="16"/>
              </w:rPr>
              <w:t>Agree</w:t>
            </w:r>
          </w:p>
        </w:tc>
        <w:tc>
          <w:tcPr>
            <w:tcW w:w="4461" w:type="pct"/>
            <w:tcBorders>
              <w:bottom w:val="single" w:sz="4" w:space="0" w:color="auto"/>
            </w:tcBorders>
            <w:shd w:val="clear" w:color="auto" w:fill="BFF9D6"/>
          </w:tcPr>
          <w:p w14:paraId="0A407946" w14:textId="237AD9AC" w:rsidR="00341617" w:rsidRPr="00027D36" w:rsidRDefault="00341617" w:rsidP="00BB437F">
            <w:pPr>
              <w:pStyle w:val="TableBullet10"/>
              <w:spacing w:before="20" w:after="20" w:line="252" w:lineRule="auto"/>
              <w:rPr>
                <w:sz w:val="16"/>
                <w:szCs w:val="16"/>
              </w:rPr>
            </w:pPr>
            <w:r w:rsidRPr="00027D36">
              <w:rPr>
                <w:sz w:val="16"/>
                <w:szCs w:val="16"/>
              </w:rPr>
              <w:t xml:space="preserve">The </w:t>
            </w:r>
            <w:r w:rsidRPr="00027D36">
              <w:rPr>
                <w:color w:val="0000FF"/>
                <w:sz w:val="16"/>
                <w:szCs w:val="16"/>
              </w:rPr>
              <w:t>EUAA, NSW BC, Chemistry Australia</w:t>
            </w:r>
            <w:r w:rsidR="00FB791B" w:rsidRPr="00027D36">
              <w:rPr>
                <w:color w:val="0000FF"/>
                <w:sz w:val="16"/>
                <w:szCs w:val="16"/>
              </w:rPr>
              <w:t>, MEU</w:t>
            </w:r>
            <w:r w:rsidRPr="00027D36">
              <w:rPr>
                <w:color w:val="0000FF"/>
                <w:sz w:val="16"/>
                <w:szCs w:val="16"/>
              </w:rPr>
              <w:t xml:space="preserve"> </w:t>
            </w:r>
            <w:r w:rsidRPr="00027D36">
              <w:rPr>
                <w:sz w:val="16"/>
                <w:szCs w:val="16"/>
              </w:rPr>
              <w:t xml:space="preserve">and </w:t>
            </w:r>
            <w:r w:rsidRPr="00027D36">
              <w:rPr>
                <w:color w:val="00B050"/>
                <w:sz w:val="16"/>
                <w:szCs w:val="16"/>
              </w:rPr>
              <w:t xml:space="preserve">Energy Matrix </w:t>
            </w:r>
            <w:r w:rsidRPr="00027D36">
              <w:rPr>
                <w:sz w:val="16"/>
                <w:szCs w:val="16"/>
              </w:rPr>
              <w:t xml:space="preserve">agreed </w:t>
            </w:r>
            <w:r w:rsidR="00C3281F" w:rsidRPr="00027D36">
              <w:rPr>
                <w:sz w:val="16"/>
                <w:szCs w:val="16"/>
              </w:rPr>
              <w:t>this was a problem</w:t>
            </w:r>
            <w:r w:rsidR="00FB791B" w:rsidRPr="00027D36">
              <w:rPr>
                <w:sz w:val="16"/>
                <w:szCs w:val="16"/>
              </w:rPr>
              <w:t>. Drawing on Kimberly-Clark’s experience with applying for coverage of the S</w:t>
            </w:r>
            <w:r w:rsidR="00004D3B" w:rsidRPr="00027D36">
              <w:rPr>
                <w:sz w:val="16"/>
                <w:szCs w:val="16"/>
              </w:rPr>
              <w:t xml:space="preserve">outh </w:t>
            </w:r>
            <w:r w:rsidR="00FB791B" w:rsidRPr="00027D36">
              <w:rPr>
                <w:sz w:val="16"/>
                <w:szCs w:val="16"/>
              </w:rPr>
              <w:t>E</w:t>
            </w:r>
            <w:r w:rsidR="00004D3B" w:rsidRPr="00027D36">
              <w:rPr>
                <w:sz w:val="16"/>
                <w:szCs w:val="16"/>
              </w:rPr>
              <w:t xml:space="preserve">ast </w:t>
            </w:r>
            <w:r w:rsidR="00FB791B" w:rsidRPr="00027D36">
              <w:rPr>
                <w:sz w:val="16"/>
                <w:szCs w:val="16"/>
              </w:rPr>
              <w:t>P</w:t>
            </w:r>
            <w:r w:rsidR="00004D3B" w:rsidRPr="00027D36">
              <w:rPr>
                <w:sz w:val="16"/>
                <w:szCs w:val="16"/>
              </w:rPr>
              <w:t>ipeline System (SA)</w:t>
            </w:r>
            <w:r w:rsidR="00FB791B" w:rsidRPr="00027D36">
              <w:rPr>
                <w:sz w:val="16"/>
                <w:szCs w:val="16"/>
              </w:rPr>
              <w:t>, the MEU noted that the “excessive costs to get coverage” mean that end users are unlikely to seek coverage when it would be beneficial</w:t>
            </w:r>
            <w:r w:rsidRPr="00027D36">
              <w:rPr>
                <w:sz w:val="16"/>
                <w:szCs w:val="16"/>
              </w:rPr>
              <w:t xml:space="preserve">. </w:t>
            </w:r>
          </w:p>
          <w:p w14:paraId="66792D2C" w14:textId="00EE699D" w:rsidR="001C4913" w:rsidRPr="00027D36" w:rsidRDefault="00317C5E" w:rsidP="00BB437F">
            <w:pPr>
              <w:pStyle w:val="TableBullet10"/>
              <w:spacing w:before="20" w:after="20" w:line="252" w:lineRule="auto"/>
              <w:rPr>
                <w:sz w:val="16"/>
                <w:szCs w:val="16"/>
              </w:rPr>
            </w:pPr>
            <w:r w:rsidRPr="00027D36">
              <w:rPr>
                <w:sz w:val="16"/>
                <w:szCs w:val="16"/>
              </w:rPr>
              <w:t xml:space="preserve">While not expressing a view on </w:t>
            </w:r>
            <w:r w:rsidR="00D57D65" w:rsidRPr="00027D36">
              <w:rPr>
                <w:sz w:val="16"/>
                <w:szCs w:val="16"/>
              </w:rPr>
              <w:t xml:space="preserve">the </w:t>
            </w:r>
            <w:r w:rsidRPr="00027D36">
              <w:rPr>
                <w:sz w:val="16"/>
                <w:szCs w:val="16"/>
              </w:rPr>
              <w:t xml:space="preserve">problem, the </w:t>
            </w:r>
            <w:r w:rsidRPr="00027D36">
              <w:rPr>
                <w:color w:val="FF0000"/>
                <w:sz w:val="16"/>
                <w:szCs w:val="16"/>
              </w:rPr>
              <w:t xml:space="preserve">ACCC, AER, </w:t>
            </w:r>
            <w:r w:rsidRPr="00027D36">
              <w:rPr>
                <w:color w:val="00B0F0"/>
                <w:sz w:val="16"/>
                <w:szCs w:val="16"/>
              </w:rPr>
              <w:t xml:space="preserve">EnergyAustralia </w:t>
            </w:r>
            <w:r w:rsidRPr="00027D36">
              <w:rPr>
                <w:sz w:val="16"/>
                <w:szCs w:val="16"/>
              </w:rPr>
              <w:t xml:space="preserve">and </w:t>
            </w:r>
            <w:r w:rsidRPr="00027D36">
              <w:rPr>
                <w:color w:val="800080" w:themeColor="accent6"/>
                <w:sz w:val="16"/>
                <w:szCs w:val="16"/>
              </w:rPr>
              <w:t>ATCO</w:t>
            </w:r>
            <w:r w:rsidRPr="00027D36">
              <w:rPr>
                <w:bCs/>
                <w:color w:val="800080" w:themeColor="accent6"/>
                <w:sz w:val="16"/>
                <w:szCs w:val="16"/>
              </w:rPr>
              <w:t xml:space="preserve"> </w:t>
            </w:r>
            <w:r w:rsidRPr="00027D36">
              <w:rPr>
                <w:sz w:val="16"/>
                <w:szCs w:val="16"/>
              </w:rPr>
              <w:t xml:space="preserve">thought a single organisation should be </w:t>
            </w:r>
            <w:r w:rsidR="00D57D65" w:rsidRPr="00027D36">
              <w:rPr>
                <w:sz w:val="16"/>
                <w:szCs w:val="16"/>
              </w:rPr>
              <w:t xml:space="preserve">responsible </w:t>
            </w:r>
            <w:r w:rsidRPr="00027D36">
              <w:rPr>
                <w:sz w:val="16"/>
                <w:szCs w:val="16"/>
              </w:rPr>
              <w:t>for decision-making.</w:t>
            </w:r>
            <w:r w:rsidR="00CC5C11" w:rsidRPr="00027D36">
              <w:rPr>
                <w:sz w:val="16"/>
                <w:szCs w:val="16"/>
              </w:rPr>
              <w:t xml:space="preserve"> </w:t>
            </w:r>
          </w:p>
        </w:tc>
      </w:tr>
      <w:tr w:rsidR="00341617" w:rsidRPr="00027D36" w14:paraId="50D90AF5" w14:textId="77777777" w:rsidTr="00D57D65">
        <w:trPr>
          <w:cantSplit/>
        </w:trPr>
        <w:tc>
          <w:tcPr>
            <w:tcW w:w="196" w:type="pct"/>
            <w:vMerge/>
            <w:tcBorders>
              <w:right w:val="single" w:sz="4" w:space="0" w:color="auto"/>
            </w:tcBorders>
            <w:shd w:val="clear" w:color="auto" w:fill="FFFFFF" w:themeFill="background1"/>
          </w:tcPr>
          <w:p w14:paraId="54B5B76C" w14:textId="77777777" w:rsidR="00341617" w:rsidRPr="00027D36" w:rsidRDefault="00341617" w:rsidP="00BB437F">
            <w:pPr>
              <w:pStyle w:val="TableBodyText"/>
              <w:spacing w:before="20" w:after="20" w:line="252" w:lineRule="auto"/>
              <w:rPr>
                <w:sz w:val="16"/>
                <w:szCs w:val="16"/>
              </w:rPr>
            </w:pPr>
          </w:p>
        </w:tc>
        <w:tc>
          <w:tcPr>
            <w:tcW w:w="343" w:type="pct"/>
            <w:tcBorders>
              <w:left w:val="single" w:sz="4" w:space="0" w:color="auto"/>
              <w:bottom w:val="single" w:sz="4" w:space="0" w:color="auto"/>
            </w:tcBorders>
            <w:shd w:val="clear" w:color="auto" w:fill="FFD9DC"/>
          </w:tcPr>
          <w:p w14:paraId="5A4A9CCC" w14:textId="77777777" w:rsidR="00341617" w:rsidRPr="00027D36" w:rsidRDefault="00341617" w:rsidP="00BB437F">
            <w:pPr>
              <w:pStyle w:val="TableBodyText"/>
              <w:spacing w:before="20" w:after="20" w:line="252" w:lineRule="auto"/>
              <w:rPr>
                <w:sz w:val="16"/>
                <w:szCs w:val="16"/>
              </w:rPr>
            </w:pPr>
            <w:r w:rsidRPr="00027D36">
              <w:rPr>
                <w:sz w:val="16"/>
                <w:szCs w:val="16"/>
              </w:rPr>
              <w:t>Disagree</w:t>
            </w:r>
          </w:p>
        </w:tc>
        <w:tc>
          <w:tcPr>
            <w:tcW w:w="4461" w:type="pct"/>
            <w:tcBorders>
              <w:bottom w:val="single" w:sz="4" w:space="0" w:color="auto"/>
            </w:tcBorders>
            <w:shd w:val="clear" w:color="auto" w:fill="FFD9DC"/>
          </w:tcPr>
          <w:p w14:paraId="7B6E33E5" w14:textId="77777777" w:rsidR="00341617" w:rsidRPr="00027D36" w:rsidRDefault="00341617" w:rsidP="00BB437F">
            <w:pPr>
              <w:pStyle w:val="TableBullet10"/>
              <w:spacing w:before="20" w:after="20" w:line="252" w:lineRule="auto"/>
              <w:rPr>
                <w:sz w:val="16"/>
                <w:szCs w:val="16"/>
              </w:rPr>
            </w:pPr>
            <w:r w:rsidRPr="00027D36">
              <w:rPr>
                <w:sz w:val="16"/>
                <w:szCs w:val="16"/>
              </w:rPr>
              <w:t xml:space="preserve">The </w:t>
            </w:r>
            <w:r w:rsidRPr="00027D36">
              <w:rPr>
                <w:color w:val="FF0000"/>
                <w:sz w:val="16"/>
                <w:szCs w:val="16"/>
              </w:rPr>
              <w:t xml:space="preserve">NCC, </w:t>
            </w:r>
            <w:r w:rsidRPr="00027D36">
              <w:rPr>
                <w:color w:val="7030A0"/>
                <w:sz w:val="16"/>
                <w:szCs w:val="16"/>
              </w:rPr>
              <w:t xml:space="preserve">AGIG, APA, </w:t>
            </w:r>
            <w:r w:rsidRPr="00027D36">
              <w:rPr>
                <w:sz w:val="16"/>
                <w:szCs w:val="16"/>
              </w:rPr>
              <w:t xml:space="preserve">and </w:t>
            </w:r>
            <w:r w:rsidRPr="00027D36">
              <w:rPr>
                <w:color w:val="7030A0"/>
                <w:sz w:val="16"/>
                <w:szCs w:val="16"/>
              </w:rPr>
              <w:t xml:space="preserve">APGA </w:t>
            </w:r>
            <w:r w:rsidRPr="00027D36">
              <w:rPr>
                <w:sz w:val="16"/>
                <w:szCs w:val="16"/>
              </w:rPr>
              <w:t>disagreed that the current arrangements are giving rise to unnecessary costs or delays</w:t>
            </w:r>
            <w:r w:rsidR="003B0F46" w:rsidRPr="00027D36">
              <w:rPr>
                <w:sz w:val="16"/>
                <w:szCs w:val="16"/>
              </w:rPr>
              <w:t>, with AGIG and APA stating that in their experience the process had not been unnecessarily delayed</w:t>
            </w:r>
            <w:r w:rsidRPr="00027D36">
              <w:rPr>
                <w:sz w:val="16"/>
                <w:szCs w:val="16"/>
              </w:rPr>
              <w:t xml:space="preserve">. </w:t>
            </w:r>
            <w:r w:rsidR="000647F0" w:rsidRPr="00027D36">
              <w:rPr>
                <w:sz w:val="16"/>
                <w:szCs w:val="16"/>
              </w:rPr>
              <w:t>The NCC</w:t>
            </w:r>
            <w:r w:rsidR="000B35B9" w:rsidRPr="00027D36">
              <w:rPr>
                <w:rFonts w:cstheme="majorHAnsi"/>
                <w:sz w:val="16"/>
                <w:szCs w:val="16"/>
              </w:rPr>
              <w:t xml:space="preserve">’s submission also included </w:t>
            </w:r>
            <w:r w:rsidR="003B0F46" w:rsidRPr="00027D36">
              <w:rPr>
                <w:rFonts w:cstheme="majorHAnsi"/>
                <w:sz w:val="16"/>
                <w:szCs w:val="16"/>
              </w:rPr>
              <w:t xml:space="preserve">data on </w:t>
            </w:r>
            <w:r w:rsidR="000B35B9" w:rsidRPr="00027D36">
              <w:rPr>
                <w:rFonts w:cstheme="majorHAnsi"/>
                <w:sz w:val="16"/>
                <w:szCs w:val="16"/>
              </w:rPr>
              <w:t xml:space="preserve">the </w:t>
            </w:r>
            <w:r w:rsidR="003B0F46" w:rsidRPr="00027D36">
              <w:rPr>
                <w:rFonts w:cstheme="majorHAnsi"/>
                <w:sz w:val="16"/>
                <w:szCs w:val="16"/>
              </w:rPr>
              <w:t xml:space="preserve">decision-making timeframes to </w:t>
            </w:r>
            <w:r w:rsidR="000B35B9" w:rsidRPr="00027D36">
              <w:rPr>
                <w:rFonts w:cstheme="majorHAnsi"/>
                <w:sz w:val="16"/>
                <w:szCs w:val="16"/>
              </w:rPr>
              <w:t>show that the length of time taken for these decisions was not unduly long</w:t>
            </w:r>
            <w:r w:rsidR="003B0F46" w:rsidRPr="00027D36">
              <w:rPr>
                <w:sz w:val="16"/>
                <w:szCs w:val="16"/>
              </w:rPr>
              <w:t xml:space="preserve">. </w:t>
            </w:r>
          </w:p>
          <w:p w14:paraId="4DC9C6B6" w14:textId="77777777" w:rsidR="007B1D4C" w:rsidRPr="00027D36" w:rsidRDefault="00317C5E" w:rsidP="00BB437F">
            <w:pPr>
              <w:pStyle w:val="TableBullet10"/>
              <w:spacing w:before="20" w:after="20" w:line="252" w:lineRule="auto"/>
              <w:rPr>
                <w:sz w:val="16"/>
                <w:szCs w:val="16"/>
              </w:rPr>
            </w:pPr>
            <w:r w:rsidRPr="00027D36">
              <w:rPr>
                <w:sz w:val="16"/>
                <w:szCs w:val="16"/>
              </w:rPr>
              <w:t xml:space="preserve">While not expressing a view on the problem, </w:t>
            </w:r>
            <w:r w:rsidR="00520AA8" w:rsidRPr="00027D36">
              <w:rPr>
                <w:bCs/>
                <w:color w:val="00B0F0"/>
                <w:sz w:val="16"/>
                <w:szCs w:val="16"/>
              </w:rPr>
              <w:t>Origin</w:t>
            </w:r>
            <w:r w:rsidRPr="00027D36">
              <w:rPr>
                <w:bCs/>
                <w:color w:val="800080" w:themeColor="accent6"/>
                <w:sz w:val="16"/>
                <w:szCs w:val="16"/>
              </w:rPr>
              <w:t>,</w:t>
            </w:r>
            <w:r w:rsidRPr="00027D36">
              <w:rPr>
                <w:b/>
                <w:color w:val="800080" w:themeColor="accent6"/>
                <w:sz w:val="16"/>
                <w:szCs w:val="16"/>
              </w:rPr>
              <w:t xml:space="preserve"> </w:t>
            </w:r>
            <w:r w:rsidR="00A21199" w:rsidRPr="00027D36">
              <w:rPr>
                <w:bCs/>
                <w:color w:val="D60093"/>
                <w:sz w:val="16"/>
                <w:szCs w:val="16"/>
              </w:rPr>
              <w:t>APPEA, C</w:t>
            </w:r>
            <w:r w:rsidRPr="00027D36">
              <w:rPr>
                <w:bCs/>
                <w:color w:val="D60093"/>
                <w:sz w:val="16"/>
                <w:szCs w:val="16"/>
              </w:rPr>
              <w:t>OPA</w:t>
            </w:r>
            <w:r w:rsidR="00520AA8" w:rsidRPr="00027D36">
              <w:rPr>
                <w:bCs/>
                <w:color w:val="D60093"/>
                <w:sz w:val="16"/>
                <w:szCs w:val="16"/>
              </w:rPr>
              <w:t>,</w:t>
            </w:r>
            <w:r w:rsidRPr="00027D36">
              <w:rPr>
                <w:bCs/>
                <w:color w:val="D60093"/>
                <w:sz w:val="16"/>
                <w:szCs w:val="16"/>
              </w:rPr>
              <w:t xml:space="preserve"> APLNG</w:t>
            </w:r>
            <w:r w:rsidR="00520AA8" w:rsidRPr="00027D36">
              <w:rPr>
                <w:bCs/>
                <w:color w:val="D60093"/>
                <w:sz w:val="16"/>
                <w:szCs w:val="16"/>
              </w:rPr>
              <w:t xml:space="preserve">, </w:t>
            </w:r>
            <w:r w:rsidR="00520AA8" w:rsidRPr="00027D36">
              <w:rPr>
                <w:bCs/>
                <w:color w:val="800080" w:themeColor="accent6"/>
                <w:sz w:val="16"/>
                <w:szCs w:val="16"/>
              </w:rPr>
              <w:t xml:space="preserve">Epic </w:t>
            </w:r>
            <w:r w:rsidR="00520AA8" w:rsidRPr="00027D36">
              <w:rPr>
                <w:bCs/>
                <w:color w:val="000000" w:themeColor="text1"/>
                <w:sz w:val="16"/>
                <w:szCs w:val="16"/>
              </w:rPr>
              <w:t xml:space="preserve">and </w:t>
            </w:r>
            <w:r w:rsidR="00520AA8" w:rsidRPr="00027D36">
              <w:rPr>
                <w:bCs/>
                <w:color w:val="800080" w:themeColor="accent6"/>
                <w:sz w:val="16"/>
                <w:szCs w:val="16"/>
              </w:rPr>
              <w:t>Jemena</w:t>
            </w:r>
            <w:r w:rsidRPr="00027D36">
              <w:rPr>
                <w:bCs/>
                <w:sz w:val="16"/>
                <w:szCs w:val="16"/>
              </w:rPr>
              <w:t xml:space="preserve"> supported the</w:t>
            </w:r>
            <w:r w:rsidR="004C76AB" w:rsidRPr="00027D36">
              <w:rPr>
                <w:bCs/>
                <w:sz w:val="16"/>
                <w:szCs w:val="16"/>
              </w:rPr>
              <w:t xml:space="preserve"> </w:t>
            </w:r>
            <w:r w:rsidR="00520AA8" w:rsidRPr="00027D36">
              <w:rPr>
                <w:bCs/>
                <w:sz w:val="16"/>
                <w:szCs w:val="16"/>
              </w:rPr>
              <w:t xml:space="preserve">maintenance of the existing </w:t>
            </w:r>
            <w:r w:rsidR="007833B8" w:rsidRPr="00027D36">
              <w:rPr>
                <w:bCs/>
                <w:sz w:val="16"/>
                <w:szCs w:val="16"/>
              </w:rPr>
              <w:t xml:space="preserve">governance </w:t>
            </w:r>
            <w:r w:rsidR="00520AA8" w:rsidRPr="00027D36">
              <w:rPr>
                <w:bCs/>
                <w:sz w:val="16"/>
                <w:szCs w:val="16"/>
              </w:rPr>
              <w:t>arrangements</w:t>
            </w:r>
            <w:r w:rsidRPr="00027D36">
              <w:rPr>
                <w:sz w:val="16"/>
                <w:szCs w:val="16"/>
              </w:rPr>
              <w:t>.</w:t>
            </w:r>
          </w:p>
        </w:tc>
      </w:tr>
      <w:tr w:rsidR="00341617" w:rsidRPr="00027D36" w14:paraId="1E249FF6" w14:textId="77777777" w:rsidTr="00D57D65">
        <w:trPr>
          <w:cnfStyle w:val="000000010000" w:firstRow="0" w:lastRow="0" w:firstColumn="0" w:lastColumn="0" w:oddVBand="0" w:evenVBand="0" w:oddHBand="0" w:evenHBand="1" w:firstRowFirstColumn="0" w:firstRowLastColumn="0" w:lastRowFirstColumn="0" w:lastRowLastColumn="0"/>
          <w:cantSplit/>
        </w:trPr>
        <w:tc>
          <w:tcPr>
            <w:tcW w:w="196" w:type="pct"/>
            <w:vMerge/>
            <w:tcBorders>
              <w:bottom w:val="nil"/>
              <w:right w:val="single" w:sz="4" w:space="0" w:color="auto"/>
            </w:tcBorders>
            <w:shd w:val="clear" w:color="auto" w:fill="FFFFFF" w:themeFill="background1"/>
          </w:tcPr>
          <w:p w14:paraId="318646DA" w14:textId="77777777" w:rsidR="00341617" w:rsidRPr="00027D36" w:rsidRDefault="00341617" w:rsidP="00BB437F">
            <w:pPr>
              <w:pStyle w:val="TableBodyText"/>
              <w:spacing w:before="20" w:after="20" w:line="252" w:lineRule="auto"/>
              <w:rPr>
                <w:sz w:val="16"/>
                <w:szCs w:val="16"/>
              </w:rPr>
            </w:pPr>
          </w:p>
        </w:tc>
        <w:tc>
          <w:tcPr>
            <w:tcW w:w="343" w:type="pct"/>
            <w:tcBorders>
              <w:left w:val="single" w:sz="4" w:space="0" w:color="auto"/>
              <w:bottom w:val="single" w:sz="4" w:space="0" w:color="auto"/>
            </w:tcBorders>
          </w:tcPr>
          <w:p w14:paraId="0758D79D" w14:textId="77777777" w:rsidR="00341617" w:rsidRPr="00027D36" w:rsidRDefault="00341617" w:rsidP="00BB437F">
            <w:pPr>
              <w:pStyle w:val="TableBodyText"/>
              <w:spacing w:before="20" w:after="20" w:line="252" w:lineRule="auto"/>
              <w:rPr>
                <w:sz w:val="16"/>
                <w:szCs w:val="16"/>
              </w:rPr>
            </w:pPr>
            <w:r w:rsidRPr="00027D36">
              <w:rPr>
                <w:sz w:val="16"/>
                <w:szCs w:val="16"/>
              </w:rPr>
              <w:t xml:space="preserve">Other </w:t>
            </w:r>
          </w:p>
        </w:tc>
        <w:tc>
          <w:tcPr>
            <w:tcW w:w="4461" w:type="pct"/>
            <w:tcBorders>
              <w:bottom w:val="single" w:sz="4" w:space="0" w:color="auto"/>
            </w:tcBorders>
          </w:tcPr>
          <w:p w14:paraId="76546146" w14:textId="77777777" w:rsidR="005B0A1F" w:rsidRPr="00027D36" w:rsidRDefault="007B1D4C" w:rsidP="00BB437F">
            <w:pPr>
              <w:pStyle w:val="TableBullet10"/>
              <w:spacing w:before="20" w:after="20" w:line="252" w:lineRule="auto"/>
              <w:rPr>
                <w:sz w:val="16"/>
                <w:szCs w:val="16"/>
              </w:rPr>
            </w:pPr>
            <w:r w:rsidRPr="00027D36">
              <w:rPr>
                <w:sz w:val="16"/>
                <w:szCs w:val="16"/>
              </w:rPr>
              <w:t>Other stakeholders did not express a view on whether this constituted a problem.</w:t>
            </w:r>
          </w:p>
        </w:tc>
      </w:tr>
    </w:tbl>
    <w:p w14:paraId="7E1958A3" w14:textId="77777777" w:rsidR="001A2A7E" w:rsidRDefault="001A2A7E" w:rsidP="00CC46B3">
      <w:pPr>
        <w:pStyle w:val="BodyText"/>
        <w:sectPr w:rsidR="001A2A7E" w:rsidSect="00C924BC">
          <w:pgSz w:w="16839" w:h="11907" w:orient="landscape" w:code="9"/>
          <w:pgMar w:top="993" w:right="1418" w:bottom="851" w:left="1701" w:header="567" w:footer="397" w:gutter="0"/>
          <w:cols w:space="708"/>
          <w:docGrid w:linePitch="360"/>
        </w:sectPr>
      </w:pPr>
    </w:p>
    <w:p w14:paraId="2D6A4EDD" w14:textId="77777777" w:rsidR="005B580B" w:rsidRDefault="009D604C" w:rsidP="00CE5131">
      <w:pPr>
        <w:pStyle w:val="Heading3"/>
      </w:pPr>
      <w:r>
        <w:lastRenderedPageBreak/>
        <w:t xml:space="preserve">Conclusion on </w:t>
      </w:r>
      <w:r w:rsidR="005B580B">
        <w:t>problems with this aspect of the regulatory framework</w:t>
      </w:r>
    </w:p>
    <w:p w14:paraId="6260529E" w14:textId="77777777" w:rsidR="00125B45" w:rsidRDefault="00125B45" w:rsidP="00282112">
      <w:pPr>
        <w:pStyle w:val="BodyText"/>
        <w:spacing w:after="60" w:line="252" w:lineRule="auto"/>
      </w:pPr>
      <w:r>
        <w:t>Having regard to the results of prior reviews and the feedback provided by stakeholders</w:t>
      </w:r>
      <w:r w:rsidR="002E557A">
        <w:t xml:space="preserve"> through this process</w:t>
      </w:r>
      <w:r>
        <w:t>, it would appear that</w:t>
      </w:r>
      <w:r w:rsidR="00004D3B">
        <w:t xml:space="preserve"> the following are in fact problems with the current regulatory framework</w:t>
      </w:r>
      <w:r>
        <w:t xml:space="preserve">: </w:t>
      </w:r>
    </w:p>
    <w:p w14:paraId="244E6B8A" w14:textId="2292BEF7" w:rsidR="00624A0C" w:rsidRPr="00824378" w:rsidRDefault="003F7658" w:rsidP="00AD36B8">
      <w:pPr>
        <w:pStyle w:val="ListBullet"/>
      </w:pPr>
      <w:r w:rsidRPr="00824378">
        <w:t>T</w:t>
      </w:r>
      <w:r w:rsidR="00624A0C" w:rsidRPr="00824378">
        <w:t xml:space="preserve">he </w:t>
      </w:r>
      <w:r w:rsidR="002925A0">
        <w:t xml:space="preserve">continued </w:t>
      </w:r>
      <w:r w:rsidR="00624A0C" w:rsidRPr="00824378">
        <w:t xml:space="preserve">use of the coverage test in third party access decisions could result in under-regulation and inefficient use of and investment in </w:t>
      </w:r>
      <w:r w:rsidR="00095DE5" w:rsidRPr="00824378">
        <w:t xml:space="preserve">these </w:t>
      </w:r>
      <w:r w:rsidR="00624A0C" w:rsidRPr="00824378">
        <w:t>pipelines</w:t>
      </w:r>
      <w:r w:rsidR="00C33058">
        <w:t xml:space="preserve">, because </w:t>
      </w:r>
      <w:r w:rsidR="0080702F">
        <w:t xml:space="preserve">as the ACCC and Productivity Commission have previously observed, </w:t>
      </w:r>
      <w:r w:rsidR="00C33058">
        <w:t xml:space="preserve">the competition limb of </w:t>
      </w:r>
      <w:r w:rsidR="0080702F">
        <w:t xml:space="preserve">this </w:t>
      </w:r>
      <w:r w:rsidR="00C33058">
        <w:t xml:space="preserve">test </w:t>
      </w:r>
      <w:r w:rsidR="00B02EC9">
        <w:t>can be a poor proxy for the efficiency gains associated with access</w:t>
      </w:r>
      <w:r w:rsidR="00750224" w:rsidRPr="00824378">
        <w:t>.</w:t>
      </w:r>
      <w:r w:rsidR="00370905">
        <w:rPr>
          <w:rFonts w:ascii="ZWAdobeF" w:hAnsi="ZWAdobeF" w:cs="ZWAdobeF"/>
          <w:sz w:val="2"/>
          <w:szCs w:val="2"/>
        </w:rPr>
        <w:t>94F</w:t>
      </w:r>
      <w:r w:rsidR="00B02EC9">
        <w:rPr>
          <w:rStyle w:val="FootnoteReference"/>
        </w:rPr>
        <w:footnoteReference w:id="96"/>
      </w:r>
      <w:r w:rsidR="00750224" w:rsidRPr="00824378">
        <w:t xml:space="preserve"> </w:t>
      </w:r>
      <w:r w:rsidR="009F5161" w:rsidRPr="00824378">
        <w:rPr>
          <w:color w:val="000000"/>
        </w:rPr>
        <w:t xml:space="preserve">That is, </w:t>
      </w:r>
      <w:r w:rsidR="009238B7" w:rsidRPr="00824378">
        <w:rPr>
          <w:color w:val="000000"/>
        </w:rPr>
        <w:t xml:space="preserve">while competition may promote efficiency, significant efficiency improvements </w:t>
      </w:r>
      <w:r w:rsidR="00824378">
        <w:rPr>
          <w:color w:val="000000"/>
        </w:rPr>
        <w:t xml:space="preserve">that are in the long-term interests of gas consumers </w:t>
      </w:r>
      <w:r w:rsidR="009238B7" w:rsidRPr="00824378">
        <w:rPr>
          <w:color w:val="000000"/>
        </w:rPr>
        <w:t xml:space="preserve">can </w:t>
      </w:r>
      <w:r w:rsidR="00F30127" w:rsidRPr="00824378">
        <w:rPr>
          <w:color w:val="000000"/>
        </w:rPr>
        <w:t xml:space="preserve">also </w:t>
      </w:r>
      <w:r w:rsidR="009238B7" w:rsidRPr="00824378">
        <w:rPr>
          <w:color w:val="000000"/>
        </w:rPr>
        <w:t>be achieved through access without any change in competition in a related market</w:t>
      </w:r>
      <w:r w:rsidR="00BA4B92" w:rsidRPr="00824378">
        <w:rPr>
          <w:color w:val="000000"/>
        </w:rPr>
        <w:t xml:space="preserve">. </w:t>
      </w:r>
      <w:r w:rsidR="005A1D4E">
        <w:rPr>
          <w:color w:val="000000"/>
        </w:rPr>
        <w:t xml:space="preserve">There is a risk therefore that the continued </w:t>
      </w:r>
      <w:r w:rsidR="00F30127" w:rsidRPr="00824378">
        <w:rPr>
          <w:color w:val="000000"/>
        </w:rPr>
        <w:t xml:space="preserve">use of the coverage test </w:t>
      </w:r>
      <w:r w:rsidR="00022F8A" w:rsidRPr="00824378">
        <w:rPr>
          <w:color w:val="000000"/>
        </w:rPr>
        <w:t>could</w:t>
      </w:r>
      <w:r w:rsidR="00F30127" w:rsidRPr="00824378">
        <w:rPr>
          <w:color w:val="000000"/>
        </w:rPr>
        <w:t xml:space="preserve"> result in </w:t>
      </w:r>
      <w:r w:rsidR="00B129BC" w:rsidRPr="00824378">
        <w:rPr>
          <w:color w:val="000000"/>
        </w:rPr>
        <w:t xml:space="preserve">third party access </w:t>
      </w:r>
      <w:r w:rsidR="005A1D4E">
        <w:rPr>
          <w:color w:val="000000"/>
        </w:rPr>
        <w:t>not being required</w:t>
      </w:r>
      <w:r w:rsidR="00BE00AF">
        <w:rPr>
          <w:color w:val="000000"/>
        </w:rPr>
        <w:t xml:space="preserve">, </w:t>
      </w:r>
      <w:r w:rsidR="00A20F7C">
        <w:rPr>
          <w:color w:val="000000"/>
        </w:rPr>
        <w:t xml:space="preserve">even </w:t>
      </w:r>
      <w:r w:rsidR="00BE00AF">
        <w:rPr>
          <w:color w:val="000000"/>
        </w:rPr>
        <w:t xml:space="preserve">where access </w:t>
      </w:r>
      <w:r w:rsidR="002D00C2">
        <w:rPr>
          <w:color w:val="000000"/>
        </w:rPr>
        <w:t xml:space="preserve">would </w:t>
      </w:r>
      <w:r w:rsidR="00003ED2">
        <w:rPr>
          <w:color w:val="000000"/>
        </w:rPr>
        <w:t xml:space="preserve">be efficient and </w:t>
      </w:r>
      <w:r w:rsidR="002D00C2">
        <w:rPr>
          <w:color w:val="000000"/>
        </w:rPr>
        <w:t>promote the NGO</w:t>
      </w:r>
      <w:r w:rsidR="00022F8A" w:rsidRPr="00824378">
        <w:rPr>
          <w:color w:val="000000"/>
        </w:rPr>
        <w:t>.</w:t>
      </w:r>
      <w:r w:rsidR="00370905">
        <w:rPr>
          <w:rFonts w:ascii="ZWAdobeF" w:hAnsi="ZWAdobeF" w:cs="ZWAdobeF"/>
          <w:sz w:val="2"/>
          <w:szCs w:val="2"/>
        </w:rPr>
        <w:t>95F</w:t>
      </w:r>
      <w:r w:rsidR="00371681">
        <w:rPr>
          <w:rStyle w:val="FootnoteReference"/>
          <w:color w:val="000000"/>
        </w:rPr>
        <w:footnoteReference w:id="97"/>
      </w:r>
      <w:r w:rsidR="00022F8A" w:rsidRPr="00824378">
        <w:rPr>
          <w:color w:val="000000"/>
        </w:rPr>
        <w:t xml:space="preserve"> </w:t>
      </w:r>
    </w:p>
    <w:p w14:paraId="6F805570" w14:textId="77777777" w:rsidR="00624A0C" w:rsidRDefault="00036DFF" w:rsidP="00AD36B8">
      <w:pPr>
        <w:pStyle w:val="ListBullet"/>
      </w:pPr>
      <w:r>
        <w:t>T</w:t>
      </w:r>
      <w:r w:rsidR="00624A0C" w:rsidRPr="006B4639">
        <w:t xml:space="preserve">he </w:t>
      </w:r>
      <w:r w:rsidR="008A5A86">
        <w:t xml:space="preserve">duplication of effort associated with the current </w:t>
      </w:r>
      <w:r w:rsidR="00F56D8A">
        <w:t xml:space="preserve">two-stage </w:t>
      </w:r>
      <w:r w:rsidR="00CD52D4">
        <w:t>decision-making process</w:t>
      </w:r>
      <w:r w:rsidR="003E4B95">
        <w:t>es</w:t>
      </w:r>
      <w:r w:rsidR="00CD52D4">
        <w:t xml:space="preserve"> for </w:t>
      </w:r>
      <w:r w:rsidR="00624A0C">
        <w:t xml:space="preserve">coverage </w:t>
      </w:r>
      <w:r w:rsidR="00624A0C" w:rsidRPr="006B4639">
        <w:t xml:space="preserve">and greenfield exemption decisions </w:t>
      </w:r>
      <w:r>
        <w:t xml:space="preserve">could </w:t>
      </w:r>
      <w:r w:rsidR="00624A0C" w:rsidRPr="006B4639">
        <w:t>rise to unnecessary costs and delays</w:t>
      </w:r>
      <w:r w:rsidR="00461708">
        <w:t xml:space="preserve"> for access seekers, service providers and decision-makers</w:t>
      </w:r>
      <w:r w:rsidR="00624A0C" w:rsidRPr="006B4639">
        <w:t xml:space="preserve">. </w:t>
      </w:r>
      <w:r>
        <w:t>The involvement of different Ministers across jurisdictions could also result in differences in the way these decisions are made</w:t>
      </w:r>
      <w:r w:rsidR="006140F3">
        <w:t xml:space="preserve"> across jurisdictions, which could add to the uncertainty associated with the</w:t>
      </w:r>
      <w:r w:rsidR="00A62199">
        <w:t xml:space="preserve"> decision-making process</w:t>
      </w:r>
      <w:r w:rsidR="00C07678">
        <w:t xml:space="preserve"> and discourage potential access seekers from applying for access</w:t>
      </w:r>
      <w:r>
        <w:t xml:space="preserve">. </w:t>
      </w:r>
    </w:p>
    <w:p w14:paraId="295A8E65" w14:textId="0932AEBF" w:rsidR="00125B45" w:rsidRDefault="00125B45" w:rsidP="00282112">
      <w:pPr>
        <w:pStyle w:val="BodyText"/>
        <w:spacing w:line="252" w:lineRule="auto"/>
        <w:rPr>
          <w:rFonts w:asciiTheme="majorHAnsi" w:hAnsiTheme="majorHAnsi" w:cstheme="majorHAnsi"/>
        </w:rPr>
      </w:pPr>
      <w:r>
        <w:t>While it has not been possible to quantify the effect of these</w:t>
      </w:r>
      <w:r w:rsidR="00AA68D1">
        <w:t xml:space="preserve"> two</w:t>
      </w:r>
      <w:r>
        <w:t xml:space="preserve"> problems, they can be expected to have a detrimental effect on economic efficiency</w:t>
      </w:r>
      <w:r w:rsidR="001F09F1">
        <w:t>,</w:t>
      </w:r>
      <w:r>
        <w:t xml:space="preserve"> consumers</w:t>
      </w:r>
      <w:r w:rsidR="0035080F">
        <w:t xml:space="preserve"> </w:t>
      </w:r>
      <w:r w:rsidR="001F09F1">
        <w:t>and the broader economy</w:t>
      </w:r>
      <w:r>
        <w:t xml:space="preserve">, because they </w:t>
      </w:r>
      <w:r w:rsidR="0072037A">
        <w:t>can</w:t>
      </w:r>
      <w:r w:rsidR="001F09F1">
        <w:t xml:space="preserve"> </w:t>
      </w:r>
      <w:r w:rsidR="008F7434">
        <w:t xml:space="preserve">result in </w:t>
      </w:r>
      <w:r w:rsidR="00886979">
        <w:t xml:space="preserve">inefficient use of and investment in pipelines </w:t>
      </w:r>
      <w:r>
        <w:t xml:space="preserve">and </w:t>
      </w:r>
      <w:r w:rsidR="00C21FB2">
        <w:t>give rise to</w:t>
      </w:r>
      <w:r>
        <w:t xml:space="preserve"> unnecessary costs </w:t>
      </w:r>
      <w:r w:rsidR="00467420">
        <w:t>and delays</w:t>
      </w:r>
      <w:r w:rsidR="008C2200">
        <w:t xml:space="preserve"> in accessing pipelines</w:t>
      </w:r>
      <w:r w:rsidR="00467420">
        <w:t xml:space="preserve">. </w:t>
      </w:r>
      <w:r>
        <w:t xml:space="preserve">These problems can therefore be viewed as </w:t>
      </w:r>
      <w:r w:rsidR="00055A96">
        <w:t xml:space="preserve">both a </w:t>
      </w:r>
      <w:r w:rsidRPr="006B4639">
        <w:t xml:space="preserve">market </w:t>
      </w:r>
      <w:r w:rsidR="00055A96">
        <w:t xml:space="preserve">failure </w:t>
      </w:r>
      <w:r w:rsidR="00F92792">
        <w:t xml:space="preserve">and </w:t>
      </w:r>
      <w:r w:rsidR="00055A96">
        <w:t xml:space="preserve">a </w:t>
      </w:r>
      <w:r w:rsidR="00F92792">
        <w:t xml:space="preserve">regulatory </w:t>
      </w:r>
      <w:r w:rsidR="00055A96">
        <w:t xml:space="preserve">issue </w:t>
      </w:r>
      <w:r>
        <w:t xml:space="preserve">that warrant </w:t>
      </w:r>
      <w:r>
        <w:rPr>
          <w:rFonts w:asciiTheme="majorHAnsi" w:hAnsiTheme="majorHAnsi" w:cstheme="majorHAnsi"/>
        </w:rPr>
        <w:t xml:space="preserve">further action by the </w:t>
      </w:r>
      <w:r w:rsidRPr="00807EA1">
        <w:t>Energy National Cabinet Reform Committee</w:t>
      </w:r>
      <w:r w:rsidRPr="006B4639">
        <w:rPr>
          <w:rFonts w:asciiTheme="majorHAnsi" w:hAnsiTheme="majorHAnsi" w:cstheme="majorHAnsi"/>
        </w:rPr>
        <w:t>.</w:t>
      </w:r>
    </w:p>
    <w:p w14:paraId="121570F7" w14:textId="1B190870" w:rsidR="003044D7" w:rsidRDefault="00A62199" w:rsidP="00EC40C5">
      <w:pPr>
        <w:pStyle w:val="BodyText"/>
        <w:spacing w:line="252" w:lineRule="auto"/>
      </w:pPr>
      <w:r>
        <w:t xml:space="preserve">As to the other two potential problems identified in the Consultation RIS, </w:t>
      </w:r>
      <w:r w:rsidR="00C21FB2">
        <w:t xml:space="preserve">it would appear </w:t>
      </w:r>
      <w:r w:rsidR="001877B2">
        <w:t xml:space="preserve">from the feedback provided by stakeholders and prior reviews </w:t>
      </w:r>
      <w:r w:rsidR="00C21FB2">
        <w:t xml:space="preserve">that </w:t>
      </w:r>
      <w:r w:rsidR="00E47BB9">
        <w:t xml:space="preserve">the risk of over-regulation </w:t>
      </w:r>
      <w:r w:rsidR="000C48B6">
        <w:t xml:space="preserve">associated with the current threshold for regulation </w:t>
      </w:r>
      <w:r w:rsidR="00E47BB9">
        <w:t xml:space="preserve">is </w:t>
      </w:r>
      <w:r w:rsidR="00526047">
        <w:t>very</w:t>
      </w:r>
      <w:r w:rsidR="00E47BB9">
        <w:t xml:space="preserve"> low</w:t>
      </w:r>
      <w:r w:rsidR="007C3DF5">
        <w:t xml:space="preserve"> </w:t>
      </w:r>
      <w:r w:rsidR="00BC3FA8">
        <w:t>given</w:t>
      </w:r>
      <w:r w:rsidR="00B13F52">
        <w:t xml:space="preserve"> </w:t>
      </w:r>
      <w:r w:rsidR="00BC3FA8">
        <w:t xml:space="preserve">the </w:t>
      </w:r>
      <w:r w:rsidR="00526047">
        <w:t xml:space="preserve">relatively </w:t>
      </w:r>
      <w:r w:rsidR="00BC3FA8">
        <w:t xml:space="preserve">light handed nature of </w:t>
      </w:r>
      <w:r w:rsidR="00442221">
        <w:t>P</w:t>
      </w:r>
      <w:r w:rsidR="00B13F52">
        <w:t>art 23</w:t>
      </w:r>
      <w:r w:rsidR="00370905">
        <w:rPr>
          <w:rFonts w:ascii="ZWAdobeF" w:hAnsi="ZWAdobeF" w:cs="ZWAdobeF"/>
          <w:sz w:val="2"/>
          <w:szCs w:val="2"/>
        </w:rPr>
        <w:t>96F</w:t>
      </w:r>
      <w:r w:rsidR="006F3080">
        <w:rPr>
          <w:rStyle w:val="FootnoteReference"/>
        </w:rPr>
        <w:footnoteReference w:id="98"/>
      </w:r>
      <w:r w:rsidR="00B13F52">
        <w:t>.</w:t>
      </w:r>
      <w:r w:rsidR="00370905">
        <w:rPr>
          <w:rFonts w:ascii="ZWAdobeF" w:hAnsi="ZWAdobeF" w:cs="ZWAdobeF"/>
          <w:sz w:val="2"/>
          <w:szCs w:val="2"/>
        </w:rPr>
        <w:t>97F</w:t>
      </w:r>
      <w:r w:rsidR="006F3080">
        <w:rPr>
          <w:rStyle w:val="FootnoteReference"/>
        </w:rPr>
        <w:footnoteReference w:id="99"/>
      </w:r>
      <w:r w:rsidR="00B13F52">
        <w:t xml:space="preserve"> </w:t>
      </w:r>
      <w:r w:rsidR="003044D7" w:rsidRPr="006B4639">
        <w:t xml:space="preserve"> </w:t>
      </w:r>
      <w:r w:rsidR="00FF5108">
        <w:t xml:space="preserve">This </w:t>
      </w:r>
      <w:r w:rsidR="000E4574">
        <w:t xml:space="preserve">finding </w:t>
      </w:r>
      <w:r w:rsidR="00FF5108">
        <w:t xml:space="preserve">is consistent with the view expressed by a range of stakeholders, including </w:t>
      </w:r>
      <w:r w:rsidR="00283E4D">
        <w:t>APGA</w:t>
      </w:r>
      <w:r w:rsidR="00FF5108">
        <w:t xml:space="preserve"> who </w:t>
      </w:r>
      <w:r w:rsidR="00BC42BF">
        <w:t xml:space="preserve">noted in its submission that while the </w:t>
      </w:r>
      <w:r w:rsidR="009E7BD4">
        <w:t>threshold for economic “may result in slight over regulation”</w:t>
      </w:r>
      <w:r w:rsidR="000735AA">
        <w:t>:</w:t>
      </w:r>
    </w:p>
    <w:p w14:paraId="5B9B7704" w14:textId="77777777" w:rsidR="000735AA" w:rsidRDefault="009E7BD4" w:rsidP="00EC40C5">
      <w:pPr>
        <w:pStyle w:val="Quote"/>
        <w:spacing w:before="80" w:after="80" w:line="252" w:lineRule="auto"/>
      </w:pPr>
      <w:r>
        <w:lastRenderedPageBreak/>
        <w:t>“…</w:t>
      </w:r>
      <w:r w:rsidR="000735AA" w:rsidRPr="00D5046A">
        <w:t>Part 23 is a good news story overall that has led to a better functioning gas market. It is relatively light-handed and supports a flexible, commercially oriented negotiate-arbitrate framework, includes appropriate exemptions, and the costs and risks associated with arbitration are so far very low – with arbitration unlikely to be triggered if market power is not being exercised</w:t>
      </w:r>
      <w:r w:rsidR="000735AA">
        <w:t>.</w:t>
      </w:r>
      <w:r w:rsidR="000735AA" w:rsidRPr="00D5046A">
        <w:t xml:space="preserve">”  </w:t>
      </w:r>
    </w:p>
    <w:p w14:paraId="7631B2A3" w14:textId="77777777" w:rsidR="000735AA" w:rsidRDefault="000735AA" w:rsidP="00282112">
      <w:pPr>
        <w:pStyle w:val="BodyText"/>
        <w:spacing w:before="120" w:after="80" w:line="252" w:lineRule="auto"/>
      </w:pPr>
      <w:r w:rsidRPr="000735AA">
        <w:t>The ACCC</w:t>
      </w:r>
      <w:r>
        <w:t xml:space="preserve"> similarly observed that: </w:t>
      </w:r>
    </w:p>
    <w:p w14:paraId="6B9EFD6A" w14:textId="77777777" w:rsidR="00BE700E" w:rsidRPr="00BE700E" w:rsidRDefault="00BE700E" w:rsidP="00282112">
      <w:pPr>
        <w:pStyle w:val="Quote"/>
        <w:spacing w:before="80"/>
      </w:pPr>
      <w:r>
        <w:t>“</w:t>
      </w:r>
      <w:r w:rsidRPr="00BE700E">
        <w:t xml:space="preserve">While, in principle, there is a risk that the extension of Part 23 to all pipelines providing third party access could result in ‘over regulation’, in practice we do not consider this to be a significant risk given the relatively light handed nature of Part 23 (even in its strengthened form). </w:t>
      </w:r>
    </w:p>
    <w:p w14:paraId="4D6CC26B" w14:textId="77777777" w:rsidR="00BE700E" w:rsidRDefault="0032208C" w:rsidP="00AA7246">
      <w:pPr>
        <w:pStyle w:val="Quote"/>
        <w:spacing w:before="80" w:line="252" w:lineRule="auto"/>
      </w:pPr>
      <w:r>
        <w:t>…</w:t>
      </w:r>
      <w:r w:rsidR="00BE700E" w:rsidRPr="00BE700E">
        <w:t xml:space="preserve"> the current threshold for regulation in Australia is less interventionist than the threshold used in a number of other countries, including the United States and Canada, where all pipelines are required to provide third party access on non-discriminatory terms.</w:t>
      </w:r>
      <w:r w:rsidR="00C1294C">
        <w:t>”</w:t>
      </w:r>
      <w:r w:rsidR="00BE700E" w:rsidRPr="00BE700E">
        <w:t xml:space="preserve"> </w:t>
      </w:r>
    </w:p>
    <w:p w14:paraId="606B66E6" w14:textId="2A65679D" w:rsidR="00ED5C69" w:rsidRDefault="000E4574" w:rsidP="00ED5C69">
      <w:r>
        <w:t xml:space="preserve">This finding is also consistent with the following observation that was made by the AEMC in its </w:t>
      </w:r>
      <w:r w:rsidR="003B65A4">
        <w:t xml:space="preserve">2017-18 </w:t>
      </w:r>
      <w:r w:rsidR="00004D3B">
        <w:t>Economic regulation review</w:t>
      </w:r>
      <w:r w:rsidR="003B65A4">
        <w:t>:</w:t>
      </w:r>
      <w:r w:rsidR="00370905">
        <w:rPr>
          <w:rFonts w:ascii="ZWAdobeF" w:hAnsi="ZWAdobeF" w:cs="ZWAdobeF"/>
          <w:sz w:val="2"/>
          <w:szCs w:val="2"/>
        </w:rPr>
        <w:t>98F</w:t>
      </w:r>
      <w:r w:rsidR="00E84D59">
        <w:rPr>
          <w:rStyle w:val="FootnoteReference"/>
        </w:rPr>
        <w:footnoteReference w:id="100"/>
      </w:r>
    </w:p>
    <w:p w14:paraId="13577234" w14:textId="77777777" w:rsidR="00ED5C69" w:rsidRPr="00ED5C69" w:rsidRDefault="00ED5C69" w:rsidP="00282112">
      <w:pPr>
        <w:pStyle w:val="Quote"/>
        <w:spacing w:before="80"/>
      </w:pPr>
      <w:r w:rsidRPr="00BB437F">
        <w:t>“In practice, the overarching effect of the introduction of Part 23 may be an appropriate increase in regulation to address previous concerns with the regime… without imposing unnecessary regulation given the widespread monopoly power found by the ACCC, nor having detrimental impacts on future investment. It may be practically more appropriate to apply some form of regulation to (nearly) all pipelines given the likelihood of market power, rather than risking the mis-application of the test for determining whether regulation should be applied (at all) and so under-regulating.”</w:t>
      </w:r>
    </w:p>
    <w:p w14:paraId="1CC4F6E8" w14:textId="77777777" w:rsidR="00714BF2" w:rsidRPr="00A91584" w:rsidRDefault="00716E02" w:rsidP="00282112">
      <w:pPr>
        <w:pStyle w:val="BodyText"/>
        <w:spacing w:before="120" w:after="80" w:line="252" w:lineRule="auto"/>
        <w:rPr>
          <w:rFonts w:asciiTheme="majorHAnsi" w:hAnsiTheme="majorHAnsi"/>
          <w:bCs/>
          <w:sz w:val="17"/>
          <w:szCs w:val="17"/>
        </w:rPr>
      </w:pPr>
      <w:r w:rsidRPr="006B4639">
        <w:t xml:space="preserve">Like the risk of over-regulation, the </w:t>
      </w:r>
      <w:r w:rsidR="009D055E">
        <w:t xml:space="preserve">risk to </w:t>
      </w:r>
      <w:r w:rsidR="0093440B">
        <w:t xml:space="preserve">greenfield incentives posed by the </w:t>
      </w:r>
      <w:r w:rsidR="00413939">
        <w:t xml:space="preserve">application of Part 23 to pipelines with a 15-year greenfield exemption </w:t>
      </w:r>
      <w:r w:rsidR="005D6427">
        <w:t xml:space="preserve">also </w:t>
      </w:r>
      <w:r w:rsidR="00DD395F">
        <w:t xml:space="preserve">appears </w:t>
      </w:r>
      <w:r w:rsidR="005D6427">
        <w:t>very low</w:t>
      </w:r>
      <w:r w:rsidR="00EA44E1">
        <w:t xml:space="preserve">. </w:t>
      </w:r>
      <w:r w:rsidR="00CF4231">
        <w:t>This is because most new pipelines are underwritten through long-term GTAs</w:t>
      </w:r>
      <w:r w:rsidR="004926F7">
        <w:t xml:space="preserve"> and </w:t>
      </w:r>
      <w:r w:rsidR="009521AF">
        <w:t xml:space="preserve">Part 23 is, as noted above, relatively light handed. </w:t>
      </w:r>
      <w:r w:rsidR="007114C4">
        <w:t xml:space="preserve">This point was made by a number of stakeholders, including </w:t>
      </w:r>
      <w:r w:rsidR="00DB290A">
        <w:t>APLNG</w:t>
      </w:r>
      <w:r w:rsidR="00F45A9F">
        <w:t xml:space="preserve"> and COPA</w:t>
      </w:r>
      <w:r w:rsidR="00DB290A">
        <w:t xml:space="preserve">, </w:t>
      </w:r>
      <w:r w:rsidR="00505825">
        <w:t xml:space="preserve">both of </w:t>
      </w:r>
      <w:r w:rsidR="00DB290A">
        <w:t>who</w:t>
      </w:r>
      <w:r w:rsidR="00505825">
        <w:t>m</w:t>
      </w:r>
      <w:r w:rsidR="00DB290A">
        <w:t xml:space="preserve"> </w:t>
      </w:r>
      <w:r w:rsidR="00F45A9F">
        <w:t xml:space="preserve">have an interest in </w:t>
      </w:r>
      <w:r w:rsidR="00DB290A">
        <w:t xml:space="preserve">a pipeline </w:t>
      </w:r>
      <w:r w:rsidR="00830943">
        <w:t xml:space="preserve">with </w:t>
      </w:r>
      <w:r w:rsidR="00DB290A">
        <w:t>a 15-year no coverage determination</w:t>
      </w:r>
      <w:r w:rsidR="00714BF2">
        <w:t xml:space="preserve">: </w:t>
      </w:r>
    </w:p>
    <w:p w14:paraId="4B40D6BB" w14:textId="77777777" w:rsidR="00714BF2" w:rsidRDefault="00DB290A" w:rsidP="00282112">
      <w:pPr>
        <w:pStyle w:val="Quote"/>
        <w:spacing w:before="40" w:after="40" w:line="252" w:lineRule="auto"/>
      </w:pPr>
      <w:r w:rsidRPr="00A91584">
        <w:rPr>
          <w:rFonts w:asciiTheme="majorHAnsi" w:hAnsiTheme="majorHAnsi"/>
          <w:bCs/>
        </w:rPr>
        <w:t>“</w:t>
      </w:r>
      <w:r w:rsidR="00830943">
        <w:rPr>
          <w:rFonts w:asciiTheme="majorHAnsi" w:hAnsiTheme="majorHAnsi"/>
          <w:bCs/>
        </w:rPr>
        <w:t xml:space="preserve">APLNG </w:t>
      </w:r>
      <w:r w:rsidRPr="00A91584">
        <w:t>does not believe the application of Part 23 to third party pipelines which have obtained a greenfield exemption is deterring investment in greenfield pipelines</w:t>
      </w:r>
      <w:r w:rsidR="00714BF2">
        <w:t>.</w:t>
      </w:r>
      <w:r w:rsidRPr="00A91584">
        <w:t xml:space="preserve">” </w:t>
      </w:r>
    </w:p>
    <w:p w14:paraId="117AA378" w14:textId="77777777" w:rsidR="00BE6B36" w:rsidRPr="00BE6B36" w:rsidRDefault="00BE6B36" w:rsidP="00E37F6A">
      <w:pPr>
        <w:pStyle w:val="Quote"/>
        <w:spacing w:before="80" w:after="80" w:line="252" w:lineRule="auto"/>
        <w:rPr>
          <w:rFonts w:asciiTheme="majorHAnsi" w:hAnsiTheme="majorHAnsi"/>
          <w:bCs/>
        </w:rPr>
      </w:pPr>
      <w:r w:rsidRPr="00BE6B36">
        <w:rPr>
          <w:rFonts w:asciiTheme="majorHAnsi" w:hAnsiTheme="majorHAnsi"/>
          <w:bCs/>
        </w:rPr>
        <w:t>“</w:t>
      </w:r>
      <w:r w:rsidR="00F45A9F">
        <w:rPr>
          <w:rFonts w:asciiTheme="majorHAnsi" w:hAnsiTheme="majorHAnsi"/>
          <w:bCs/>
        </w:rPr>
        <w:t xml:space="preserve">COPA questions the need for greenfield exemptions as </w:t>
      </w:r>
      <w:r w:rsidRPr="00BE6B36">
        <w:rPr>
          <w:rFonts w:asciiTheme="majorHAnsi" w:hAnsiTheme="majorHAnsi"/>
          <w:bCs/>
        </w:rPr>
        <w:t>any proposed pipeline would get certainty from the application of the current regime and its initial contracts and not from an exemption from the regime</w:t>
      </w:r>
      <w:r w:rsidR="001B7057">
        <w:rPr>
          <w:rFonts w:asciiTheme="majorHAnsi" w:hAnsiTheme="majorHAnsi"/>
          <w:bCs/>
        </w:rPr>
        <w:t>.”</w:t>
      </w:r>
    </w:p>
    <w:p w14:paraId="28DDFCC6" w14:textId="58603AD2" w:rsidR="00F00D8D" w:rsidRDefault="001E3A89" w:rsidP="00E37F6A">
      <w:pPr>
        <w:pStyle w:val="BodyText"/>
        <w:spacing w:before="120" w:line="252" w:lineRule="auto"/>
        <w:rPr>
          <w:bCs/>
        </w:rPr>
      </w:pPr>
      <w:r>
        <w:rPr>
          <w:bCs/>
        </w:rPr>
        <w:t xml:space="preserve">Further support for </w:t>
      </w:r>
      <w:r w:rsidR="00992D71">
        <w:rPr>
          <w:bCs/>
        </w:rPr>
        <w:t xml:space="preserve">this </w:t>
      </w:r>
      <w:r w:rsidR="001B7057">
        <w:rPr>
          <w:bCs/>
        </w:rPr>
        <w:t xml:space="preserve">view </w:t>
      </w:r>
      <w:r w:rsidR="00992D71">
        <w:rPr>
          <w:bCs/>
        </w:rPr>
        <w:t xml:space="preserve">can be found in the </w:t>
      </w:r>
      <w:r w:rsidR="00467DD5">
        <w:rPr>
          <w:bCs/>
        </w:rPr>
        <w:t>a</w:t>
      </w:r>
      <w:r w:rsidR="0087693F">
        <w:rPr>
          <w:bCs/>
        </w:rPr>
        <w:t xml:space="preserve">nalysis </w:t>
      </w:r>
      <w:r w:rsidR="00992D71">
        <w:rPr>
          <w:bCs/>
        </w:rPr>
        <w:t xml:space="preserve">of service providers’ internal documents undertaken by the ACCC in mid-2019, which found </w:t>
      </w:r>
      <w:r w:rsidR="00467DD5">
        <w:rPr>
          <w:bCs/>
        </w:rPr>
        <w:t xml:space="preserve">that </w:t>
      </w:r>
      <w:r w:rsidR="009E43E9">
        <w:rPr>
          <w:bCs/>
        </w:rPr>
        <w:t xml:space="preserve">service providers are continuing to investigate a range of investments that </w:t>
      </w:r>
      <w:r w:rsidR="00CE6319">
        <w:rPr>
          <w:bCs/>
        </w:rPr>
        <w:t xml:space="preserve">would be </w:t>
      </w:r>
      <w:r>
        <w:rPr>
          <w:bCs/>
        </w:rPr>
        <w:t>captured by Part 23.</w:t>
      </w:r>
      <w:r w:rsidR="00370905">
        <w:rPr>
          <w:rFonts w:ascii="ZWAdobeF" w:hAnsi="ZWAdobeF" w:cs="ZWAdobeF"/>
          <w:bCs/>
          <w:sz w:val="2"/>
          <w:szCs w:val="2"/>
        </w:rPr>
        <w:t>99F</w:t>
      </w:r>
      <w:r w:rsidR="003C7151">
        <w:rPr>
          <w:rStyle w:val="FootnoteReference"/>
          <w:bCs/>
        </w:rPr>
        <w:footnoteReference w:id="101"/>
      </w:r>
      <w:r>
        <w:rPr>
          <w:bCs/>
        </w:rPr>
        <w:t xml:space="preserve"> </w:t>
      </w:r>
      <w:r w:rsidR="00F00D8D">
        <w:rPr>
          <w:bCs/>
        </w:rPr>
        <w:t xml:space="preserve">Elaborating on this further in its submission, the ACCC </w:t>
      </w:r>
      <w:r w:rsidR="0081568E">
        <w:rPr>
          <w:bCs/>
        </w:rPr>
        <w:t xml:space="preserve">noted </w:t>
      </w:r>
      <w:r w:rsidR="00F00D8D">
        <w:rPr>
          <w:bCs/>
        </w:rPr>
        <w:t>that:</w:t>
      </w:r>
      <w:r w:rsidR="00370905">
        <w:rPr>
          <w:rFonts w:ascii="ZWAdobeF" w:hAnsi="ZWAdobeF" w:cs="ZWAdobeF"/>
          <w:bCs/>
          <w:sz w:val="2"/>
          <w:szCs w:val="2"/>
        </w:rPr>
        <w:t>100F</w:t>
      </w:r>
      <w:r w:rsidR="00E84D59">
        <w:rPr>
          <w:rStyle w:val="FootnoteReference"/>
          <w:bCs/>
        </w:rPr>
        <w:footnoteReference w:id="102"/>
      </w:r>
    </w:p>
    <w:p w14:paraId="67370B06" w14:textId="77777777" w:rsidR="00F00D8D" w:rsidRPr="00F00D8D" w:rsidRDefault="00F00D8D" w:rsidP="00E37F6A">
      <w:pPr>
        <w:pStyle w:val="Quote"/>
        <w:spacing w:before="80" w:after="80" w:line="252" w:lineRule="auto"/>
        <w:rPr>
          <w:rFonts w:eastAsia="Calibri"/>
        </w:rPr>
      </w:pPr>
      <w:r w:rsidRPr="00F00D8D">
        <w:rPr>
          <w:rFonts w:eastAsia="Calibri"/>
        </w:rPr>
        <w:t xml:space="preserve">“…we sought internal documents from pipeline operators as part of our review of the operation of Part 23 and found no evidence to suggest that Part 23 is deterring investment. Rather, we found evidence that pipeline operators were investigating a range of publicly announced and other pipeline investments that would be captured by Part 23. </w:t>
      </w:r>
    </w:p>
    <w:p w14:paraId="45AECFE1" w14:textId="77777777" w:rsidR="00DB290A" w:rsidRDefault="00F00D8D" w:rsidP="00297C9B">
      <w:pPr>
        <w:pStyle w:val="Quote"/>
        <w:spacing w:before="80" w:line="252" w:lineRule="auto"/>
        <w:rPr>
          <w:rFonts w:eastAsia="Calibri"/>
        </w:rPr>
      </w:pPr>
      <w:r w:rsidRPr="00F00D8D">
        <w:rPr>
          <w:rFonts w:eastAsia="Calibri"/>
        </w:rPr>
        <w:t>It is also noteworthy that no greenfield exemptions have been sought in the last five years, but new pipelines have continued to be built over this period, indicating that investment is occurring without having to rely on the greenfield incentive. It is difficult therefore to see how Part 23 can distort an incentive that is not being relied upon.”</w:t>
      </w:r>
    </w:p>
    <w:p w14:paraId="5E69B763" w14:textId="7EBD69BF" w:rsidR="00FF5610" w:rsidRDefault="007C45F5" w:rsidP="00297C9B">
      <w:pPr>
        <w:pStyle w:val="BodyText"/>
        <w:spacing w:before="80" w:line="252" w:lineRule="auto"/>
        <w:rPr>
          <w:rFonts w:eastAsia="Calibri"/>
        </w:rPr>
      </w:pPr>
      <w:r>
        <w:rPr>
          <w:rFonts w:eastAsia="Calibri"/>
        </w:rPr>
        <w:lastRenderedPageBreak/>
        <w:t xml:space="preserve">The large number of </w:t>
      </w:r>
      <w:r w:rsidR="00303287">
        <w:rPr>
          <w:rFonts w:eastAsia="Calibri"/>
        </w:rPr>
        <w:t xml:space="preserve">new pipeline proposals </w:t>
      </w:r>
      <w:r w:rsidR="00F853B8">
        <w:rPr>
          <w:rFonts w:eastAsia="Calibri"/>
        </w:rPr>
        <w:t xml:space="preserve">announced by APA, Jemena and AGIG over the last two to three years </w:t>
      </w:r>
      <w:r w:rsidR="00A40F39">
        <w:rPr>
          <w:rFonts w:eastAsia="Calibri"/>
        </w:rPr>
        <w:t xml:space="preserve">also suggests that the current application of </w:t>
      </w:r>
      <w:r w:rsidR="009C3A97">
        <w:rPr>
          <w:rFonts w:eastAsia="Calibri"/>
        </w:rPr>
        <w:t>Part 23 to new pipelines is not deterring investment</w:t>
      </w:r>
      <w:r w:rsidR="00F072B0">
        <w:rPr>
          <w:rFonts w:eastAsia="Calibri"/>
        </w:rPr>
        <w:t xml:space="preserve"> in greenfield pipelines</w:t>
      </w:r>
      <w:r w:rsidR="009C3A97">
        <w:rPr>
          <w:rFonts w:eastAsia="Calibri"/>
        </w:rPr>
        <w:t>.</w:t>
      </w:r>
      <w:r w:rsidR="00370905">
        <w:rPr>
          <w:rFonts w:ascii="ZWAdobeF" w:eastAsia="Calibri" w:hAnsi="ZWAdobeF" w:cs="ZWAdobeF"/>
          <w:sz w:val="2"/>
          <w:szCs w:val="2"/>
        </w:rPr>
        <w:t>101F</w:t>
      </w:r>
      <w:r w:rsidR="009C3A97">
        <w:rPr>
          <w:rStyle w:val="FootnoteReference"/>
          <w:rFonts w:eastAsia="Calibri"/>
        </w:rPr>
        <w:footnoteReference w:id="103"/>
      </w:r>
      <w:r w:rsidR="009C3A97">
        <w:rPr>
          <w:rFonts w:eastAsia="Calibri"/>
        </w:rPr>
        <w:t xml:space="preserve"> </w:t>
      </w:r>
    </w:p>
    <w:p w14:paraId="18AD4A34" w14:textId="77777777" w:rsidR="000E3DC7" w:rsidRPr="000E3DC7" w:rsidRDefault="00A2026A" w:rsidP="006C2DB2">
      <w:pPr>
        <w:pStyle w:val="BodyText"/>
        <w:spacing w:before="80" w:line="252" w:lineRule="auto"/>
        <w:rPr>
          <w:rFonts w:eastAsia="Calibri"/>
        </w:rPr>
      </w:pPr>
      <w:r>
        <w:rPr>
          <w:rFonts w:eastAsia="Calibri"/>
        </w:rPr>
        <w:t xml:space="preserve">Having regard to the matters set out above, it </w:t>
      </w:r>
      <w:r w:rsidR="006C2DB2">
        <w:rPr>
          <w:rFonts w:eastAsia="Calibri"/>
        </w:rPr>
        <w:t xml:space="preserve">would appear that the risk </w:t>
      </w:r>
      <w:r w:rsidR="00E84BC0">
        <w:rPr>
          <w:rFonts w:eastAsia="Calibri"/>
        </w:rPr>
        <w:t xml:space="preserve">of </w:t>
      </w:r>
      <w:r w:rsidR="008C43C5">
        <w:rPr>
          <w:rFonts w:eastAsia="Calibri"/>
        </w:rPr>
        <w:t xml:space="preserve">over-regulation </w:t>
      </w:r>
      <w:r w:rsidR="00257D91">
        <w:rPr>
          <w:rFonts w:eastAsia="Calibri"/>
        </w:rPr>
        <w:t xml:space="preserve">and the risk to </w:t>
      </w:r>
      <w:r w:rsidR="008C43C5">
        <w:rPr>
          <w:rFonts w:eastAsia="Calibri"/>
        </w:rPr>
        <w:t xml:space="preserve">greenfield incentives </w:t>
      </w:r>
      <w:r w:rsidR="00D0192E">
        <w:rPr>
          <w:rFonts w:eastAsia="Calibri"/>
        </w:rPr>
        <w:t xml:space="preserve">outlined in (a) and (b) </w:t>
      </w:r>
      <w:r w:rsidR="008C43C5">
        <w:rPr>
          <w:rFonts w:eastAsia="Calibri"/>
        </w:rPr>
        <w:t xml:space="preserve">are </w:t>
      </w:r>
      <w:r w:rsidR="008C43C5" w:rsidRPr="006C2DB2">
        <w:rPr>
          <w:rFonts w:eastAsia="Calibri"/>
          <w:b/>
          <w:bCs/>
        </w:rPr>
        <w:t>not</w:t>
      </w:r>
      <w:r w:rsidR="006C2DB2">
        <w:rPr>
          <w:rFonts w:eastAsia="Calibri"/>
        </w:rPr>
        <w:t xml:space="preserve"> problems with the current regulatory framework that </w:t>
      </w:r>
      <w:r w:rsidR="0056324D">
        <w:rPr>
          <w:rFonts w:eastAsia="Calibri"/>
        </w:rPr>
        <w:t xml:space="preserve">require action by the </w:t>
      </w:r>
      <w:r w:rsidR="005D5BBF">
        <w:rPr>
          <w:rFonts w:eastAsia="Calibri"/>
        </w:rPr>
        <w:t>Energy National Cabinet Reform Committee</w:t>
      </w:r>
      <w:r w:rsidR="0056324D">
        <w:rPr>
          <w:rFonts w:eastAsia="Calibri"/>
        </w:rPr>
        <w:t xml:space="preserve">. </w:t>
      </w:r>
      <w:r w:rsidR="005D5BBF">
        <w:rPr>
          <w:rFonts w:eastAsia="Calibri"/>
        </w:rPr>
        <w:t xml:space="preserve">No </w:t>
      </w:r>
      <w:r w:rsidR="00507B78">
        <w:rPr>
          <w:rFonts w:eastAsia="Calibri"/>
        </w:rPr>
        <w:t xml:space="preserve">changes to the current regulatory framework to address these issues have therefore been contemplated as part of this Decision RIS. </w:t>
      </w:r>
    </w:p>
    <w:p w14:paraId="4B045C52" w14:textId="77777777" w:rsidR="002E4CC6" w:rsidRDefault="002E4CC6" w:rsidP="00282112">
      <w:pPr>
        <w:pStyle w:val="Heading2"/>
        <w:spacing w:before="240" w:after="120" w:line="252" w:lineRule="auto"/>
      </w:pPr>
      <w:bookmarkStart w:id="92" w:name="_Toc62219406"/>
      <w:r>
        <w:t>What options were identified in the Consultation RIS to address the problems and what feedback was provided</w:t>
      </w:r>
      <w:r w:rsidRPr="006B4639">
        <w:t>?</w:t>
      </w:r>
      <w:bookmarkEnd w:id="92"/>
    </w:p>
    <w:p w14:paraId="01568ECF" w14:textId="77777777" w:rsidR="00107F57" w:rsidRPr="00107F57" w:rsidRDefault="00107F57" w:rsidP="00282112">
      <w:pPr>
        <w:pStyle w:val="Heading3"/>
        <w:spacing w:before="120" w:after="120"/>
      </w:pPr>
      <w:r>
        <w:t>Options identified in the Consultation RIS</w:t>
      </w:r>
    </w:p>
    <w:bookmarkEnd w:id="86"/>
    <w:bookmarkEnd w:id="90"/>
    <w:p w14:paraId="70B14694" w14:textId="485D9EEF" w:rsidR="00D35D13" w:rsidRPr="006B4639" w:rsidRDefault="008B4A4F" w:rsidP="00B43DC0">
      <w:pPr>
        <w:pStyle w:val="BodyText"/>
      </w:pPr>
      <w:r w:rsidRPr="006B4639">
        <w:fldChar w:fldCharType="begin" w:fldLock="1"/>
      </w:r>
      <w:r w:rsidRPr="006B4639">
        <w:instrText xml:space="preserve"> REF _Ref18148932 \h </w:instrText>
      </w:r>
      <w:r w:rsidRPr="006B4639">
        <w:fldChar w:fldCharType="separate"/>
      </w:r>
      <w:r w:rsidR="00036405" w:rsidRPr="006B4639">
        <w:t xml:space="preserve">Table </w:t>
      </w:r>
      <w:r w:rsidR="00036405">
        <w:rPr>
          <w:noProof/>
        </w:rPr>
        <w:t>4</w:t>
      </w:r>
      <w:r w:rsidR="00036405">
        <w:t>.</w:t>
      </w:r>
      <w:r w:rsidR="00036405">
        <w:rPr>
          <w:noProof/>
        </w:rPr>
        <w:t>2</w:t>
      </w:r>
      <w:r w:rsidRPr="006B4639">
        <w:fldChar w:fldCharType="end"/>
      </w:r>
      <w:r w:rsidRPr="006B4639">
        <w:t xml:space="preserve"> </w:t>
      </w:r>
      <w:r w:rsidR="00DE1C0E" w:rsidRPr="006B4639">
        <w:t xml:space="preserve">provides a summary of the </w:t>
      </w:r>
      <w:r w:rsidR="008F565F" w:rsidRPr="006B4639">
        <w:t xml:space="preserve">options </w:t>
      </w:r>
      <w:r w:rsidR="00D36543">
        <w:t xml:space="preserve">to </w:t>
      </w:r>
      <w:r w:rsidR="00C24A44">
        <w:t xml:space="preserve">address the potential problems </w:t>
      </w:r>
      <w:r w:rsidR="008F565F" w:rsidRPr="006B4639">
        <w:t xml:space="preserve">that </w:t>
      </w:r>
      <w:r w:rsidR="0032179A">
        <w:t>were identified in the Consultation RIS</w:t>
      </w:r>
      <w:r w:rsidR="00297C9B">
        <w:t>.</w:t>
      </w:r>
    </w:p>
    <w:p w14:paraId="5BEDA27D" w14:textId="127C1E6F" w:rsidR="002D7A5C" w:rsidRPr="006B4639" w:rsidDel="00E200E0" w:rsidRDefault="008B4A4F" w:rsidP="00602BDA">
      <w:pPr>
        <w:pStyle w:val="Caption"/>
        <w:spacing w:before="120" w:after="0"/>
      </w:pPr>
      <w:bookmarkStart w:id="93" w:name="_Ref18148932"/>
      <w:bookmarkStart w:id="94" w:name="_Hlk18908970"/>
      <w:r w:rsidRPr="006B4639">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4</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2</w:t>
      </w:r>
      <w:r w:rsidR="00F323B2">
        <w:rPr>
          <w:noProof/>
        </w:rPr>
        <w:fldChar w:fldCharType="end"/>
      </w:r>
      <w:bookmarkEnd w:id="93"/>
      <w:r w:rsidRPr="006B4639">
        <w:t xml:space="preserve">: </w:t>
      </w:r>
      <w:r w:rsidR="002D7A5C">
        <w:t>O</w:t>
      </w:r>
      <w:r w:rsidR="002D7A5C" w:rsidRPr="006B4639">
        <w:t>ptions</w:t>
      </w:r>
      <w:r w:rsidR="002D7A5C">
        <w:t xml:space="preserve"> identified in the Consultation RIS </w:t>
      </w:r>
    </w:p>
    <w:tbl>
      <w:tblPr>
        <w:tblStyle w:val="TableGrid"/>
        <w:tblW w:w="5148" w:type="pct"/>
        <w:tblLook w:val="04A0" w:firstRow="1" w:lastRow="0" w:firstColumn="1" w:lastColumn="0" w:noHBand="0" w:noVBand="1"/>
      </w:tblPr>
      <w:tblGrid>
        <w:gridCol w:w="1418"/>
        <w:gridCol w:w="7630"/>
      </w:tblGrid>
      <w:tr w:rsidR="000E651E" w:rsidRPr="005C2F35" w14:paraId="665DFC3F" w14:textId="77777777" w:rsidTr="00FE4EE1">
        <w:trPr>
          <w:cnfStyle w:val="100000000000" w:firstRow="1" w:lastRow="0" w:firstColumn="0" w:lastColumn="0" w:oddVBand="0" w:evenVBand="0" w:oddHBand="0" w:evenHBand="0" w:firstRowFirstColumn="0" w:firstRowLastColumn="0" w:lastRowFirstColumn="0" w:lastRowLastColumn="0"/>
          <w:trHeight w:val="73"/>
        </w:trPr>
        <w:tc>
          <w:tcPr>
            <w:tcW w:w="1418" w:type="dxa"/>
            <w:shd w:val="clear" w:color="auto" w:fill="002060"/>
          </w:tcPr>
          <w:p w14:paraId="467F6B0E" w14:textId="77777777" w:rsidR="008B4A4F" w:rsidRPr="005C2F35" w:rsidRDefault="00D35D13" w:rsidP="0023640B">
            <w:pPr>
              <w:pStyle w:val="BodyText"/>
              <w:keepNext/>
              <w:spacing w:before="20" w:after="20"/>
              <w:rPr>
                <w:rFonts w:asciiTheme="majorHAnsi" w:hAnsiTheme="majorHAnsi" w:cstheme="majorHAnsi"/>
                <w:bCs/>
                <w:szCs w:val="18"/>
              </w:rPr>
            </w:pPr>
            <w:r w:rsidRPr="005C2F35">
              <w:rPr>
                <w:rFonts w:asciiTheme="majorHAnsi" w:hAnsiTheme="majorHAnsi" w:cstheme="majorHAnsi"/>
                <w:bCs/>
                <w:szCs w:val="18"/>
              </w:rPr>
              <w:t xml:space="preserve">Potential </w:t>
            </w:r>
            <w:r w:rsidR="008B4A4F" w:rsidRPr="005C2F35">
              <w:rPr>
                <w:rFonts w:asciiTheme="majorHAnsi" w:hAnsiTheme="majorHAnsi" w:cstheme="majorHAnsi"/>
                <w:bCs/>
                <w:szCs w:val="18"/>
              </w:rPr>
              <w:t>Problem</w:t>
            </w:r>
            <w:r w:rsidR="00FE4EE1">
              <w:rPr>
                <w:rFonts w:asciiTheme="majorHAnsi" w:hAnsiTheme="majorHAnsi" w:cstheme="majorHAnsi"/>
                <w:bCs/>
                <w:szCs w:val="18"/>
              </w:rPr>
              <w:t>s</w:t>
            </w:r>
          </w:p>
        </w:tc>
        <w:tc>
          <w:tcPr>
            <w:tcW w:w="7630" w:type="dxa"/>
            <w:shd w:val="clear" w:color="auto" w:fill="002060"/>
          </w:tcPr>
          <w:p w14:paraId="213AC32B" w14:textId="77777777" w:rsidR="008B4A4F" w:rsidRPr="005C2F35" w:rsidRDefault="008B4A4F" w:rsidP="0023640B">
            <w:pPr>
              <w:pStyle w:val="BodyText"/>
              <w:keepNext/>
              <w:spacing w:before="20" w:after="20"/>
              <w:rPr>
                <w:rFonts w:asciiTheme="majorHAnsi" w:hAnsiTheme="majorHAnsi" w:cstheme="majorHAnsi"/>
                <w:szCs w:val="18"/>
              </w:rPr>
            </w:pPr>
            <w:r w:rsidRPr="005C2F35">
              <w:rPr>
                <w:rFonts w:asciiTheme="majorHAnsi" w:hAnsiTheme="majorHAnsi" w:cstheme="majorHAnsi"/>
                <w:szCs w:val="18"/>
              </w:rPr>
              <w:t xml:space="preserve">Potential solutions </w:t>
            </w:r>
          </w:p>
        </w:tc>
      </w:tr>
      <w:tr w:rsidR="0031206C" w:rsidRPr="005C2F35" w14:paraId="785EDCD8" w14:textId="77777777" w:rsidTr="00FE4EE1">
        <w:trPr>
          <w:trHeight w:val="716"/>
        </w:trPr>
        <w:tc>
          <w:tcPr>
            <w:tcW w:w="1418" w:type="dxa"/>
          </w:tcPr>
          <w:p w14:paraId="3EA2DC7F" w14:textId="77777777" w:rsidR="0031206C" w:rsidRPr="005C2F35" w:rsidRDefault="0031206C" w:rsidP="0023640B">
            <w:pPr>
              <w:pStyle w:val="BodyText"/>
              <w:spacing w:before="20" w:after="20"/>
              <w:rPr>
                <w:rFonts w:asciiTheme="majorHAnsi" w:hAnsiTheme="majorHAnsi" w:cstheme="majorHAnsi"/>
                <w:bCs/>
                <w:szCs w:val="18"/>
              </w:rPr>
            </w:pPr>
            <w:r w:rsidRPr="005C2F35">
              <w:rPr>
                <w:rFonts w:asciiTheme="majorHAnsi" w:hAnsiTheme="majorHAnsi" w:cstheme="majorHAnsi"/>
                <w:bCs/>
                <w:szCs w:val="18"/>
              </w:rPr>
              <w:t>Risk of over-regulation</w:t>
            </w:r>
            <w:r w:rsidR="00871839">
              <w:rPr>
                <w:rFonts w:asciiTheme="majorHAnsi" w:hAnsiTheme="majorHAnsi" w:cstheme="majorHAnsi"/>
                <w:bCs/>
                <w:szCs w:val="18"/>
              </w:rPr>
              <w:t xml:space="preserve"> of pipelines providing 3</w:t>
            </w:r>
            <w:r w:rsidR="00871839" w:rsidRPr="00871839">
              <w:rPr>
                <w:rFonts w:asciiTheme="majorHAnsi" w:hAnsiTheme="majorHAnsi" w:cstheme="majorHAnsi"/>
                <w:bCs/>
                <w:szCs w:val="18"/>
                <w:vertAlign w:val="superscript"/>
              </w:rPr>
              <w:t>rd</w:t>
            </w:r>
            <w:r w:rsidR="00871839">
              <w:rPr>
                <w:rFonts w:asciiTheme="majorHAnsi" w:hAnsiTheme="majorHAnsi" w:cstheme="majorHAnsi"/>
                <w:bCs/>
                <w:szCs w:val="18"/>
              </w:rPr>
              <w:t xml:space="preserve"> party access</w:t>
            </w:r>
          </w:p>
        </w:tc>
        <w:tc>
          <w:tcPr>
            <w:tcW w:w="7630" w:type="dxa"/>
          </w:tcPr>
          <w:p w14:paraId="08F1C54A" w14:textId="77777777" w:rsidR="0031206C" w:rsidRPr="005C2F35" w:rsidRDefault="0031206C" w:rsidP="0023640B">
            <w:pPr>
              <w:pStyle w:val="TableBodyText"/>
              <w:numPr>
                <w:ilvl w:val="0"/>
                <w:numId w:val="113"/>
              </w:numPr>
              <w:spacing w:before="20" w:after="20"/>
              <w:ind w:left="442" w:hanging="357"/>
            </w:pPr>
            <w:r w:rsidRPr="005C2F35">
              <w:t xml:space="preserve">Maintain the existing threshold for economic regulation (i.e. all pipelines providing </w:t>
            </w:r>
            <w:r w:rsidR="001F3861">
              <w:t>third</w:t>
            </w:r>
            <w:r w:rsidRPr="005C2F35">
              <w:t xml:space="preserve"> party access are subject to some form of regulation) (status quo).</w:t>
            </w:r>
          </w:p>
          <w:p w14:paraId="3E2A507F" w14:textId="708C6038" w:rsidR="00AB34D1" w:rsidRPr="005C2F35" w:rsidRDefault="0024074F" w:rsidP="0023640B">
            <w:pPr>
              <w:pStyle w:val="TableBodyText"/>
              <w:numPr>
                <w:ilvl w:val="0"/>
                <w:numId w:val="113"/>
              </w:numPr>
              <w:spacing w:before="20" w:after="20"/>
              <w:ind w:left="442" w:hanging="357"/>
            </w:pPr>
            <w:r w:rsidRPr="005C2F35">
              <w:t xml:space="preserve">Address the concerns raised about the risk of over-regulation by </w:t>
            </w:r>
            <w:r w:rsidR="0031206C" w:rsidRPr="005C2F35">
              <w:t>allow</w:t>
            </w:r>
            <w:r w:rsidRPr="005C2F35">
              <w:t>ing</w:t>
            </w:r>
            <w:r w:rsidR="0031206C" w:rsidRPr="005C2F35">
              <w:t xml:space="preserve"> a service provider to obtain an exemption from regulation</w:t>
            </w:r>
            <w:r w:rsidR="002A39BB" w:rsidRPr="005C2F35">
              <w:t xml:space="preserve"> (</w:t>
            </w:r>
            <w:r w:rsidR="00334D85" w:rsidRPr="005C2F35">
              <w:t xml:space="preserve">but not </w:t>
            </w:r>
            <w:r w:rsidR="001F3861">
              <w:t xml:space="preserve">the information </w:t>
            </w:r>
            <w:r w:rsidR="00334D85" w:rsidRPr="005C2F35">
              <w:t>disclosure obligations</w:t>
            </w:r>
            <w:r w:rsidR="002A39BB" w:rsidRPr="005C2F35">
              <w:t>)</w:t>
            </w:r>
            <w:r w:rsidR="0031206C" w:rsidRPr="005C2F35">
              <w:t xml:space="preserve"> if it can demonstrate the pipeline </w:t>
            </w:r>
            <w:r w:rsidR="00320D67" w:rsidRPr="005C2F35">
              <w:t>does not satisfy the market power-NGO test</w:t>
            </w:r>
            <w:r w:rsidR="0045436E">
              <w:t xml:space="preserve"> proposed by the ACCC (see </w:t>
            </w:r>
            <w:r w:rsidR="0045436E">
              <w:fldChar w:fldCharType="begin" w:fldLock="1"/>
            </w:r>
            <w:r w:rsidR="0045436E">
              <w:instrText xml:space="preserve"> REF _Ref18234888 \h </w:instrText>
            </w:r>
            <w:r w:rsidR="0045436E">
              <w:fldChar w:fldCharType="separate"/>
            </w:r>
            <w:r w:rsidR="00036405" w:rsidRPr="00750E35">
              <w:t xml:space="preserve">Box </w:t>
            </w:r>
            <w:r w:rsidR="00036405">
              <w:rPr>
                <w:noProof/>
              </w:rPr>
              <w:t>4</w:t>
            </w:r>
            <w:r w:rsidR="00036405" w:rsidRPr="00750E35">
              <w:t>.</w:t>
            </w:r>
            <w:r w:rsidR="00036405">
              <w:rPr>
                <w:noProof/>
              </w:rPr>
              <w:t>1</w:t>
            </w:r>
            <w:r w:rsidR="0045436E">
              <w:fldChar w:fldCharType="end"/>
            </w:r>
            <w:r w:rsidR="0045436E">
              <w:t>)</w:t>
            </w:r>
            <w:r w:rsidR="00B21AC4">
              <w:t>.</w:t>
            </w:r>
          </w:p>
        </w:tc>
      </w:tr>
      <w:tr w:rsidR="0031206C" w:rsidRPr="005C2F35" w14:paraId="784633BD" w14:textId="77777777" w:rsidTr="00FE4EE1">
        <w:trPr>
          <w:cnfStyle w:val="000000010000" w:firstRow="0" w:lastRow="0" w:firstColumn="0" w:lastColumn="0" w:oddVBand="0" w:evenVBand="0" w:oddHBand="0" w:evenHBand="1" w:firstRowFirstColumn="0" w:firstRowLastColumn="0" w:lastRowFirstColumn="0" w:lastRowLastColumn="0"/>
          <w:trHeight w:val="272"/>
        </w:trPr>
        <w:tc>
          <w:tcPr>
            <w:tcW w:w="1418" w:type="dxa"/>
          </w:tcPr>
          <w:p w14:paraId="6A4B39F6" w14:textId="77777777" w:rsidR="0031206C" w:rsidRPr="005C2F35" w:rsidRDefault="0031206C" w:rsidP="0023640B">
            <w:pPr>
              <w:pStyle w:val="BodyText"/>
              <w:spacing w:before="20" w:after="20"/>
              <w:rPr>
                <w:rFonts w:asciiTheme="majorHAnsi" w:hAnsiTheme="majorHAnsi" w:cstheme="majorHAnsi"/>
                <w:bCs/>
                <w:szCs w:val="18"/>
              </w:rPr>
            </w:pPr>
            <w:r w:rsidRPr="005C2F35">
              <w:rPr>
                <w:rFonts w:asciiTheme="majorHAnsi" w:hAnsiTheme="majorHAnsi" w:cstheme="majorHAnsi"/>
                <w:bCs/>
                <w:szCs w:val="18"/>
              </w:rPr>
              <w:t xml:space="preserve">Risk to greenfield investments </w:t>
            </w:r>
          </w:p>
        </w:tc>
        <w:tc>
          <w:tcPr>
            <w:tcW w:w="7630" w:type="dxa"/>
          </w:tcPr>
          <w:p w14:paraId="62FB76FE" w14:textId="77777777" w:rsidR="0031206C" w:rsidRPr="005C2F35" w:rsidRDefault="0031206C" w:rsidP="0023640B">
            <w:pPr>
              <w:pStyle w:val="TableBodyText"/>
              <w:numPr>
                <w:ilvl w:val="0"/>
                <w:numId w:val="115"/>
              </w:numPr>
              <w:spacing w:before="20" w:after="20"/>
              <w:ind w:left="442" w:hanging="357"/>
            </w:pPr>
            <w:r w:rsidRPr="005C2F35">
              <w:t>Maintain the existing approach to greenfield pipeline exemptions (i.e. if a greenfield pipeline is providing third party access it is subject to Part 23) (status quo).</w:t>
            </w:r>
          </w:p>
          <w:p w14:paraId="6410EC4D" w14:textId="77777777" w:rsidR="0031206C" w:rsidRPr="005C2F35" w:rsidRDefault="00090802" w:rsidP="0023640B">
            <w:pPr>
              <w:pStyle w:val="TableBodyText"/>
              <w:numPr>
                <w:ilvl w:val="0"/>
                <w:numId w:val="115"/>
              </w:numPr>
              <w:spacing w:before="20" w:after="20"/>
              <w:ind w:left="442" w:hanging="357"/>
            </w:pPr>
            <w:r w:rsidRPr="005C2F35">
              <w:t>Address the concerns raised about greenfield incentives by e</w:t>
            </w:r>
            <w:r w:rsidR="0031206C" w:rsidRPr="005C2F35">
              <w:t>xpand</w:t>
            </w:r>
            <w:r w:rsidRPr="005C2F35">
              <w:t>ing</w:t>
            </w:r>
            <w:r w:rsidR="0031206C" w:rsidRPr="005C2F35">
              <w:t xml:space="preserve"> the scope of the </w:t>
            </w:r>
            <w:r w:rsidR="00C45512" w:rsidRPr="005C2F35">
              <w:t xml:space="preserve">exemption to </w:t>
            </w:r>
            <w:r w:rsidR="0031206C" w:rsidRPr="005C2F35">
              <w:t>include an exemption from</w:t>
            </w:r>
            <w:r w:rsidR="00334D85" w:rsidRPr="005C2F35">
              <w:t xml:space="preserve"> </w:t>
            </w:r>
            <w:r w:rsidR="001F3861">
              <w:t xml:space="preserve">either </w:t>
            </w:r>
            <w:r w:rsidR="0031206C" w:rsidRPr="005C2F35">
              <w:t>all elements of Part 23</w:t>
            </w:r>
            <w:r w:rsidR="001F3861">
              <w:t xml:space="preserve"> or the arbitration element only</w:t>
            </w:r>
            <w:r w:rsidR="0031206C" w:rsidRPr="005C2F35">
              <w:t>.</w:t>
            </w:r>
          </w:p>
        </w:tc>
      </w:tr>
      <w:tr w:rsidR="003257C8" w:rsidRPr="005C2F35" w14:paraId="6BB1A06C" w14:textId="77777777" w:rsidTr="00857981">
        <w:trPr>
          <w:trHeight w:val="272"/>
        </w:trPr>
        <w:tc>
          <w:tcPr>
            <w:tcW w:w="1418" w:type="dxa"/>
          </w:tcPr>
          <w:p w14:paraId="383BDDD6" w14:textId="77777777" w:rsidR="003257C8" w:rsidRPr="005C2F35" w:rsidRDefault="003257C8" w:rsidP="0023640B">
            <w:pPr>
              <w:pStyle w:val="BodyText"/>
              <w:spacing w:before="20" w:after="20"/>
              <w:rPr>
                <w:rFonts w:asciiTheme="majorHAnsi" w:hAnsiTheme="majorHAnsi" w:cstheme="majorHAnsi"/>
                <w:bCs/>
                <w:szCs w:val="18"/>
              </w:rPr>
            </w:pPr>
            <w:r w:rsidRPr="005C2F35">
              <w:rPr>
                <w:rFonts w:asciiTheme="majorHAnsi" w:hAnsiTheme="majorHAnsi" w:cstheme="majorHAnsi"/>
                <w:bCs/>
                <w:szCs w:val="18"/>
              </w:rPr>
              <w:t>Access to pipelines that are not providing 3</w:t>
            </w:r>
            <w:r w:rsidRPr="005C2F35">
              <w:rPr>
                <w:rFonts w:asciiTheme="majorHAnsi" w:hAnsiTheme="majorHAnsi" w:cstheme="majorHAnsi"/>
                <w:bCs/>
                <w:szCs w:val="18"/>
                <w:vertAlign w:val="superscript"/>
              </w:rPr>
              <w:t>rd</w:t>
            </w:r>
            <w:r w:rsidRPr="005C2F35">
              <w:rPr>
                <w:rFonts w:asciiTheme="majorHAnsi" w:hAnsiTheme="majorHAnsi" w:cstheme="majorHAnsi"/>
                <w:bCs/>
                <w:szCs w:val="18"/>
              </w:rPr>
              <w:t xml:space="preserve"> party access</w:t>
            </w:r>
          </w:p>
        </w:tc>
        <w:tc>
          <w:tcPr>
            <w:tcW w:w="7630" w:type="dxa"/>
          </w:tcPr>
          <w:p w14:paraId="6BBA1E1A" w14:textId="77777777" w:rsidR="003257C8" w:rsidRPr="005C2F35" w:rsidRDefault="003257C8" w:rsidP="0023640B">
            <w:pPr>
              <w:pStyle w:val="TableBodyText"/>
              <w:numPr>
                <w:ilvl w:val="0"/>
                <w:numId w:val="114"/>
              </w:numPr>
              <w:spacing w:before="20" w:after="20"/>
              <w:ind w:left="442" w:hanging="357"/>
            </w:pPr>
            <w:r w:rsidRPr="005C2F35">
              <w:t>Maintain the existing approach to the treatment of pipelines that are not providing third party access (i.e. only require those pipelines that are not providing third party access to do so if they satisfy the coverage test) (status quo).</w:t>
            </w:r>
          </w:p>
          <w:p w14:paraId="5E21B099" w14:textId="77777777" w:rsidR="003257C8" w:rsidRPr="005C2F35" w:rsidRDefault="003257C8" w:rsidP="0023640B">
            <w:pPr>
              <w:pStyle w:val="TableBodyText"/>
              <w:numPr>
                <w:ilvl w:val="0"/>
                <w:numId w:val="114"/>
              </w:numPr>
              <w:spacing w:before="20" w:after="20"/>
              <w:ind w:left="442" w:hanging="357"/>
            </w:pPr>
            <w:r w:rsidRPr="005C2F35">
              <w:t>Address the concerns raised about the potential under-regulation of pipelines that are not providing third party access by either:</w:t>
            </w:r>
          </w:p>
          <w:p w14:paraId="4D80BFD0" w14:textId="77777777" w:rsidR="003257C8" w:rsidRPr="005C2F35" w:rsidRDefault="003257C8" w:rsidP="0023640B">
            <w:pPr>
              <w:pStyle w:val="TableListNumber"/>
              <w:numPr>
                <w:ilvl w:val="0"/>
                <w:numId w:val="102"/>
              </w:numPr>
              <w:rPr>
                <w:szCs w:val="18"/>
              </w:rPr>
            </w:pPr>
            <w:r w:rsidRPr="005C2F35">
              <w:rPr>
                <w:szCs w:val="18"/>
              </w:rPr>
              <w:t>continuing to consider on a case-by-case basis whether third party access should be required, but replacing the coverage test with another test; or</w:t>
            </w:r>
          </w:p>
          <w:p w14:paraId="5F4B6D6C" w14:textId="77777777" w:rsidR="003257C8" w:rsidRPr="005C2F35" w:rsidRDefault="003257C8" w:rsidP="0023640B">
            <w:pPr>
              <w:pStyle w:val="TableListNumber"/>
              <w:numPr>
                <w:ilvl w:val="0"/>
                <w:numId w:val="102"/>
              </w:numPr>
              <w:rPr>
                <w:rFonts w:asciiTheme="majorHAnsi" w:hAnsiTheme="majorHAnsi" w:cstheme="majorHAnsi"/>
                <w:szCs w:val="18"/>
              </w:rPr>
            </w:pPr>
            <w:r w:rsidRPr="005C2F35">
              <w:rPr>
                <w:szCs w:val="18"/>
              </w:rPr>
              <w:t xml:space="preserve">mandating that </w:t>
            </w:r>
            <w:r w:rsidRPr="005C2F35">
              <w:rPr>
                <w:b/>
                <w:bCs/>
                <w:szCs w:val="18"/>
                <w:u w:val="single"/>
              </w:rPr>
              <w:t>all</w:t>
            </w:r>
            <w:r w:rsidRPr="005C2F35">
              <w:rPr>
                <w:szCs w:val="18"/>
              </w:rPr>
              <w:t xml:space="preserve"> pipelines provide third party access.</w:t>
            </w:r>
          </w:p>
        </w:tc>
      </w:tr>
      <w:tr w:rsidR="00FE4EE1" w:rsidRPr="005C2F35" w14:paraId="21AD79A9" w14:textId="77777777" w:rsidTr="00FE4EE1">
        <w:trPr>
          <w:cnfStyle w:val="000000010000" w:firstRow="0" w:lastRow="0" w:firstColumn="0" w:lastColumn="0" w:oddVBand="0" w:evenVBand="0" w:oddHBand="0" w:evenHBand="1" w:firstRowFirstColumn="0" w:firstRowLastColumn="0" w:lastRowFirstColumn="0" w:lastRowLastColumn="0"/>
          <w:trHeight w:val="498"/>
        </w:trPr>
        <w:tc>
          <w:tcPr>
            <w:tcW w:w="1418" w:type="dxa"/>
          </w:tcPr>
          <w:p w14:paraId="1864476C" w14:textId="77777777" w:rsidR="008B4A4F" w:rsidRPr="005C2F35" w:rsidRDefault="008B4A4F" w:rsidP="0023640B">
            <w:pPr>
              <w:pStyle w:val="BodyText"/>
              <w:spacing w:before="20" w:after="20"/>
              <w:rPr>
                <w:rFonts w:asciiTheme="majorHAnsi" w:hAnsiTheme="majorHAnsi" w:cstheme="majorHAnsi"/>
                <w:bCs/>
                <w:szCs w:val="18"/>
              </w:rPr>
            </w:pPr>
            <w:r w:rsidRPr="005C2F35">
              <w:rPr>
                <w:rFonts w:asciiTheme="majorHAnsi" w:hAnsiTheme="majorHAnsi" w:cstheme="majorHAnsi"/>
                <w:bCs/>
                <w:szCs w:val="18"/>
              </w:rPr>
              <w:t xml:space="preserve">Test for </w:t>
            </w:r>
            <w:r w:rsidR="008F2C8D">
              <w:rPr>
                <w:rFonts w:asciiTheme="majorHAnsi" w:hAnsiTheme="majorHAnsi" w:cstheme="majorHAnsi"/>
                <w:bCs/>
                <w:szCs w:val="18"/>
              </w:rPr>
              <w:t>3</w:t>
            </w:r>
            <w:r w:rsidR="008F2C8D" w:rsidRPr="008F2C8D">
              <w:rPr>
                <w:rFonts w:asciiTheme="majorHAnsi" w:hAnsiTheme="majorHAnsi" w:cstheme="majorHAnsi"/>
                <w:bCs/>
                <w:szCs w:val="18"/>
                <w:vertAlign w:val="superscript"/>
              </w:rPr>
              <w:t>rd</w:t>
            </w:r>
            <w:r w:rsidR="008F2C8D">
              <w:rPr>
                <w:rFonts w:asciiTheme="majorHAnsi" w:hAnsiTheme="majorHAnsi" w:cstheme="majorHAnsi"/>
                <w:bCs/>
                <w:szCs w:val="18"/>
              </w:rPr>
              <w:t xml:space="preserve"> party </w:t>
            </w:r>
            <w:r w:rsidR="00AB34D1" w:rsidRPr="005C2F35">
              <w:rPr>
                <w:rFonts w:asciiTheme="majorHAnsi" w:hAnsiTheme="majorHAnsi" w:cstheme="majorHAnsi"/>
                <w:bCs/>
                <w:szCs w:val="18"/>
              </w:rPr>
              <w:t xml:space="preserve">access and greenfield exemptions </w:t>
            </w:r>
          </w:p>
        </w:tc>
        <w:tc>
          <w:tcPr>
            <w:tcW w:w="7630" w:type="dxa"/>
          </w:tcPr>
          <w:p w14:paraId="5A14BB32" w14:textId="77777777" w:rsidR="008B4A4F" w:rsidRPr="005C2F35" w:rsidRDefault="008B4A4F" w:rsidP="0023640B">
            <w:pPr>
              <w:pStyle w:val="TableBodyText"/>
              <w:numPr>
                <w:ilvl w:val="0"/>
                <w:numId w:val="116"/>
              </w:numPr>
              <w:spacing w:before="20" w:after="20"/>
              <w:ind w:left="442" w:hanging="357"/>
            </w:pPr>
            <w:r w:rsidRPr="005C2F35">
              <w:t>Retain the existing coverage test (status quo)</w:t>
            </w:r>
            <w:r w:rsidR="002916D6" w:rsidRPr="005C2F35">
              <w:t>.</w:t>
            </w:r>
          </w:p>
          <w:p w14:paraId="685E5982" w14:textId="77777777" w:rsidR="00490F90" w:rsidRDefault="008A19EF" w:rsidP="0023640B">
            <w:pPr>
              <w:pStyle w:val="TableBodyText"/>
              <w:numPr>
                <w:ilvl w:val="0"/>
                <w:numId w:val="116"/>
              </w:numPr>
              <w:spacing w:before="20" w:after="20"/>
              <w:ind w:left="442" w:hanging="357"/>
            </w:pPr>
            <w:r w:rsidRPr="005C2F35">
              <w:t xml:space="preserve">Address the concerns raised </w:t>
            </w:r>
            <w:r w:rsidR="00A1565A" w:rsidRPr="005C2F35">
              <w:t xml:space="preserve">with </w:t>
            </w:r>
            <w:r w:rsidRPr="005C2F35">
              <w:t>the coverage test by r</w:t>
            </w:r>
            <w:r w:rsidR="00F63E3F" w:rsidRPr="005C2F35">
              <w:t>eplac</w:t>
            </w:r>
            <w:r w:rsidRPr="005C2F35">
              <w:t>ing</w:t>
            </w:r>
            <w:r w:rsidR="00F63E3F" w:rsidRPr="005C2F35">
              <w:t xml:space="preserve"> </w:t>
            </w:r>
            <w:r w:rsidRPr="005C2F35">
              <w:t xml:space="preserve">it </w:t>
            </w:r>
            <w:r w:rsidR="00F63E3F" w:rsidRPr="005C2F35">
              <w:t>with:</w:t>
            </w:r>
            <w:r w:rsidR="008F2C8D">
              <w:t xml:space="preserve"> </w:t>
            </w:r>
          </w:p>
          <w:p w14:paraId="069CC318" w14:textId="77777777" w:rsidR="00490F90" w:rsidRDefault="008F2C8D" w:rsidP="0023640B">
            <w:pPr>
              <w:pStyle w:val="TableBodyText"/>
              <w:spacing w:before="20" w:after="20"/>
              <w:ind w:left="442"/>
            </w:pPr>
            <w:r>
              <w:t xml:space="preserve">(a) </w:t>
            </w:r>
            <w:r w:rsidR="008B4A4F" w:rsidRPr="008F2C8D">
              <w:t xml:space="preserve">the </w:t>
            </w:r>
            <w:r w:rsidR="00490F90">
              <w:t xml:space="preserve">third party access test in </w:t>
            </w:r>
            <w:r w:rsidR="00D20A96">
              <w:t>Part IIIA of the CCA</w:t>
            </w:r>
            <w:r w:rsidR="00CA1201" w:rsidRPr="008F2C8D">
              <w:t>;</w:t>
            </w:r>
            <w:r>
              <w:t xml:space="preserve"> </w:t>
            </w:r>
          </w:p>
          <w:p w14:paraId="46F534A7" w14:textId="77777777" w:rsidR="00490F90" w:rsidRDefault="008F2C8D" w:rsidP="0023640B">
            <w:pPr>
              <w:pStyle w:val="TableBodyText"/>
              <w:spacing w:before="20" w:after="20"/>
              <w:ind w:left="442"/>
            </w:pPr>
            <w:r>
              <w:t xml:space="preserve">(b) </w:t>
            </w:r>
            <w:r w:rsidR="008B4A4F" w:rsidRPr="008F2C8D">
              <w:t xml:space="preserve">an NGO </w:t>
            </w:r>
            <w:r w:rsidR="00AB34D1" w:rsidRPr="008F2C8D">
              <w:t xml:space="preserve">style </w:t>
            </w:r>
            <w:r w:rsidR="008B4A4F" w:rsidRPr="008F2C8D">
              <w:t>test</w:t>
            </w:r>
            <w:r w:rsidR="00CA1201" w:rsidRPr="008F2C8D">
              <w:t>; or</w:t>
            </w:r>
            <w:r>
              <w:t xml:space="preserve"> </w:t>
            </w:r>
          </w:p>
          <w:p w14:paraId="47F1C8B4" w14:textId="77777777" w:rsidR="008B4A4F" w:rsidRPr="005C2F35" w:rsidRDefault="008F2C8D" w:rsidP="0023640B">
            <w:pPr>
              <w:pStyle w:val="TableBodyText"/>
              <w:spacing w:before="20" w:after="20"/>
              <w:ind w:left="442"/>
            </w:pPr>
            <w:r>
              <w:t xml:space="preserve">(c) </w:t>
            </w:r>
            <w:r w:rsidR="008B4A4F" w:rsidRPr="005C2F35">
              <w:t>a combined market power</w:t>
            </w:r>
            <w:r w:rsidR="00CA1201" w:rsidRPr="005C2F35">
              <w:t>-NGO</w:t>
            </w:r>
            <w:r>
              <w:t xml:space="preserve"> test</w:t>
            </w:r>
            <w:r w:rsidR="008B4A4F" w:rsidRPr="005C2F35">
              <w:t>.</w:t>
            </w:r>
          </w:p>
        </w:tc>
      </w:tr>
      <w:tr w:rsidR="008B4A4F" w:rsidRPr="005C2F35" w14:paraId="0E6C2EBC" w14:textId="77777777" w:rsidTr="00FE4EE1">
        <w:trPr>
          <w:trHeight w:val="537"/>
        </w:trPr>
        <w:tc>
          <w:tcPr>
            <w:tcW w:w="1418" w:type="dxa"/>
          </w:tcPr>
          <w:p w14:paraId="1720FAD3" w14:textId="77777777" w:rsidR="008B4A4F" w:rsidRPr="005C2F35" w:rsidRDefault="008B4A4F" w:rsidP="0023640B">
            <w:pPr>
              <w:pStyle w:val="BodyText"/>
              <w:spacing w:before="20" w:after="20"/>
              <w:rPr>
                <w:rFonts w:asciiTheme="majorHAnsi" w:hAnsiTheme="majorHAnsi" w:cstheme="majorHAnsi"/>
                <w:bCs/>
                <w:szCs w:val="18"/>
              </w:rPr>
            </w:pPr>
            <w:r w:rsidRPr="005C2F35">
              <w:rPr>
                <w:rFonts w:asciiTheme="majorHAnsi" w:hAnsiTheme="majorHAnsi" w:cstheme="majorHAnsi"/>
                <w:bCs/>
                <w:szCs w:val="18"/>
              </w:rPr>
              <w:t xml:space="preserve">Governance </w:t>
            </w:r>
            <w:r w:rsidR="00A74239" w:rsidRPr="005C2F35">
              <w:rPr>
                <w:rFonts w:asciiTheme="majorHAnsi" w:hAnsiTheme="majorHAnsi" w:cstheme="majorHAnsi"/>
                <w:bCs/>
                <w:szCs w:val="18"/>
              </w:rPr>
              <w:t xml:space="preserve">for </w:t>
            </w:r>
            <w:r w:rsidR="00ED6DE1" w:rsidRPr="005C2F35">
              <w:rPr>
                <w:rFonts w:asciiTheme="majorHAnsi" w:hAnsiTheme="majorHAnsi" w:cstheme="majorHAnsi"/>
                <w:bCs/>
                <w:szCs w:val="18"/>
              </w:rPr>
              <w:t>when to regulate and how to regulate decisions</w:t>
            </w:r>
          </w:p>
        </w:tc>
        <w:tc>
          <w:tcPr>
            <w:tcW w:w="7630" w:type="dxa"/>
          </w:tcPr>
          <w:p w14:paraId="67432D7E" w14:textId="77777777" w:rsidR="008B4A4F" w:rsidRPr="005C2F35" w:rsidRDefault="008B4A4F" w:rsidP="0023640B">
            <w:pPr>
              <w:pStyle w:val="TableBodyText"/>
              <w:numPr>
                <w:ilvl w:val="0"/>
                <w:numId w:val="117"/>
              </w:numPr>
              <w:spacing w:before="20" w:after="20"/>
              <w:ind w:left="442" w:hanging="357"/>
            </w:pPr>
            <w:r w:rsidRPr="005C2F35">
              <w:t>Retain existing governance arrangements (status quo).</w:t>
            </w:r>
          </w:p>
          <w:p w14:paraId="1735277F" w14:textId="77777777" w:rsidR="00490F90" w:rsidRDefault="008A19EF" w:rsidP="0023640B">
            <w:pPr>
              <w:pStyle w:val="TableBodyText"/>
              <w:numPr>
                <w:ilvl w:val="0"/>
                <w:numId w:val="117"/>
              </w:numPr>
              <w:spacing w:before="20" w:after="20"/>
              <w:ind w:left="442" w:hanging="357"/>
            </w:pPr>
            <w:r w:rsidRPr="005C2F35">
              <w:t xml:space="preserve">Address the concerns that have been raised about the unnecessary costs and delays associated with the current governance arrangements, by </w:t>
            </w:r>
            <w:r w:rsidR="008B4A4F" w:rsidRPr="005C2F35">
              <w:t>requir</w:t>
            </w:r>
            <w:r w:rsidRPr="005C2F35">
              <w:t>ing</w:t>
            </w:r>
            <w:r w:rsidR="008B4A4F" w:rsidRPr="005C2F35">
              <w:t xml:space="preserve"> a single </w:t>
            </w:r>
            <w:r w:rsidR="00214809" w:rsidRPr="005C2F35">
              <w:t xml:space="preserve">organisation </w:t>
            </w:r>
            <w:r w:rsidR="008B4A4F" w:rsidRPr="005C2F35">
              <w:t xml:space="preserve">to make </w:t>
            </w:r>
            <w:r w:rsidR="00D30DAD" w:rsidRPr="005C2F35">
              <w:t xml:space="preserve">all of these </w:t>
            </w:r>
            <w:r w:rsidR="008B4A4F" w:rsidRPr="005C2F35">
              <w:t>decisions</w:t>
            </w:r>
            <w:r w:rsidR="00D30DAD" w:rsidRPr="005C2F35">
              <w:t>, with the decision-making options including</w:t>
            </w:r>
            <w:r w:rsidR="008B4A4F" w:rsidRPr="005C2F35">
              <w:t>:</w:t>
            </w:r>
            <w:r w:rsidR="00EC40C5" w:rsidRPr="005C2F35">
              <w:t xml:space="preserve"> </w:t>
            </w:r>
          </w:p>
          <w:p w14:paraId="6D38FC1D" w14:textId="77777777" w:rsidR="00490F90" w:rsidRDefault="00EC40C5" w:rsidP="0023640B">
            <w:pPr>
              <w:pStyle w:val="TableBodyText"/>
              <w:spacing w:before="20" w:after="20"/>
              <w:ind w:left="442"/>
            </w:pPr>
            <w:r w:rsidRPr="005C2F35">
              <w:t xml:space="preserve">(a) the NCC; </w:t>
            </w:r>
          </w:p>
          <w:p w14:paraId="3E2CE197" w14:textId="77777777" w:rsidR="00490F90" w:rsidRDefault="00EC40C5" w:rsidP="0023640B">
            <w:pPr>
              <w:pStyle w:val="TableBodyText"/>
              <w:spacing w:before="20" w:after="20"/>
              <w:ind w:left="442"/>
            </w:pPr>
            <w:r w:rsidRPr="005C2F35">
              <w:t xml:space="preserve">(b) the ACCC; or </w:t>
            </w:r>
          </w:p>
          <w:p w14:paraId="5AD73DD6" w14:textId="77777777" w:rsidR="008B4A4F" w:rsidRPr="005C2F35" w:rsidRDefault="00EC40C5" w:rsidP="0023640B">
            <w:pPr>
              <w:pStyle w:val="TableBodyText"/>
              <w:spacing w:before="20" w:after="20"/>
              <w:ind w:left="442"/>
            </w:pPr>
            <w:r w:rsidRPr="005C2F35">
              <w:t xml:space="preserve">(c) the relevant regulator (i.e. AER or ERA). </w:t>
            </w:r>
          </w:p>
        </w:tc>
      </w:tr>
    </w:tbl>
    <w:p w14:paraId="67499CAA" w14:textId="2D297250" w:rsidR="0045436E" w:rsidRPr="00750E35" w:rsidRDefault="0045436E" w:rsidP="0045436E">
      <w:pPr>
        <w:pStyle w:val="Caption"/>
        <w:spacing w:after="0"/>
      </w:pPr>
      <w:bookmarkStart w:id="95" w:name="_Ref18234888"/>
      <w:bookmarkEnd w:id="94"/>
      <w:r w:rsidRPr="00750E35">
        <w:lastRenderedPageBreak/>
        <w:t xml:space="preserve">Box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4</w:t>
      </w:r>
      <w:r w:rsidR="00F323B2">
        <w:rPr>
          <w:noProof/>
        </w:rPr>
        <w:fldChar w:fldCharType="end"/>
      </w:r>
      <w:r w:rsidRPr="00750E35">
        <w:t>.</w:t>
      </w:r>
      <w:r w:rsidR="00F323B2">
        <w:rPr>
          <w:noProof/>
        </w:rPr>
        <w:fldChar w:fldCharType="begin"/>
      </w:r>
      <w:r w:rsidR="00F323B2">
        <w:rPr>
          <w:noProof/>
        </w:rPr>
        <w:instrText xml:space="preserve"> SEQ Box \* ARABIC \s 1 </w:instrText>
      </w:r>
      <w:r w:rsidR="00F323B2">
        <w:rPr>
          <w:noProof/>
        </w:rPr>
        <w:fldChar w:fldCharType="separate"/>
      </w:r>
      <w:r w:rsidR="004031E8">
        <w:rPr>
          <w:noProof/>
        </w:rPr>
        <w:t>1</w:t>
      </w:r>
      <w:r w:rsidR="00F323B2">
        <w:rPr>
          <w:noProof/>
        </w:rPr>
        <w:fldChar w:fldCharType="end"/>
      </w:r>
      <w:bookmarkEnd w:id="95"/>
      <w:r w:rsidRPr="00750E35">
        <w:t>: ACCC proposed market power-NGO test</w:t>
      </w:r>
    </w:p>
    <w:tbl>
      <w:tblPr>
        <w:tblStyle w:val="PullOutBoxTable"/>
        <w:tblW w:w="5000" w:type="pct"/>
        <w:tblLook w:val="0600" w:firstRow="0" w:lastRow="0" w:firstColumn="0" w:lastColumn="0" w:noHBand="1" w:noVBand="1"/>
      </w:tblPr>
      <w:tblGrid>
        <w:gridCol w:w="8788"/>
      </w:tblGrid>
      <w:tr w:rsidR="0045436E" w:rsidRPr="0023640B" w14:paraId="260D009B" w14:textId="77777777" w:rsidTr="00857981">
        <w:tc>
          <w:tcPr>
            <w:tcW w:w="5000" w:type="pct"/>
          </w:tcPr>
          <w:p w14:paraId="0E0C12B5" w14:textId="77777777" w:rsidR="0045436E" w:rsidRPr="0023640B" w:rsidRDefault="0045436E" w:rsidP="00B43DC0">
            <w:pPr>
              <w:pStyle w:val="ListNumber"/>
              <w:keepNext/>
              <w:numPr>
                <w:ilvl w:val="0"/>
                <w:numId w:val="0"/>
              </w:numPr>
              <w:spacing w:before="0" w:after="60" w:line="257" w:lineRule="auto"/>
              <w:rPr>
                <w:iCs/>
                <w:sz w:val="20"/>
                <w:szCs w:val="20"/>
              </w:rPr>
            </w:pPr>
            <w:r w:rsidRPr="0023640B">
              <w:rPr>
                <w:sz w:val="20"/>
                <w:szCs w:val="20"/>
              </w:rPr>
              <w:t xml:space="preserve">The test proposed by the ACCC in its 2015-16 Inquiry would require the relevant decision making body to be satisfied that: </w:t>
            </w:r>
          </w:p>
          <w:p w14:paraId="00366148" w14:textId="77777777" w:rsidR="0045436E" w:rsidRPr="0023640B" w:rsidRDefault="0045436E" w:rsidP="00AD36B8">
            <w:pPr>
              <w:pStyle w:val="ListBullet"/>
              <w:rPr>
                <w:sz w:val="20"/>
                <w:szCs w:val="20"/>
              </w:rPr>
            </w:pPr>
            <w:r w:rsidRPr="0023640B">
              <w:rPr>
                <w:sz w:val="20"/>
                <w:szCs w:val="20"/>
              </w:rPr>
              <w:t xml:space="preserve">the pipeline has substantial market and is likely to do so over the medium term; and </w:t>
            </w:r>
          </w:p>
          <w:p w14:paraId="413EAB1F" w14:textId="77777777" w:rsidR="0045436E" w:rsidRPr="0023640B" w:rsidRDefault="0045436E" w:rsidP="00AD36B8">
            <w:pPr>
              <w:pStyle w:val="ListBullet"/>
              <w:rPr>
                <w:sz w:val="20"/>
                <w:szCs w:val="20"/>
              </w:rPr>
            </w:pPr>
            <w:r w:rsidRPr="0023640B">
              <w:rPr>
                <w:sz w:val="20"/>
                <w:szCs w:val="20"/>
              </w:rPr>
              <w:t>regulation will or is likely to contribute to the achievement of the NGO.</w:t>
            </w:r>
          </w:p>
          <w:p w14:paraId="1C37A54C" w14:textId="77777777" w:rsidR="0045436E" w:rsidRPr="0023640B" w:rsidRDefault="0045436E" w:rsidP="00B43DC0">
            <w:pPr>
              <w:keepNext/>
              <w:autoSpaceDE w:val="0"/>
              <w:autoSpaceDN w:val="0"/>
              <w:adjustRightInd w:val="0"/>
              <w:spacing w:after="120" w:line="252" w:lineRule="auto"/>
              <w:rPr>
                <w:rFonts w:asciiTheme="majorHAnsi" w:hAnsiTheme="majorHAnsi" w:cstheme="majorHAnsi"/>
                <w:color w:val="000000"/>
                <w:sz w:val="20"/>
                <w:szCs w:val="20"/>
              </w:rPr>
            </w:pPr>
            <w:r w:rsidRPr="0023640B">
              <w:rPr>
                <w:rFonts w:asciiTheme="majorHAnsi" w:hAnsiTheme="majorHAnsi" w:cstheme="majorHAnsi"/>
                <w:color w:val="000000"/>
                <w:sz w:val="20"/>
                <w:szCs w:val="20"/>
              </w:rPr>
              <w:t xml:space="preserve">The ACCC noted that, in broad terms, the application of this test would require consideration to be given to: </w:t>
            </w:r>
          </w:p>
          <w:p w14:paraId="1DCD1F17" w14:textId="77777777" w:rsidR="0045436E" w:rsidRPr="0023640B" w:rsidRDefault="0045436E" w:rsidP="00AD36B8">
            <w:pPr>
              <w:pStyle w:val="ListBullet"/>
              <w:rPr>
                <w:sz w:val="20"/>
                <w:szCs w:val="20"/>
              </w:rPr>
            </w:pPr>
            <w:r w:rsidRPr="0023640B">
              <w:rPr>
                <w:sz w:val="20"/>
                <w:szCs w:val="20"/>
              </w:rPr>
              <w:t xml:space="preserve">The degree of market power held by the pipeline (as a result of barriers to entry and, where relevant, any interests the service provider has in the market and other markets that give rise to additional market power) and the extent to which it is likely to be effectively constrained by: </w:t>
            </w:r>
          </w:p>
          <w:p w14:paraId="612E7DF6" w14:textId="77777777" w:rsidR="0045436E" w:rsidRPr="0023640B" w:rsidRDefault="0045436E" w:rsidP="00AD36B8">
            <w:pPr>
              <w:pStyle w:val="ListBullet2"/>
              <w:rPr>
                <w:sz w:val="20"/>
                <w:szCs w:val="20"/>
              </w:rPr>
            </w:pPr>
            <w:r w:rsidRPr="0023640B">
              <w:rPr>
                <w:sz w:val="20"/>
                <w:szCs w:val="20"/>
              </w:rPr>
              <w:t xml:space="preserve">competition from an alternative pipeline; </w:t>
            </w:r>
          </w:p>
          <w:p w14:paraId="4FA32095" w14:textId="77777777" w:rsidR="0045436E" w:rsidRPr="0023640B" w:rsidRDefault="0045436E" w:rsidP="00AD36B8">
            <w:pPr>
              <w:pStyle w:val="ListBullet2"/>
              <w:rPr>
                <w:sz w:val="20"/>
                <w:szCs w:val="20"/>
              </w:rPr>
            </w:pPr>
            <w:r w:rsidRPr="0023640B">
              <w:rPr>
                <w:sz w:val="20"/>
                <w:szCs w:val="20"/>
              </w:rPr>
              <w:t xml:space="preserve">competition from alternative energy sources; </w:t>
            </w:r>
          </w:p>
          <w:p w14:paraId="4025C248" w14:textId="77777777" w:rsidR="0045436E" w:rsidRPr="0023640B" w:rsidRDefault="0045436E" w:rsidP="00AD36B8">
            <w:pPr>
              <w:pStyle w:val="ListBullet2"/>
              <w:rPr>
                <w:sz w:val="20"/>
                <w:szCs w:val="20"/>
              </w:rPr>
            </w:pPr>
            <w:r w:rsidRPr="0023640B">
              <w:rPr>
                <w:sz w:val="20"/>
                <w:szCs w:val="20"/>
              </w:rPr>
              <w:t>any countervailing power held by shippers; and</w:t>
            </w:r>
          </w:p>
          <w:p w14:paraId="039B08F2" w14:textId="77777777" w:rsidR="0045436E" w:rsidRPr="0023640B" w:rsidRDefault="0045436E" w:rsidP="00AD36B8">
            <w:pPr>
              <w:pStyle w:val="ListBullet2"/>
              <w:rPr>
                <w:sz w:val="20"/>
                <w:szCs w:val="20"/>
              </w:rPr>
            </w:pPr>
            <w:r w:rsidRPr="0023640B">
              <w:rPr>
                <w:sz w:val="20"/>
                <w:szCs w:val="20"/>
              </w:rPr>
              <w:t xml:space="preserve">any other relevant factors (for example, if contracts limit the service provider’s ability to exercise market power in the short- to medium-term or the risk of asset stranding). </w:t>
            </w:r>
          </w:p>
          <w:p w14:paraId="6DB2D5A6" w14:textId="77777777" w:rsidR="0045436E" w:rsidRPr="0023640B" w:rsidRDefault="0045436E" w:rsidP="00AD36B8">
            <w:pPr>
              <w:pStyle w:val="ListBullet"/>
              <w:rPr>
                <w:sz w:val="20"/>
                <w:szCs w:val="20"/>
              </w:rPr>
            </w:pPr>
            <w:r w:rsidRPr="0023640B">
              <w:rPr>
                <w:sz w:val="20"/>
                <w:szCs w:val="20"/>
              </w:rPr>
              <w:t xml:space="preserve">The prospect that the pipeline’s market power will dissipate in the medium-term, which will involve an assessment of the likely future investment in pipeline infrastructure and likely future demand for gas transportation services. </w:t>
            </w:r>
          </w:p>
          <w:p w14:paraId="00BB21D1" w14:textId="77777777" w:rsidR="0045436E" w:rsidRPr="0023640B" w:rsidRDefault="0045436E" w:rsidP="00AD36B8">
            <w:pPr>
              <w:pStyle w:val="ListBullet"/>
              <w:rPr>
                <w:rFonts w:asciiTheme="majorHAnsi" w:hAnsiTheme="majorHAnsi" w:cstheme="majorHAnsi"/>
                <w:sz w:val="20"/>
                <w:szCs w:val="20"/>
              </w:rPr>
            </w:pPr>
            <w:r w:rsidRPr="0023640B">
              <w:rPr>
                <w:sz w:val="20"/>
                <w:szCs w:val="20"/>
              </w:rPr>
              <w:t xml:space="preserve">Whether constraining the pipeline’s market power will, or is likely to, promote efficient investment in, operation and/or the use of, natural gas services for the long-term interests of consumers with respect to price, quality, safety, reliability and security of supply. The ACCC noted that </w:t>
            </w:r>
            <w:r w:rsidRPr="0023640B">
              <w:rPr>
                <w:rFonts w:asciiTheme="majorHAnsi" w:hAnsiTheme="majorHAnsi" w:cstheme="majorHAnsi"/>
                <w:color w:val="000000"/>
                <w:sz w:val="20"/>
                <w:szCs w:val="20"/>
              </w:rPr>
              <w:t xml:space="preserve">this aspect of the test was not intended to involve a detailed technical assessment of the efficiency benefits associated with regulation. Rather, it is intended to involve a </w:t>
            </w:r>
            <w:r w:rsidRPr="0023640B">
              <w:rPr>
                <w:rFonts w:asciiTheme="majorHAnsi" w:hAnsiTheme="majorHAnsi" w:cstheme="majorHAnsi"/>
                <w:i/>
                <w:iCs/>
                <w:color w:val="000000"/>
                <w:sz w:val="20"/>
                <w:szCs w:val="20"/>
              </w:rPr>
              <w:t xml:space="preserve">qualitative </w:t>
            </w:r>
            <w:r w:rsidRPr="0023640B">
              <w:rPr>
                <w:rFonts w:asciiTheme="majorHAnsi" w:hAnsiTheme="majorHAnsi" w:cstheme="majorHAnsi"/>
                <w:color w:val="000000"/>
                <w:sz w:val="20"/>
                <w:szCs w:val="20"/>
              </w:rPr>
              <w:t xml:space="preserve">assessment, which is how these types of assessments are usually undertaken in other regulatory contexts. </w:t>
            </w:r>
          </w:p>
        </w:tc>
      </w:tr>
    </w:tbl>
    <w:p w14:paraId="5BDCFE32" w14:textId="77777777" w:rsidR="0045436E" w:rsidRDefault="0045436E" w:rsidP="00B43DC0">
      <w:pPr>
        <w:pStyle w:val="BodyText"/>
        <w:spacing w:before="0"/>
      </w:pPr>
      <w:r w:rsidRPr="00750E35">
        <w:rPr>
          <w:sz w:val="18"/>
          <w:szCs w:val="18"/>
          <w:lang w:eastAsia="fr-CA"/>
        </w:rPr>
        <w:t xml:space="preserve">Source: ACCC, </w:t>
      </w:r>
      <w:r w:rsidRPr="00750E35">
        <w:rPr>
          <w:sz w:val="18"/>
          <w:szCs w:val="18"/>
        </w:rPr>
        <w:t>Inquiry into the east coast gas market, April 2016, p. 138.</w:t>
      </w:r>
    </w:p>
    <w:p w14:paraId="481098DF" w14:textId="77777777" w:rsidR="00282112" w:rsidRPr="00107F57" w:rsidRDefault="00282112" w:rsidP="006D00C9">
      <w:pPr>
        <w:pStyle w:val="Heading3"/>
        <w:keepNext w:val="0"/>
        <w:spacing w:before="240" w:after="120"/>
      </w:pPr>
      <w:r>
        <w:t xml:space="preserve">Stakeholder feedback on the options </w:t>
      </w:r>
    </w:p>
    <w:p w14:paraId="3FC576EF" w14:textId="2849CB80" w:rsidR="008C0AA1" w:rsidRDefault="00297C9B" w:rsidP="006D00C9">
      <w:pPr>
        <w:pStyle w:val="BodyText"/>
        <w:spacing w:before="120" w:after="0"/>
        <w:sectPr w:rsidR="008C0AA1" w:rsidSect="00795317">
          <w:headerReference w:type="default" r:id="rId33"/>
          <w:footerReference w:type="default" r:id="rId34"/>
          <w:pgSz w:w="11907" w:h="16839" w:code="9"/>
          <w:pgMar w:top="1361" w:right="1418" w:bottom="992" w:left="1701" w:header="567" w:footer="397" w:gutter="0"/>
          <w:cols w:space="708"/>
          <w:docGrid w:linePitch="360"/>
        </w:sectPr>
      </w:pPr>
      <w:r>
        <w:fldChar w:fldCharType="begin" w:fldLock="1"/>
      </w:r>
      <w:r>
        <w:instrText xml:space="preserve"> REF _Ref52858392 \h </w:instrText>
      </w:r>
      <w:r>
        <w:fldChar w:fldCharType="separate"/>
      </w:r>
      <w:r w:rsidR="00036405">
        <w:t xml:space="preserve">Table </w:t>
      </w:r>
      <w:r w:rsidR="00036405">
        <w:rPr>
          <w:noProof/>
        </w:rPr>
        <w:t>4</w:t>
      </w:r>
      <w:r w:rsidR="00036405">
        <w:t>.</w:t>
      </w:r>
      <w:r w:rsidR="00036405">
        <w:rPr>
          <w:noProof/>
        </w:rPr>
        <w:t>3</w:t>
      </w:r>
      <w:r>
        <w:fldChar w:fldCharType="end"/>
      </w:r>
      <w:r>
        <w:t xml:space="preserve"> </w:t>
      </w:r>
      <w:r w:rsidRPr="00563085">
        <w:t xml:space="preserve">provides a summary of the feedback stakeholders provided on </w:t>
      </w:r>
      <w:r w:rsidR="00282112">
        <w:t xml:space="preserve">the </w:t>
      </w:r>
      <w:r w:rsidRPr="00563085">
        <w:t>options</w:t>
      </w:r>
      <w:r w:rsidR="00282112">
        <w:t xml:space="preserve"> listed above</w:t>
      </w:r>
      <w:r w:rsidRPr="00563085">
        <w:t>.</w:t>
      </w:r>
    </w:p>
    <w:p w14:paraId="15707316" w14:textId="50046244" w:rsidR="00536691" w:rsidRDefault="00536691" w:rsidP="00536691">
      <w:pPr>
        <w:pStyle w:val="Caption"/>
        <w:spacing w:before="0" w:after="0"/>
      </w:pPr>
      <w:bookmarkStart w:id="96" w:name="_Ref52858392"/>
      <w:r>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4</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3</w:t>
      </w:r>
      <w:r w:rsidR="00F323B2">
        <w:rPr>
          <w:noProof/>
        </w:rPr>
        <w:fldChar w:fldCharType="end"/>
      </w:r>
      <w:bookmarkEnd w:id="96"/>
      <w:r>
        <w:t>: Stakeholder feedback on the options identified in the Consultation RIS</w:t>
      </w:r>
    </w:p>
    <w:tbl>
      <w:tblPr>
        <w:tblStyle w:val="TableGrid"/>
        <w:tblW w:w="5372" w:type="pct"/>
        <w:tblInd w:w="-284" w:type="dxa"/>
        <w:tblLayout w:type="fixed"/>
        <w:tblLook w:val="0420" w:firstRow="1" w:lastRow="0" w:firstColumn="0" w:lastColumn="0" w:noHBand="0" w:noVBand="1"/>
      </w:tblPr>
      <w:tblGrid>
        <w:gridCol w:w="710"/>
        <w:gridCol w:w="1415"/>
        <w:gridCol w:w="1560"/>
        <w:gridCol w:w="11056"/>
      </w:tblGrid>
      <w:tr w:rsidR="00536691" w:rsidRPr="00871905" w14:paraId="12687C87" w14:textId="77777777" w:rsidTr="00C30FAF">
        <w:trPr>
          <w:cnfStyle w:val="100000000000" w:firstRow="1" w:lastRow="0" w:firstColumn="0" w:lastColumn="0" w:oddVBand="0" w:evenVBand="0" w:oddHBand="0" w:evenHBand="0" w:firstRowFirstColumn="0" w:firstRowLastColumn="0" w:lastRowFirstColumn="0" w:lastRowLastColumn="0"/>
          <w:cantSplit/>
          <w:tblHeader/>
        </w:trPr>
        <w:tc>
          <w:tcPr>
            <w:tcW w:w="1250" w:type="pct"/>
            <w:gridSpan w:val="3"/>
            <w:shd w:val="clear" w:color="auto" w:fill="002060"/>
          </w:tcPr>
          <w:p w14:paraId="15FBD8AE" w14:textId="77777777" w:rsidR="00536691" w:rsidRPr="00871905" w:rsidRDefault="00536691" w:rsidP="00CF688C">
            <w:pPr>
              <w:pStyle w:val="TableHeading"/>
              <w:spacing w:before="40" w:after="20" w:line="252" w:lineRule="auto"/>
              <w:rPr>
                <w:rFonts w:asciiTheme="majorHAnsi" w:hAnsiTheme="majorHAnsi" w:cstheme="majorHAnsi"/>
                <w:sz w:val="16"/>
                <w:szCs w:val="16"/>
                <w:lang w:eastAsia="fr-CA"/>
              </w:rPr>
            </w:pPr>
            <w:r w:rsidRPr="00871905">
              <w:rPr>
                <w:rFonts w:asciiTheme="majorHAnsi" w:hAnsiTheme="majorHAnsi" w:cstheme="majorHAnsi"/>
                <w:sz w:val="16"/>
                <w:szCs w:val="16"/>
                <w:lang w:eastAsia="fr-CA"/>
              </w:rPr>
              <w:t>Issues</w:t>
            </w:r>
          </w:p>
        </w:tc>
        <w:tc>
          <w:tcPr>
            <w:tcW w:w="3750" w:type="pct"/>
            <w:shd w:val="clear" w:color="auto" w:fill="002060"/>
          </w:tcPr>
          <w:p w14:paraId="79B43BD6" w14:textId="77777777" w:rsidR="00536691" w:rsidRPr="00871905" w:rsidRDefault="00536691" w:rsidP="00CF688C">
            <w:pPr>
              <w:pStyle w:val="TableHeading"/>
              <w:spacing w:before="40" w:after="20" w:line="252" w:lineRule="auto"/>
              <w:rPr>
                <w:rFonts w:asciiTheme="majorHAnsi" w:hAnsiTheme="majorHAnsi" w:cstheme="majorHAnsi"/>
                <w:sz w:val="16"/>
                <w:szCs w:val="16"/>
                <w:lang w:eastAsia="fr-CA"/>
              </w:rPr>
            </w:pPr>
            <w:r w:rsidRPr="00871905">
              <w:rPr>
                <w:rFonts w:asciiTheme="majorHAnsi" w:hAnsiTheme="majorHAnsi" w:cstheme="majorHAnsi"/>
                <w:sz w:val="16"/>
                <w:szCs w:val="16"/>
                <w:lang w:eastAsia="fr-CA"/>
              </w:rPr>
              <w:t>Feedback</w:t>
            </w:r>
          </w:p>
        </w:tc>
      </w:tr>
      <w:tr w:rsidR="00B2573C" w:rsidRPr="00871905" w14:paraId="0DBA8170" w14:textId="77777777" w:rsidTr="00A80AD9">
        <w:trPr>
          <w:cantSplit/>
          <w:trHeight w:val="149"/>
        </w:trPr>
        <w:tc>
          <w:tcPr>
            <w:tcW w:w="241" w:type="pct"/>
            <w:vMerge w:val="restart"/>
            <w:textDirection w:val="btLr"/>
          </w:tcPr>
          <w:p w14:paraId="4D7DFD37" w14:textId="77777777" w:rsidR="00B2573C" w:rsidRPr="00871905" w:rsidRDefault="0077196E" w:rsidP="00CF688C">
            <w:pPr>
              <w:spacing w:before="40" w:after="20" w:line="252" w:lineRule="auto"/>
              <w:jc w:val="center"/>
              <w:rPr>
                <w:rFonts w:asciiTheme="majorHAnsi" w:hAnsiTheme="majorHAnsi" w:cstheme="majorHAnsi"/>
                <w:sz w:val="16"/>
                <w:szCs w:val="16"/>
                <w:lang w:eastAsia="fr-CA"/>
              </w:rPr>
            </w:pPr>
            <w:r>
              <w:rPr>
                <w:rFonts w:cs="Arial"/>
                <w:bCs/>
                <w:sz w:val="16"/>
                <w:szCs w:val="16"/>
              </w:rPr>
              <w:t xml:space="preserve">Risk of over-regulation of </w:t>
            </w:r>
            <w:r w:rsidR="00871839">
              <w:rPr>
                <w:rFonts w:cs="Arial"/>
                <w:bCs/>
                <w:sz w:val="16"/>
                <w:szCs w:val="16"/>
              </w:rPr>
              <w:t>pipelines providing 3</w:t>
            </w:r>
            <w:r w:rsidR="00871839" w:rsidRPr="00871839">
              <w:rPr>
                <w:rFonts w:cs="Arial"/>
                <w:bCs/>
                <w:sz w:val="16"/>
                <w:szCs w:val="16"/>
                <w:vertAlign w:val="superscript"/>
              </w:rPr>
              <w:t>rd</w:t>
            </w:r>
            <w:r w:rsidR="00871839">
              <w:rPr>
                <w:rFonts w:cs="Arial"/>
                <w:bCs/>
                <w:sz w:val="16"/>
                <w:szCs w:val="16"/>
              </w:rPr>
              <w:t xml:space="preserve"> party access</w:t>
            </w:r>
          </w:p>
        </w:tc>
        <w:tc>
          <w:tcPr>
            <w:tcW w:w="1009" w:type="pct"/>
            <w:gridSpan w:val="2"/>
          </w:tcPr>
          <w:p w14:paraId="75680D54" w14:textId="77777777" w:rsidR="00B2573C" w:rsidRPr="00871905" w:rsidRDefault="00B2573C" w:rsidP="00D331E6">
            <w:pPr>
              <w:pStyle w:val="TableBodyText"/>
              <w:spacing w:before="20" w:after="20" w:line="252" w:lineRule="auto"/>
              <w:rPr>
                <w:rFonts w:asciiTheme="majorHAnsi" w:hAnsiTheme="majorHAnsi" w:cstheme="majorHAnsi"/>
                <w:sz w:val="16"/>
                <w:szCs w:val="16"/>
                <w:lang w:eastAsia="fr-CA"/>
              </w:rPr>
            </w:pPr>
            <w:r w:rsidRPr="00871905">
              <w:rPr>
                <w:rFonts w:asciiTheme="majorHAnsi" w:hAnsiTheme="majorHAnsi" w:cstheme="majorHAnsi"/>
                <w:sz w:val="16"/>
                <w:szCs w:val="16"/>
                <w:lang w:eastAsia="fr-CA"/>
              </w:rPr>
              <w:t xml:space="preserve">Option </w:t>
            </w:r>
            <w:r w:rsidR="00D20A96">
              <w:rPr>
                <w:rFonts w:asciiTheme="majorHAnsi" w:hAnsiTheme="majorHAnsi" w:cstheme="majorHAnsi"/>
                <w:sz w:val="16"/>
                <w:szCs w:val="16"/>
                <w:lang w:eastAsia="fr-CA"/>
              </w:rPr>
              <w:t>A</w:t>
            </w:r>
            <w:r w:rsidRPr="00871905">
              <w:rPr>
                <w:rFonts w:asciiTheme="majorHAnsi" w:hAnsiTheme="majorHAnsi" w:cstheme="majorHAnsi"/>
                <w:sz w:val="16"/>
                <w:szCs w:val="16"/>
                <w:lang w:eastAsia="fr-CA"/>
              </w:rPr>
              <w:t xml:space="preserve">: </w:t>
            </w:r>
            <w:r w:rsidR="00862274">
              <w:rPr>
                <w:rFonts w:asciiTheme="majorHAnsi" w:hAnsiTheme="majorHAnsi" w:cstheme="majorHAnsi"/>
                <w:sz w:val="16"/>
                <w:szCs w:val="16"/>
                <w:lang w:eastAsia="fr-CA"/>
              </w:rPr>
              <w:t>S</w:t>
            </w:r>
            <w:r w:rsidRPr="00871905">
              <w:rPr>
                <w:rFonts w:asciiTheme="majorHAnsi" w:hAnsiTheme="majorHAnsi" w:cstheme="majorHAnsi"/>
                <w:sz w:val="16"/>
                <w:szCs w:val="16"/>
                <w:lang w:eastAsia="fr-CA"/>
              </w:rPr>
              <w:t>tatus quo</w:t>
            </w:r>
          </w:p>
        </w:tc>
        <w:tc>
          <w:tcPr>
            <w:tcW w:w="3750" w:type="pct"/>
          </w:tcPr>
          <w:p w14:paraId="33D4545D" w14:textId="77777777" w:rsidR="00435404" w:rsidRPr="00DE7915" w:rsidRDefault="00B2573C" w:rsidP="00D331E6">
            <w:pPr>
              <w:pStyle w:val="TableBullet10"/>
              <w:spacing w:before="20" w:after="20"/>
              <w:rPr>
                <w:sz w:val="16"/>
                <w:szCs w:val="16"/>
                <w:lang w:eastAsia="fr-CA"/>
              </w:rPr>
            </w:pPr>
            <w:r w:rsidRPr="00DE7915">
              <w:rPr>
                <w:sz w:val="16"/>
                <w:szCs w:val="16"/>
                <w:lang w:eastAsia="fr-CA"/>
              </w:rPr>
              <w:t xml:space="preserve">The </w:t>
            </w:r>
            <w:r w:rsidRPr="00DE7915">
              <w:rPr>
                <w:color w:val="FF0000"/>
                <w:sz w:val="16"/>
                <w:szCs w:val="16"/>
                <w:lang w:eastAsia="fr-CA"/>
              </w:rPr>
              <w:t>ACCC</w:t>
            </w:r>
            <w:r w:rsidRPr="00DE7915">
              <w:rPr>
                <w:sz w:val="16"/>
                <w:szCs w:val="16"/>
                <w:lang w:eastAsia="fr-CA"/>
              </w:rPr>
              <w:t xml:space="preserve">, </w:t>
            </w:r>
            <w:r w:rsidRPr="00DE7915">
              <w:rPr>
                <w:color w:val="0000FF"/>
                <w:sz w:val="16"/>
                <w:szCs w:val="16"/>
                <w:lang w:eastAsia="fr-CA"/>
              </w:rPr>
              <w:t xml:space="preserve">EUAA, NSW BC, Chemistry Australia, MEU, Qenos, </w:t>
            </w:r>
            <w:r w:rsidR="006222A5" w:rsidRPr="00DE7915">
              <w:rPr>
                <w:color w:val="00B0F0"/>
                <w:sz w:val="16"/>
                <w:szCs w:val="16"/>
                <w:lang w:eastAsia="fr-CA"/>
              </w:rPr>
              <w:t>AGL, EnergyAustralia</w:t>
            </w:r>
            <w:r w:rsidR="006222A5" w:rsidRPr="00DE7915">
              <w:rPr>
                <w:sz w:val="16"/>
                <w:szCs w:val="16"/>
                <w:lang w:eastAsia="fr-CA"/>
              </w:rPr>
              <w:t xml:space="preserve">, </w:t>
            </w:r>
            <w:r w:rsidR="006222A5" w:rsidRPr="00DE7915">
              <w:rPr>
                <w:color w:val="00B050"/>
                <w:sz w:val="16"/>
                <w:szCs w:val="16"/>
                <w:lang w:eastAsia="fr-CA"/>
              </w:rPr>
              <w:t xml:space="preserve">Energy Matrix, </w:t>
            </w:r>
            <w:r w:rsidRPr="00DE7915">
              <w:rPr>
                <w:color w:val="800080" w:themeColor="accent6"/>
                <w:sz w:val="16"/>
                <w:szCs w:val="16"/>
                <w:lang w:eastAsia="fr-CA"/>
              </w:rPr>
              <w:t>APA, APGA</w:t>
            </w:r>
            <w:r w:rsidR="006222A5" w:rsidRPr="00DE7915">
              <w:rPr>
                <w:sz w:val="16"/>
                <w:szCs w:val="16"/>
                <w:lang w:eastAsia="fr-CA"/>
              </w:rPr>
              <w:t xml:space="preserve"> and</w:t>
            </w:r>
            <w:r w:rsidRPr="00DE7915">
              <w:rPr>
                <w:sz w:val="16"/>
                <w:szCs w:val="16"/>
                <w:lang w:eastAsia="fr-CA"/>
              </w:rPr>
              <w:t xml:space="preserve"> </w:t>
            </w:r>
            <w:r w:rsidRPr="00DE7915">
              <w:rPr>
                <w:color w:val="800080" w:themeColor="accent6"/>
                <w:sz w:val="16"/>
                <w:szCs w:val="16"/>
                <w:lang w:eastAsia="fr-CA"/>
              </w:rPr>
              <w:t xml:space="preserve">Epic </w:t>
            </w:r>
            <w:r w:rsidRPr="00DE7915">
              <w:rPr>
                <w:sz w:val="16"/>
                <w:szCs w:val="16"/>
                <w:lang w:eastAsia="fr-CA"/>
              </w:rPr>
              <w:t xml:space="preserve">supported the maintenance of the status quo, with all pipelines providing third party access subject to some form of regulation. </w:t>
            </w:r>
            <w:r w:rsidR="00435404" w:rsidRPr="00DE7915">
              <w:rPr>
                <w:sz w:val="16"/>
                <w:szCs w:val="16"/>
                <w:lang w:eastAsia="fr-CA"/>
              </w:rPr>
              <w:t xml:space="preserve">Elaborating further on its view, </w:t>
            </w:r>
            <w:r w:rsidRPr="00DE7915">
              <w:rPr>
                <w:sz w:val="16"/>
                <w:szCs w:val="16"/>
                <w:lang w:eastAsia="fr-CA"/>
              </w:rPr>
              <w:t xml:space="preserve">the </w:t>
            </w:r>
            <w:r w:rsidRPr="00CD1925">
              <w:rPr>
                <w:color w:val="FF0000"/>
                <w:sz w:val="16"/>
                <w:szCs w:val="16"/>
                <w:lang w:eastAsia="fr-CA"/>
              </w:rPr>
              <w:t xml:space="preserve">ACCC </w:t>
            </w:r>
            <w:r w:rsidRPr="00DE7915">
              <w:rPr>
                <w:sz w:val="16"/>
                <w:szCs w:val="16"/>
                <w:lang w:eastAsia="fr-CA"/>
              </w:rPr>
              <w:t>noted that</w:t>
            </w:r>
            <w:r w:rsidR="00435404" w:rsidRPr="00DE7915">
              <w:rPr>
                <w:sz w:val="16"/>
                <w:szCs w:val="16"/>
                <w:lang w:eastAsia="fr-CA"/>
              </w:rPr>
              <w:t>:</w:t>
            </w:r>
            <w:r w:rsidRPr="00DE7915">
              <w:rPr>
                <w:sz w:val="16"/>
                <w:szCs w:val="16"/>
                <w:lang w:eastAsia="fr-CA"/>
              </w:rPr>
              <w:t xml:space="preserve"> </w:t>
            </w:r>
          </w:p>
          <w:p w14:paraId="73B54F92" w14:textId="77777777" w:rsidR="00B2573C" w:rsidRPr="00DE7915" w:rsidRDefault="00B2573C" w:rsidP="00D331E6">
            <w:pPr>
              <w:pStyle w:val="TableBodyText"/>
              <w:spacing w:before="20" w:after="20" w:line="252" w:lineRule="auto"/>
              <w:ind w:left="572"/>
              <w:rPr>
                <w:rFonts w:asciiTheme="majorHAnsi" w:hAnsiTheme="majorHAnsi" w:cstheme="majorHAnsi"/>
                <w:sz w:val="16"/>
                <w:szCs w:val="16"/>
                <w:lang w:eastAsia="fr-CA"/>
              </w:rPr>
            </w:pPr>
            <w:r w:rsidRPr="00DE7915">
              <w:rPr>
                <w:rFonts w:asciiTheme="majorHAnsi" w:hAnsiTheme="majorHAnsi" w:cstheme="majorHAnsi"/>
                <w:i/>
                <w:iCs/>
                <w:sz w:val="16"/>
                <w:szCs w:val="16"/>
                <w:lang w:eastAsia="fr-CA"/>
              </w:rPr>
              <w:t>“</w:t>
            </w:r>
            <w:r w:rsidR="00435404" w:rsidRPr="00DE7915">
              <w:rPr>
                <w:rFonts w:asciiTheme="majorHAnsi" w:hAnsiTheme="majorHAnsi" w:cstheme="majorHAnsi"/>
                <w:i/>
                <w:iCs/>
                <w:sz w:val="16"/>
                <w:szCs w:val="16"/>
                <w:lang w:eastAsia="fr-CA"/>
              </w:rPr>
              <w:t>…</w:t>
            </w:r>
            <w:r w:rsidRPr="00DE7915">
              <w:rPr>
                <w:rFonts w:asciiTheme="majorHAnsi" w:hAnsiTheme="majorHAnsi" w:cstheme="majorHAnsi"/>
                <w:i/>
                <w:iCs/>
                <w:sz w:val="16"/>
                <w:szCs w:val="16"/>
                <w:lang w:eastAsia="fr-CA"/>
              </w:rPr>
              <w:t>even if a pipeline was found not to have substantial market power, shippers using this pipeline are still likely to face information asymmetries and imbalances in bargaining power when negotiating with the pipeline operator” and the best way to address this was through the application of Part 23 because it is “relatively light handed in nature and not unduly onerous on pipeline operators”</w:t>
            </w:r>
            <w:r w:rsidRPr="00DE7915">
              <w:rPr>
                <w:rFonts w:asciiTheme="majorHAnsi" w:hAnsiTheme="majorHAnsi" w:cstheme="majorHAnsi"/>
                <w:sz w:val="16"/>
                <w:szCs w:val="16"/>
                <w:lang w:eastAsia="fr-CA"/>
              </w:rPr>
              <w:t xml:space="preserve">. </w:t>
            </w:r>
          </w:p>
        </w:tc>
      </w:tr>
      <w:tr w:rsidR="00B2573C" w:rsidRPr="00871905" w14:paraId="5E591DB2" w14:textId="77777777" w:rsidTr="00A80AD9">
        <w:trPr>
          <w:cnfStyle w:val="000000010000" w:firstRow="0" w:lastRow="0" w:firstColumn="0" w:lastColumn="0" w:oddVBand="0" w:evenVBand="0" w:oddHBand="0" w:evenHBand="1" w:firstRowFirstColumn="0" w:firstRowLastColumn="0" w:lastRowFirstColumn="0" w:lastRowLastColumn="0"/>
          <w:cantSplit/>
          <w:trHeight w:val="450"/>
        </w:trPr>
        <w:tc>
          <w:tcPr>
            <w:tcW w:w="241" w:type="pct"/>
            <w:vMerge/>
          </w:tcPr>
          <w:p w14:paraId="470460A8" w14:textId="77777777" w:rsidR="00B2573C" w:rsidRPr="00871905" w:rsidRDefault="00B2573C" w:rsidP="00CF688C">
            <w:pPr>
              <w:spacing w:before="40" w:after="20" w:line="252" w:lineRule="auto"/>
              <w:rPr>
                <w:rFonts w:cs="Arial"/>
                <w:bCs/>
                <w:sz w:val="16"/>
                <w:szCs w:val="16"/>
              </w:rPr>
            </w:pPr>
          </w:p>
        </w:tc>
        <w:tc>
          <w:tcPr>
            <w:tcW w:w="1009" w:type="pct"/>
            <w:gridSpan w:val="2"/>
            <w:tcBorders>
              <w:bottom w:val="single" w:sz="4" w:space="0" w:color="auto"/>
            </w:tcBorders>
          </w:tcPr>
          <w:p w14:paraId="0DFCE500" w14:textId="77777777" w:rsidR="00B2573C" w:rsidRPr="00871905" w:rsidRDefault="00B2573C" w:rsidP="00D331E6">
            <w:pPr>
              <w:pStyle w:val="TableBodyText"/>
              <w:spacing w:before="20" w:after="20" w:line="252" w:lineRule="auto"/>
              <w:rPr>
                <w:rFonts w:asciiTheme="majorHAnsi" w:hAnsiTheme="majorHAnsi" w:cstheme="majorHAnsi"/>
                <w:sz w:val="16"/>
                <w:szCs w:val="16"/>
                <w:lang w:eastAsia="fr-CA"/>
              </w:rPr>
            </w:pPr>
            <w:r w:rsidRPr="00871905">
              <w:rPr>
                <w:rFonts w:asciiTheme="majorHAnsi" w:hAnsiTheme="majorHAnsi" w:cstheme="majorHAnsi"/>
                <w:sz w:val="16"/>
                <w:szCs w:val="16"/>
                <w:lang w:eastAsia="fr-CA"/>
              </w:rPr>
              <w:t xml:space="preserve">Option </w:t>
            </w:r>
            <w:r w:rsidR="00D20A96">
              <w:rPr>
                <w:rFonts w:asciiTheme="majorHAnsi" w:hAnsiTheme="majorHAnsi" w:cstheme="majorHAnsi"/>
                <w:sz w:val="16"/>
                <w:szCs w:val="16"/>
                <w:lang w:eastAsia="fr-CA"/>
              </w:rPr>
              <w:t>B</w:t>
            </w:r>
            <w:r w:rsidRPr="00871905">
              <w:rPr>
                <w:rFonts w:asciiTheme="majorHAnsi" w:hAnsiTheme="majorHAnsi" w:cstheme="majorHAnsi"/>
                <w:sz w:val="16"/>
                <w:szCs w:val="16"/>
                <w:lang w:eastAsia="fr-CA"/>
              </w:rPr>
              <w:t xml:space="preserve">: </w:t>
            </w:r>
            <w:r w:rsidR="00D12C9A">
              <w:rPr>
                <w:rFonts w:asciiTheme="majorHAnsi" w:hAnsiTheme="majorHAnsi" w:cstheme="majorHAnsi"/>
                <w:sz w:val="16"/>
                <w:szCs w:val="16"/>
                <w:lang w:eastAsia="fr-CA"/>
              </w:rPr>
              <w:t>E</w:t>
            </w:r>
            <w:r w:rsidRPr="00871905">
              <w:rPr>
                <w:rFonts w:asciiTheme="majorHAnsi" w:hAnsiTheme="majorHAnsi" w:cstheme="majorHAnsi"/>
                <w:sz w:val="16"/>
                <w:szCs w:val="16"/>
                <w:lang w:eastAsia="fr-CA"/>
              </w:rPr>
              <w:t>xemption from regulation if pipeline does</w:t>
            </w:r>
            <w:r w:rsidR="00D12C9A">
              <w:rPr>
                <w:rFonts w:asciiTheme="majorHAnsi" w:hAnsiTheme="majorHAnsi" w:cstheme="majorHAnsi"/>
                <w:sz w:val="16"/>
                <w:szCs w:val="16"/>
                <w:lang w:eastAsia="fr-CA"/>
              </w:rPr>
              <w:t>n’t</w:t>
            </w:r>
            <w:r w:rsidRPr="00871905">
              <w:rPr>
                <w:rFonts w:asciiTheme="majorHAnsi" w:hAnsiTheme="majorHAnsi" w:cstheme="majorHAnsi"/>
                <w:sz w:val="16"/>
                <w:szCs w:val="16"/>
                <w:lang w:eastAsia="fr-CA"/>
              </w:rPr>
              <w:t xml:space="preserve"> satisfy market power-NGO test</w:t>
            </w:r>
          </w:p>
        </w:tc>
        <w:tc>
          <w:tcPr>
            <w:tcW w:w="3750" w:type="pct"/>
            <w:tcBorders>
              <w:bottom w:val="single" w:sz="4" w:space="0" w:color="auto"/>
            </w:tcBorders>
          </w:tcPr>
          <w:p w14:paraId="39E9EDEB" w14:textId="77777777" w:rsidR="00B2573C" w:rsidRPr="00DE7915" w:rsidRDefault="00DA7F08" w:rsidP="00D331E6">
            <w:pPr>
              <w:pStyle w:val="TableBullet10"/>
              <w:spacing w:before="20" w:after="20"/>
              <w:rPr>
                <w:sz w:val="16"/>
                <w:szCs w:val="16"/>
              </w:rPr>
            </w:pPr>
            <w:r w:rsidRPr="00DE7915">
              <w:rPr>
                <w:sz w:val="16"/>
                <w:szCs w:val="16"/>
              </w:rPr>
              <w:t xml:space="preserve">The </w:t>
            </w:r>
            <w:r w:rsidR="006222A5" w:rsidRPr="00DE7915">
              <w:rPr>
                <w:color w:val="FF0000"/>
                <w:sz w:val="16"/>
                <w:szCs w:val="16"/>
              </w:rPr>
              <w:t xml:space="preserve">AER, </w:t>
            </w:r>
            <w:r w:rsidR="00B2573C" w:rsidRPr="00DE7915">
              <w:rPr>
                <w:color w:val="D60093"/>
                <w:sz w:val="16"/>
                <w:szCs w:val="16"/>
              </w:rPr>
              <w:t xml:space="preserve">APPEA, APLNG, COPA, </w:t>
            </w:r>
            <w:r w:rsidR="006222A5" w:rsidRPr="00DE7915">
              <w:rPr>
                <w:sz w:val="16"/>
                <w:szCs w:val="16"/>
              </w:rPr>
              <w:t xml:space="preserve">a confidential submitter, </w:t>
            </w:r>
            <w:r w:rsidR="00B2573C" w:rsidRPr="00DE7915">
              <w:rPr>
                <w:color w:val="800080" w:themeColor="accent6"/>
                <w:sz w:val="16"/>
                <w:szCs w:val="16"/>
              </w:rPr>
              <w:t>A</w:t>
            </w:r>
            <w:r w:rsidR="00002D3E" w:rsidRPr="00DE7915">
              <w:rPr>
                <w:color w:val="800080" w:themeColor="accent6"/>
                <w:sz w:val="16"/>
                <w:szCs w:val="16"/>
              </w:rPr>
              <w:t xml:space="preserve">GIG </w:t>
            </w:r>
            <w:r w:rsidR="00002D3E" w:rsidRPr="00DE7915">
              <w:rPr>
                <w:sz w:val="16"/>
                <w:szCs w:val="16"/>
              </w:rPr>
              <w:t xml:space="preserve">and </w:t>
            </w:r>
            <w:r w:rsidR="00002D3E" w:rsidRPr="00DE7915">
              <w:rPr>
                <w:color w:val="800080" w:themeColor="accent6"/>
                <w:sz w:val="16"/>
                <w:szCs w:val="16"/>
              </w:rPr>
              <w:t>AT</w:t>
            </w:r>
            <w:r w:rsidR="00B2573C" w:rsidRPr="00DE7915">
              <w:rPr>
                <w:color w:val="800080" w:themeColor="accent6"/>
                <w:sz w:val="16"/>
                <w:szCs w:val="16"/>
              </w:rPr>
              <w:t>CO</w:t>
            </w:r>
            <w:r w:rsidR="005C3B77" w:rsidRPr="00DE7915">
              <w:rPr>
                <w:color w:val="800080" w:themeColor="accent6"/>
                <w:sz w:val="16"/>
                <w:szCs w:val="16"/>
              </w:rPr>
              <w:t xml:space="preserve"> </w:t>
            </w:r>
            <w:r w:rsidR="005C3B77" w:rsidRPr="00DE7915">
              <w:rPr>
                <w:sz w:val="16"/>
                <w:szCs w:val="16"/>
              </w:rPr>
              <w:t>(for distribution)</w:t>
            </w:r>
            <w:r w:rsidR="006222A5" w:rsidRPr="00DE7915">
              <w:rPr>
                <w:sz w:val="16"/>
                <w:szCs w:val="16"/>
              </w:rPr>
              <w:t xml:space="preserve"> </w:t>
            </w:r>
            <w:r w:rsidR="00B2573C" w:rsidRPr="00DE7915">
              <w:rPr>
                <w:sz w:val="16"/>
                <w:szCs w:val="16"/>
              </w:rPr>
              <w:t xml:space="preserve">supported the inclusion of an exemption from regulation if a </w:t>
            </w:r>
            <w:r w:rsidRPr="00DE7915">
              <w:rPr>
                <w:sz w:val="16"/>
                <w:szCs w:val="16"/>
              </w:rPr>
              <w:t xml:space="preserve">service provider can demonstrate that the </w:t>
            </w:r>
            <w:r w:rsidR="00B2573C" w:rsidRPr="00DE7915">
              <w:rPr>
                <w:sz w:val="16"/>
                <w:szCs w:val="16"/>
              </w:rPr>
              <w:t xml:space="preserve">pipeline </w:t>
            </w:r>
            <w:r w:rsidRPr="00DE7915">
              <w:rPr>
                <w:sz w:val="16"/>
                <w:szCs w:val="16"/>
              </w:rPr>
              <w:t xml:space="preserve">lacks substantial market power. </w:t>
            </w:r>
          </w:p>
        </w:tc>
      </w:tr>
      <w:tr w:rsidR="00B2573C" w:rsidRPr="00871905" w14:paraId="5CE60B9F" w14:textId="77777777" w:rsidTr="003257C8">
        <w:trPr>
          <w:cantSplit/>
          <w:trHeight w:val="222"/>
        </w:trPr>
        <w:tc>
          <w:tcPr>
            <w:tcW w:w="241" w:type="pct"/>
            <w:vMerge/>
          </w:tcPr>
          <w:p w14:paraId="1BD520E4" w14:textId="77777777" w:rsidR="00B2573C" w:rsidRPr="00871905" w:rsidRDefault="00B2573C" w:rsidP="00CF688C">
            <w:pPr>
              <w:spacing w:before="40" w:after="20" w:line="252" w:lineRule="auto"/>
              <w:rPr>
                <w:rFonts w:cs="Arial"/>
                <w:bCs/>
                <w:sz w:val="16"/>
                <w:szCs w:val="16"/>
              </w:rPr>
            </w:pPr>
          </w:p>
        </w:tc>
        <w:tc>
          <w:tcPr>
            <w:tcW w:w="1009" w:type="pct"/>
            <w:gridSpan w:val="2"/>
            <w:tcBorders>
              <w:bottom w:val="single" w:sz="4" w:space="0" w:color="auto"/>
            </w:tcBorders>
            <w:shd w:val="clear" w:color="auto" w:fill="C8C9D3" w:themeFill="background2" w:themeFillShade="E6"/>
          </w:tcPr>
          <w:p w14:paraId="5A5B7B88" w14:textId="77777777" w:rsidR="00B2573C" w:rsidRPr="00871905" w:rsidRDefault="00B2573C" w:rsidP="00D331E6">
            <w:pPr>
              <w:pStyle w:val="TableBodyText"/>
              <w:spacing w:before="20" w:after="20" w:line="252" w:lineRule="auto"/>
              <w:rPr>
                <w:rFonts w:asciiTheme="majorHAnsi" w:hAnsiTheme="majorHAnsi" w:cstheme="majorHAnsi"/>
                <w:sz w:val="16"/>
                <w:szCs w:val="16"/>
                <w:lang w:eastAsia="fr-CA"/>
              </w:rPr>
            </w:pPr>
            <w:r w:rsidRPr="00871905">
              <w:rPr>
                <w:rFonts w:asciiTheme="majorHAnsi" w:hAnsiTheme="majorHAnsi" w:cstheme="majorHAnsi"/>
                <w:sz w:val="16"/>
                <w:szCs w:val="16"/>
                <w:lang w:eastAsia="fr-CA"/>
              </w:rPr>
              <w:t xml:space="preserve">Other proposals </w:t>
            </w:r>
          </w:p>
        </w:tc>
        <w:tc>
          <w:tcPr>
            <w:tcW w:w="3750" w:type="pct"/>
            <w:tcBorders>
              <w:bottom w:val="single" w:sz="4" w:space="0" w:color="auto"/>
            </w:tcBorders>
            <w:shd w:val="clear" w:color="auto" w:fill="C8C9D3" w:themeFill="background2" w:themeFillShade="E6"/>
          </w:tcPr>
          <w:p w14:paraId="029EECCC" w14:textId="77777777" w:rsidR="00B2573C" w:rsidRPr="00DE7915" w:rsidRDefault="00B2573C" w:rsidP="00D331E6">
            <w:pPr>
              <w:pStyle w:val="TableBullet10"/>
              <w:spacing w:before="20" w:after="20"/>
              <w:rPr>
                <w:sz w:val="16"/>
                <w:szCs w:val="16"/>
              </w:rPr>
            </w:pPr>
            <w:r w:rsidRPr="00DE7915">
              <w:rPr>
                <w:color w:val="800080" w:themeColor="accent6"/>
                <w:sz w:val="16"/>
                <w:szCs w:val="16"/>
              </w:rPr>
              <w:t xml:space="preserve">TGP </w:t>
            </w:r>
            <w:r w:rsidRPr="00DE7915">
              <w:rPr>
                <w:sz w:val="16"/>
                <w:szCs w:val="16"/>
              </w:rPr>
              <w:t xml:space="preserve">suggested the relevant regulator have the discretion to exempt small pipelines from compliance in whole or part with Part 23 where warranted, having regard to the costs </w:t>
            </w:r>
            <w:r w:rsidR="00490F90">
              <w:rPr>
                <w:sz w:val="16"/>
                <w:szCs w:val="16"/>
              </w:rPr>
              <w:t>and</w:t>
            </w:r>
            <w:r w:rsidRPr="00DE7915">
              <w:rPr>
                <w:sz w:val="16"/>
                <w:szCs w:val="16"/>
              </w:rPr>
              <w:t xml:space="preserve"> the benefits of the application of Part 23. </w:t>
            </w:r>
          </w:p>
          <w:p w14:paraId="25EF002A" w14:textId="77777777" w:rsidR="00B2573C" w:rsidRPr="00DE7915" w:rsidRDefault="00B2573C" w:rsidP="00D331E6">
            <w:pPr>
              <w:pStyle w:val="TableBullet10"/>
              <w:spacing w:before="20" w:after="20"/>
              <w:rPr>
                <w:color w:val="D60093"/>
                <w:sz w:val="16"/>
                <w:szCs w:val="16"/>
              </w:rPr>
            </w:pPr>
            <w:r w:rsidRPr="00DE7915">
              <w:rPr>
                <w:sz w:val="16"/>
                <w:szCs w:val="16"/>
              </w:rPr>
              <w:t>A confidential submitter suggested that an automatic exemption</w:t>
            </w:r>
            <w:r w:rsidR="00A34460">
              <w:rPr>
                <w:sz w:val="16"/>
                <w:szCs w:val="16"/>
              </w:rPr>
              <w:t xml:space="preserve"> from regulation </w:t>
            </w:r>
            <w:r w:rsidRPr="00DE7915">
              <w:rPr>
                <w:sz w:val="16"/>
                <w:szCs w:val="16"/>
              </w:rPr>
              <w:t>be made available to “single-use non-market facing assets”.</w:t>
            </w:r>
          </w:p>
        </w:tc>
      </w:tr>
      <w:tr w:rsidR="003257C8" w:rsidRPr="00871905" w14:paraId="3FABDA49" w14:textId="77777777" w:rsidTr="003257C8">
        <w:trPr>
          <w:cnfStyle w:val="000000010000" w:firstRow="0" w:lastRow="0" w:firstColumn="0" w:lastColumn="0" w:oddVBand="0" w:evenVBand="0" w:oddHBand="0" w:evenHBand="1" w:firstRowFirstColumn="0" w:firstRowLastColumn="0" w:lastRowFirstColumn="0" w:lastRowLastColumn="0"/>
          <w:cantSplit/>
          <w:trHeight w:val="222"/>
        </w:trPr>
        <w:tc>
          <w:tcPr>
            <w:tcW w:w="241" w:type="pct"/>
            <w:vMerge w:val="restart"/>
            <w:textDirection w:val="btLr"/>
          </w:tcPr>
          <w:p w14:paraId="0058C4BB" w14:textId="77777777" w:rsidR="003257C8" w:rsidRPr="00871905" w:rsidRDefault="003257C8" w:rsidP="003257C8">
            <w:pPr>
              <w:spacing w:before="40" w:after="20" w:line="252" w:lineRule="auto"/>
              <w:jc w:val="center"/>
              <w:rPr>
                <w:rFonts w:cs="Arial"/>
                <w:bCs/>
                <w:sz w:val="16"/>
                <w:szCs w:val="16"/>
              </w:rPr>
            </w:pPr>
            <w:r>
              <w:rPr>
                <w:bCs/>
                <w:sz w:val="16"/>
                <w:szCs w:val="16"/>
              </w:rPr>
              <w:t>Scope of the greenfield exemption</w:t>
            </w:r>
          </w:p>
        </w:tc>
        <w:tc>
          <w:tcPr>
            <w:tcW w:w="1009" w:type="pct"/>
            <w:gridSpan w:val="2"/>
            <w:tcBorders>
              <w:bottom w:val="single" w:sz="4" w:space="0" w:color="auto"/>
            </w:tcBorders>
            <w:shd w:val="clear" w:color="auto" w:fill="FFFFFF" w:themeFill="background1"/>
          </w:tcPr>
          <w:p w14:paraId="687FF7F9" w14:textId="77777777" w:rsidR="003257C8" w:rsidRPr="00871905" w:rsidRDefault="003257C8" w:rsidP="003257C8">
            <w:pPr>
              <w:pStyle w:val="TableBodyText"/>
              <w:spacing w:before="20" w:after="20" w:line="252" w:lineRule="auto"/>
              <w:rPr>
                <w:rFonts w:asciiTheme="majorHAnsi" w:hAnsiTheme="majorHAnsi" w:cstheme="majorHAnsi"/>
                <w:sz w:val="16"/>
                <w:szCs w:val="16"/>
                <w:lang w:eastAsia="fr-CA"/>
              </w:rPr>
            </w:pPr>
            <w:r w:rsidRPr="000730D3">
              <w:rPr>
                <w:rFonts w:asciiTheme="majorHAnsi" w:hAnsiTheme="majorHAnsi" w:cstheme="majorHAnsi"/>
                <w:sz w:val="16"/>
                <w:szCs w:val="16"/>
                <w:lang w:eastAsia="fr-CA"/>
              </w:rPr>
              <w:t xml:space="preserve">Option </w:t>
            </w:r>
            <w:r>
              <w:rPr>
                <w:rFonts w:asciiTheme="majorHAnsi" w:hAnsiTheme="majorHAnsi" w:cstheme="majorHAnsi"/>
                <w:sz w:val="16"/>
                <w:szCs w:val="16"/>
                <w:lang w:eastAsia="fr-CA"/>
              </w:rPr>
              <w:t>A</w:t>
            </w:r>
            <w:r w:rsidRPr="000730D3">
              <w:rPr>
                <w:rFonts w:asciiTheme="majorHAnsi" w:hAnsiTheme="majorHAnsi" w:cstheme="majorHAnsi"/>
                <w:sz w:val="16"/>
                <w:szCs w:val="16"/>
                <w:lang w:eastAsia="fr-CA"/>
              </w:rPr>
              <w:t xml:space="preserve">: </w:t>
            </w:r>
            <w:r>
              <w:rPr>
                <w:rFonts w:asciiTheme="majorHAnsi" w:hAnsiTheme="majorHAnsi" w:cstheme="majorHAnsi"/>
                <w:sz w:val="16"/>
                <w:szCs w:val="16"/>
                <w:lang w:eastAsia="fr-CA"/>
              </w:rPr>
              <w:t>S</w:t>
            </w:r>
            <w:r w:rsidRPr="000730D3">
              <w:rPr>
                <w:rFonts w:asciiTheme="majorHAnsi" w:hAnsiTheme="majorHAnsi" w:cstheme="majorHAnsi"/>
                <w:sz w:val="16"/>
                <w:szCs w:val="16"/>
                <w:lang w:eastAsia="fr-CA"/>
              </w:rPr>
              <w:t xml:space="preserve">tatus quo </w:t>
            </w:r>
          </w:p>
        </w:tc>
        <w:tc>
          <w:tcPr>
            <w:tcW w:w="3750" w:type="pct"/>
            <w:tcBorders>
              <w:bottom w:val="single" w:sz="4" w:space="0" w:color="auto"/>
            </w:tcBorders>
            <w:shd w:val="clear" w:color="auto" w:fill="FFFFFF" w:themeFill="background1"/>
          </w:tcPr>
          <w:p w14:paraId="1058F496" w14:textId="77777777" w:rsidR="003257C8" w:rsidRPr="00DE7915" w:rsidRDefault="003257C8" w:rsidP="003257C8">
            <w:pPr>
              <w:pStyle w:val="TableBullet10"/>
              <w:spacing w:before="20" w:after="20"/>
              <w:rPr>
                <w:color w:val="800080" w:themeColor="accent6"/>
                <w:sz w:val="16"/>
                <w:szCs w:val="16"/>
              </w:rPr>
            </w:pPr>
            <w:r w:rsidRPr="000730D3">
              <w:rPr>
                <w:sz w:val="16"/>
                <w:szCs w:val="16"/>
              </w:rPr>
              <w:t xml:space="preserve">The </w:t>
            </w:r>
            <w:r w:rsidRPr="000730D3">
              <w:rPr>
                <w:color w:val="FF0000"/>
                <w:sz w:val="16"/>
                <w:szCs w:val="16"/>
              </w:rPr>
              <w:t>ACCC</w:t>
            </w:r>
            <w:r w:rsidRPr="000730D3">
              <w:rPr>
                <w:sz w:val="16"/>
                <w:szCs w:val="16"/>
              </w:rPr>
              <w:t xml:space="preserve">, </w:t>
            </w:r>
            <w:r w:rsidRPr="000730D3">
              <w:rPr>
                <w:color w:val="0000FF"/>
                <w:sz w:val="16"/>
                <w:szCs w:val="16"/>
              </w:rPr>
              <w:t>EUAA, Chemistry Australia, NSW BC, MEU,</w:t>
            </w:r>
            <w:r w:rsidRPr="000730D3">
              <w:rPr>
                <w:sz w:val="16"/>
                <w:szCs w:val="16"/>
              </w:rPr>
              <w:t xml:space="preserve"> </w:t>
            </w:r>
            <w:r w:rsidRPr="000730D3">
              <w:rPr>
                <w:color w:val="D60093"/>
                <w:sz w:val="16"/>
                <w:szCs w:val="16"/>
              </w:rPr>
              <w:t xml:space="preserve">APLNG </w:t>
            </w:r>
            <w:r w:rsidRPr="000730D3">
              <w:rPr>
                <w:sz w:val="16"/>
                <w:szCs w:val="16"/>
              </w:rPr>
              <w:t xml:space="preserve">and </w:t>
            </w:r>
            <w:r w:rsidRPr="000730D3">
              <w:rPr>
                <w:color w:val="D60093"/>
                <w:sz w:val="16"/>
                <w:szCs w:val="16"/>
              </w:rPr>
              <w:t xml:space="preserve">COPA </w:t>
            </w:r>
            <w:r w:rsidRPr="000730D3">
              <w:rPr>
                <w:sz w:val="16"/>
                <w:szCs w:val="16"/>
              </w:rPr>
              <w:t xml:space="preserve">supported the continued application of the lighter form of regulation to pipelines with a greenfield exemption, with a number noting that users of these pipelines are likely to face the same imbalance in bargaining power and information asymmetries as shippers on other pipelines, so the safeguards provided by Part 23 should be </w:t>
            </w:r>
            <w:r>
              <w:rPr>
                <w:sz w:val="16"/>
                <w:szCs w:val="16"/>
              </w:rPr>
              <w:t>available</w:t>
            </w:r>
            <w:r w:rsidRPr="000730D3">
              <w:rPr>
                <w:sz w:val="16"/>
                <w:szCs w:val="16"/>
              </w:rPr>
              <w:t xml:space="preserve"> to these users.</w:t>
            </w:r>
          </w:p>
        </w:tc>
      </w:tr>
      <w:tr w:rsidR="003257C8" w:rsidRPr="00871905" w14:paraId="17D2E434" w14:textId="77777777" w:rsidTr="003257C8">
        <w:trPr>
          <w:cantSplit/>
          <w:trHeight w:val="222"/>
        </w:trPr>
        <w:tc>
          <w:tcPr>
            <w:tcW w:w="241" w:type="pct"/>
            <w:vMerge/>
          </w:tcPr>
          <w:p w14:paraId="3EE1FA69" w14:textId="77777777" w:rsidR="003257C8" w:rsidRPr="00871905" w:rsidRDefault="003257C8" w:rsidP="003257C8">
            <w:pPr>
              <w:spacing w:before="40" w:after="20" w:line="252" w:lineRule="auto"/>
              <w:rPr>
                <w:rFonts w:cs="Arial"/>
                <w:bCs/>
                <w:sz w:val="16"/>
                <w:szCs w:val="16"/>
              </w:rPr>
            </w:pPr>
          </w:p>
        </w:tc>
        <w:tc>
          <w:tcPr>
            <w:tcW w:w="1009" w:type="pct"/>
            <w:gridSpan w:val="2"/>
            <w:shd w:val="clear" w:color="auto" w:fill="E1E2E7" w:themeFill="background2"/>
          </w:tcPr>
          <w:p w14:paraId="7E506A74" w14:textId="77777777" w:rsidR="003257C8" w:rsidRPr="00871905" w:rsidRDefault="003257C8" w:rsidP="003257C8">
            <w:pPr>
              <w:pStyle w:val="TableBodyText"/>
              <w:spacing w:before="20" w:after="20" w:line="252" w:lineRule="auto"/>
              <w:rPr>
                <w:rFonts w:asciiTheme="majorHAnsi" w:hAnsiTheme="majorHAnsi" w:cstheme="majorHAnsi"/>
                <w:sz w:val="16"/>
                <w:szCs w:val="16"/>
                <w:lang w:eastAsia="fr-CA"/>
              </w:rPr>
            </w:pPr>
            <w:r w:rsidRPr="00871905">
              <w:rPr>
                <w:rFonts w:asciiTheme="majorHAnsi" w:hAnsiTheme="majorHAnsi" w:cstheme="majorHAnsi"/>
                <w:sz w:val="16"/>
                <w:szCs w:val="16"/>
                <w:lang w:eastAsia="fr-CA"/>
              </w:rPr>
              <w:t xml:space="preserve">Option </w:t>
            </w:r>
            <w:r>
              <w:rPr>
                <w:rFonts w:asciiTheme="majorHAnsi" w:hAnsiTheme="majorHAnsi" w:cstheme="majorHAnsi"/>
                <w:sz w:val="16"/>
                <w:szCs w:val="16"/>
                <w:lang w:eastAsia="fr-CA"/>
              </w:rPr>
              <w:t>B</w:t>
            </w:r>
            <w:r w:rsidRPr="00871905">
              <w:rPr>
                <w:rFonts w:asciiTheme="majorHAnsi" w:hAnsiTheme="majorHAnsi" w:cstheme="majorHAnsi"/>
                <w:sz w:val="16"/>
                <w:szCs w:val="16"/>
                <w:lang w:eastAsia="fr-CA"/>
              </w:rPr>
              <w:t xml:space="preserve">: Expand </w:t>
            </w:r>
            <w:r>
              <w:rPr>
                <w:rFonts w:asciiTheme="majorHAnsi" w:hAnsiTheme="majorHAnsi" w:cstheme="majorHAnsi"/>
                <w:sz w:val="16"/>
                <w:szCs w:val="16"/>
                <w:lang w:eastAsia="fr-CA"/>
              </w:rPr>
              <w:t xml:space="preserve">greenfield incentive </w:t>
            </w:r>
            <w:r w:rsidRPr="00871905">
              <w:rPr>
                <w:rFonts w:asciiTheme="majorHAnsi" w:hAnsiTheme="majorHAnsi" w:cstheme="majorHAnsi"/>
                <w:sz w:val="16"/>
                <w:szCs w:val="16"/>
                <w:lang w:eastAsia="fr-CA"/>
              </w:rPr>
              <w:t xml:space="preserve">to include </w:t>
            </w:r>
            <w:r>
              <w:rPr>
                <w:rFonts w:asciiTheme="majorHAnsi" w:hAnsiTheme="majorHAnsi" w:cstheme="majorHAnsi"/>
                <w:sz w:val="16"/>
                <w:szCs w:val="16"/>
                <w:lang w:eastAsia="fr-CA"/>
              </w:rPr>
              <w:t xml:space="preserve">full </w:t>
            </w:r>
            <w:r w:rsidRPr="00871905">
              <w:rPr>
                <w:rFonts w:asciiTheme="majorHAnsi" w:hAnsiTheme="majorHAnsi" w:cstheme="majorHAnsi"/>
                <w:sz w:val="16"/>
                <w:szCs w:val="16"/>
                <w:lang w:eastAsia="fr-CA"/>
              </w:rPr>
              <w:t xml:space="preserve">exemption from Part 23 </w:t>
            </w:r>
          </w:p>
        </w:tc>
        <w:tc>
          <w:tcPr>
            <w:tcW w:w="3750" w:type="pct"/>
            <w:shd w:val="clear" w:color="auto" w:fill="E1E2E7" w:themeFill="background2"/>
          </w:tcPr>
          <w:p w14:paraId="6E10DBF3" w14:textId="77777777" w:rsidR="003257C8" w:rsidRPr="00DE7915" w:rsidRDefault="003257C8" w:rsidP="003257C8">
            <w:pPr>
              <w:pStyle w:val="TableBullet10"/>
              <w:spacing w:before="20" w:after="20"/>
              <w:rPr>
                <w:color w:val="800080" w:themeColor="accent6"/>
                <w:sz w:val="16"/>
                <w:szCs w:val="16"/>
              </w:rPr>
            </w:pPr>
            <w:r w:rsidRPr="00DE7915">
              <w:rPr>
                <w:color w:val="D60093"/>
                <w:sz w:val="16"/>
                <w:szCs w:val="16"/>
                <w:lang w:eastAsia="fr-CA"/>
              </w:rPr>
              <w:t>APPEA</w:t>
            </w:r>
            <w:r>
              <w:rPr>
                <w:color w:val="D60093"/>
                <w:sz w:val="16"/>
                <w:szCs w:val="16"/>
                <w:lang w:eastAsia="fr-CA"/>
              </w:rPr>
              <w:t>,</w:t>
            </w:r>
            <w:r w:rsidRPr="00DE7915">
              <w:rPr>
                <w:color w:val="D60093"/>
                <w:sz w:val="16"/>
                <w:szCs w:val="16"/>
                <w:lang w:eastAsia="fr-CA"/>
              </w:rPr>
              <w:t xml:space="preserve"> </w:t>
            </w:r>
            <w:r w:rsidRPr="00DE7915">
              <w:rPr>
                <w:sz w:val="16"/>
                <w:szCs w:val="16"/>
                <w:lang w:eastAsia="fr-CA"/>
              </w:rPr>
              <w:t>a confidential submitter</w:t>
            </w:r>
            <w:r>
              <w:rPr>
                <w:sz w:val="16"/>
                <w:szCs w:val="16"/>
                <w:lang w:eastAsia="fr-CA"/>
              </w:rPr>
              <w:t>,</w:t>
            </w:r>
            <w:r w:rsidRPr="00DE7915">
              <w:rPr>
                <w:sz w:val="16"/>
                <w:szCs w:val="16"/>
                <w:lang w:eastAsia="fr-CA"/>
              </w:rPr>
              <w:t xml:space="preserve"> </w:t>
            </w:r>
            <w:r w:rsidRPr="005A67D2">
              <w:rPr>
                <w:color w:val="7030A0"/>
                <w:sz w:val="16"/>
                <w:szCs w:val="16"/>
                <w:lang w:eastAsia="fr-CA"/>
              </w:rPr>
              <w:t xml:space="preserve">AGIG, APA, APGA </w:t>
            </w:r>
            <w:r w:rsidRPr="00DE7915">
              <w:rPr>
                <w:sz w:val="16"/>
                <w:szCs w:val="16"/>
                <w:lang w:eastAsia="fr-CA"/>
              </w:rPr>
              <w:t>and</w:t>
            </w:r>
            <w:r w:rsidRPr="00DE7915">
              <w:rPr>
                <w:color w:val="800080" w:themeColor="accent6"/>
                <w:sz w:val="16"/>
                <w:szCs w:val="16"/>
                <w:lang w:eastAsia="fr-CA"/>
              </w:rPr>
              <w:t xml:space="preserve"> </w:t>
            </w:r>
            <w:r w:rsidRPr="005A67D2">
              <w:rPr>
                <w:color w:val="7030A0"/>
                <w:sz w:val="16"/>
                <w:szCs w:val="16"/>
                <w:lang w:eastAsia="fr-CA"/>
              </w:rPr>
              <w:t xml:space="preserve">Jemena </w:t>
            </w:r>
            <w:r>
              <w:rPr>
                <w:sz w:val="16"/>
                <w:szCs w:val="16"/>
                <w:lang w:eastAsia="fr-CA"/>
              </w:rPr>
              <w:t xml:space="preserve">were of the view that the </w:t>
            </w:r>
            <w:r w:rsidRPr="00DE7915">
              <w:rPr>
                <w:sz w:val="16"/>
                <w:szCs w:val="16"/>
                <w:lang w:eastAsia="fr-CA"/>
              </w:rPr>
              <w:t xml:space="preserve">greenfield </w:t>
            </w:r>
            <w:r>
              <w:rPr>
                <w:sz w:val="16"/>
                <w:szCs w:val="16"/>
                <w:lang w:eastAsia="fr-CA"/>
              </w:rPr>
              <w:t xml:space="preserve">incentive should be strengthened to provide the holder a full </w:t>
            </w:r>
            <w:r w:rsidRPr="00DE7915">
              <w:rPr>
                <w:sz w:val="16"/>
                <w:szCs w:val="16"/>
                <w:lang w:eastAsia="fr-CA"/>
              </w:rPr>
              <w:t xml:space="preserve">exemption from all forms of regulation. </w:t>
            </w:r>
          </w:p>
        </w:tc>
      </w:tr>
      <w:tr w:rsidR="003257C8" w:rsidRPr="00871905" w14:paraId="5CABEC33" w14:textId="77777777" w:rsidTr="00A80AD9">
        <w:trPr>
          <w:cnfStyle w:val="000000010000" w:firstRow="0" w:lastRow="0" w:firstColumn="0" w:lastColumn="0" w:oddVBand="0" w:evenVBand="0" w:oddHBand="0" w:evenHBand="1" w:firstRowFirstColumn="0" w:firstRowLastColumn="0" w:lastRowFirstColumn="0" w:lastRowLastColumn="0"/>
          <w:cantSplit/>
          <w:trHeight w:val="222"/>
        </w:trPr>
        <w:tc>
          <w:tcPr>
            <w:tcW w:w="241" w:type="pct"/>
            <w:vMerge/>
          </w:tcPr>
          <w:p w14:paraId="10895A2A" w14:textId="77777777" w:rsidR="003257C8" w:rsidRPr="00871905" w:rsidRDefault="003257C8" w:rsidP="003257C8">
            <w:pPr>
              <w:spacing w:before="40" w:after="20" w:line="252" w:lineRule="auto"/>
              <w:rPr>
                <w:rFonts w:cs="Arial"/>
                <w:bCs/>
                <w:sz w:val="16"/>
                <w:szCs w:val="16"/>
              </w:rPr>
            </w:pPr>
          </w:p>
        </w:tc>
        <w:tc>
          <w:tcPr>
            <w:tcW w:w="1009" w:type="pct"/>
            <w:gridSpan w:val="2"/>
            <w:shd w:val="clear" w:color="auto" w:fill="C8C9D3" w:themeFill="background2" w:themeFillShade="E6"/>
          </w:tcPr>
          <w:p w14:paraId="0054A460" w14:textId="77777777" w:rsidR="003257C8" w:rsidRPr="00871905" w:rsidRDefault="003257C8" w:rsidP="003257C8">
            <w:pPr>
              <w:pStyle w:val="TableBodyText"/>
              <w:spacing w:before="20" w:after="20" w:line="252" w:lineRule="auto"/>
              <w:rPr>
                <w:rFonts w:asciiTheme="majorHAnsi" w:hAnsiTheme="majorHAnsi" w:cstheme="majorHAnsi"/>
                <w:sz w:val="16"/>
                <w:szCs w:val="16"/>
                <w:lang w:eastAsia="fr-CA"/>
              </w:rPr>
            </w:pPr>
            <w:r w:rsidRPr="00F14236">
              <w:rPr>
                <w:rFonts w:asciiTheme="majorHAnsi" w:hAnsiTheme="majorHAnsi" w:cstheme="majorHAnsi"/>
                <w:sz w:val="16"/>
                <w:szCs w:val="16"/>
                <w:lang w:eastAsia="fr-CA"/>
              </w:rPr>
              <w:t>Form of the greenfield exemption</w:t>
            </w:r>
          </w:p>
        </w:tc>
        <w:tc>
          <w:tcPr>
            <w:tcW w:w="3750" w:type="pct"/>
            <w:shd w:val="clear" w:color="auto" w:fill="C8C9D3" w:themeFill="background2" w:themeFillShade="E6"/>
          </w:tcPr>
          <w:p w14:paraId="4A32A34F" w14:textId="77777777" w:rsidR="003257C8" w:rsidRPr="00F14236" w:rsidRDefault="003257C8" w:rsidP="003257C8">
            <w:pPr>
              <w:pStyle w:val="TableBullet10"/>
              <w:spacing w:before="20" w:after="20"/>
              <w:rPr>
                <w:sz w:val="16"/>
                <w:szCs w:val="16"/>
              </w:rPr>
            </w:pPr>
            <w:r w:rsidRPr="00F14236">
              <w:rPr>
                <w:b/>
                <w:bCs/>
                <w:sz w:val="16"/>
                <w:szCs w:val="16"/>
              </w:rPr>
              <w:t>CTP:</w:t>
            </w:r>
            <w:r w:rsidRPr="00F14236">
              <w:rPr>
                <w:sz w:val="16"/>
                <w:szCs w:val="16"/>
              </w:rPr>
              <w:t xml:space="preserve"> The </w:t>
            </w:r>
            <w:r w:rsidRPr="00F14236">
              <w:rPr>
                <w:color w:val="FF0000"/>
                <w:sz w:val="16"/>
                <w:szCs w:val="16"/>
              </w:rPr>
              <w:t>ACCC</w:t>
            </w:r>
            <w:r w:rsidRPr="00F14236">
              <w:rPr>
                <w:sz w:val="16"/>
                <w:szCs w:val="16"/>
              </w:rPr>
              <w:t xml:space="preserve">, </w:t>
            </w:r>
            <w:r w:rsidRPr="00F14236">
              <w:rPr>
                <w:color w:val="0000FF"/>
                <w:sz w:val="16"/>
                <w:szCs w:val="16"/>
              </w:rPr>
              <w:t xml:space="preserve">EUAA, NSW BC </w:t>
            </w:r>
            <w:r w:rsidRPr="00F14236">
              <w:rPr>
                <w:sz w:val="16"/>
                <w:szCs w:val="16"/>
              </w:rPr>
              <w:t xml:space="preserve">and </w:t>
            </w:r>
            <w:r w:rsidRPr="00F14236">
              <w:rPr>
                <w:color w:val="0000FF"/>
                <w:sz w:val="16"/>
                <w:szCs w:val="16"/>
              </w:rPr>
              <w:t xml:space="preserve">Chemistry Australia </w:t>
            </w:r>
            <w:r w:rsidRPr="00F14236">
              <w:rPr>
                <w:sz w:val="16"/>
                <w:szCs w:val="16"/>
              </w:rPr>
              <w:t xml:space="preserve">supported the retention of the CTP because it allows the benefits of competition for the development of a new pipeline to flow through to other users. </w:t>
            </w:r>
            <w:r>
              <w:rPr>
                <w:sz w:val="16"/>
                <w:szCs w:val="16"/>
              </w:rPr>
              <w:t xml:space="preserve">The ACCC also noted the potential to combine this mechanism with the 15-year no coverage determination. </w:t>
            </w:r>
            <w:r w:rsidRPr="005A67D2">
              <w:rPr>
                <w:color w:val="7030A0"/>
                <w:sz w:val="16"/>
                <w:szCs w:val="16"/>
              </w:rPr>
              <w:t xml:space="preserve">AGIG, APA, APGA </w:t>
            </w:r>
            <w:r w:rsidRPr="00F14236">
              <w:rPr>
                <w:sz w:val="16"/>
                <w:szCs w:val="16"/>
              </w:rPr>
              <w:t xml:space="preserve">and </w:t>
            </w:r>
            <w:r w:rsidRPr="005A67D2">
              <w:rPr>
                <w:color w:val="7030A0"/>
                <w:sz w:val="16"/>
                <w:szCs w:val="16"/>
              </w:rPr>
              <w:t>Jemena</w:t>
            </w:r>
            <w:r w:rsidRPr="00F14236">
              <w:rPr>
                <w:sz w:val="16"/>
                <w:szCs w:val="16"/>
              </w:rPr>
              <w:t xml:space="preserve">, on the other hand, did not think </w:t>
            </w:r>
            <w:r>
              <w:rPr>
                <w:sz w:val="16"/>
                <w:szCs w:val="16"/>
              </w:rPr>
              <w:t xml:space="preserve">the CTP </w:t>
            </w:r>
            <w:r w:rsidRPr="00F14236">
              <w:rPr>
                <w:sz w:val="16"/>
                <w:szCs w:val="16"/>
              </w:rPr>
              <w:t xml:space="preserve">should be retained because in their view it adds </w:t>
            </w:r>
            <w:r w:rsidRPr="00F14236">
              <w:rPr>
                <w:rFonts w:cstheme="majorHAnsi"/>
                <w:sz w:val="16"/>
                <w:szCs w:val="16"/>
              </w:rPr>
              <w:t>costs to the process</w:t>
            </w:r>
            <w:r>
              <w:rPr>
                <w:rFonts w:cstheme="majorHAnsi"/>
                <w:sz w:val="16"/>
                <w:szCs w:val="16"/>
              </w:rPr>
              <w:t xml:space="preserve"> and </w:t>
            </w:r>
            <w:r w:rsidRPr="00F14236">
              <w:rPr>
                <w:rFonts w:cstheme="majorHAnsi"/>
                <w:sz w:val="16"/>
                <w:szCs w:val="16"/>
              </w:rPr>
              <w:t>has the potential to reduce a developer’s competitiveness if confidential information is disclosed.</w:t>
            </w:r>
          </w:p>
          <w:p w14:paraId="13AFDC87" w14:textId="77777777" w:rsidR="003257C8" w:rsidRPr="00DE7915" w:rsidRDefault="003257C8" w:rsidP="003257C8">
            <w:pPr>
              <w:pStyle w:val="TableBullet10"/>
              <w:spacing w:before="20" w:after="20"/>
              <w:rPr>
                <w:color w:val="800080" w:themeColor="accent6"/>
                <w:sz w:val="16"/>
                <w:szCs w:val="16"/>
              </w:rPr>
            </w:pPr>
            <w:r w:rsidRPr="00F14236">
              <w:rPr>
                <w:b/>
                <w:bCs/>
                <w:sz w:val="16"/>
                <w:szCs w:val="16"/>
              </w:rPr>
              <w:t>15-year no coverage determination:</w:t>
            </w:r>
            <w:r w:rsidRPr="00F14236">
              <w:rPr>
                <w:sz w:val="16"/>
                <w:szCs w:val="16"/>
              </w:rPr>
              <w:t xml:space="preserve"> The </w:t>
            </w:r>
            <w:r w:rsidRPr="00F14236">
              <w:rPr>
                <w:color w:val="FF0000"/>
                <w:sz w:val="16"/>
                <w:szCs w:val="16"/>
              </w:rPr>
              <w:t>ACCC,</w:t>
            </w:r>
            <w:r w:rsidRPr="00F14236">
              <w:rPr>
                <w:color w:val="D60093"/>
                <w:sz w:val="16"/>
                <w:szCs w:val="16"/>
              </w:rPr>
              <w:t xml:space="preserve"> APLNG,</w:t>
            </w:r>
            <w:r w:rsidRPr="00F14236">
              <w:rPr>
                <w:sz w:val="16"/>
                <w:szCs w:val="16"/>
              </w:rPr>
              <w:t xml:space="preserve"> </w:t>
            </w:r>
            <w:r w:rsidRPr="00F14236">
              <w:rPr>
                <w:color w:val="D60093"/>
                <w:sz w:val="16"/>
                <w:szCs w:val="16"/>
              </w:rPr>
              <w:t xml:space="preserve">APPEA, </w:t>
            </w:r>
            <w:r w:rsidRPr="00F14236">
              <w:rPr>
                <w:color w:val="7030A0"/>
                <w:sz w:val="16"/>
                <w:szCs w:val="16"/>
              </w:rPr>
              <w:t xml:space="preserve">AGIG, APGA, APA </w:t>
            </w:r>
            <w:r w:rsidRPr="00F14236">
              <w:rPr>
                <w:sz w:val="16"/>
                <w:szCs w:val="16"/>
              </w:rPr>
              <w:t xml:space="preserve">and </w:t>
            </w:r>
            <w:r w:rsidRPr="00F14236">
              <w:rPr>
                <w:color w:val="7030A0"/>
                <w:sz w:val="16"/>
                <w:szCs w:val="16"/>
              </w:rPr>
              <w:t xml:space="preserve">Jemena </w:t>
            </w:r>
            <w:r w:rsidRPr="00F14236">
              <w:rPr>
                <w:sz w:val="16"/>
                <w:szCs w:val="16"/>
              </w:rPr>
              <w:t>supported the retention of this type of mechanism</w:t>
            </w:r>
            <w:r>
              <w:rPr>
                <w:sz w:val="16"/>
                <w:szCs w:val="16"/>
              </w:rPr>
              <w:t xml:space="preserve">, with </w:t>
            </w:r>
            <w:r w:rsidRPr="008B4BEE">
              <w:rPr>
                <w:color w:val="7030A0"/>
                <w:sz w:val="16"/>
                <w:szCs w:val="16"/>
              </w:rPr>
              <w:t>AGIG, APGA, APA</w:t>
            </w:r>
            <w:r>
              <w:rPr>
                <w:sz w:val="16"/>
                <w:szCs w:val="16"/>
              </w:rPr>
              <w:t xml:space="preserve"> and </w:t>
            </w:r>
            <w:r w:rsidRPr="008B4BEE">
              <w:rPr>
                <w:color w:val="7030A0"/>
                <w:sz w:val="16"/>
                <w:szCs w:val="16"/>
              </w:rPr>
              <w:t xml:space="preserve">Jemena </w:t>
            </w:r>
            <w:r>
              <w:rPr>
                <w:sz w:val="16"/>
                <w:szCs w:val="16"/>
              </w:rPr>
              <w:t>suggesting a number of measures to strengthen and improve the accessibility of this incentive</w:t>
            </w:r>
            <w:r w:rsidRPr="00F14236">
              <w:rPr>
                <w:color w:val="7030A0"/>
                <w:sz w:val="16"/>
                <w:szCs w:val="16"/>
              </w:rPr>
              <w:t xml:space="preserve">. </w:t>
            </w:r>
            <w:r w:rsidRPr="00F14236">
              <w:rPr>
                <w:sz w:val="16"/>
                <w:szCs w:val="16"/>
              </w:rPr>
              <w:t xml:space="preserve">The </w:t>
            </w:r>
            <w:r w:rsidRPr="00F14236">
              <w:rPr>
                <w:color w:val="0000FF"/>
                <w:sz w:val="16"/>
                <w:szCs w:val="16"/>
              </w:rPr>
              <w:t xml:space="preserve">EUAA, Chemistry Australia, NSW BC, </w:t>
            </w:r>
            <w:r w:rsidRPr="00F14236">
              <w:rPr>
                <w:color w:val="D60093"/>
                <w:sz w:val="16"/>
                <w:szCs w:val="16"/>
              </w:rPr>
              <w:t xml:space="preserve">COPA </w:t>
            </w:r>
            <w:r w:rsidRPr="00F14236">
              <w:rPr>
                <w:sz w:val="16"/>
                <w:szCs w:val="16"/>
              </w:rPr>
              <w:t xml:space="preserve">and </w:t>
            </w:r>
            <w:r w:rsidRPr="00F14236">
              <w:rPr>
                <w:color w:val="00B0F0"/>
                <w:sz w:val="16"/>
                <w:szCs w:val="16"/>
              </w:rPr>
              <w:t>EnergyAustralia</w:t>
            </w:r>
            <w:r w:rsidRPr="00F14236">
              <w:rPr>
                <w:sz w:val="16"/>
                <w:szCs w:val="16"/>
              </w:rPr>
              <w:t>, on the other hand,</w:t>
            </w:r>
            <w:r w:rsidRPr="00F14236">
              <w:rPr>
                <w:color w:val="00B0F0"/>
                <w:sz w:val="16"/>
                <w:szCs w:val="16"/>
              </w:rPr>
              <w:t xml:space="preserve"> </w:t>
            </w:r>
            <w:r w:rsidRPr="00F14236">
              <w:rPr>
                <w:sz w:val="16"/>
                <w:szCs w:val="16"/>
                <w:lang w:eastAsia="fr-CA"/>
              </w:rPr>
              <w:t xml:space="preserve">questioned the need for this mechanism in the framework. In doing so, </w:t>
            </w:r>
            <w:r w:rsidRPr="00F14236">
              <w:rPr>
                <w:color w:val="00B0F0"/>
                <w:sz w:val="16"/>
                <w:szCs w:val="16"/>
                <w:lang w:eastAsia="fr-CA"/>
              </w:rPr>
              <w:t xml:space="preserve">EnergyAustralia </w:t>
            </w:r>
            <w:r w:rsidRPr="00F14236">
              <w:rPr>
                <w:sz w:val="16"/>
                <w:szCs w:val="16"/>
                <w:lang w:eastAsia="fr-CA"/>
              </w:rPr>
              <w:t xml:space="preserve">noted that a case for its retention had not been made, while </w:t>
            </w:r>
            <w:r w:rsidRPr="00F14236">
              <w:rPr>
                <w:color w:val="D60093"/>
                <w:sz w:val="16"/>
                <w:szCs w:val="16"/>
                <w:lang w:eastAsia="fr-CA"/>
              </w:rPr>
              <w:t xml:space="preserve">COPA </w:t>
            </w:r>
            <w:r w:rsidRPr="00F14236">
              <w:rPr>
                <w:sz w:val="16"/>
                <w:szCs w:val="16"/>
                <w:lang w:eastAsia="fr-CA"/>
              </w:rPr>
              <w:t>stated that “</w:t>
            </w:r>
            <w:r w:rsidRPr="00F14236">
              <w:rPr>
                <w:sz w:val="16"/>
                <w:szCs w:val="16"/>
              </w:rPr>
              <w:t>any proposed pipeline would get certainty from the application of the current regime and its initial contracts and not from an exemption from the regime”.</w:t>
            </w:r>
          </w:p>
        </w:tc>
      </w:tr>
      <w:tr w:rsidR="00F167BC" w:rsidRPr="00871905" w14:paraId="14F3C35E" w14:textId="77777777" w:rsidTr="00A80AD9">
        <w:trPr>
          <w:cantSplit/>
          <w:trHeight w:val="60"/>
        </w:trPr>
        <w:tc>
          <w:tcPr>
            <w:tcW w:w="241" w:type="pct"/>
            <w:vMerge w:val="restart"/>
            <w:shd w:val="clear" w:color="auto" w:fill="FFFFFF" w:themeFill="background1"/>
            <w:textDirection w:val="btLr"/>
          </w:tcPr>
          <w:p w14:paraId="4A915378" w14:textId="77777777" w:rsidR="00F167BC" w:rsidRPr="00871905" w:rsidRDefault="00F167BC" w:rsidP="00472F05">
            <w:pPr>
              <w:pStyle w:val="TableBodyText"/>
              <w:spacing w:before="40" w:after="20" w:line="252" w:lineRule="auto"/>
              <w:jc w:val="center"/>
              <w:rPr>
                <w:bCs/>
                <w:sz w:val="16"/>
                <w:szCs w:val="16"/>
              </w:rPr>
            </w:pPr>
            <w:r w:rsidRPr="00871905">
              <w:rPr>
                <w:bCs/>
                <w:sz w:val="16"/>
                <w:szCs w:val="16"/>
              </w:rPr>
              <w:t>Access to pipelines that are not providing 3rd party access</w:t>
            </w:r>
          </w:p>
        </w:tc>
        <w:tc>
          <w:tcPr>
            <w:tcW w:w="1009" w:type="pct"/>
            <w:gridSpan w:val="2"/>
            <w:tcBorders>
              <w:bottom w:val="single" w:sz="4" w:space="0" w:color="auto"/>
            </w:tcBorders>
            <w:shd w:val="clear" w:color="auto" w:fill="FFFFFF" w:themeFill="background1"/>
          </w:tcPr>
          <w:p w14:paraId="443BEE7F" w14:textId="77777777" w:rsidR="00F167BC" w:rsidRPr="00871905" w:rsidRDefault="00F167BC" w:rsidP="00D331E6">
            <w:pPr>
              <w:pStyle w:val="TableBodyText"/>
              <w:keepNext/>
              <w:spacing w:before="20" w:after="20" w:line="252" w:lineRule="auto"/>
              <w:rPr>
                <w:rFonts w:asciiTheme="majorHAnsi" w:hAnsiTheme="majorHAnsi" w:cstheme="majorHAnsi"/>
                <w:sz w:val="16"/>
                <w:szCs w:val="16"/>
                <w:lang w:eastAsia="fr-CA"/>
              </w:rPr>
            </w:pPr>
            <w:r w:rsidRPr="00871905">
              <w:rPr>
                <w:rFonts w:asciiTheme="majorHAnsi" w:hAnsiTheme="majorHAnsi" w:cstheme="majorHAnsi"/>
                <w:sz w:val="16"/>
                <w:szCs w:val="16"/>
                <w:lang w:eastAsia="fr-CA"/>
              </w:rPr>
              <w:t xml:space="preserve">Option </w:t>
            </w:r>
            <w:r w:rsidR="00D20A96">
              <w:rPr>
                <w:rFonts w:asciiTheme="majorHAnsi" w:hAnsiTheme="majorHAnsi" w:cstheme="majorHAnsi"/>
                <w:sz w:val="16"/>
                <w:szCs w:val="16"/>
                <w:lang w:eastAsia="fr-CA"/>
              </w:rPr>
              <w:t>A</w:t>
            </w:r>
            <w:r w:rsidRPr="00871905">
              <w:rPr>
                <w:rFonts w:asciiTheme="majorHAnsi" w:hAnsiTheme="majorHAnsi" w:cstheme="majorHAnsi"/>
                <w:sz w:val="16"/>
                <w:szCs w:val="16"/>
                <w:lang w:eastAsia="fr-CA"/>
              </w:rPr>
              <w:t xml:space="preserve">: </w:t>
            </w:r>
            <w:r w:rsidR="00862274">
              <w:rPr>
                <w:rFonts w:asciiTheme="majorHAnsi" w:hAnsiTheme="majorHAnsi" w:cstheme="majorHAnsi"/>
                <w:sz w:val="16"/>
                <w:szCs w:val="16"/>
                <w:lang w:eastAsia="fr-CA"/>
              </w:rPr>
              <w:t>S</w:t>
            </w:r>
            <w:r w:rsidRPr="00871905">
              <w:rPr>
                <w:rFonts w:asciiTheme="majorHAnsi" w:hAnsiTheme="majorHAnsi" w:cstheme="majorHAnsi"/>
                <w:sz w:val="16"/>
                <w:szCs w:val="16"/>
                <w:lang w:eastAsia="fr-CA"/>
              </w:rPr>
              <w:t>tatus quo</w:t>
            </w:r>
          </w:p>
        </w:tc>
        <w:tc>
          <w:tcPr>
            <w:tcW w:w="3750" w:type="pct"/>
            <w:tcBorders>
              <w:bottom w:val="single" w:sz="4" w:space="0" w:color="auto"/>
            </w:tcBorders>
            <w:shd w:val="clear" w:color="auto" w:fill="FFFFFF" w:themeFill="background1"/>
          </w:tcPr>
          <w:p w14:paraId="4A39580D" w14:textId="77777777" w:rsidR="00F167BC" w:rsidRPr="00150972" w:rsidRDefault="00F167BC" w:rsidP="00D331E6">
            <w:pPr>
              <w:pStyle w:val="TableBullet10"/>
              <w:spacing w:before="20" w:after="20"/>
              <w:rPr>
                <w:sz w:val="16"/>
                <w:szCs w:val="16"/>
              </w:rPr>
            </w:pPr>
            <w:r w:rsidRPr="00150972">
              <w:rPr>
                <w:color w:val="D60093"/>
                <w:sz w:val="16"/>
                <w:szCs w:val="16"/>
              </w:rPr>
              <w:t>APPEA</w:t>
            </w:r>
            <w:r w:rsidRPr="001836B7">
              <w:rPr>
                <w:sz w:val="16"/>
                <w:szCs w:val="16"/>
              </w:rPr>
              <w:t xml:space="preserve">, a confidential </w:t>
            </w:r>
            <w:r w:rsidRPr="00150972">
              <w:rPr>
                <w:sz w:val="16"/>
                <w:szCs w:val="16"/>
              </w:rPr>
              <w:t xml:space="preserve">submitter </w:t>
            </w:r>
            <w:r>
              <w:rPr>
                <w:sz w:val="16"/>
                <w:szCs w:val="16"/>
              </w:rPr>
              <w:t xml:space="preserve">and </w:t>
            </w:r>
            <w:r w:rsidRPr="00150972">
              <w:rPr>
                <w:color w:val="800080" w:themeColor="accent6"/>
                <w:sz w:val="16"/>
                <w:szCs w:val="16"/>
              </w:rPr>
              <w:t xml:space="preserve">Jemena </w:t>
            </w:r>
            <w:r>
              <w:rPr>
                <w:sz w:val="16"/>
                <w:szCs w:val="16"/>
              </w:rPr>
              <w:t>were of the view that the coverage test should continue to be used to determine whether a pipeline that is not voluntarily providing third party access should be required to do so</w:t>
            </w:r>
          </w:p>
        </w:tc>
      </w:tr>
      <w:tr w:rsidR="00F167BC" w:rsidRPr="00871905" w14:paraId="74DA37D5" w14:textId="77777777" w:rsidTr="00A80AD9">
        <w:trPr>
          <w:cnfStyle w:val="000000010000" w:firstRow="0" w:lastRow="0" w:firstColumn="0" w:lastColumn="0" w:oddVBand="0" w:evenVBand="0" w:oddHBand="0" w:evenHBand="1" w:firstRowFirstColumn="0" w:firstRowLastColumn="0" w:lastRowFirstColumn="0" w:lastRowLastColumn="0"/>
          <w:cantSplit/>
          <w:trHeight w:val="521"/>
        </w:trPr>
        <w:tc>
          <w:tcPr>
            <w:tcW w:w="241" w:type="pct"/>
            <w:vMerge/>
            <w:shd w:val="clear" w:color="auto" w:fill="FFFFFF" w:themeFill="background1"/>
          </w:tcPr>
          <w:p w14:paraId="669A9C0D" w14:textId="77777777" w:rsidR="00F167BC" w:rsidRPr="00871905" w:rsidDel="003D0E8B" w:rsidRDefault="00F167BC" w:rsidP="00317BB0">
            <w:pPr>
              <w:pStyle w:val="TableBodyText"/>
              <w:spacing w:before="40" w:after="20" w:line="252" w:lineRule="auto"/>
              <w:rPr>
                <w:rFonts w:asciiTheme="majorHAnsi" w:hAnsiTheme="majorHAnsi" w:cstheme="majorHAnsi"/>
                <w:bCs/>
                <w:sz w:val="16"/>
                <w:szCs w:val="16"/>
                <w:lang w:eastAsia="fr-CA"/>
              </w:rPr>
            </w:pPr>
          </w:p>
        </w:tc>
        <w:tc>
          <w:tcPr>
            <w:tcW w:w="480" w:type="pct"/>
            <w:vMerge w:val="restart"/>
          </w:tcPr>
          <w:p w14:paraId="546193AF" w14:textId="77777777" w:rsidR="00F167BC" w:rsidRPr="00871905" w:rsidDel="003D0E8B" w:rsidRDefault="00F167BC" w:rsidP="00D331E6">
            <w:pPr>
              <w:pStyle w:val="TableBodyText"/>
              <w:spacing w:before="20" w:after="20" w:line="252" w:lineRule="auto"/>
              <w:rPr>
                <w:rFonts w:asciiTheme="majorHAnsi" w:hAnsiTheme="majorHAnsi" w:cstheme="majorHAnsi"/>
                <w:sz w:val="16"/>
                <w:szCs w:val="16"/>
                <w:lang w:eastAsia="fr-CA"/>
              </w:rPr>
            </w:pPr>
            <w:r w:rsidRPr="00871905">
              <w:rPr>
                <w:rFonts w:asciiTheme="majorHAnsi" w:hAnsiTheme="majorHAnsi" w:cstheme="majorHAnsi"/>
                <w:sz w:val="16"/>
                <w:szCs w:val="16"/>
                <w:lang w:eastAsia="fr-CA"/>
              </w:rPr>
              <w:t xml:space="preserve">Option </w:t>
            </w:r>
            <w:r w:rsidR="00D20A96">
              <w:rPr>
                <w:rFonts w:asciiTheme="majorHAnsi" w:hAnsiTheme="majorHAnsi" w:cstheme="majorHAnsi"/>
                <w:sz w:val="16"/>
                <w:szCs w:val="16"/>
                <w:lang w:eastAsia="fr-CA"/>
              </w:rPr>
              <w:t>B</w:t>
            </w:r>
            <w:r w:rsidRPr="00871905">
              <w:rPr>
                <w:rFonts w:asciiTheme="majorHAnsi" w:hAnsiTheme="majorHAnsi" w:cstheme="majorHAnsi"/>
                <w:sz w:val="16"/>
                <w:szCs w:val="16"/>
                <w:lang w:eastAsia="fr-CA"/>
              </w:rPr>
              <w:t>: Replace existing process with either:</w:t>
            </w:r>
          </w:p>
        </w:tc>
        <w:tc>
          <w:tcPr>
            <w:tcW w:w="529" w:type="pct"/>
            <w:tcBorders>
              <w:bottom w:val="single" w:sz="4" w:space="0" w:color="auto"/>
            </w:tcBorders>
            <w:shd w:val="clear" w:color="auto" w:fill="F2F2F2" w:themeFill="background1" w:themeFillShade="F2"/>
          </w:tcPr>
          <w:p w14:paraId="3E6B8F2B" w14:textId="77777777" w:rsidR="00F167BC" w:rsidRPr="004E1C5E" w:rsidDel="003D0E8B" w:rsidRDefault="00F167BC" w:rsidP="00D331E6">
            <w:pPr>
              <w:pStyle w:val="TableBodyText"/>
              <w:spacing w:before="20" w:after="20" w:line="252" w:lineRule="auto"/>
              <w:rPr>
                <w:rFonts w:asciiTheme="majorHAnsi" w:hAnsiTheme="majorHAnsi" w:cstheme="majorHAnsi"/>
                <w:sz w:val="16"/>
                <w:szCs w:val="16"/>
                <w:lang w:eastAsia="fr-CA"/>
              </w:rPr>
            </w:pPr>
            <w:r w:rsidRPr="004E1C5E">
              <w:rPr>
                <w:rFonts w:asciiTheme="majorHAnsi" w:hAnsiTheme="majorHAnsi" w:cstheme="majorHAnsi"/>
                <w:sz w:val="16"/>
                <w:szCs w:val="16"/>
                <w:lang w:eastAsia="fr-CA"/>
              </w:rPr>
              <w:t xml:space="preserve">(a) an alternative test applied on a case by case basis </w:t>
            </w:r>
          </w:p>
        </w:tc>
        <w:tc>
          <w:tcPr>
            <w:tcW w:w="3750" w:type="pct"/>
            <w:tcBorders>
              <w:bottom w:val="single" w:sz="4" w:space="0" w:color="auto"/>
            </w:tcBorders>
            <w:shd w:val="clear" w:color="auto" w:fill="F2F2F2" w:themeFill="background1" w:themeFillShade="F2"/>
          </w:tcPr>
          <w:p w14:paraId="3F60425B" w14:textId="77777777" w:rsidR="00F167BC" w:rsidRPr="004E1C5E" w:rsidRDefault="00F167BC" w:rsidP="00D331E6">
            <w:pPr>
              <w:pStyle w:val="TableBullet10"/>
              <w:spacing w:before="20" w:after="20"/>
              <w:rPr>
                <w:sz w:val="16"/>
                <w:szCs w:val="16"/>
              </w:rPr>
            </w:pPr>
            <w:r w:rsidRPr="004E1C5E">
              <w:rPr>
                <w:sz w:val="16"/>
                <w:szCs w:val="16"/>
              </w:rPr>
              <w:t xml:space="preserve">The </w:t>
            </w:r>
            <w:r w:rsidRPr="004E1C5E">
              <w:rPr>
                <w:color w:val="FF0000"/>
                <w:sz w:val="16"/>
                <w:szCs w:val="16"/>
              </w:rPr>
              <w:t>ACCC</w:t>
            </w:r>
            <w:r w:rsidRPr="004E1C5E">
              <w:rPr>
                <w:sz w:val="16"/>
                <w:szCs w:val="16"/>
              </w:rPr>
              <w:t xml:space="preserve">, </w:t>
            </w:r>
            <w:r w:rsidRPr="004E1C5E">
              <w:rPr>
                <w:rFonts w:asciiTheme="majorHAnsi" w:hAnsiTheme="majorHAnsi" w:cstheme="majorHAnsi"/>
                <w:color w:val="0000FF"/>
                <w:sz w:val="16"/>
                <w:szCs w:val="16"/>
                <w:lang w:eastAsia="fr-CA"/>
              </w:rPr>
              <w:t>EUAA, NSW BC, Chemistry Australia, MEU,</w:t>
            </w:r>
            <w:r w:rsidRPr="004E1C5E">
              <w:rPr>
                <w:sz w:val="16"/>
                <w:szCs w:val="16"/>
              </w:rPr>
              <w:t xml:space="preserve"> </w:t>
            </w:r>
            <w:r w:rsidRPr="004E1C5E">
              <w:rPr>
                <w:color w:val="00B0F0"/>
                <w:sz w:val="16"/>
                <w:szCs w:val="16"/>
              </w:rPr>
              <w:t>AGL, Origin, EnergyAustralia,</w:t>
            </w:r>
            <w:r w:rsidRPr="004E1C5E">
              <w:rPr>
                <w:sz w:val="16"/>
                <w:szCs w:val="16"/>
              </w:rPr>
              <w:t xml:space="preserve"> and</w:t>
            </w:r>
            <w:r w:rsidRPr="004E1C5E">
              <w:rPr>
                <w:color w:val="D60093"/>
                <w:sz w:val="16"/>
                <w:szCs w:val="16"/>
              </w:rPr>
              <w:t xml:space="preserve"> APLNG </w:t>
            </w:r>
            <w:r w:rsidRPr="004E1C5E">
              <w:rPr>
                <w:sz w:val="16"/>
                <w:szCs w:val="16"/>
              </w:rPr>
              <w:t xml:space="preserve">supported the continued use of a case-by-case assessment to determine whether a pipeline that is not providing third party access should be required to do so, but were of the view that the coverage test should be replaced with the proposed market power-NGO test (see below).  </w:t>
            </w:r>
          </w:p>
          <w:p w14:paraId="6ADE7FD0" w14:textId="77777777" w:rsidR="00F167BC" w:rsidRPr="004E1C5E" w:rsidRDefault="00F167BC" w:rsidP="00D331E6">
            <w:pPr>
              <w:pStyle w:val="TableBullet10"/>
              <w:spacing w:before="20" w:after="20"/>
              <w:rPr>
                <w:sz w:val="16"/>
                <w:szCs w:val="16"/>
              </w:rPr>
            </w:pPr>
            <w:r w:rsidRPr="004E1C5E">
              <w:rPr>
                <w:sz w:val="16"/>
                <w:szCs w:val="16"/>
              </w:rPr>
              <w:t xml:space="preserve">In advocating this option, the </w:t>
            </w:r>
            <w:r w:rsidRPr="00CD1925">
              <w:rPr>
                <w:color w:val="FF0000"/>
                <w:sz w:val="16"/>
                <w:szCs w:val="16"/>
              </w:rPr>
              <w:t xml:space="preserve">ACCC </w:t>
            </w:r>
            <w:r w:rsidRPr="004E1C5E">
              <w:rPr>
                <w:sz w:val="16"/>
                <w:szCs w:val="16"/>
              </w:rPr>
              <w:t xml:space="preserve">noted that most of the pipelines that are not providing third party access are currently used to transport gas to dedicated end-user facilities, so a more measured approach should be taken in relation to </w:t>
            </w:r>
            <w:r w:rsidRPr="004E1C5E">
              <w:rPr>
                <w:b/>
                <w:bCs/>
                <w:sz w:val="16"/>
                <w:szCs w:val="16"/>
              </w:rPr>
              <w:t>existing</w:t>
            </w:r>
            <w:r w:rsidRPr="004E1C5E">
              <w:rPr>
                <w:sz w:val="16"/>
                <w:szCs w:val="16"/>
              </w:rPr>
              <w:t xml:space="preserve"> pipelines. </w:t>
            </w:r>
            <w:r w:rsidRPr="00CD1925">
              <w:rPr>
                <w:color w:val="00B0F0"/>
                <w:sz w:val="16"/>
                <w:szCs w:val="16"/>
              </w:rPr>
              <w:t xml:space="preserve">AGL </w:t>
            </w:r>
            <w:r w:rsidRPr="004E1C5E">
              <w:rPr>
                <w:sz w:val="16"/>
                <w:szCs w:val="16"/>
              </w:rPr>
              <w:t xml:space="preserve">and the confidential submitter expressed a similar view, noting that consideration must be given to the direct and indirect costs associated with requiring the service provider to provide third party access and any limitations on access that may need to be maintained (e.g. </w:t>
            </w:r>
            <w:r>
              <w:rPr>
                <w:sz w:val="16"/>
                <w:szCs w:val="16"/>
              </w:rPr>
              <w:t xml:space="preserve">to comply with a certain </w:t>
            </w:r>
            <w:r w:rsidRPr="004E1C5E">
              <w:rPr>
                <w:sz w:val="16"/>
                <w:szCs w:val="16"/>
              </w:rPr>
              <w:t>specification</w:t>
            </w:r>
            <w:r>
              <w:rPr>
                <w:sz w:val="16"/>
                <w:szCs w:val="16"/>
              </w:rPr>
              <w:t>s</w:t>
            </w:r>
            <w:r w:rsidRPr="004E1C5E">
              <w:rPr>
                <w:sz w:val="16"/>
                <w:szCs w:val="16"/>
              </w:rPr>
              <w:t xml:space="preserve">). </w:t>
            </w:r>
          </w:p>
        </w:tc>
      </w:tr>
      <w:tr w:rsidR="00F167BC" w:rsidRPr="00871905" w14:paraId="79FA63FA" w14:textId="77777777" w:rsidTr="00A80AD9">
        <w:trPr>
          <w:cantSplit/>
          <w:trHeight w:val="520"/>
        </w:trPr>
        <w:tc>
          <w:tcPr>
            <w:tcW w:w="241" w:type="pct"/>
            <w:vMerge/>
            <w:shd w:val="clear" w:color="auto" w:fill="FFFFFF" w:themeFill="background1"/>
          </w:tcPr>
          <w:p w14:paraId="729CEE85" w14:textId="77777777" w:rsidR="00F167BC" w:rsidRPr="00871905" w:rsidRDefault="00F167BC" w:rsidP="00317BB0">
            <w:pPr>
              <w:pStyle w:val="TableBodyText"/>
              <w:spacing w:before="40" w:after="20" w:line="252" w:lineRule="auto"/>
              <w:rPr>
                <w:rFonts w:asciiTheme="majorHAnsi" w:hAnsiTheme="majorHAnsi" w:cstheme="majorHAnsi"/>
                <w:bCs/>
                <w:sz w:val="16"/>
                <w:szCs w:val="16"/>
                <w:lang w:eastAsia="fr-CA"/>
              </w:rPr>
            </w:pPr>
          </w:p>
        </w:tc>
        <w:tc>
          <w:tcPr>
            <w:tcW w:w="480" w:type="pct"/>
            <w:vMerge/>
            <w:tcBorders>
              <w:bottom w:val="single" w:sz="4" w:space="0" w:color="auto"/>
            </w:tcBorders>
          </w:tcPr>
          <w:p w14:paraId="0977662C" w14:textId="77777777" w:rsidR="00F167BC" w:rsidRPr="00871905" w:rsidRDefault="00F167BC" w:rsidP="00D331E6">
            <w:pPr>
              <w:pStyle w:val="TableBodyText"/>
              <w:spacing w:before="20" w:after="20" w:line="252" w:lineRule="auto"/>
              <w:rPr>
                <w:rFonts w:asciiTheme="majorHAnsi" w:hAnsiTheme="majorHAnsi" w:cstheme="majorHAnsi"/>
                <w:sz w:val="16"/>
                <w:szCs w:val="16"/>
                <w:lang w:eastAsia="fr-CA"/>
              </w:rPr>
            </w:pPr>
          </w:p>
        </w:tc>
        <w:tc>
          <w:tcPr>
            <w:tcW w:w="529" w:type="pct"/>
            <w:tcBorders>
              <w:bottom w:val="single" w:sz="4" w:space="0" w:color="auto"/>
            </w:tcBorders>
            <w:shd w:val="clear" w:color="auto" w:fill="D9D9D9" w:themeFill="background1" w:themeFillShade="D9"/>
          </w:tcPr>
          <w:p w14:paraId="44975138" w14:textId="77777777" w:rsidR="00F167BC" w:rsidRPr="00D331E6" w:rsidRDefault="00F167BC" w:rsidP="00D331E6">
            <w:pPr>
              <w:pStyle w:val="TableBodyText"/>
              <w:spacing w:before="20" w:after="20" w:line="252" w:lineRule="auto"/>
              <w:rPr>
                <w:rFonts w:asciiTheme="majorHAnsi" w:hAnsiTheme="majorHAnsi" w:cstheme="majorHAnsi"/>
                <w:sz w:val="16"/>
                <w:szCs w:val="16"/>
                <w:lang w:eastAsia="fr-CA"/>
              </w:rPr>
            </w:pPr>
            <w:r w:rsidRPr="00D331E6">
              <w:rPr>
                <w:rFonts w:asciiTheme="majorHAnsi" w:hAnsiTheme="majorHAnsi" w:cstheme="majorHAnsi"/>
                <w:sz w:val="16"/>
                <w:szCs w:val="16"/>
                <w:lang w:eastAsia="fr-CA"/>
              </w:rPr>
              <w:t>(b) a requirement for all pipelines to provide 3</w:t>
            </w:r>
            <w:r w:rsidRPr="00D331E6">
              <w:rPr>
                <w:rFonts w:asciiTheme="majorHAnsi" w:hAnsiTheme="majorHAnsi" w:cstheme="majorHAnsi"/>
                <w:sz w:val="16"/>
                <w:szCs w:val="16"/>
                <w:vertAlign w:val="superscript"/>
                <w:lang w:eastAsia="fr-CA"/>
              </w:rPr>
              <w:t>rd</w:t>
            </w:r>
            <w:r w:rsidRPr="00D331E6">
              <w:rPr>
                <w:rFonts w:asciiTheme="majorHAnsi" w:hAnsiTheme="majorHAnsi" w:cstheme="majorHAnsi"/>
                <w:sz w:val="16"/>
                <w:szCs w:val="16"/>
                <w:lang w:eastAsia="fr-CA"/>
              </w:rPr>
              <w:t xml:space="preserve"> party access if access is sought </w:t>
            </w:r>
          </w:p>
        </w:tc>
        <w:tc>
          <w:tcPr>
            <w:tcW w:w="3750" w:type="pct"/>
            <w:tcBorders>
              <w:bottom w:val="single" w:sz="4" w:space="0" w:color="auto"/>
            </w:tcBorders>
            <w:shd w:val="clear" w:color="auto" w:fill="D9D9D9" w:themeFill="background1" w:themeFillShade="D9"/>
          </w:tcPr>
          <w:p w14:paraId="7C13A3C3" w14:textId="77777777" w:rsidR="00F167BC" w:rsidRPr="00D331E6" w:rsidRDefault="00F167BC" w:rsidP="00D331E6">
            <w:pPr>
              <w:pStyle w:val="TableBullet10"/>
              <w:spacing w:before="20" w:after="20"/>
              <w:rPr>
                <w:sz w:val="16"/>
                <w:szCs w:val="16"/>
                <w:lang w:eastAsia="fr-CA"/>
              </w:rPr>
            </w:pPr>
            <w:r w:rsidRPr="00D331E6">
              <w:rPr>
                <w:color w:val="0000FF"/>
                <w:sz w:val="16"/>
                <w:szCs w:val="16"/>
                <w:lang w:eastAsia="fr-CA"/>
              </w:rPr>
              <w:t>Qenos</w:t>
            </w:r>
            <w:r w:rsidRPr="00D331E6">
              <w:rPr>
                <w:sz w:val="16"/>
                <w:szCs w:val="16"/>
                <w:lang w:eastAsia="fr-CA"/>
              </w:rPr>
              <w:t xml:space="preserve">, </w:t>
            </w:r>
            <w:r w:rsidRPr="00D331E6">
              <w:rPr>
                <w:color w:val="00B050"/>
                <w:sz w:val="16"/>
                <w:szCs w:val="16"/>
                <w:lang w:eastAsia="fr-CA"/>
              </w:rPr>
              <w:t>Energy Matrix</w:t>
            </w:r>
            <w:r w:rsidRPr="00D331E6">
              <w:rPr>
                <w:sz w:val="16"/>
                <w:szCs w:val="16"/>
                <w:lang w:eastAsia="fr-CA"/>
              </w:rPr>
              <w:t xml:space="preserve">, </w:t>
            </w:r>
            <w:r w:rsidRPr="00D331E6">
              <w:rPr>
                <w:color w:val="7030A0"/>
                <w:sz w:val="16"/>
                <w:szCs w:val="16"/>
                <w:lang w:eastAsia="fr-CA"/>
              </w:rPr>
              <w:t xml:space="preserve">APA </w:t>
            </w:r>
            <w:r w:rsidRPr="00D331E6">
              <w:rPr>
                <w:sz w:val="16"/>
                <w:szCs w:val="16"/>
                <w:lang w:eastAsia="fr-CA"/>
              </w:rPr>
              <w:t xml:space="preserve">and </w:t>
            </w:r>
            <w:r w:rsidRPr="00D331E6">
              <w:rPr>
                <w:color w:val="7030A0"/>
                <w:sz w:val="16"/>
                <w:szCs w:val="16"/>
                <w:lang w:eastAsia="fr-CA"/>
              </w:rPr>
              <w:t xml:space="preserve">AGIG </w:t>
            </w:r>
            <w:r w:rsidRPr="00D331E6">
              <w:rPr>
                <w:sz w:val="16"/>
                <w:szCs w:val="16"/>
                <w:lang w:eastAsia="fr-CA"/>
              </w:rPr>
              <w:t xml:space="preserve">were of the view that all pipelines should be required to provide third party access, if such access is sought. </w:t>
            </w:r>
            <w:r w:rsidRPr="00CD1925">
              <w:rPr>
                <w:color w:val="7030A0"/>
                <w:sz w:val="16"/>
                <w:szCs w:val="16"/>
                <w:lang w:eastAsia="fr-CA"/>
              </w:rPr>
              <w:t>AGIG</w:t>
            </w:r>
            <w:r w:rsidRPr="00D331E6">
              <w:rPr>
                <w:sz w:val="16"/>
                <w:szCs w:val="16"/>
                <w:lang w:eastAsia="fr-CA"/>
              </w:rPr>
              <w:t xml:space="preserve">, for example, noted that it is: </w:t>
            </w:r>
          </w:p>
          <w:p w14:paraId="187E688D" w14:textId="77777777" w:rsidR="00F167BC" w:rsidRPr="00D331E6" w:rsidRDefault="00F167BC" w:rsidP="00D331E6">
            <w:pPr>
              <w:pStyle w:val="TableBullet10"/>
              <w:numPr>
                <w:ilvl w:val="0"/>
                <w:numId w:val="0"/>
              </w:numPr>
              <w:spacing w:before="20" w:after="20"/>
              <w:ind w:left="572"/>
              <w:rPr>
                <w:i/>
                <w:iCs/>
                <w:sz w:val="16"/>
                <w:szCs w:val="16"/>
                <w:lang w:eastAsia="fr-CA"/>
              </w:rPr>
            </w:pPr>
            <w:r w:rsidRPr="00D331E6">
              <w:rPr>
                <w:i/>
                <w:iCs/>
                <w:sz w:val="16"/>
                <w:szCs w:val="16"/>
                <w:lang w:eastAsia="fr-CA"/>
              </w:rPr>
              <w:t xml:space="preserve">“supportive of third-party access as the default, with exemptions </w:t>
            </w:r>
            <w:r w:rsidR="00D069CF">
              <w:rPr>
                <w:i/>
                <w:iCs/>
                <w:sz w:val="16"/>
                <w:szCs w:val="16"/>
                <w:lang w:eastAsia="fr-CA"/>
              </w:rPr>
              <w:t>available</w:t>
            </w:r>
            <w:r w:rsidRPr="00D331E6">
              <w:rPr>
                <w:i/>
                <w:iCs/>
                <w:sz w:val="16"/>
                <w:szCs w:val="16"/>
                <w:lang w:eastAsia="fr-CA"/>
              </w:rPr>
              <w:t xml:space="preserve"> from components of regulation, and full exemptions </w:t>
            </w:r>
            <w:r w:rsidR="00D069CF">
              <w:rPr>
                <w:i/>
                <w:iCs/>
                <w:sz w:val="16"/>
                <w:szCs w:val="16"/>
                <w:lang w:eastAsia="fr-CA"/>
              </w:rPr>
              <w:t>available</w:t>
            </w:r>
            <w:r w:rsidRPr="00D331E6">
              <w:rPr>
                <w:i/>
                <w:iCs/>
                <w:sz w:val="16"/>
                <w:szCs w:val="16"/>
                <w:lang w:eastAsia="fr-CA"/>
              </w:rPr>
              <w:t xml:space="preserve"> where the pipeline is found to not have substantial market power”.  </w:t>
            </w:r>
          </w:p>
          <w:p w14:paraId="447DB4AD" w14:textId="77777777" w:rsidR="00F167BC" w:rsidRPr="00D331E6" w:rsidRDefault="00F167BC" w:rsidP="00D331E6">
            <w:pPr>
              <w:pStyle w:val="TableBullet10"/>
              <w:numPr>
                <w:ilvl w:val="0"/>
                <w:numId w:val="0"/>
              </w:numPr>
              <w:spacing w:before="20" w:after="20"/>
              <w:ind w:left="312"/>
              <w:rPr>
                <w:sz w:val="16"/>
                <w:szCs w:val="16"/>
                <w:lang w:eastAsia="fr-CA"/>
              </w:rPr>
            </w:pPr>
            <w:r w:rsidRPr="00CD1925">
              <w:rPr>
                <w:color w:val="7030A0"/>
                <w:sz w:val="16"/>
                <w:szCs w:val="16"/>
                <w:lang w:eastAsia="fr-CA"/>
              </w:rPr>
              <w:t>APA</w:t>
            </w:r>
            <w:r w:rsidRPr="00D331E6">
              <w:rPr>
                <w:sz w:val="16"/>
                <w:szCs w:val="16"/>
                <w:lang w:eastAsia="fr-CA"/>
              </w:rPr>
              <w:t xml:space="preserve">, on the other hand, was of the view that all pipelines should be subject to some form of regulation, unless they have a greenfield exemption. </w:t>
            </w:r>
          </w:p>
          <w:p w14:paraId="25892751" w14:textId="77777777" w:rsidR="00F167BC" w:rsidRPr="00D331E6" w:rsidRDefault="00F167BC" w:rsidP="00D331E6">
            <w:pPr>
              <w:pStyle w:val="TableBullet10"/>
              <w:spacing w:before="20" w:after="20"/>
              <w:rPr>
                <w:sz w:val="16"/>
                <w:szCs w:val="16"/>
                <w:lang w:eastAsia="fr-CA"/>
              </w:rPr>
            </w:pPr>
            <w:r w:rsidRPr="003B7705">
              <w:rPr>
                <w:color w:val="7030A0"/>
                <w:sz w:val="16"/>
                <w:szCs w:val="16"/>
                <w:lang w:eastAsia="fr-CA"/>
              </w:rPr>
              <w:t xml:space="preserve">APGA </w:t>
            </w:r>
            <w:r w:rsidRPr="00D331E6">
              <w:rPr>
                <w:sz w:val="16"/>
                <w:szCs w:val="16"/>
                <w:lang w:eastAsia="fr-CA"/>
              </w:rPr>
              <w:t xml:space="preserve">also supported this option, but noted that if this option was not adopted it would support </w:t>
            </w:r>
            <w:r w:rsidR="007E2D0C">
              <w:rPr>
                <w:sz w:val="16"/>
                <w:szCs w:val="16"/>
                <w:lang w:eastAsia="fr-CA"/>
              </w:rPr>
              <w:t>O</w:t>
            </w:r>
            <w:r w:rsidRPr="00D331E6">
              <w:rPr>
                <w:sz w:val="16"/>
                <w:szCs w:val="16"/>
                <w:lang w:eastAsia="fr-CA"/>
              </w:rPr>
              <w:t xml:space="preserve">ption </w:t>
            </w:r>
            <w:r w:rsidR="007E2D0C">
              <w:rPr>
                <w:sz w:val="16"/>
                <w:szCs w:val="16"/>
                <w:lang w:eastAsia="fr-CA"/>
              </w:rPr>
              <w:t>B</w:t>
            </w:r>
            <w:r w:rsidRPr="00D331E6">
              <w:rPr>
                <w:sz w:val="16"/>
                <w:szCs w:val="16"/>
                <w:lang w:eastAsia="fr-CA"/>
              </w:rPr>
              <w:t xml:space="preserve">(a). </w:t>
            </w:r>
          </w:p>
          <w:p w14:paraId="19B6196F" w14:textId="77777777" w:rsidR="00F167BC" w:rsidRPr="00D331E6" w:rsidRDefault="00F167BC" w:rsidP="00D331E6">
            <w:pPr>
              <w:pStyle w:val="TableBullet10"/>
              <w:spacing w:before="20" w:after="20"/>
              <w:rPr>
                <w:sz w:val="16"/>
                <w:szCs w:val="16"/>
              </w:rPr>
            </w:pPr>
            <w:r w:rsidRPr="00D331E6">
              <w:rPr>
                <w:sz w:val="16"/>
                <w:szCs w:val="16"/>
              </w:rPr>
              <w:t xml:space="preserve">In contrast to these stakeholders, the </w:t>
            </w:r>
            <w:r w:rsidRPr="009059EE">
              <w:rPr>
                <w:color w:val="FF0000"/>
                <w:sz w:val="16"/>
                <w:szCs w:val="16"/>
              </w:rPr>
              <w:t>ACCC</w:t>
            </w:r>
            <w:r w:rsidRPr="00D331E6">
              <w:rPr>
                <w:sz w:val="16"/>
                <w:szCs w:val="16"/>
              </w:rPr>
              <w:t xml:space="preserve">, </w:t>
            </w:r>
            <w:r w:rsidRPr="004816B9">
              <w:rPr>
                <w:color w:val="00B0F0"/>
                <w:sz w:val="16"/>
                <w:szCs w:val="16"/>
              </w:rPr>
              <w:t xml:space="preserve">AGL </w:t>
            </w:r>
            <w:r w:rsidRPr="00D331E6">
              <w:rPr>
                <w:sz w:val="16"/>
                <w:szCs w:val="16"/>
              </w:rPr>
              <w:t xml:space="preserve">and a confidential submitter expressed concerns about the direct and indirect costs that may be associated with this option. </w:t>
            </w:r>
            <w:r w:rsidRPr="004816B9">
              <w:rPr>
                <w:color w:val="D60093"/>
                <w:sz w:val="16"/>
                <w:szCs w:val="16"/>
              </w:rPr>
              <w:t>COPA</w:t>
            </w:r>
            <w:r w:rsidR="008344A4">
              <w:rPr>
                <w:sz w:val="16"/>
                <w:szCs w:val="16"/>
              </w:rPr>
              <w:t xml:space="preserve"> also </w:t>
            </w:r>
            <w:r w:rsidRPr="00D331E6">
              <w:rPr>
                <w:sz w:val="16"/>
                <w:szCs w:val="16"/>
              </w:rPr>
              <w:t xml:space="preserve">noted that requiring the provision of third party access without implementing the other safeguards used in the US and Canada (e.g. non-discriminatory access, vertical integration restrictions and transparency of shippers’ positions) would limit its effectiveness. </w:t>
            </w:r>
          </w:p>
        </w:tc>
      </w:tr>
      <w:tr w:rsidR="00F167BC" w:rsidRPr="00871905" w14:paraId="1BEDA840" w14:textId="77777777" w:rsidTr="00F167BC">
        <w:trPr>
          <w:cnfStyle w:val="000000010000" w:firstRow="0" w:lastRow="0" w:firstColumn="0" w:lastColumn="0" w:oddVBand="0" w:evenVBand="0" w:oddHBand="0" w:evenHBand="1" w:firstRowFirstColumn="0" w:firstRowLastColumn="0" w:lastRowFirstColumn="0" w:lastRowLastColumn="0"/>
          <w:cantSplit/>
          <w:trHeight w:val="520"/>
        </w:trPr>
        <w:tc>
          <w:tcPr>
            <w:tcW w:w="241" w:type="pct"/>
            <w:vMerge/>
            <w:shd w:val="clear" w:color="auto" w:fill="FFFFFF" w:themeFill="background1"/>
          </w:tcPr>
          <w:p w14:paraId="15DA77EB" w14:textId="77777777" w:rsidR="00F167BC" w:rsidRPr="00871905" w:rsidRDefault="00F167BC" w:rsidP="00317BB0">
            <w:pPr>
              <w:pStyle w:val="TableBodyText"/>
              <w:spacing w:before="40" w:after="20" w:line="252" w:lineRule="auto"/>
              <w:rPr>
                <w:rFonts w:asciiTheme="majorHAnsi" w:hAnsiTheme="majorHAnsi" w:cstheme="majorHAnsi"/>
                <w:bCs/>
                <w:sz w:val="16"/>
                <w:szCs w:val="16"/>
                <w:lang w:eastAsia="fr-CA"/>
              </w:rPr>
            </w:pPr>
          </w:p>
        </w:tc>
        <w:tc>
          <w:tcPr>
            <w:tcW w:w="1009" w:type="pct"/>
            <w:gridSpan w:val="2"/>
            <w:tcBorders>
              <w:bottom w:val="single" w:sz="4" w:space="0" w:color="auto"/>
            </w:tcBorders>
            <w:shd w:val="clear" w:color="auto" w:fill="C8C9D3" w:themeFill="background2" w:themeFillShade="E6"/>
          </w:tcPr>
          <w:p w14:paraId="79371CDA" w14:textId="77777777" w:rsidR="00F167BC" w:rsidRPr="00871905" w:rsidRDefault="00F167BC" w:rsidP="00D331E6">
            <w:pPr>
              <w:pStyle w:val="TableBodyText"/>
              <w:spacing w:before="20" w:after="20" w:line="252" w:lineRule="auto"/>
              <w:rPr>
                <w:rFonts w:asciiTheme="majorHAnsi" w:hAnsiTheme="majorHAnsi" w:cstheme="majorHAnsi"/>
                <w:sz w:val="16"/>
                <w:szCs w:val="16"/>
                <w:lang w:eastAsia="fr-CA"/>
              </w:rPr>
            </w:pPr>
            <w:r>
              <w:rPr>
                <w:rFonts w:asciiTheme="majorHAnsi" w:hAnsiTheme="majorHAnsi" w:cstheme="majorHAnsi"/>
                <w:sz w:val="16"/>
                <w:szCs w:val="16"/>
                <w:lang w:eastAsia="fr-CA"/>
              </w:rPr>
              <w:t>Other proposals</w:t>
            </w:r>
          </w:p>
        </w:tc>
        <w:tc>
          <w:tcPr>
            <w:tcW w:w="3750" w:type="pct"/>
            <w:tcBorders>
              <w:bottom w:val="single" w:sz="4" w:space="0" w:color="auto"/>
            </w:tcBorders>
            <w:shd w:val="clear" w:color="auto" w:fill="C8C9D3" w:themeFill="background2" w:themeFillShade="E6"/>
          </w:tcPr>
          <w:p w14:paraId="525AD706" w14:textId="77777777" w:rsidR="00F167BC" w:rsidRPr="00B01E6A" w:rsidRDefault="00F167BC" w:rsidP="00D331E6">
            <w:pPr>
              <w:pStyle w:val="TableBullet10"/>
              <w:spacing w:before="20" w:after="20"/>
              <w:rPr>
                <w:sz w:val="16"/>
                <w:szCs w:val="16"/>
              </w:rPr>
            </w:pPr>
            <w:r w:rsidRPr="00B01E6A">
              <w:rPr>
                <w:sz w:val="16"/>
                <w:szCs w:val="16"/>
              </w:rPr>
              <w:t xml:space="preserve">The </w:t>
            </w:r>
            <w:r w:rsidRPr="00B01E6A">
              <w:rPr>
                <w:color w:val="FF0000"/>
                <w:sz w:val="16"/>
                <w:szCs w:val="16"/>
              </w:rPr>
              <w:t xml:space="preserve">ACCC </w:t>
            </w:r>
            <w:r w:rsidRPr="00B01E6A">
              <w:rPr>
                <w:sz w:val="16"/>
                <w:szCs w:val="16"/>
              </w:rPr>
              <w:t xml:space="preserve">noted that any new pipelines that are developed to bring new sources of supply to market should be developed through a competitive process and required to provide third party access, so that all producers in the region have the opportunity to use the asset. </w:t>
            </w:r>
          </w:p>
          <w:p w14:paraId="01F7D687" w14:textId="77777777" w:rsidR="00F167BC" w:rsidRPr="00871905" w:rsidRDefault="00F167BC" w:rsidP="00D331E6">
            <w:pPr>
              <w:pStyle w:val="TableBullet10"/>
              <w:spacing w:before="20" w:after="20"/>
              <w:rPr>
                <w:bCs/>
                <w:color w:val="0000FF"/>
                <w:lang w:eastAsia="fr-CA"/>
              </w:rPr>
            </w:pPr>
            <w:r w:rsidRPr="00D331E6">
              <w:rPr>
                <w:color w:val="00B0F0"/>
                <w:sz w:val="16"/>
                <w:szCs w:val="16"/>
              </w:rPr>
              <w:t xml:space="preserve">AGL </w:t>
            </w:r>
            <w:r w:rsidRPr="00B01E6A">
              <w:rPr>
                <w:sz w:val="16"/>
                <w:szCs w:val="16"/>
              </w:rPr>
              <w:t>expressed a similar view, noting that pipelines developed to bring new gas to market “should be incentivised to service multiple users in the area instead of each company building their own pipeline”.</w:t>
            </w:r>
          </w:p>
        </w:tc>
      </w:tr>
      <w:tr w:rsidR="00F167BC" w:rsidRPr="00871905" w14:paraId="1D88B2D5" w14:textId="77777777" w:rsidTr="00A80AD9">
        <w:trPr>
          <w:cantSplit/>
          <w:trHeight w:val="107"/>
        </w:trPr>
        <w:tc>
          <w:tcPr>
            <w:tcW w:w="241" w:type="pct"/>
            <w:vMerge w:val="restart"/>
            <w:shd w:val="clear" w:color="auto" w:fill="FFFFFF" w:themeFill="background1"/>
            <w:textDirection w:val="btLr"/>
          </w:tcPr>
          <w:p w14:paraId="075C635E" w14:textId="77777777" w:rsidR="00F167BC" w:rsidRPr="00871905" w:rsidRDefault="00F167BC" w:rsidP="00F167BC">
            <w:pPr>
              <w:pStyle w:val="TableBodyText"/>
              <w:spacing w:before="40" w:after="20" w:line="252" w:lineRule="auto"/>
              <w:jc w:val="center"/>
              <w:rPr>
                <w:bCs/>
                <w:sz w:val="16"/>
                <w:szCs w:val="16"/>
              </w:rPr>
            </w:pPr>
            <w:r w:rsidRPr="00871905">
              <w:rPr>
                <w:rFonts w:asciiTheme="majorHAnsi" w:hAnsiTheme="majorHAnsi" w:cstheme="majorHAnsi"/>
                <w:bCs/>
                <w:sz w:val="16"/>
                <w:szCs w:val="16"/>
              </w:rPr>
              <w:t xml:space="preserve">Test for third party access and greenfield </w:t>
            </w:r>
            <w:r w:rsidR="00946D26">
              <w:rPr>
                <w:rFonts w:asciiTheme="majorHAnsi" w:hAnsiTheme="majorHAnsi" w:cstheme="majorHAnsi"/>
                <w:bCs/>
                <w:sz w:val="16"/>
                <w:szCs w:val="16"/>
              </w:rPr>
              <w:t>incentives</w:t>
            </w:r>
          </w:p>
        </w:tc>
        <w:tc>
          <w:tcPr>
            <w:tcW w:w="1009" w:type="pct"/>
            <w:gridSpan w:val="2"/>
            <w:tcBorders>
              <w:bottom w:val="single" w:sz="4" w:space="0" w:color="auto"/>
            </w:tcBorders>
            <w:shd w:val="clear" w:color="auto" w:fill="FFFFFF" w:themeFill="background1"/>
          </w:tcPr>
          <w:p w14:paraId="7E5CB588" w14:textId="77777777" w:rsidR="00F167BC" w:rsidRPr="00871905" w:rsidRDefault="00F167BC" w:rsidP="00F167BC">
            <w:pPr>
              <w:pStyle w:val="TableBodyText"/>
              <w:spacing w:before="40" w:after="20" w:line="252" w:lineRule="auto"/>
              <w:rPr>
                <w:rFonts w:asciiTheme="majorHAnsi" w:hAnsiTheme="majorHAnsi" w:cstheme="majorHAnsi"/>
                <w:sz w:val="16"/>
                <w:szCs w:val="16"/>
                <w:lang w:eastAsia="fr-CA"/>
              </w:rPr>
            </w:pPr>
            <w:r w:rsidRPr="00871905">
              <w:rPr>
                <w:rFonts w:asciiTheme="majorHAnsi" w:hAnsiTheme="majorHAnsi" w:cstheme="majorHAnsi"/>
                <w:sz w:val="16"/>
                <w:szCs w:val="16"/>
                <w:lang w:eastAsia="fr-CA"/>
              </w:rPr>
              <w:t xml:space="preserve">Option </w:t>
            </w:r>
            <w:r w:rsidR="000E77CE">
              <w:rPr>
                <w:rFonts w:asciiTheme="majorHAnsi" w:hAnsiTheme="majorHAnsi" w:cstheme="majorHAnsi"/>
                <w:sz w:val="16"/>
                <w:szCs w:val="16"/>
                <w:lang w:eastAsia="fr-CA"/>
              </w:rPr>
              <w:t>A</w:t>
            </w:r>
            <w:r w:rsidRPr="00871905">
              <w:rPr>
                <w:rFonts w:asciiTheme="majorHAnsi" w:hAnsiTheme="majorHAnsi" w:cstheme="majorHAnsi"/>
                <w:sz w:val="16"/>
                <w:szCs w:val="16"/>
                <w:lang w:eastAsia="fr-CA"/>
              </w:rPr>
              <w:t xml:space="preserve">: </w:t>
            </w:r>
            <w:r w:rsidR="00862274">
              <w:rPr>
                <w:rFonts w:asciiTheme="majorHAnsi" w:hAnsiTheme="majorHAnsi" w:cstheme="majorHAnsi"/>
                <w:sz w:val="16"/>
                <w:szCs w:val="16"/>
                <w:lang w:eastAsia="fr-CA"/>
              </w:rPr>
              <w:t>S</w:t>
            </w:r>
            <w:r w:rsidRPr="00871905">
              <w:rPr>
                <w:rFonts w:asciiTheme="majorHAnsi" w:hAnsiTheme="majorHAnsi" w:cstheme="majorHAnsi"/>
                <w:sz w:val="16"/>
                <w:szCs w:val="16"/>
                <w:lang w:eastAsia="fr-CA"/>
              </w:rPr>
              <w:t>tatus quo</w:t>
            </w:r>
          </w:p>
        </w:tc>
        <w:tc>
          <w:tcPr>
            <w:tcW w:w="3750" w:type="pct"/>
            <w:tcBorders>
              <w:bottom w:val="single" w:sz="4" w:space="0" w:color="auto"/>
            </w:tcBorders>
            <w:shd w:val="clear" w:color="auto" w:fill="FFFFFF" w:themeFill="background1"/>
          </w:tcPr>
          <w:p w14:paraId="45AD1EF0" w14:textId="77777777" w:rsidR="00F167BC" w:rsidRPr="005F348B" w:rsidRDefault="00F167BC" w:rsidP="00CA6CB0">
            <w:pPr>
              <w:pStyle w:val="TableBullet10"/>
              <w:spacing w:before="20" w:after="20"/>
              <w:rPr>
                <w:sz w:val="16"/>
                <w:szCs w:val="16"/>
              </w:rPr>
            </w:pPr>
            <w:r w:rsidRPr="005F348B">
              <w:rPr>
                <w:color w:val="800080" w:themeColor="accent6"/>
                <w:sz w:val="16"/>
                <w:szCs w:val="16"/>
              </w:rPr>
              <w:t xml:space="preserve">Jemena </w:t>
            </w:r>
            <w:r w:rsidRPr="005F348B">
              <w:rPr>
                <w:sz w:val="16"/>
                <w:szCs w:val="16"/>
              </w:rPr>
              <w:t>and a confidential submitter supported the continued use of the coverage test.</w:t>
            </w:r>
          </w:p>
        </w:tc>
      </w:tr>
      <w:tr w:rsidR="00F167BC" w:rsidRPr="00871905" w14:paraId="72B9E7B9" w14:textId="77777777" w:rsidTr="00640752">
        <w:trPr>
          <w:cnfStyle w:val="000000010000" w:firstRow="0" w:lastRow="0" w:firstColumn="0" w:lastColumn="0" w:oddVBand="0" w:evenVBand="0" w:oddHBand="0" w:evenHBand="1" w:firstRowFirstColumn="0" w:firstRowLastColumn="0" w:lastRowFirstColumn="0" w:lastRowLastColumn="0"/>
          <w:cantSplit/>
          <w:trHeight w:val="70"/>
        </w:trPr>
        <w:tc>
          <w:tcPr>
            <w:tcW w:w="241" w:type="pct"/>
            <w:vMerge/>
            <w:shd w:val="clear" w:color="auto" w:fill="FFFFFF" w:themeFill="background1"/>
          </w:tcPr>
          <w:p w14:paraId="20416076" w14:textId="77777777" w:rsidR="00F167BC" w:rsidRPr="00871905" w:rsidDel="003D0E8B" w:rsidRDefault="00F167BC" w:rsidP="00F167BC">
            <w:pPr>
              <w:pStyle w:val="TableBodyText"/>
              <w:spacing w:before="40" w:after="20" w:line="252" w:lineRule="auto"/>
              <w:rPr>
                <w:rFonts w:asciiTheme="majorHAnsi" w:hAnsiTheme="majorHAnsi" w:cstheme="majorHAnsi"/>
                <w:bCs/>
                <w:sz w:val="16"/>
                <w:szCs w:val="16"/>
                <w:lang w:eastAsia="fr-CA"/>
              </w:rPr>
            </w:pPr>
          </w:p>
        </w:tc>
        <w:tc>
          <w:tcPr>
            <w:tcW w:w="480" w:type="pct"/>
            <w:vMerge w:val="restart"/>
          </w:tcPr>
          <w:p w14:paraId="071E427F" w14:textId="77777777" w:rsidR="00F167BC" w:rsidRPr="00871905" w:rsidDel="003D0E8B" w:rsidRDefault="00F167BC" w:rsidP="00F167BC">
            <w:pPr>
              <w:pStyle w:val="TableBodyText"/>
              <w:spacing w:before="40" w:after="20" w:line="252" w:lineRule="auto"/>
              <w:rPr>
                <w:rFonts w:asciiTheme="majorHAnsi" w:hAnsiTheme="majorHAnsi" w:cstheme="majorHAnsi"/>
                <w:sz w:val="16"/>
                <w:szCs w:val="16"/>
                <w:lang w:eastAsia="fr-CA"/>
              </w:rPr>
            </w:pPr>
            <w:r w:rsidRPr="00871905">
              <w:rPr>
                <w:rFonts w:asciiTheme="majorHAnsi" w:hAnsiTheme="majorHAnsi" w:cstheme="majorHAnsi"/>
                <w:sz w:val="16"/>
                <w:szCs w:val="16"/>
                <w:lang w:eastAsia="fr-CA"/>
              </w:rPr>
              <w:t xml:space="preserve">Option </w:t>
            </w:r>
            <w:r w:rsidR="000E77CE">
              <w:rPr>
                <w:rFonts w:asciiTheme="majorHAnsi" w:hAnsiTheme="majorHAnsi" w:cstheme="majorHAnsi"/>
                <w:sz w:val="16"/>
                <w:szCs w:val="16"/>
                <w:lang w:eastAsia="fr-CA"/>
              </w:rPr>
              <w:t>B</w:t>
            </w:r>
            <w:r w:rsidRPr="00871905">
              <w:rPr>
                <w:rFonts w:asciiTheme="majorHAnsi" w:hAnsiTheme="majorHAnsi" w:cstheme="majorHAnsi"/>
                <w:sz w:val="16"/>
                <w:szCs w:val="16"/>
                <w:lang w:eastAsia="fr-CA"/>
              </w:rPr>
              <w:t xml:space="preserve">: Replace coverage test with one of the following:  </w:t>
            </w:r>
          </w:p>
        </w:tc>
        <w:tc>
          <w:tcPr>
            <w:tcW w:w="529" w:type="pct"/>
            <w:tcBorders>
              <w:bottom w:val="single" w:sz="4" w:space="0" w:color="auto"/>
            </w:tcBorders>
            <w:shd w:val="clear" w:color="auto" w:fill="F2F2F2" w:themeFill="background1" w:themeFillShade="F2"/>
          </w:tcPr>
          <w:p w14:paraId="2EE9BB62" w14:textId="77777777" w:rsidR="00F167BC" w:rsidRPr="00871905" w:rsidDel="003D0E8B" w:rsidRDefault="00F167BC" w:rsidP="00F167BC">
            <w:pPr>
              <w:pStyle w:val="TableBodyText"/>
              <w:spacing w:before="40" w:after="20" w:line="252" w:lineRule="auto"/>
              <w:rPr>
                <w:rFonts w:asciiTheme="majorHAnsi" w:hAnsiTheme="majorHAnsi" w:cstheme="majorHAnsi"/>
                <w:sz w:val="16"/>
                <w:szCs w:val="16"/>
                <w:lang w:eastAsia="fr-CA"/>
              </w:rPr>
            </w:pPr>
            <w:r w:rsidRPr="00871905">
              <w:rPr>
                <w:rFonts w:asciiTheme="majorHAnsi" w:hAnsiTheme="majorHAnsi" w:cstheme="majorHAnsi"/>
                <w:sz w:val="16"/>
                <w:szCs w:val="16"/>
                <w:lang w:eastAsia="fr-CA"/>
              </w:rPr>
              <w:t>(a) test in Part IIIA of CCA</w:t>
            </w:r>
          </w:p>
        </w:tc>
        <w:tc>
          <w:tcPr>
            <w:tcW w:w="3750" w:type="pct"/>
            <w:tcBorders>
              <w:bottom w:val="single" w:sz="4" w:space="0" w:color="auto"/>
            </w:tcBorders>
            <w:shd w:val="clear" w:color="auto" w:fill="F2F2F2" w:themeFill="background1" w:themeFillShade="F2"/>
          </w:tcPr>
          <w:p w14:paraId="57C66FBF" w14:textId="77777777" w:rsidR="00F167BC" w:rsidRPr="005F348B" w:rsidRDefault="00F167BC" w:rsidP="00CA6CB0">
            <w:pPr>
              <w:pStyle w:val="TableBullet10"/>
              <w:spacing w:before="20" w:after="20"/>
              <w:rPr>
                <w:bCs/>
                <w:sz w:val="16"/>
                <w:szCs w:val="16"/>
                <w:lang w:eastAsia="fr-CA"/>
              </w:rPr>
            </w:pPr>
            <w:r w:rsidRPr="005F348B">
              <w:rPr>
                <w:bCs/>
                <w:sz w:val="16"/>
                <w:szCs w:val="16"/>
                <w:lang w:eastAsia="fr-CA"/>
              </w:rPr>
              <w:t xml:space="preserve">The </w:t>
            </w:r>
            <w:r w:rsidRPr="005F348B">
              <w:rPr>
                <w:bCs/>
                <w:color w:val="FF0000"/>
                <w:sz w:val="16"/>
                <w:szCs w:val="16"/>
                <w:lang w:eastAsia="fr-CA"/>
              </w:rPr>
              <w:t xml:space="preserve">NCC </w:t>
            </w:r>
            <w:r w:rsidRPr="005F348B">
              <w:rPr>
                <w:bCs/>
                <w:sz w:val="16"/>
                <w:szCs w:val="16"/>
                <w:lang w:eastAsia="fr-CA"/>
              </w:rPr>
              <w:t xml:space="preserve">and </w:t>
            </w:r>
            <w:r w:rsidRPr="005F348B">
              <w:rPr>
                <w:bCs/>
                <w:color w:val="D60093"/>
                <w:sz w:val="16"/>
                <w:szCs w:val="16"/>
                <w:lang w:eastAsia="fr-CA"/>
              </w:rPr>
              <w:t xml:space="preserve">COPA </w:t>
            </w:r>
            <w:r>
              <w:rPr>
                <w:bCs/>
                <w:sz w:val="16"/>
                <w:szCs w:val="16"/>
                <w:lang w:eastAsia="fr-CA"/>
              </w:rPr>
              <w:t xml:space="preserve">were of the view that the </w:t>
            </w:r>
            <w:r w:rsidRPr="005F348B">
              <w:rPr>
                <w:bCs/>
                <w:sz w:val="16"/>
                <w:szCs w:val="16"/>
                <w:lang w:eastAsia="fr-CA"/>
              </w:rPr>
              <w:t xml:space="preserve">coverage test </w:t>
            </w:r>
            <w:r>
              <w:rPr>
                <w:bCs/>
                <w:sz w:val="16"/>
                <w:szCs w:val="16"/>
                <w:lang w:eastAsia="fr-CA"/>
              </w:rPr>
              <w:t xml:space="preserve">should be replaced </w:t>
            </w:r>
            <w:r w:rsidRPr="005F348B">
              <w:rPr>
                <w:bCs/>
                <w:sz w:val="16"/>
                <w:szCs w:val="16"/>
                <w:lang w:eastAsia="fr-CA"/>
              </w:rPr>
              <w:t xml:space="preserve">with the third party access test in Part IIIA of the CCA. </w:t>
            </w:r>
          </w:p>
        </w:tc>
      </w:tr>
      <w:tr w:rsidR="00F167BC" w:rsidRPr="00871905" w14:paraId="5CAAD991" w14:textId="77777777" w:rsidTr="00A80AD9">
        <w:trPr>
          <w:cantSplit/>
          <w:trHeight w:val="60"/>
        </w:trPr>
        <w:tc>
          <w:tcPr>
            <w:tcW w:w="241" w:type="pct"/>
            <w:vMerge/>
            <w:shd w:val="clear" w:color="auto" w:fill="FFFFFF" w:themeFill="background1"/>
          </w:tcPr>
          <w:p w14:paraId="60FB8F47" w14:textId="77777777" w:rsidR="00F167BC" w:rsidRPr="00871905" w:rsidRDefault="00F167BC" w:rsidP="00F167BC">
            <w:pPr>
              <w:pStyle w:val="TableBodyText"/>
              <w:spacing w:before="40" w:after="20" w:line="252" w:lineRule="auto"/>
              <w:rPr>
                <w:rFonts w:asciiTheme="majorHAnsi" w:hAnsiTheme="majorHAnsi" w:cstheme="majorHAnsi"/>
                <w:bCs/>
                <w:sz w:val="16"/>
                <w:szCs w:val="16"/>
                <w:lang w:eastAsia="fr-CA"/>
              </w:rPr>
            </w:pPr>
          </w:p>
        </w:tc>
        <w:tc>
          <w:tcPr>
            <w:tcW w:w="480" w:type="pct"/>
            <w:vMerge/>
          </w:tcPr>
          <w:p w14:paraId="2DB4865D" w14:textId="77777777" w:rsidR="00F167BC" w:rsidRPr="00871905" w:rsidRDefault="00F167BC" w:rsidP="00F167BC">
            <w:pPr>
              <w:pStyle w:val="TableBodyText"/>
              <w:spacing w:before="40" w:after="20" w:line="252" w:lineRule="auto"/>
              <w:rPr>
                <w:rFonts w:asciiTheme="majorHAnsi" w:hAnsiTheme="majorHAnsi" w:cstheme="majorHAnsi"/>
                <w:sz w:val="16"/>
                <w:szCs w:val="16"/>
                <w:lang w:eastAsia="fr-CA"/>
              </w:rPr>
            </w:pPr>
          </w:p>
        </w:tc>
        <w:tc>
          <w:tcPr>
            <w:tcW w:w="529" w:type="pct"/>
            <w:tcBorders>
              <w:bottom w:val="single" w:sz="4" w:space="0" w:color="auto"/>
            </w:tcBorders>
            <w:shd w:val="clear" w:color="auto" w:fill="D9D9D9" w:themeFill="background1" w:themeFillShade="D9"/>
          </w:tcPr>
          <w:p w14:paraId="01936306" w14:textId="77777777" w:rsidR="00F167BC" w:rsidRPr="00871905" w:rsidRDefault="00F167BC" w:rsidP="00F167BC">
            <w:pPr>
              <w:pStyle w:val="TableBodyText"/>
              <w:spacing w:before="40" w:after="20" w:line="252" w:lineRule="auto"/>
              <w:rPr>
                <w:rFonts w:asciiTheme="majorHAnsi" w:hAnsiTheme="majorHAnsi" w:cstheme="majorHAnsi"/>
                <w:sz w:val="16"/>
                <w:szCs w:val="16"/>
                <w:lang w:eastAsia="fr-CA"/>
              </w:rPr>
            </w:pPr>
            <w:r w:rsidRPr="00871905">
              <w:rPr>
                <w:rFonts w:asciiTheme="majorHAnsi" w:hAnsiTheme="majorHAnsi" w:cstheme="majorHAnsi"/>
                <w:sz w:val="16"/>
                <w:szCs w:val="16"/>
                <w:lang w:eastAsia="fr-CA"/>
              </w:rPr>
              <w:t>(b) an NGO test</w:t>
            </w:r>
          </w:p>
        </w:tc>
        <w:tc>
          <w:tcPr>
            <w:tcW w:w="3750" w:type="pct"/>
            <w:tcBorders>
              <w:bottom w:val="single" w:sz="4" w:space="0" w:color="auto"/>
            </w:tcBorders>
            <w:shd w:val="clear" w:color="auto" w:fill="D9D9D9" w:themeFill="background1" w:themeFillShade="D9"/>
          </w:tcPr>
          <w:p w14:paraId="0E4A8A5D" w14:textId="77777777" w:rsidR="00F167BC" w:rsidRPr="005F348B" w:rsidRDefault="00F167BC" w:rsidP="00CA6CB0">
            <w:pPr>
              <w:pStyle w:val="TableBullet10"/>
              <w:spacing w:before="20" w:after="20"/>
              <w:rPr>
                <w:bCs/>
                <w:sz w:val="16"/>
                <w:szCs w:val="16"/>
                <w:lang w:eastAsia="fr-CA"/>
              </w:rPr>
            </w:pPr>
            <w:r w:rsidRPr="005F348B">
              <w:rPr>
                <w:bCs/>
                <w:sz w:val="16"/>
                <w:szCs w:val="16"/>
                <w:lang w:eastAsia="fr-CA"/>
              </w:rPr>
              <w:t xml:space="preserve">Nil </w:t>
            </w:r>
          </w:p>
        </w:tc>
      </w:tr>
      <w:tr w:rsidR="00F167BC" w:rsidRPr="00871905" w14:paraId="0633E6EC" w14:textId="77777777" w:rsidTr="00CF2161">
        <w:trPr>
          <w:cnfStyle w:val="000000010000" w:firstRow="0" w:lastRow="0" w:firstColumn="0" w:lastColumn="0" w:oddVBand="0" w:evenVBand="0" w:oddHBand="0" w:evenHBand="1" w:firstRowFirstColumn="0" w:firstRowLastColumn="0" w:lastRowFirstColumn="0" w:lastRowLastColumn="0"/>
          <w:cantSplit/>
          <w:trHeight w:val="520"/>
        </w:trPr>
        <w:tc>
          <w:tcPr>
            <w:tcW w:w="241" w:type="pct"/>
            <w:vMerge/>
            <w:shd w:val="clear" w:color="auto" w:fill="FFFFFF" w:themeFill="background1"/>
          </w:tcPr>
          <w:p w14:paraId="21697578" w14:textId="77777777" w:rsidR="00F167BC" w:rsidRPr="00871905" w:rsidRDefault="00F167BC" w:rsidP="00F167BC">
            <w:pPr>
              <w:pStyle w:val="TableBodyText"/>
              <w:spacing w:before="40" w:after="20" w:line="252" w:lineRule="auto"/>
              <w:rPr>
                <w:rFonts w:asciiTheme="majorHAnsi" w:hAnsiTheme="majorHAnsi" w:cstheme="majorHAnsi"/>
                <w:bCs/>
                <w:sz w:val="16"/>
                <w:szCs w:val="16"/>
                <w:lang w:eastAsia="fr-CA"/>
              </w:rPr>
            </w:pPr>
          </w:p>
        </w:tc>
        <w:tc>
          <w:tcPr>
            <w:tcW w:w="480" w:type="pct"/>
            <w:vMerge/>
            <w:tcBorders>
              <w:bottom w:val="single" w:sz="4" w:space="0" w:color="auto"/>
            </w:tcBorders>
          </w:tcPr>
          <w:p w14:paraId="65CC3A08" w14:textId="77777777" w:rsidR="00F167BC" w:rsidRPr="00871905" w:rsidRDefault="00F167BC" w:rsidP="00F167BC">
            <w:pPr>
              <w:pStyle w:val="TableBodyText"/>
              <w:spacing w:before="40" w:after="20" w:line="252" w:lineRule="auto"/>
              <w:rPr>
                <w:rFonts w:asciiTheme="majorHAnsi" w:hAnsiTheme="majorHAnsi" w:cstheme="majorHAnsi"/>
                <w:sz w:val="16"/>
                <w:szCs w:val="16"/>
                <w:lang w:eastAsia="fr-CA"/>
              </w:rPr>
            </w:pPr>
          </w:p>
        </w:tc>
        <w:tc>
          <w:tcPr>
            <w:tcW w:w="529" w:type="pct"/>
            <w:tcBorders>
              <w:bottom w:val="single" w:sz="4" w:space="0" w:color="auto"/>
            </w:tcBorders>
            <w:shd w:val="clear" w:color="auto" w:fill="BFBFBF" w:themeFill="background1" w:themeFillShade="BF"/>
          </w:tcPr>
          <w:p w14:paraId="66DB4302" w14:textId="77777777" w:rsidR="00F167BC" w:rsidRPr="00871905" w:rsidRDefault="00F167BC" w:rsidP="00F167BC">
            <w:pPr>
              <w:pStyle w:val="TableBodyText"/>
              <w:spacing w:before="40" w:after="20" w:line="252" w:lineRule="auto"/>
              <w:rPr>
                <w:rFonts w:asciiTheme="majorHAnsi" w:hAnsiTheme="majorHAnsi" w:cstheme="majorHAnsi"/>
                <w:sz w:val="16"/>
                <w:szCs w:val="16"/>
                <w:lang w:eastAsia="fr-CA"/>
              </w:rPr>
            </w:pPr>
            <w:r w:rsidRPr="00871905">
              <w:rPr>
                <w:rFonts w:asciiTheme="majorHAnsi" w:hAnsiTheme="majorHAnsi" w:cstheme="majorHAnsi"/>
                <w:sz w:val="16"/>
                <w:szCs w:val="16"/>
                <w:lang w:eastAsia="fr-CA"/>
              </w:rPr>
              <w:t>(c) a market power-NGO test</w:t>
            </w:r>
          </w:p>
        </w:tc>
        <w:tc>
          <w:tcPr>
            <w:tcW w:w="3750" w:type="pct"/>
            <w:tcBorders>
              <w:bottom w:val="single" w:sz="4" w:space="0" w:color="auto"/>
            </w:tcBorders>
            <w:shd w:val="clear" w:color="auto" w:fill="BFBFBF" w:themeFill="background1" w:themeFillShade="BF"/>
          </w:tcPr>
          <w:p w14:paraId="04A69878" w14:textId="77777777" w:rsidR="00F167BC" w:rsidRPr="005F348B" w:rsidRDefault="00F167BC" w:rsidP="00CA6CB0">
            <w:pPr>
              <w:pStyle w:val="TableBullet10"/>
              <w:spacing w:before="20" w:after="20"/>
              <w:rPr>
                <w:bCs/>
                <w:sz w:val="16"/>
                <w:szCs w:val="16"/>
                <w:lang w:eastAsia="fr-CA"/>
              </w:rPr>
            </w:pPr>
            <w:r w:rsidRPr="005F348B">
              <w:rPr>
                <w:rFonts w:asciiTheme="majorHAnsi" w:hAnsiTheme="majorHAnsi" w:cstheme="majorHAnsi"/>
                <w:sz w:val="16"/>
                <w:szCs w:val="16"/>
                <w:lang w:eastAsia="fr-CA"/>
              </w:rPr>
              <w:t xml:space="preserve">The </w:t>
            </w:r>
            <w:r w:rsidRPr="005F348B">
              <w:rPr>
                <w:rFonts w:asciiTheme="majorHAnsi" w:hAnsiTheme="majorHAnsi" w:cstheme="majorHAnsi"/>
                <w:color w:val="FF0000"/>
                <w:sz w:val="16"/>
                <w:szCs w:val="16"/>
                <w:lang w:eastAsia="fr-CA"/>
              </w:rPr>
              <w:t>ACCC, AER</w:t>
            </w:r>
            <w:r w:rsidRPr="005F348B">
              <w:rPr>
                <w:rFonts w:asciiTheme="majorHAnsi" w:hAnsiTheme="majorHAnsi" w:cstheme="majorHAnsi"/>
                <w:sz w:val="16"/>
                <w:szCs w:val="16"/>
                <w:lang w:eastAsia="fr-CA"/>
              </w:rPr>
              <w:t xml:space="preserve">, </w:t>
            </w:r>
            <w:r w:rsidRPr="005F348B">
              <w:rPr>
                <w:rFonts w:asciiTheme="majorHAnsi" w:hAnsiTheme="majorHAnsi" w:cstheme="majorHAnsi"/>
                <w:color w:val="0000FF"/>
                <w:sz w:val="16"/>
                <w:szCs w:val="16"/>
                <w:lang w:eastAsia="fr-CA"/>
              </w:rPr>
              <w:t>EUAA, NSW BC, Chemistry Australia</w:t>
            </w:r>
            <w:r w:rsidRPr="005F348B">
              <w:rPr>
                <w:rFonts w:asciiTheme="majorHAnsi" w:hAnsiTheme="majorHAnsi" w:cstheme="majorHAnsi"/>
                <w:sz w:val="16"/>
                <w:szCs w:val="16"/>
                <w:lang w:eastAsia="fr-CA"/>
              </w:rPr>
              <w:t xml:space="preserve">, </w:t>
            </w:r>
            <w:r w:rsidRPr="005F348B">
              <w:rPr>
                <w:rFonts w:asciiTheme="majorHAnsi" w:hAnsiTheme="majorHAnsi" w:cstheme="majorHAnsi"/>
                <w:color w:val="00B0F0"/>
                <w:sz w:val="16"/>
                <w:szCs w:val="16"/>
                <w:lang w:eastAsia="fr-CA"/>
              </w:rPr>
              <w:t>AGL, EnergyAustralia, Origin</w:t>
            </w:r>
            <w:r w:rsidRPr="005F348B">
              <w:rPr>
                <w:rFonts w:asciiTheme="majorHAnsi" w:hAnsiTheme="majorHAnsi" w:cstheme="majorHAnsi"/>
                <w:sz w:val="16"/>
                <w:szCs w:val="16"/>
                <w:lang w:eastAsia="fr-CA"/>
              </w:rPr>
              <w:t xml:space="preserve">, </w:t>
            </w:r>
            <w:r w:rsidRPr="005F348B">
              <w:rPr>
                <w:rFonts w:asciiTheme="majorHAnsi" w:hAnsiTheme="majorHAnsi" w:cstheme="majorHAnsi"/>
                <w:color w:val="D60093"/>
                <w:sz w:val="16"/>
                <w:szCs w:val="16"/>
                <w:lang w:eastAsia="fr-CA"/>
              </w:rPr>
              <w:t xml:space="preserve">APLNG, </w:t>
            </w:r>
            <w:r w:rsidRPr="005F348B">
              <w:rPr>
                <w:rFonts w:asciiTheme="majorHAnsi" w:hAnsiTheme="majorHAnsi" w:cstheme="majorHAnsi"/>
                <w:color w:val="800080" w:themeColor="accent6"/>
                <w:sz w:val="16"/>
                <w:szCs w:val="16"/>
                <w:lang w:eastAsia="fr-CA"/>
              </w:rPr>
              <w:t>AGIG,</w:t>
            </w:r>
            <w:r w:rsidRPr="005F348B">
              <w:rPr>
                <w:rFonts w:asciiTheme="majorHAnsi" w:hAnsiTheme="majorHAnsi" w:cstheme="majorHAnsi"/>
                <w:sz w:val="16"/>
                <w:szCs w:val="16"/>
                <w:lang w:eastAsia="fr-CA"/>
              </w:rPr>
              <w:t xml:space="preserve"> </w:t>
            </w:r>
            <w:r w:rsidRPr="005F348B">
              <w:rPr>
                <w:rFonts w:asciiTheme="majorHAnsi" w:hAnsiTheme="majorHAnsi" w:cstheme="majorHAnsi"/>
                <w:color w:val="800080" w:themeColor="accent6"/>
                <w:sz w:val="16"/>
                <w:szCs w:val="16"/>
                <w:lang w:eastAsia="fr-CA"/>
              </w:rPr>
              <w:t>APGA</w:t>
            </w:r>
            <w:r w:rsidRPr="005F348B">
              <w:rPr>
                <w:rFonts w:asciiTheme="majorHAnsi" w:hAnsiTheme="majorHAnsi" w:cstheme="majorHAnsi"/>
                <w:sz w:val="16"/>
                <w:szCs w:val="16"/>
                <w:lang w:eastAsia="fr-CA"/>
              </w:rPr>
              <w:t xml:space="preserve"> and</w:t>
            </w:r>
            <w:r w:rsidRPr="005F348B">
              <w:rPr>
                <w:rFonts w:asciiTheme="majorHAnsi" w:hAnsiTheme="majorHAnsi" w:cstheme="majorHAnsi"/>
                <w:color w:val="800080" w:themeColor="accent6"/>
                <w:sz w:val="16"/>
                <w:szCs w:val="16"/>
                <w:lang w:eastAsia="fr-CA"/>
              </w:rPr>
              <w:t xml:space="preserve"> ATCO </w:t>
            </w:r>
            <w:r>
              <w:rPr>
                <w:rFonts w:asciiTheme="majorHAnsi" w:hAnsiTheme="majorHAnsi" w:cstheme="majorHAnsi"/>
                <w:sz w:val="16"/>
                <w:szCs w:val="16"/>
                <w:lang w:eastAsia="fr-CA"/>
              </w:rPr>
              <w:t xml:space="preserve">were of the view that the coverage test should be replaced with the </w:t>
            </w:r>
            <w:r w:rsidRPr="005F348B">
              <w:rPr>
                <w:rFonts w:asciiTheme="majorHAnsi" w:hAnsiTheme="majorHAnsi" w:cstheme="majorHAnsi"/>
                <w:sz w:val="16"/>
                <w:szCs w:val="16"/>
                <w:lang w:eastAsia="fr-CA"/>
              </w:rPr>
              <w:t>market power-NGO test</w:t>
            </w:r>
            <w:r w:rsidR="001B2A8D">
              <w:rPr>
                <w:rFonts w:asciiTheme="majorHAnsi" w:hAnsiTheme="majorHAnsi" w:cstheme="majorHAnsi"/>
                <w:sz w:val="16"/>
                <w:szCs w:val="16"/>
                <w:lang w:eastAsia="fr-CA"/>
              </w:rPr>
              <w:t xml:space="preserve"> because it was more appropriately targeted</w:t>
            </w:r>
            <w:r>
              <w:rPr>
                <w:rFonts w:asciiTheme="majorHAnsi" w:hAnsiTheme="majorHAnsi" w:cstheme="majorHAnsi"/>
                <w:sz w:val="16"/>
                <w:szCs w:val="16"/>
                <w:lang w:eastAsia="fr-CA"/>
              </w:rPr>
              <w:t xml:space="preserve">, while the </w:t>
            </w:r>
            <w:r w:rsidRPr="005F348B">
              <w:rPr>
                <w:rFonts w:asciiTheme="majorHAnsi" w:hAnsiTheme="majorHAnsi" w:cstheme="majorHAnsi"/>
                <w:color w:val="0000FF"/>
                <w:sz w:val="16"/>
                <w:szCs w:val="16"/>
                <w:lang w:eastAsia="fr-CA"/>
              </w:rPr>
              <w:t xml:space="preserve">MEU </w:t>
            </w:r>
            <w:r w:rsidRPr="005F348B">
              <w:rPr>
                <w:rFonts w:asciiTheme="majorHAnsi" w:hAnsiTheme="majorHAnsi" w:cstheme="majorHAnsi"/>
                <w:sz w:val="16"/>
                <w:szCs w:val="16"/>
                <w:lang w:eastAsia="fr-CA"/>
              </w:rPr>
              <w:t xml:space="preserve">stated that it could ‘possibly’ support this test. </w:t>
            </w:r>
            <w:r w:rsidRPr="005F348B">
              <w:rPr>
                <w:rFonts w:asciiTheme="majorHAnsi" w:hAnsiTheme="majorHAnsi" w:cstheme="majorHAnsi"/>
                <w:bCs/>
                <w:sz w:val="16"/>
                <w:szCs w:val="16"/>
                <w:lang w:eastAsia="fr-CA"/>
              </w:rPr>
              <w:t xml:space="preserve">The </w:t>
            </w:r>
            <w:r w:rsidRPr="005A0B21">
              <w:rPr>
                <w:rFonts w:asciiTheme="majorHAnsi" w:hAnsiTheme="majorHAnsi" w:cstheme="majorHAnsi"/>
                <w:bCs/>
                <w:color w:val="FF0000"/>
                <w:sz w:val="16"/>
                <w:szCs w:val="16"/>
                <w:lang w:eastAsia="fr-CA"/>
              </w:rPr>
              <w:t xml:space="preserve">ACCC </w:t>
            </w:r>
            <w:r w:rsidRPr="005F348B">
              <w:rPr>
                <w:rFonts w:asciiTheme="majorHAnsi" w:hAnsiTheme="majorHAnsi" w:cstheme="majorHAnsi"/>
                <w:bCs/>
                <w:sz w:val="16"/>
                <w:szCs w:val="16"/>
                <w:lang w:eastAsia="fr-CA"/>
              </w:rPr>
              <w:t xml:space="preserve">also </w:t>
            </w:r>
            <w:r>
              <w:rPr>
                <w:rFonts w:asciiTheme="majorHAnsi" w:hAnsiTheme="majorHAnsi" w:cstheme="majorHAnsi"/>
                <w:bCs/>
                <w:sz w:val="16"/>
                <w:szCs w:val="16"/>
                <w:lang w:eastAsia="fr-CA"/>
              </w:rPr>
              <w:t xml:space="preserve">suggested </w:t>
            </w:r>
            <w:r w:rsidRPr="005F348B">
              <w:rPr>
                <w:rFonts w:asciiTheme="majorHAnsi" w:hAnsiTheme="majorHAnsi" w:cstheme="majorHAnsi"/>
                <w:bCs/>
                <w:sz w:val="16"/>
                <w:szCs w:val="16"/>
                <w:lang w:eastAsia="fr-CA"/>
              </w:rPr>
              <w:t xml:space="preserve">that the decision-maker be accorded compulsory information gathering powers and be able to draw an adverse inference (i.e. that the test is satisfied) if </w:t>
            </w:r>
            <w:r>
              <w:rPr>
                <w:rFonts w:asciiTheme="majorHAnsi" w:hAnsiTheme="majorHAnsi" w:cstheme="majorHAnsi"/>
                <w:bCs/>
                <w:sz w:val="16"/>
                <w:szCs w:val="16"/>
                <w:lang w:eastAsia="fr-CA"/>
              </w:rPr>
              <w:t xml:space="preserve">a </w:t>
            </w:r>
            <w:r w:rsidRPr="005F348B">
              <w:rPr>
                <w:rFonts w:asciiTheme="majorHAnsi" w:hAnsiTheme="majorHAnsi" w:cstheme="majorHAnsi"/>
                <w:bCs/>
                <w:sz w:val="16"/>
                <w:szCs w:val="16"/>
                <w:lang w:eastAsia="fr-CA"/>
              </w:rPr>
              <w:t>service provider fail</w:t>
            </w:r>
            <w:r>
              <w:rPr>
                <w:rFonts w:asciiTheme="majorHAnsi" w:hAnsiTheme="majorHAnsi" w:cstheme="majorHAnsi"/>
                <w:bCs/>
                <w:sz w:val="16"/>
                <w:szCs w:val="16"/>
                <w:lang w:eastAsia="fr-CA"/>
              </w:rPr>
              <w:t>s</w:t>
            </w:r>
            <w:r w:rsidRPr="005F348B">
              <w:rPr>
                <w:rFonts w:asciiTheme="majorHAnsi" w:hAnsiTheme="majorHAnsi" w:cstheme="majorHAnsi"/>
                <w:bCs/>
                <w:sz w:val="16"/>
                <w:szCs w:val="16"/>
                <w:lang w:eastAsia="fr-CA"/>
              </w:rPr>
              <w:t xml:space="preserve"> to provide it with the information it requires</w:t>
            </w:r>
            <w:r>
              <w:rPr>
                <w:rFonts w:asciiTheme="majorHAnsi" w:hAnsiTheme="majorHAnsi" w:cstheme="majorHAnsi"/>
                <w:bCs/>
                <w:sz w:val="16"/>
                <w:szCs w:val="16"/>
                <w:lang w:eastAsia="fr-CA"/>
              </w:rPr>
              <w:t xml:space="preserve"> to apply this test</w:t>
            </w:r>
            <w:r w:rsidRPr="005F348B">
              <w:rPr>
                <w:rFonts w:asciiTheme="majorHAnsi" w:hAnsiTheme="majorHAnsi" w:cstheme="majorHAnsi"/>
                <w:bCs/>
                <w:sz w:val="16"/>
                <w:szCs w:val="16"/>
                <w:lang w:eastAsia="fr-CA"/>
              </w:rPr>
              <w:t xml:space="preserve">. </w:t>
            </w:r>
          </w:p>
        </w:tc>
      </w:tr>
      <w:tr w:rsidR="00F167BC" w:rsidRPr="00871905" w14:paraId="488992DB" w14:textId="77777777" w:rsidTr="00A80AD9">
        <w:trPr>
          <w:cantSplit/>
          <w:trHeight w:val="60"/>
        </w:trPr>
        <w:tc>
          <w:tcPr>
            <w:tcW w:w="241" w:type="pct"/>
            <w:vMerge/>
            <w:shd w:val="clear" w:color="auto" w:fill="FFFFFF" w:themeFill="background1"/>
          </w:tcPr>
          <w:p w14:paraId="102EAF79" w14:textId="77777777" w:rsidR="00F167BC" w:rsidRPr="00871905" w:rsidRDefault="00F167BC" w:rsidP="00F167BC">
            <w:pPr>
              <w:pStyle w:val="TableBodyText"/>
              <w:spacing w:before="40" w:after="20" w:line="252" w:lineRule="auto"/>
              <w:rPr>
                <w:rFonts w:asciiTheme="majorHAnsi" w:hAnsiTheme="majorHAnsi" w:cstheme="majorHAnsi"/>
                <w:bCs/>
                <w:sz w:val="16"/>
                <w:szCs w:val="16"/>
                <w:lang w:eastAsia="fr-CA"/>
              </w:rPr>
            </w:pPr>
          </w:p>
        </w:tc>
        <w:tc>
          <w:tcPr>
            <w:tcW w:w="1009" w:type="pct"/>
            <w:gridSpan w:val="2"/>
            <w:shd w:val="clear" w:color="auto" w:fill="C8C9D3" w:themeFill="background2" w:themeFillShade="E6"/>
          </w:tcPr>
          <w:p w14:paraId="6A0E7039" w14:textId="77777777" w:rsidR="00F167BC" w:rsidRPr="001447EC" w:rsidRDefault="00F167BC" w:rsidP="00F167BC">
            <w:pPr>
              <w:pStyle w:val="TableBodyText"/>
              <w:spacing w:before="20" w:after="20" w:line="252" w:lineRule="auto"/>
              <w:rPr>
                <w:rFonts w:asciiTheme="majorHAnsi" w:hAnsiTheme="majorHAnsi" w:cstheme="majorHAnsi"/>
                <w:sz w:val="16"/>
                <w:szCs w:val="16"/>
                <w:lang w:eastAsia="fr-CA"/>
              </w:rPr>
            </w:pPr>
            <w:r w:rsidRPr="001447EC">
              <w:rPr>
                <w:rFonts w:asciiTheme="majorHAnsi" w:hAnsiTheme="majorHAnsi" w:cstheme="majorHAnsi"/>
                <w:sz w:val="16"/>
                <w:szCs w:val="16"/>
                <w:lang w:eastAsia="fr-CA"/>
              </w:rPr>
              <w:t>Other</w:t>
            </w:r>
          </w:p>
        </w:tc>
        <w:tc>
          <w:tcPr>
            <w:tcW w:w="3750" w:type="pct"/>
            <w:tcBorders>
              <w:bottom w:val="single" w:sz="4" w:space="0" w:color="auto"/>
            </w:tcBorders>
            <w:shd w:val="clear" w:color="auto" w:fill="C8C9D3" w:themeFill="background2" w:themeFillShade="E6"/>
          </w:tcPr>
          <w:p w14:paraId="46F42E8C" w14:textId="77777777" w:rsidR="00F167BC" w:rsidRDefault="00F167BC" w:rsidP="00CA6CB0">
            <w:pPr>
              <w:pStyle w:val="TableBullet10"/>
              <w:spacing w:before="20" w:after="20"/>
              <w:rPr>
                <w:sz w:val="16"/>
                <w:szCs w:val="16"/>
                <w:lang w:eastAsia="fr-CA"/>
              </w:rPr>
            </w:pPr>
            <w:r w:rsidRPr="001447EC">
              <w:rPr>
                <w:color w:val="00B050"/>
                <w:sz w:val="16"/>
                <w:szCs w:val="16"/>
                <w:lang w:eastAsia="fr-CA"/>
              </w:rPr>
              <w:t>EnergyMatrix</w:t>
            </w:r>
            <w:r w:rsidRPr="001447EC">
              <w:rPr>
                <w:sz w:val="16"/>
                <w:szCs w:val="16"/>
                <w:lang w:eastAsia="fr-CA"/>
              </w:rPr>
              <w:t xml:space="preserve"> stated there would be no need for a test if all licenced pipelines were regulated as it proposed. </w:t>
            </w:r>
          </w:p>
          <w:p w14:paraId="20AA83A8" w14:textId="77777777" w:rsidR="00F167BC" w:rsidRPr="001447EC" w:rsidRDefault="00F167BC" w:rsidP="00CA6CB0">
            <w:pPr>
              <w:pStyle w:val="TableBullet10"/>
              <w:spacing w:before="20" w:after="20"/>
              <w:rPr>
                <w:sz w:val="16"/>
                <w:szCs w:val="16"/>
                <w:lang w:eastAsia="fr-CA"/>
              </w:rPr>
            </w:pPr>
            <w:r w:rsidRPr="00277EBA">
              <w:rPr>
                <w:color w:val="7030A0"/>
                <w:sz w:val="16"/>
                <w:szCs w:val="16"/>
                <w:lang w:eastAsia="fr-CA"/>
              </w:rPr>
              <w:t xml:space="preserve">APA </w:t>
            </w:r>
            <w:r w:rsidRPr="00277EBA">
              <w:rPr>
                <w:sz w:val="16"/>
                <w:szCs w:val="16"/>
                <w:lang w:eastAsia="fr-CA"/>
              </w:rPr>
              <w:t xml:space="preserve">noted there would be no need for a test </w:t>
            </w:r>
            <w:r w:rsidR="00BA7778">
              <w:rPr>
                <w:sz w:val="16"/>
                <w:szCs w:val="16"/>
                <w:lang w:eastAsia="fr-CA"/>
              </w:rPr>
              <w:t xml:space="preserve">if </w:t>
            </w:r>
            <w:r w:rsidRPr="00277EBA">
              <w:rPr>
                <w:sz w:val="16"/>
                <w:szCs w:val="16"/>
                <w:lang w:eastAsia="fr-CA"/>
              </w:rPr>
              <w:t>all pipelines are required to provide third party access</w:t>
            </w:r>
          </w:p>
        </w:tc>
      </w:tr>
      <w:tr w:rsidR="00F167BC" w:rsidRPr="00871905" w14:paraId="6E8C7534" w14:textId="77777777" w:rsidTr="00CA6CB0">
        <w:trPr>
          <w:cnfStyle w:val="000000010000" w:firstRow="0" w:lastRow="0" w:firstColumn="0" w:lastColumn="0" w:oddVBand="0" w:evenVBand="0" w:oddHBand="0" w:evenHBand="1" w:firstRowFirstColumn="0" w:firstRowLastColumn="0" w:lastRowFirstColumn="0" w:lastRowLastColumn="0"/>
          <w:cantSplit/>
          <w:trHeight w:val="521"/>
        </w:trPr>
        <w:tc>
          <w:tcPr>
            <w:tcW w:w="241" w:type="pct"/>
            <w:vMerge w:val="restart"/>
            <w:shd w:val="clear" w:color="auto" w:fill="FFFFFF" w:themeFill="background1"/>
            <w:textDirection w:val="btLr"/>
          </w:tcPr>
          <w:p w14:paraId="60D3B8B1" w14:textId="77777777" w:rsidR="00F167BC" w:rsidRPr="00871905" w:rsidRDefault="00F167BC" w:rsidP="00F167BC">
            <w:pPr>
              <w:pStyle w:val="TableBodyText"/>
              <w:spacing w:before="40" w:after="20" w:line="252" w:lineRule="auto"/>
              <w:jc w:val="center"/>
              <w:rPr>
                <w:bCs/>
                <w:sz w:val="16"/>
                <w:szCs w:val="16"/>
              </w:rPr>
            </w:pPr>
            <w:r w:rsidRPr="00871905">
              <w:rPr>
                <w:rFonts w:asciiTheme="majorHAnsi" w:hAnsiTheme="majorHAnsi" w:cstheme="majorHAnsi"/>
                <w:bCs/>
                <w:sz w:val="16"/>
                <w:szCs w:val="16"/>
              </w:rPr>
              <w:t>Governance arrangements for when to regulate and how to regulate decisions</w:t>
            </w:r>
          </w:p>
        </w:tc>
        <w:tc>
          <w:tcPr>
            <w:tcW w:w="1009" w:type="pct"/>
            <w:gridSpan w:val="2"/>
            <w:tcBorders>
              <w:bottom w:val="single" w:sz="4" w:space="0" w:color="auto"/>
            </w:tcBorders>
            <w:shd w:val="clear" w:color="auto" w:fill="FFFFFF" w:themeFill="background1"/>
          </w:tcPr>
          <w:p w14:paraId="3561560A" w14:textId="77777777" w:rsidR="00F167BC" w:rsidRPr="00F14F6A" w:rsidRDefault="00F167BC" w:rsidP="00F167BC">
            <w:pPr>
              <w:pStyle w:val="TableBodyText"/>
              <w:spacing w:before="40" w:afterLines="20" w:after="48" w:line="252" w:lineRule="auto"/>
              <w:rPr>
                <w:rFonts w:asciiTheme="majorHAnsi" w:hAnsiTheme="majorHAnsi" w:cstheme="majorHAnsi"/>
                <w:sz w:val="16"/>
                <w:szCs w:val="16"/>
                <w:lang w:eastAsia="fr-CA"/>
              </w:rPr>
            </w:pPr>
            <w:r w:rsidRPr="00F14F6A">
              <w:rPr>
                <w:rFonts w:asciiTheme="majorHAnsi" w:hAnsiTheme="majorHAnsi" w:cstheme="majorHAnsi"/>
                <w:sz w:val="16"/>
                <w:szCs w:val="16"/>
                <w:lang w:eastAsia="fr-CA"/>
              </w:rPr>
              <w:t xml:space="preserve">Option </w:t>
            </w:r>
            <w:r w:rsidR="000E77CE">
              <w:rPr>
                <w:rFonts w:asciiTheme="majorHAnsi" w:hAnsiTheme="majorHAnsi" w:cstheme="majorHAnsi"/>
                <w:sz w:val="16"/>
                <w:szCs w:val="16"/>
                <w:lang w:eastAsia="fr-CA"/>
              </w:rPr>
              <w:t>A</w:t>
            </w:r>
            <w:r w:rsidRPr="00F14F6A">
              <w:rPr>
                <w:rFonts w:asciiTheme="majorHAnsi" w:hAnsiTheme="majorHAnsi" w:cstheme="majorHAnsi"/>
                <w:sz w:val="16"/>
                <w:szCs w:val="16"/>
                <w:lang w:eastAsia="fr-CA"/>
              </w:rPr>
              <w:t xml:space="preserve">: </w:t>
            </w:r>
            <w:r w:rsidR="00862274">
              <w:rPr>
                <w:rFonts w:asciiTheme="majorHAnsi" w:hAnsiTheme="majorHAnsi" w:cstheme="majorHAnsi"/>
                <w:sz w:val="16"/>
                <w:szCs w:val="16"/>
                <w:lang w:eastAsia="fr-CA"/>
              </w:rPr>
              <w:t>S</w:t>
            </w:r>
            <w:r w:rsidRPr="00F14F6A">
              <w:rPr>
                <w:rFonts w:asciiTheme="majorHAnsi" w:hAnsiTheme="majorHAnsi" w:cstheme="majorHAnsi"/>
                <w:sz w:val="16"/>
                <w:szCs w:val="16"/>
                <w:lang w:eastAsia="fr-CA"/>
              </w:rPr>
              <w:t>tatus quo</w:t>
            </w:r>
          </w:p>
        </w:tc>
        <w:tc>
          <w:tcPr>
            <w:tcW w:w="3750" w:type="pct"/>
            <w:tcBorders>
              <w:bottom w:val="single" w:sz="4" w:space="0" w:color="auto"/>
            </w:tcBorders>
            <w:shd w:val="clear" w:color="auto" w:fill="FFFFFF" w:themeFill="background1"/>
          </w:tcPr>
          <w:p w14:paraId="722E7B25" w14:textId="77777777" w:rsidR="00F167BC" w:rsidRPr="00F14F6A" w:rsidRDefault="00F167BC" w:rsidP="00CA6CB0">
            <w:pPr>
              <w:pStyle w:val="TableBullet10"/>
              <w:spacing w:before="20" w:after="20"/>
              <w:rPr>
                <w:sz w:val="16"/>
                <w:szCs w:val="16"/>
              </w:rPr>
            </w:pPr>
            <w:r w:rsidRPr="00F14F6A">
              <w:rPr>
                <w:sz w:val="16"/>
                <w:szCs w:val="16"/>
              </w:rPr>
              <w:t xml:space="preserve">The </w:t>
            </w:r>
            <w:r w:rsidRPr="00F14F6A">
              <w:rPr>
                <w:color w:val="FF0000"/>
                <w:sz w:val="16"/>
                <w:szCs w:val="16"/>
              </w:rPr>
              <w:t xml:space="preserve">NCC, </w:t>
            </w:r>
            <w:r w:rsidRPr="00F14F6A">
              <w:rPr>
                <w:bCs/>
                <w:color w:val="00B0F0"/>
                <w:sz w:val="16"/>
                <w:szCs w:val="16"/>
              </w:rPr>
              <w:t xml:space="preserve">Origin, </w:t>
            </w:r>
            <w:r w:rsidRPr="00F14F6A">
              <w:rPr>
                <w:bCs/>
                <w:color w:val="D60093"/>
                <w:sz w:val="16"/>
                <w:szCs w:val="16"/>
              </w:rPr>
              <w:t xml:space="preserve">APPEA, COPA, </w:t>
            </w:r>
            <w:r w:rsidRPr="00F14F6A">
              <w:rPr>
                <w:color w:val="7030A0"/>
                <w:sz w:val="16"/>
                <w:szCs w:val="16"/>
              </w:rPr>
              <w:t xml:space="preserve">AGIG, Allgas, APA, APGA, </w:t>
            </w:r>
            <w:r w:rsidRPr="00F14F6A">
              <w:rPr>
                <w:bCs/>
                <w:color w:val="7030A0"/>
                <w:sz w:val="16"/>
                <w:szCs w:val="16"/>
              </w:rPr>
              <w:t xml:space="preserve">Epic </w:t>
            </w:r>
            <w:r w:rsidRPr="00F14F6A">
              <w:rPr>
                <w:bCs/>
                <w:sz w:val="16"/>
                <w:szCs w:val="16"/>
              </w:rPr>
              <w:t xml:space="preserve">and </w:t>
            </w:r>
            <w:r w:rsidRPr="00F14F6A">
              <w:rPr>
                <w:bCs/>
                <w:color w:val="7030A0"/>
                <w:sz w:val="16"/>
                <w:szCs w:val="16"/>
              </w:rPr>
              <w:t xml:space="preserve">Jemena </w:t>
            </w:r>
            <w:r w:rsidRPr="00F14F6A">
              <w:rPr>
                <w:bCs/>
                <w:sz w:val="16"/>
                <w:szCs w:val="16"/>
              </w:rPr>
              <w:t xml:space="preserve">supported the retention of </w:t>
            </w:r>
            <w:r w:rsidRPr="00F14F6A">
              <w:rPr>
                <w:sz w:val="16"/>
                <w:szCs w:val="16"/>
              </w:rPr>
              <w:t xml:space="preserve">the current governance arrangements, while </w:t>
            </w:r>
            <w:r w:rsidRPr="00F14F6A">
              <w:rPr>
                <w:bCs/>
                <w:color w:val="D60093"/>
                <w:sz w:val="16"/>
                <w:szCs w:val="16"/>
              </w:rPr>
              <w:t xml:space="preserve">APLNG </w:t>
            </w:r>
            <w:r w:rsidRPr="00F14F6A">
              <w:rPr>
                <w:bCs/>
                <w:sz w:val="16"/>
                <w:szCs w:val="16"/>
              </w:rPr>
              <w:t xml:space="preserve">and a confidential submitter supported the continued involvement of the Minister </w:t>
            </w:r>
            <w:r w:rsidR="007B6667">
              <w:rPr>
                <w:bCs/>
                <w:sz w:val="16"/>
                <w:szCs w:val="16"/>
              </w:rPr>
              <w:t xml:space="preserve">for third party access and greenfield decisions </w:t>
            </w:r>
            <w:r w:rsidRPr="00F14F6A">
              <w:rPr>
                <w:bCs/>
                <w:sz w:val="16"/>
                <w:szCs w:val="16"/>
              </w:rPr>
              <w:t xml:space="preserve">but suggested that the </w:t>
            </w:r>
            <w:r w:rsidRPr="00F14F6A">
              <w:rPr>
                <w:sz w:val="16"/>
                <w:szCs w:val="16"/>
              </w:rPr>
              <w:t xml:space="preserve">Productivity Commission be responsible for advising the Minister, rather than the NCC. </w:t>
            </w:r>
          </w:p>
          <w:p w14:paraId="7C373F83" w14:textId="77777777" w:rsidR="00F167BC" w:rsidRPr="00F14F6A" w:rsidRDefault="009662FB" w:rsidP="00B24CD1">
            <w:pPr>
              <w:pStyle w:val="TableBullet10"/>
              <w:spacing w:before="20" w:after="20"/>
              <w:rPr>
                <w:sz w:val="16"/>
                <w:szCs w:val="16"/>
              </w:rPr>
            </w:pPr>
            <w:r>
              <w:rPr>
                <w:sz w:val="16"/>
                <w:szCs w:val="16"/>
              </w:rPr>
              <w:t xml:space="preserve">In doing so, most of these stakeholders expressed concerns about </w:t>
            </w:r>
            <w:r w:rsidR="002742F2" w:rsidRPr="00F14F6A">
              <w:rPr>
                <w:rFonts w:eastAsia="Calibri"/>
                <w:sz w:val="16"/>
                <w:szCs w:val="16"/>
              </w:rPr>
              <w:t>according the relevant regulator responsibility for determining the scope and form of regulation and the application of economic regulation</w:t>
            </w:r>
            <w:r w:rsidR="0012653B">
              <w:rPr>
                <w:rFonts w:eastAsia="Calibri"/>
                <w:sz w:val="16"/>
                <w:szCs w:val="16"/>
              </w:rPr>
              <w:t>, stating that it</w:t>
            </w:r>
            <w:r w:rsidR="002742F2" w:rsidRPr="00F14F6A">
              <w:rPr>
                <w:rFonts w:eastAsia="Calibri"/>
                <w:sz w:val="16"/>
                <w:szCs w:val="16"/>
              </w:rPr>
              <w:t xml:space="preserve"> would constitute a “significant conflict of interest” and give rise to “confirmation bias”. A number of these stakeholders also noted that according the role to the regulator would be inconsistent with good regulatory practice and prior recommendations by the Hilmer Committee and Productivity Commission. </w:t>
            </w:r>
            <w:r w:rsidR="00F167BC" w:rsidRPr="00E97B14">
              <w:rPr>
                <w:rFonts w:eastAsia="Calibri"/>
                <w:color w:val="7030A0"/>
                <w:sz w:val="16"/>
                <w:szCs w:val="16"/>
              </w:rPr>
              <w:t xml:space="preserve">APGA, APA </w:t>
            </w:r>
            <w:r w:rsidR="00F167BC" w:rsidRPr="00F14F6A">
              <w:rPr>
                <w:rFonts w:eastAsia="Calibri"/>
                <w:sz w:val="16"/>
                <w:szCs w:val="16"/>
              </w:rPr>
              <w:t xml:space="preserve">and </w:t>
            </w:r>
            <w:r w:rsidR="00F167BC" w:rsidRPr="004816B9">
              <w:rPr>
                <w:rFonts w:eastAsia="Calibri"/>
                <w:color w:val="D60093"/>
                <w:sz w:val="16"/>
                <w:szCs w:val="16"/>
              </w:rPr>
              <w:t xml:space="preserve">APLNG </w:t>
            </w:r>
            <w:r w:rsidR="00F167BC" w:rsidRPr="00F14F6A">
              <w:rPr>
                <w:rFonts w:eastAsia="Calibri"/>
                <w:sz w:val="16"/>
                <w:szCs w:val="16"/>
              </w:rPr>
              <w:t xml:space="preserve">also expressed concerns about the ACCC taking on this role, with </w:t>
            </w:r>
            <w:r w:rsidR="00F167BC" w:rsidRPr="00E97B14">
              <w:rPr>
                <w:rFonts w:eastAsia="Calibri"/>
                <w:color w:val="7030A0"/>
                <w:sz w:val="16"/>
                <w:szCs w:val="16"/>
              </w:rPr>
              <w:t xml:space="preserve">APGA </w:t>
            </w:r>
            <w:r w:rsidR="00CA6CB0">
              <w:rPr>
                <w:rFonts w:eastAsia="Calibri"/>
                <w:sz w:val="16"/>
                <w:szCs w:val="16"/>
              </w:rPr>
              <w:t>stating</w:t>
            </w:r>
            <w:r w:rsidR="00F167BC" w:rsidRPr="00F14F6A">
              <w:rPr>
                <w:rFonts w:eastAsia="Calibri"/>
                <w:sz w:val="16"/>
                <w:szCs w:val="16"/>
              </w:rPr>
              <w:t xml:space="preserve"> it would also constitute a conflict given its current Gas Inquiry.</w:t>
            </w:r>
          </w:p>
        </w:tc>
      </w:tr>
      <w:tr w:rsidR="00F167BC" w:rsidRPr="00871905" w14:paraId="3315CA17" w14:textId="77777777" w:rsidTr="00CA6CB0">
        <w:trPr>
          <w:cantSplit/>
          <w:trHeight w:val="1152"/>
        </w:trPr>
        <w:tc>
          <w:tcPr>
            <w:tcW w:w="241" w:type="pct"/>
            <w:vMerge/>
            <w:shd w:val="clear" w:color="auto" w:fill="FFFFFF" w:themeFill="background1"/>
          </w:tcPr>
          <w:p w14:paraId="1D794C65" w14:textId="77777777" w:rsidR="00F167BC" w:rsidRPr="00871905" w:rsidDel="003D0E8B" w:rsidRDefault="00F167BC" w:rsidP="00F167BC">
            <w:pPr>
              <w:pStyle w:val="TableBodyText"/>
              <w:spacing w:before="40" w:after="20" w:line="252" w:lineRule="auto"/>
              <w:rPr>
                <w:rFonts w:asciiTheme="majorHAnsi" w:hAnsiTheme="majorHAnsi" w:cstheme="majorHAnsi"/>
                <w:sz w:val="16"/>
                <w:szCs w:val="16"/>
                <w:lang w:eastAsia="fr-CA"/>
              </w:rPr>
            </w:pPr>
          </w:p>
        </w:tc>
        <w:tc>
          <w:tcPr>
            <w:tcW w:w="1009" w:type="pct"/>
            <w:gridSpan w:val="2"/>
            <w:shd w:val="clear" w:color="auto" w:fill="E1E2E7" w:themeFill="background2"/>
          </w:tcPr>
          <w:p w14:paraId="517485F3" w14:textId="77777777" w:rsidR="00F167BC" w:rsidRPr="00D4135C" w:rsidDel="003D0E8B" w:rsidRDefault="00F167BC" w:rsidP="00CA6CB0">
            <w:pPr>
              <w:pStyle w:val="TableBodyText"/>
              <w:spacing w:before="20" w:after="20" w:line="252" w:lineRule="auto"/>
              <w:rPr>
                <w:rFonts w:asciiTheme="majorHAnsi" w:hAnsiTheme="majorHAnsi" w:cstheme="majorHAnsi"/>
                <w:sz w:val="16"/>
                <w:szCs w:val="16"/>
                <w:lang w:eastAsia="fr-CA"/>
              </w:rPr>
            </w:pPr>
            <w:r w:rsidRPr="00D4135C">
              <w:rPr>
                <w:rFonts w:asciiTheme="majorHAnsi" w:hAnsiTheme="majorHAnsi" w:cstheme="majorHAnsi"/>
                <w:sz w:val="16"/>
                <w:szCs w:val="16"/>
                <w:lang w:eastAsia="fr-CA"/>
              </w:rPr>
              <w:t xml:space="preserve">Option </w:t>
            </w:r>
            <w:r w:rsidR="000E77CE">
              <w:rPr>
                <w:rFonts w:asciiTheme="majorHAnsi" w:hAnsiTheme="majorHAnsi" w:cstheme="majorHAnsi"/>
                <w:sz w:val="16"/>
                <w:szCs w:val="16"/>
                <w:lang w:eastAsia="fr-CA"/>
              </w:rPr>
              <w:t>B</w:t>
            </w:r>
            <w:r w:rsidRPr="00D4135C">
              <w:rPr>
                <w:rFonts w:asciiTheme="majorHAnsi" w:hAnsiTheme="majorHAnsi" w:cstheme="majorHAnsi"/>
                <w:sz w:val="16"/>
                <w:szCs w:val="16"/>
                <w:lang w:eastAsia="fr-CA"/>
              </w:rPr>
              <w:t xml:space="preserve">: Accord a single organisation responsibility for all decisions </w:t>
            </w:r>
          </w:p>
        </w:tc>
        <w:tc>
          <w:tcPr>
            <w:tcW w:w="3750" w:type="pct"/>
            <w:shd w:val="clear" w:color="auto" w:fill="E1E2E7" w:themeFill="background2"/>
          </w:tcPr>
          <w:p w14:paraId="7E438B26" w14:textId="77777777" w:rsidR="00F167BC" w:rsidRPr="00D4135C" w:rsidRDefault="00F167BC" w:rsidP="00CA6CB0">
            <w:pPr>
              <w:pStyle w:val="TableBullet10"/>
              <w:spacing w:before="20" w:after="20"/>
              <w:rPr>
                <w:sz w:val="16"/>
                <w:szCs w:val="16"/>
              </w:rPr>
            </w:pPr>
            <w:r w:rsidRPr="00D4135C">
              <w:rPr>
                <w:sz w:val="16"/>
                <w:szCs w:val="16"/>
              </w:rPr>
              <w:t xml:space="preserve">The </w:t>
            </w:r>
            <w:r w:rsidRPr="00D4135C">
              <w:rPr>
                <w:color w:val="FF0000"/>
                <w:sz w:val="16"/>
                <w:szCs w:val="16"/>
              </w:rPr>
              <w:t>ACCC, AER</w:t>
            </w:r>
            <w:r w:rsidRPr="00D4135C">
              <w:rPr>
                <w:sz w:val="16"/>
                <w:szCs w:val="16"/>
              </w:rPr>
              <w:t xml:space="preserve">, </w:t>
            </w:r>
            <w:r w:rsidRPr="00D4135C">
              <w:rPr>
                <w:rFonts w:asciiTheme="majorHAnsi" w:hAnsiTheme="majorHAnsi" w:cstheme="majorHAnsi"/>
                <w:color w:val="0000FF"/>
                <w:sz w:val="16"/>
                <w:szCs w:val="16"/>
                <w:lang w:eastAsia="fr-CA"/>
              </w:rPr>
              <w:t>EUAA, NSW BC, Chemistry Australia, MEU</w:t>
            </w:r>
            <w:r w:rsidRPr="00D4135C">
              <w:rPr>
                <w:sz w:val="16"/>
                <w:szCs w:val="16"/>
              </w:rPr>
              <w:t xml:space="preserve">, </w:t>
            </w:r>
            <w:r w:rsidRPr="00D4135C">
              <w:rPr>
                <w:color w:val="00B0F0"/>
                <w:sz w:val="16"/>
                <w:szCs w:val="16"/>
              </w:rPr>
              <w:t xml:space="preserve">EnergyAustralia </w:t>
            </w:r>
            <w:r w:rsidRPr="00D4135C">
              <w:rPr>
                <w:sz w:val="16"/>
                <w:szCs w:val="16"/>
              </w:rPr>
              <w:t xml:space="preserve">and </w:t>
            </w:r>
            <w:r w:rsidRPr="00D4135C">
              <w:rPr>
                <w:color w:val="800080" w:themeColor="accent6"/>
                <w:sz w:val="16"/>
                <w:szCs w:val="16"/>
              </w:rPr>
              <w:t xml:space="preserve">ATCO </w:t>
            </w:r>
            <w:r w:rsidRPr="00D4135C">
              <w:rPr>
                <w:sz w:val="16"/>
                <w:szCs w:val="16"/>
              </w:rPr>
              <w:t xml:space="preserve">supported the proposal to accord a single organisation responsibility for making decisions about when a pipeline should be regulated and how it should be regulated. </w:t>
            </w:r>
          </w:p>
          <w:p w14:paraId="003E22C6" w14:textId="77777777" w:rsidR="00F167BC" w:rsidRPr="00D4135C" w:rsidRDefault="00F167BC" w:rsidP="00CA6CB0">
            <w:pPr>
              <w:pStyle w:val="TableBullet10"/>
              <w:spacing w:before="20" w:after="20"/>
              <w:rPr>
                <w:sz w:val="16"/>
                <w:szCs w:val="16"/>
              </w:rPr>
            </w:pPr>
            <w:r w:rsidRPr="00D4135C">
              <w:rPr>
                <w:sz w:val="16"/>
                <w:szCs w:val="16"/>
              </w:rPr>
              <w:t xml:space="preserve">The </w:t>
            </w:r>
            <w:r w:rsidRPr="00D4135C">
              <w:rPr>
                <w:color w:val="0000FF"/>
                <w:sz w:val="16"/>
                <w:szCs w:val="16"/>
              </w:rPr>
              <w:t xml:space="preserve">user associations </w:t>
            </w:r>
            <w:r w:rsidRPr="00D4135C">
              <w:rPr>
                <w:sz w:val="16"/>
                <w:szCs w:val="16"/>
              </w:rPr>
              <w:t xml:space="preserve">suggested the ACCC take on this role, while </w:t>
            </w:r>
            <w:r w:rsidRPr="00D4135C">
              <w:rPr>
                <w:color w:val="800080" w:themeColor="accent6"/>
                <w:sz w:val="16"/>
                <w:szCs w:val="16"/>
              </w:rPr>
              <w:t>ATCO</w:t>
            </w:r>
            <w:r w:rsidRPr="00D4135C">
              <w:rPr>
                <w:sz w:val="16"/>
                <w:szCs w:val="16"/>
              </w:rPr>
              <w:t xml:space="preserve">, the </w:t>
            </w:r>
            <w:r w:rsidRPr="00D4135C">
              <w:rPr>
                <w:color w:val="FF0000"/>
                <w:sz w:val="16"/>
                <w:szCs w:val="16"/>
              </w:rPr>
              <w:t xml:space="preserve">AER </w:t>
            </w:r>
            <w:r w:rsidRPr="00D4135C">
              <w:rPr>
                <w:sz w:val="16"/>
                <w:szCs w:val="16"/>
              </w:rPr>
              <w:t xml:space="preserve">and </w:t>
            </w:r>
            <w:r w:rsidRPr="00D4135C">
              <w:rPr>
                <w:color w:val="00B0F0"/>
                <w:sz w:val="16"/>
                <w:szCs w:val="16"/>
              </w:rPr>
              <w:t>EnergyAustralia</w:t>
            </w:r>
            <w:r w:rsidRPr="00D4135C">
              <w:rPr>
                <w:color w:val="00B050"/>
                <w:sz w:val="16"/>
                <w:szCs w:val="16"/>
              </w:rPr>
              <w:t xml:space="preserve"> </w:t>
            </w:r>
            <w:r w:rsidRPr="00D4135C">
              <w:rPr>
                <w:sz w:val="16"/>
                <w:szCs w:val="16"/>
              </w:rPr>
              <w:t xml:space="preserve">suggested the regulator take on the role. </w:t>
            </w:r>
          </w:p>
          <w:p w14:paraId="6AC8C40B" w14:textId="77777777" w:rsidR="00F167BC" w:rsidRPr="00D4135C" w:rsidRDefault="00F167BC" w:rsidP="00CA6CB0">
            <w:pPr>
              <w:pStyle w:val="TableBullet10"/>
              <w:spacing w:before="20" w:after="20"/>
              <w:rPr>
                <w:bCs/>
                <w:sz w:val="16"/>
                <w:szCs w:val="16"/>
                <w:lang w:eastAsia="fr-CA"/>
              </w:rPr>
            </w:pPr>
            <w:r w:rsidRPr="00D4135C">
              <w:rPr>
                <w:rFonts w:eastAsia="Calibri"/>
                <w:bCs/>
                <w:sz w:val="16"/>
                <w:szCs w:val="16"/>
              </w:rPr>
              <w:t xml:space="preserve">As to the perceived conflict of </w:t>
            </w:r>
            <w:r>
              <w:rPr>
                <w:rFonts w:eastAsia="Calibri"/>
                <w:bCs/>
                <w:sz w:val="16"/>
                <w:szCs w:val="16"/>
              </w:rPr>
              <w:t xml:space="preserve">interest in the </w:t>
            </w:r>
            <w:r w:rsidRPr="00D4135C">
              <w:rPr>
                <w:rFonts w:eastAsia="Calibri"/>
                <w:bCs/>
                <w:sz w:val="16"/>
                <w:szCs w:val="16"/>
              </w:rPr>
              <w:t xml:space="preserve">regulator taking on this role, the </w:t>
            </w:r>
            <w:r w:rsidRPr="00E97B14">
              <w:rPr>
                <w:rFonts w:eastAsia="Calibri"/>
                <w:bCs/>
                <w:color w:val="FF0000"/>
                <w:sz w:val="16"/>
                <w:szCs w:val="16"/>
              </w:rPr>
              <w:t xml:space="preserve">AER </w:t>
            </w:r>
            <w:r w:rsidRPr="00D4135C">
              <w:rPr>
                <w:rFonts w:eastAsia="Calibri"/>
                <w:bCs/>
                <w:sz w:val="16"/>
                <w:szCs w:val="16"/>
              </w:rPr>
              <w:t xml:space="preserve">pointed to a number of examples of where the regulator is responsible for when to regulate decisions in other jurisdictions (e.g. NZ and the US) and in other sectors in Australia (e.g. </w:t>
            </w:r>
            <w:r>
              <w:rPr>
                <w:rFonts w:eastAsia="Calibri"/>
                <w:bCs/>
                <w:sz w:val="16"/>
                <w:szCs w:val="16"/>
              </w:rPr>
              <w:t xml:space="preserve">the </w:t>
            </w:r>
            <w:r w:rsidRPr="00D4135C">
              <w:rPr>
                <w:rFonts w:eastAsia="Calibri"/>
                <w:bCs/>
                <w:sz w:val="16"/>
                <w:szCs w:val="16"/>
              </w:rPr>
              <w:t>telecommunications</w:t>
            </w:r>
            <w:r>
              <w:rPr>
                <w:rFonts w:eastAsia="Calibri"/>
                <w:bCs/>
                <w:sz w:val="16"/>
                <w:szCs w:val="16"/>
              </w:rPr>
              <w:t xml:space="preserve"> sector</w:t>
            </w:r>
            <w:r w:rsidRPr="00D4135C">
              <w:rPr>
                <w:rFonts w:eastAsia="Calibri"/>
                <w:bCs/>
                <w:sz w:val="16"/>
                <w:szCs w:val="16"/>
              </w:rPr>
              <w:t xml:space="preserve">). </w:t>
            </w:r>
            <w:r w:rsidRPr="00E97B14">
              <w:rPr>
                <w:rFonts w:eastAsia="Calibri"/>
                <w:bCs/>
                <w:color w:val="00B0F0"/>
                <w:sz w:val="16"/>
                <w:szCs w:val="16"/>
              </w:rPr>
              <w:t>EnergyAustralia</w:t>
            </w:r>
            <w:r w:rsidRPr="00D4135C">
              <w:rPr>
                <w:rFonts w:eastAsia="Calibri"/>
                <w:bCs/>
                <w:sz w:val="16"/>
                <w:szCs w:val="16"/>
              </w:rPr>
              <w:t xml:space="preserve">, on the other hand, noted that to </w:t>
            </w:r>
            <w:r w:rsidRPr="00D4135C">
              <w:rPr>
                <w:sz w:val="16"/>
                <w:szCs w:val="16"/>
              </w:rPr>
              <w:t>avoid any perception of bias, decisions should be made in consultation with, or be reviewable by, another regulatory body, such as the ACCC.</w:t>
            </w:r>
          </w:p>
        </w:tc>
      </w:tr>
    </w:tbl>
    <w:p w14:paraId="65F6B263" w14:textId="77777777" w:rsidR="008C0AA1" w:rsidRDefault="008C0AA1" w:rsidP="008C0AA1">
      <w:pPr>
        <w:pStyle w:val="BodyText"/>
        <w:sectPr w:rsidR="008C0AA1" w:rsidSect="00640752">
          <w:pgSz w:w="16839" w:h="11907" w:orient="landscape" w:code="9"/>
          <w:pgMar w:top="1134" w:right="1418" w:bottom="851" w:left="1701" w:header="567" w:footer="397" w:gutter="0"/>
          <w:cols w:space="708"/>
          <w:docGrid w:linePitch="360"/>
        </w:sectPr>
      </w:pPr>
    </w:p>
    <w:p w14:paraId="44267E98" w14:textId="77777777" w:rsidR="00C85117" w:rsidRDefault="00C85117" w:rsidP="00C85117">
      <w:pPr>
        <w:pStyle w:val="Heading3"/>
        <w:spacing w:after="120"/>
      </w:pPr>
      <w:r>
        <w:lastRenderedPageBreak/>
        <w:t>Assessment of the feedback and how it has been accounted for in the reform options</w:t>
      </w:r>
    </w:p>
    <w:p w14:paraId="13D36603" w14:textId="77777777" w:rsidR="00302C9B" w:rsidRDefault="002D7A21" w:rsidP="00FD464E">
      <w:pPr>
        <w:pStyle w:val="BodyText"/>
      </w:pPr>
      <w:r>
        <w:t>Consistent with the view</w:t>
      </w:r>
      <w:r w:rsidR="00E07D3F">
        <w:t>s</w:t>
      </w:r>
      <w:r>
        <w:t xml:space="preserve"> expressed </w:t>
      </w:r>
      <w:r w:rsidR="00E07D3F">
        <w:t xml:space="preserve">on the potential problems with this aspect of the regulatory framework, </w:t>
      </w:r>
      <w:r w:rsidR="00FD464E">
        <w:t xml:space="preserve">the majority of </w:t>
      </w:r>
      <w:r w:rsidR="00D11F82">
        <w:t xml:space="preserve">stakeholders </w:t>
      </w:r>
      <w:r w:rsidR="001103C4">
        <w:t>supported</w:t>
      </w:r>
      <w:r w:rsidR="00FD464E">
        <w:t xml:space="preserve"> </w:t>
      </w:r>
      <w:r w:rsidR="001103C4">
        <w:t xml:space="preserve">the </w:t>
      </w:r>
      <w:r w:rsidR="00A13436">
        <w:t xml:space="preserve">continued </w:t>
      </w:r>
      <w:r w:rsidR="00DF0488">
        <w:t>application of regulation to pipelines providing third party access</w:t>
      </w:r>
      <w:r w:rsidR="005B66BF">
        <w:t xml:space="preserve">, although </w:t>
      </w:r>
      <w:r w:rsidR="00C3330E">
        <w:t xml:space="preserve">a small number </w:t>
      </w:r>
      <w:r w:rsidR="007B7D37">
        <w:t xml:space="preserve">did </w:t>
      </w:r>
      <w:r w:rsidR="00B917E1">
        <w:t>support an</w:t>
      </w:r>
      <w:r w:rsidR="00C15654">
        <w:t xml:space="preserve"> exemption </w:t>
      </w:r>
      <w:r w:rsidR="00F35521">
        <w:t xml:space="preserve">where </w:t>
      </w:r>
      <w:r w:rsidR="00763B42">
        <w:t xml:space="preserve">it can be demonstrated </w:t>
      </w:r>
      <w:r w:rsidR="00596AF9">
        <w:t xml:space="preserve">a </w:t>
      </w:r>
      <w:r w:rsidR="000A2801">
        <w:t>pipeline lack</w:t>
      </w:r>
      <w:r w:rsidR="00596AF9">
        <w:t>s</w:t>
      </w:r>
      <w:r w:rsidR="000A2801">
        <w:t xml:space="preserve"> substantial market power. </w:t>
      </w:r>
    </w:p>
    <w:p w14:paraId="2FFD3DEF" w14:textId="77777777" w:rsidR="008E2A54" w:rsidRDefault="00E07D3F" w:rsidP="0033624A">
      <w:pPr>
        <w:pStyle w:val="BodyText"/>
      </w:pPr>
      <w:r>
        <w:t xml:space="preserve">The </w:t>
      </w:r>
      <w:r w:rsidR="00FD464E">
        <w:t xml:space="preserve">majority of stakeholders also supported the </w:t>
      </w:r>
      <w:r>
        <w:t xml:space="preserve">continued application of the lighter form of regulation to pipelines with a </w:t>
      </w:r>
      <w:r w:rsidR="00053631">
        <w:t>greenfield exemption</w:t>
      </w:r>
      <w:r w:rsidR="00617DDE">
        <w:t xml:space="preserve">, although there were some </w:t>
      </w:r>
      <w:r w:rsidR="008E2A54">
        <w:t xml:space="preserve">alternative </w:t>
      </w:r>
      <w:r w:rsidR="00617DDE">
        <w:t xml:space="preserve">views expressed on this issue. </w:t>
      </w:r>
      <w:r w:rsidR="008E2A54">
        <w:t>For example:</w:t>
      </w:r>
    </w:p>
    <w:p w14:paraId="213DC02F" w14:textId="438EADF6" w:rsidR="008E2A54" w:rsidRDefault="00E65262" w:rsidP="00AD36B8">
      <w:pPr>
        <w:pStyle w:val="ListBullet"/>
      </w:pPr>
      <w:r w:rsidRPr="00114ED0">
        <w:t xml:space="preserve">APGA and </w:t>
      </w:r>
      <w:r w:rsidR="00A74200">
        <w:t>its members</w:t>
      </w:r>
      <w:r w:rsidR="008E2A54">
        <w:t xml:space="preserve"> were of the view</w:t>
      </w:r>
      <w:r w:rsidR="003A2772" w:rsidRPr="00114ED0">
        <w:t xml:space="preserve"> </w:t>
      </w:r>
      <w:r w:rsidR="008E2A54">
        <w:t xml:space="preserve">that </w:t>
      </w:r>
      <w:r w:rsidR="003A2772" w:rsidRPr="00114ED0">
        <w:t xml:space="preserve">the </w:t>
      </w:r>
      <w:r w:rsidR="00CF2FB9">
        <w:t xml:space="preserve">scope of the exemption </w:t>
      </w:r>
      <w:r w:rsidR="0091388E">
        <w:t xml:space="preserve">should be expanded to allow </w:t>
      </w:r>
      <w:r w:rsidRPr="00114ED0">
        <w:t xml:space="preserve">the holder to be exempt </w:t>
      </w:r>
      <w:r w:rsidR="003E63D0" w:rsidRPr="00114ED0">
        <w:t>from all forms of regulation</w:t>
      </w:r>
      <w:r w:rsidR="005A1370" w:rsidRPr="00114ED0">
        <w:t xml:space="preserve"> and the capacity trading reforms</w:t>
      </w:r>
      <w:r w:rsidR="0091388E">
        <w:t xml:space="preserve">. They also proposed </w:t>
      </w:r>
      <w:r w:rsidR="00435E44" w:rsidRPr="00114ED0">
        <w:t xml:space="preserve">extending the exemption period and </w:t>
      </w:r>
      <w:r w:rsidR="00134D25" w:rsidRPr="00114ED0">
        <w:t>making the exemption automatic</w:t>
      </w:r>
      <w:r w:rsidR="005A1370" w:rsidRPr="00114ED0">
        <w:t xml:space="preserve"> in certain circumstances</w:t>
      </w:r>
      <w:r w:rsidR="0018237C" w:rsidRPr="00114ED0">
        <w:t>.</w:t>
      </w:r>
      <w:r w:rsidR="00370905">
        <w:rPr>
          <w:rFonts w:ascii="ZWAdobeF" w:hAnsi="ZWAdobeF" w:cs="ZWAdobeF"/>
          <w:sz w:val="2"/>
          <w:szCs w:val="2"/>
        </w:rPr>
        <w:t>102F</w:t>
      </w:r>
      <w:r w:rsidR="0018237C" w:rsidRPr="00114ED0">
        <w:rPr>
          <w:rStyle w:val="FootnoteReference"/>
        </w:rPr>
        <w:footnoteReference w:id="104"/>
      </w:r>
      <w:r w:rsidR="00EF0B67" w:rsidRPr="00114ED0">
        <w:t xml:space="preserve"> </w:t>
      </w:r>
    </w:p>
    <w:p w14:paraId="5902940E" w14:textId="77777777" w:rsidR="008E2A54" w:rsidRDefault="00637912" w:rsidP="00AD36B8">
      <w:pPr>
        <w:pStyle w:val="ListBullet"/>
      </w:pPr>
      <w:r>
        <w:t xml:space="preserve">User associations, </w:t>
      </w:r>
      <w:r w:rsidR="00114ED0" w:rsidRPr="00114ED0">
        <w:t>COPA and EnergyAustralia</w:t>
      </w:r>
      <w:r w:rsidR="0033624A">
        <w:t>, on the other hand,</w:t>
      </w:r>
      <w:r w:rsidR="00114ED0" w:rsidRPr="00114ED0">
        <w:t xml:space="preserve"> </w:t>
      </w:r>
      <w:r w:rsidR="001307E8" w:rsidRPr="00114ED0">
        <w:t xml:space="preserve">queried whether the 15-year </w:t>
      </w:r>
      <w:r w:rsidR="004279EE" w:rsidRPr="00114ED0">
        <w:t>no coverage determination should be retained in the framework</w:t>
      </w:r>
      <w:r w:rsidR="00FE7088" w:rsidRPr="00114ED0">
        <w:t xml:space="preserve">, with some </w:t>
      </w:r>
      <w:r w:rsidR="001B2A8D" w:rsidRPr="00114ED0">
        <w:t xml:space="preserve">questioning </w:t>
      </w:r>
      <w:r w:rsidR="00FE7088" w:rsidRPr="00114ED0">
        <w:t xml:space="preserve">whether it did in fact incentivise the </w:t>
      </w:r>
      <w:r w:rsidR="00C21E95" w:rsidRPr="00114ED0">
        <w:t>development of new pipelines</w:t>
      </w:r>
      <w:r w:rsidR="002338E7" w:rsidRPr="00114ED0">
        <w:t xml:space="preserve">. </w:t>
      </w:r>
    </w:p>
    <w:p w14:paraId="52F6B3C7" w14:textId="77777777" w:rsidR="008F279F" w:rsidRDefault="00110808" w:rsidP="00BB52D3">
      <w:pPr>
        <w:pStyle w:val="BodyText"/>
        <w:spacing w:before="120"/>
      </w:pPr>
      <w:r w:rsidRPr="00114ED0">
        <w:t xml:space="preserve">In between these two positions, </w:t>
      </w:r>
      <w:r w:rsidR="00BB52D3">
        <w:t xml:space="preserve">some </w:t>
      </w:r>
      <w:r w:rsidRPr="00114ED0">
        <w:t xml:space="preserve">stakeholders suggested the existing incentives (i.e. the 15-year no coverage determination and CTP) be retained </w:t>
      </w:r>
      <w:r w:rsidR="00BB52D3">
        <w:t xml:space="preserve">but </w:t>
      </w:r>
      <w:r w:rsidRPr="00114ED0">
        <w:t>amalgamated.</w:t>
      </w:r>
    </w:p>
    <w:p w14:paraId="5D5BB933" w14:textId="59518646" w:rsidR="00F3031D" w:rsidRPr="00D42878" w:rsidRDefault="00025580" w:rsidP="0019445D">
      <w:pPr>
        <w:pStyle w:val="BodyText"/>
      </w:pPr>
      <w:r w:rsidRPr="00D42878">
        <w:t xml:space="preserve">On the issue of access to </w:t>
      </w:r>
      <w:r w:rsidR="00F3031D" w:rsidRPr="00D42878">
        <w:t>pipelines that do not voluntarily provide third party access</w:t>
      </w:r>
      <w:r w:rsidRPr="00D42878">
        <w:t xml:space="preserve">, </w:t>
      </w:r>
      <w:r w:rsidR="006A057D" w:rsidRPr="00D42878">
        <w:t xml:space="preserve">the majority of </w:t>
      </w:r>
      <w:r w:rsidR="00F3031D" w:rsidRPr="00D42878">
        <w:t xml:space="preserve">stakeholders supported a movement away from the status quo because they agreed that the use of the coverage test for third party access decisions could result in under-regulation and inefficient use of and investment in pipelines. Most of these stakeholders thought that </w:t>
      </w:r>
      <w:r w:rsidR="00AA27E1" w:rsidRPr="00F6000B">
        <w:rPr>
          <w:rFonts w:cs="Arial"/>
        </w:rPr>
        <w:t>pipeline</w:t>
      </w:r>
      <w:r w:rsidR="00AA27E1">
        <w:t>s</w:t>
      </w:r>
      <w:r w:rsidR="00AA27E1" w:rsidRPr="00F6000B">
        <w:rPr>
          <w:rFonts w:cs="Arial"/>
        </w:rPr>
        <w:t xml:space="preserve"> should </w:t>
      </w:r>
      <w:r w:rsidR="00AA27E1">
        <w:t xml:space="preserve">only </w:t>
      </w:r>
      <w:r w:rsidR="00AA27E1" w:rsidRPr="00F6000B">
        <w:rPr>
          <w:rFonts w:cs="Arial"/>
        </w:rPr>
        <w:t>be required to provide third party access</w:t>
      </w:r>
      <w:r w:rsidR="00AA27E1">
        <w:t xml:space="preserve"> if a third party access application is made and they are found to satisfy the proposed </w:t>
      </w:r>
      <w:r w:rsidR="00AA27E1" w:rsidRPr="00F6000B">
        <w:rPr>
          <w:rFonts w:cs="Arial"/>
        </w:rPr>
        <w:t>market power-NGO test</w:t>
      </w:r>
      <w:r w:rsidR="00A26F12">
        <w:rPr>
          <w:rFonts w:cs="Arial"/>
        </w:rPr>
        <w:t xml:space="preserve"> (see </w:t>
      </w:r>
      <w:r w:rsidR="00A26F12">
        <w:rPr>
          <w:rFonts w:cs="Arial"/>
        </w:rPr>
        <w:fldChar w:fldCharType="begin" w:fldLock="1"/>
      </w:r>
      <w:r w:rsidR="00A26F12">
        <w:rPr>
          <w:rFonts w:cs="Arial"/>
        </w:rPr>
        <w:instrText xml:space="preserve"> REF _Ref18234888 \h </w:instrText>
      </w:r>
      <w:r w:rsidR="00A26F12">
        <w:rPr>
          <w:rFonts w:cs="Arial"/>
        </w:rPr>
      </w:r>
      <w:r w:rsidR="00A26F12">
        <w:rPr>
          <w:rFonts w:cs="Arial"/>
        </w:rPr>
        <w:fldChar w:fldCharType="separate"/>
      </w:r>
      <w:r w:rsidR="00036405" w:rsidRPr="00750E35">
        <w:t xml:space="preserve">Box </w:t>
      </w:r>
      <w:r w:rsidR="00036405">
        <w:rPr>
          <w:noProof/>
        </w:rPr>
        <w:t>4</w:t>
      </w:r>
      <w:r w:rsidR="00036405" w:rsidRPr="00750E35">
        <w:t>.</w:t>
      </w:r>
      <w:r w:rsidR="00036405">
        <w:rPr>
          <w:noProof/>
        </w:rPr>
        <w:t>1</w:t>
      </w:r>
      <w:r w:rsidR="00A26F12">
        <w:rPr>
          <w:rFonts w:cs="Arial"/>
        </w:rPr>
        <w:fldChar w:fldCharType="end"/>
      </w:r>
      <w:r w:rsidR="00A26F12">
        <w:rPr>
          <w:rFonts w:cs="Arial"/>
        </w:rPr>
        <w:t>)</w:t>
      </w:r>
      <w:r w:rsidR="0019445D">
        <w:rPr>
          <w:rFonts w:cs="Arial"/>
        </w:rPr>
        <w:t xml:space="preserve">. </w:t>
      </w:r>
      <w:r w:rsidR="00F3031D" w:rsidRPr="00D42878">
        <w:t xml:space="preserve">There were, however, a number </w:t>
      </w:r>
      <w:r w:rsidR="0019445D">
        <w:t xml:space="preserve">of stakeholders </w:t>
      </w:r>
      <w:r w:rsidR="00F3031D" w:rsidRPr="00D42878">
        <w:t>that advocated a movement to an open access model, where all pipelines would be required to provide third party access if requested to do so</w:t>
      </w:r>
      <w:r w:rsidR="0019445D">
        <w:t xml:space="preserve"> by a shipper</w:t>
      </w:r>
      <w:r w:rsidR="00F3031D" w:rsidRPr="00D42878">
        <w:t xml:space="preserve">. </w:t>
      </w:r>
    </w:p>
    <w:p w14:paraId="22DCC68D" w14:textId="77777777" w:rsidR="00C77360" w:rsidRDefault="00D7190B" w:rsidP="00D7190B">
      <w:pPr>
        <w:pStyle w:val="BodyText"/>
      </w:pPr>
      <w:r w:rsidRPr="00D7190B">
        <w:t xml:space="preserve">As to the governance </w:t>
      </w:r>
      <w:r w:rsidR="00A02AA9" w:rsidRPr="00D7190B">
        <w:t>arrangements</w:t>
      </w:r>
      <w:r w:rsidR="00952FF5" w:rsidRPr="00D7190B">
        <w:t xml:space="preserve"> for </w:t>
      </w:r>
      <w:r>
        <w:t>third party access, greenfield exemption and form of regulation decisions</w:t>
      </w:r>
      <w:r w:rsidRPr="00D7190B">
        <w:t>,</w:t>
      </w:r>
      <w:r>
        <w:rPr>
          <w:b/>
          <w:bCs/>
        </w:rPr>
        <w:t xml:space="preserve"> </w:t>
      </w:r>
      <w:r>
        <w:t>s</w:t>
      </w:r>
      <w:r w:rsidR="00C77360">
        <w:t>takeholders were divided</w:t>
      </w:r>
      <w:r w:rsidR="0051213A">
        <w:t>. T</w:t>
      </w:r>
      <w:r w:rsidR="00C956B1">
        <w:t xml:space="preserve">he ACCC, AER, </w:t>
      </w:r>
      <w:r w:rsidR="00C77360">
        <w:t>user associations</w:t>
      </w:r>
      <w:r w:rsidR="00B81CE7">
        <w:t>, EnergyAustralia and ATCO</w:t>
      </w:r>
      <w:r>
        <w:t>, for example,</w:t>
      </w:r>
      <w:r w:rsidR="00981E7C">
        <w:t xml:space="preserve"> </w:t>
      </w:r>
      <w:r w:rsidR="00B81CE7">
        <w:t xml:space="preserve">supported the </w:t>
      </w:r>
      <w:r w:rsidR="00C77360">
        <w:t>movement to a single decision-</w:t>
      </w:r>
      <w:r w:rsidR="00C77360">
        <w:lastRenderedPageBreak/>
        <w:t>maker</w:t>
      </w:r>
      <w:r w:rsidR="00AB4F44">
        <w:t xml:space="preserve"> model</w:t>
      </w:r>
      <w:r w:rsidR="00960C58">
        <w:t xml:space="preserve">, with either the relevant regulator or ACCC responsible for </w:t>
      </w:r>
      <w:r w:rsidR="001D0942">
        <w:t xml:space="preserve">making </w:t>
      </w:r>
      <w:r>
        <w:t xml:space="preserve">these decisions. </w:t>
      </w:r>
      <w:r w:rsidR="001F2163">
        <w:t>T</w:t>
      </w:r>
      <w:r w:rsidR="00AB4F44">
        <w:t xml:space="preserve">he NCC, </w:t>
      </w:r>
      <w:r w:rsidR="00973110">
        <w:t xml:space="preserve">Origin, </w:t>
      </w:r>
      <w:r w:rsidR="00C77360">
        <w:t>service providers</w:t>
      </w:r>
      <w:r w:rsidR="00973110">
        <w:t xml:space="preserve"> and </w:t>
      </w:r>
      <w:r w:rsidR="00AB4F44">
        <w:t>a number of producers that own pipelines</w:t>
      </w:r>
      <w:r w:rsidR="001F2163">
        <w:t xml:space="preserve">, </w:t>
      </w:r>
      <w:r>
        <w:t xml:space="preserve">on the other hand, </w:t>
      </w:r>
      <w:r w:rsidR="00C77360">
        <w:t xml:space="preserve">supported the retention of the existing </w:t>
      </w:r>
      <w:r>
        <w:t xml:space="preserve">governance </w:t>
      </w:r>
      <w:r w:rsidR="00C77360">
        <w:t>arrangements</w:t>
      </w:r>
      <w:r w:rsidR="00863006">
        <w:t xml:space="preserve">, with a number expressing concerns </w:t>
      </w:r>
      <w:r w:rsidR="001F2163">
        <w:t xml:space="preserve">about the </w:t>
      </w:r>
      <w:r w:rsidR="00973110">
        <w:t xml:space="preserve">potential </w:t>
      </w:r>
      <w:r w:rsidR="00C77360">
        <w:t xml:space="preserve">conflict </w:t>
      </w:r>
      <w:r w:rsidR="007E24AC">
        <w:t xml:space="preserve">a regulator may face if it is responsible </w:t>
      </w:r>
      <w:r w:rsidR="00C77360">
        <w:t xml:space="preserve">for deciding </w:t>
      </w:r>
      <w:r w:rsidR="008431E4">
        <w:t xml:space="preserve">when and how a </w:t>
      </w:r>
      <w:r w:rsidR="00C77360">
        <w:t>pipeline should be regulated</w:t>
      </w:r>
      <w:r w:rsidR="008431E4">
        <w:t xml:space="preserve">, </w:t>
      </w:r>
      <w:r w:rsidR="00C77360">
        <w:t xml:space="preserve">as well as </w:t>
      </w:r>
      <w:r w:rsidR="00FE4703">
        <w:t>regulation</w:t>
      </w:r>
      <w:r w:rsidR="00F314C2">
        <w:t xml:space="preserve">. </w:t>
      </w:r>
    </w:p>
    <w:p w14:paraId="0AB9CDB7" w14:textId="77777777" w:rsidR="00A9382B" w:rsidRDefault="00A9382B" w:rsidP="00A9382B">
      <w:pPr>
        <w:pStyle w:val="BodyText"/>
      </w:pPr>
      <w:r>
        <w:t xml:space="preserve">Given the diversity of views expressed on some of these issues, further consideration has been given to the issues raised by stakeholders and the extent to which they should be reflected in two alternative reform options that have been developed to reflect the outcomes of stakeholder feedback: Option 3A and Option 3B. In doing so, consideration has been given to: </w:t>
      </w:r>
    </w:p>
    <w:p w14:paraId="1515ABB1" w14:textId="77777777" w:rsidR="00A9382B" w:rsidRDefault="00A9382B" w:rsidP="00AD36B8">
      <w:pPr>
        <w:pStyle w:val="ListBullet"/>
      </w:pPr>
      <w:r>
        <w:t>the problems that have been identified with this aspect of the regulatory framework (see section 4.2.3); and</w:t>
      </w:r>
    </w:p>
    <w:p w14:paraId="7B686057" w14:textId="77777777" w:rsidR="00A9382B" w:rsidRDefault="00A9382B" w:rsidP="00AD36B8">
      <w:pPr>
        <w:pStyle w:val="ListBullet"/>
      </w:pPr>
      <w:r>
        <w:t xml:space="preserve">the objectives of Energy National Cabinet Reform Committee action (see section 3.2). </w:t>
      </w:r>
    </w:p>
    <w:p w14:paraId="6E44EEE7" w14:textId="16BBDFB8" w:rsidR="00C00CF0" w:rsidRDefault="00A9382B" w:rsidP="000C32EF">
      <w:pPr>
        <w:pStyle w:val="BodyText"/>
        <w:spacing w:before="60" w:after="0"/>
        <w:rPr>
          <w:bCs/>
        </w:rPr>
      </w:pPr>
      <w:r w:rsidRPr="008F1132">
        <w:t xml:space="preserve">The results of this consideration </w:t>
      </w:r>
      <w:r>
        <w:t xml:space="preserve">are set out in </w:t>
      </w:r>
      <w:r>
        <w:fldChar w:fldCharType="begin" w:fldLock="1"/>
      </w:r>
      <w:r>
        <w:instrText xml:space="preserve"> REF _Ref60326870 \h </w:instrText>
      </w:r>
      <w:r>
        <w:fldChar w:fldCharType="separate"/>
      </w:r>
      <w:r w:rsidR="00036405" w:rsidRPr="006B4639">
        <w:t xml:space="preserve">Table </w:t>
      </w:r>
      <w:r w:rsidR="00036405">
        <w:rPr>
          <w:noProof/>
        </w:rPr>
        <w:t>4</w:t>
      </w:r>
      <w:r w:rsidR="00036405">
        <w:t>.</w:t>
      </w:r>
      <w:r w:rsidR="00036405">
        <w:rPr>
          <w:noProof/>
        </w:rPr>
        <w:t>4</w:t>
      </w:r>
      <w:r>
        <w:fldChar w:fldCharType="end"/>
      </w:r>
      <w:r>
        <w:t>, which also sets out how the feedback has been taken into account in options 3A and 3B.</w:t>
      </w:r>
      <w:r w:rsidR="00AF730C">
        <w:t xml:space="preserve"> </w:t>
      </w:r>
      <w:r w:rsidR="00C00CF0">
        <w:t>Before examining this table, i</w:t>
      </w:r>
      <w:r w:rsidR="007E71C2">
        <w:t xml:space="preserve">t is worth noting that </w:t>
      </w:r>
      <w:r w:rsidR="00520A4C">
        <w:t>as part of the regulatory impact assessment five options have been considered</w:t>
      </w:r>
      <w:r w:rsidR="005A0AAE">
        <w:t xml:space="preserve">, with </w:t>
      </w:r>
      <w:r w:rsidR="00C249AA">
        <w:t xml:space="preserve">options </w:t>
      </w:r>
      <w:r w:rsidR="007E71C2">
        <w:rPr>
          <w:bCs/>
        </w:rPr>
        <w:t>1, 2 and 4</w:t>
      </w:r>
      <w:r w:rsidR="00C249AA">
        <w:rPr>
          <w:bCs/>
        </w:rPr>
        <w:t xml:space="preserve"> </w:t>
      </w:r>
      <w:r w:rsidR="007E71C2">
        <w:rPr>
          <w:bCs/>
        </w:rPr>
        <w:t>largely unchanged from the Consultation RIS</w:t>
      </w:r>
      <w:r w:rsidR="00520A4C">
        <w:rPr>
          <w:bCs/>
        </w:rPr>
        <w:t xml:space="preserve">. </w:t>
      </w:r>
      <w:r w:rsidR="008B494F">
        <w:rPr>
          <w:bCs/>
        </w:rPr>
        <w:t>S</w:t>
      </w:r>
      <w:r w:rsidR="00F4385D">
        <w:rPr>
          <w:bCs/>
        </w:rPr>
        <w:t xml:space="preserve">ome of the feedback provided by stakeholders has </w:t>
      </w:r>
      <w:r w:rsidR="008B494F">
        <w:rPr>
          <w:bCs/>
        </w:rPr>
        <w:t xml:space="preserve">therefore </w:t>
      </w:r>
      <w:r w:rsidR="00F4385D">
        <w:rPr>
          <w:bCs/>
        </w:rPr>
        <w:t xml:space="preserve">been considered </w:t>
      </w:r>
      <w:r w:rsidR="00494692">
        <w:rPr>
          <w:bCs/>
        </w:rPr>
        <w:t xml:space="preserve">through </w:t>
      </w:r>
      <w:r w:rsidR="001E0080">
        <w:rPr>
          <w:bCs/>
        </w:rPr>
        <w:t xml:space="preserve">these </w:t>
      </w:r>
      <w:r w:rsidR="00F4385D">
        <w:rPr>
          <w:bCs/>
        </w:rPr>
        <w:t>options</w:t>
      </w:r>
      <w:r w:rsidR="00C249AA">
        <w:rPr>
          <w:bCs/>
        </w:rPr>
        <w:t xml:space="preserve">. </w:t>
      </w:r>
      <w:r w:rsidR="00601C33">
        <w:t xml:space="preserve">Further detail on </w:t>
      </w:r>
      <w:r w:rsidR="000C32EF">
        <w:t>the options that have been considered</w:t>
      </w:r>
      <w:r w:rsidR="00601C33">
        <w:t xml:space="preserve"> </w:t>
      </w:r>
      <w:r w:rsidR="000C32EF">
        <w:t>as part of the regulatory impact assessment can be found in section 4.4 and in Chapter 8.</w:t>
      </w:r>
    </w:p>
    <w:p w14:paraId="658DF326" w14:textId="77777777" w:rsidR="00A9382B" w:rsidRDefault="00A9382B" w:rsidP="00AD36B8">
      <w:pPr>
        <w:pStyle w:val="ListBullet"/>
        <w:numPr>
          <w:ilvl w:val="0"/>
          <w:numId w:val="0"/>
        </w:numPr>
      </w:pPr>
    </w:p>
    <w:p w14:paraId="11B5F3EA" w14:textId="77777777" w:rsidR="00A9382B" w:rsidRDefault="00A9382B" w:rsidP="00AD36B8">
      <w:pPr>
        <w:pStyle w:val="ListBullet"/>
        <w:numPr>
          <w:ilvl w:val="0"/>
          <w:numId w:val="0"/>
        </w:numPr>
        <w:sectPr w:rsidR="00A9382B" w:rsidSect="00795317">
          <w:headerReference w:type="default" r:id="rId35"/>
          <w:footerReference w:type="default" r:id="rId36"/>
          <w:pgSz w:w="11907" w:h="16839" w:code="9"/>
          <w:pgMar w:top="1361" w:right="1418" w:bottom="992" w:left="1701" w:header="567" w:footer="397" w:gutter="0"/>
          <w:cols w:space="708"/>
          <w:docGrid w:linePitch="360"/>
        </w:sectPr>
      </w:pPr>
    </w:p>
    <w:p w14:paraId="0C5B1C32" w14:textId="1D29BA7F" w:rsidR="004C026D" w:rsidRPr="006B4639" w:rsidDel="00E200E0" w:rsidRDefault="004C026D" w:rsidP="004C026D">
      <w:pPr>
        <w:pStyle w:val="Caption"/>
        <w:spacing w:after="0"/>
      </w:pPr>
      <w:bookmarkStart w:id="97" w:name="_Ref60326870"/>
      <w:r w:rsidRPr="006B4639">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4</w:t>
      </w:r>
      <w:r w:rsidR="00F323B2">
        <w:rPr>
          <w:noProof/>
        </w:rPr>
        <w:fldChar w:fldCharType="end"/>
      </w:r>
      <w:r>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4</w:t>
      </w:r>
      <w:r w:rsidR="00F323B2">
        <w:rPr>
          <w:noProof/>
        </w:rPr>
        <w:fldChar w:fldCharType="end"/>
      </w:r>
      <w:bookmarkEnd w:id="97"/>
      <w:r w:rsidRPr="006B4639">
        <w:t xml:space="preserve">: </w:t>
      </w:r>
      <w:r>
        <w:t>Assessment of the feedback and how the feedback has been accounted for in options 3A and 3B</w:t>
      </w:r>
    </w:p>
    <w:tbl>
      <w:tblPr>
        <w:tblStyle w:val="TableGrid"/>
        <w:tblW w:w="5000" w:type="pct"/>
        <w:tblLook w:val="04A0" w:firstRow="1" w:lastRow="0" w:firstColumn="1" w:lastColumn="0" w:noHBand="0" w:noVBand="1"/>
      </w:tblPr>
      <w:tblGrid>
        <w:gridCol w:w="414"/>
        <w:gridCol w:w="1232"/>
        <w:gridCol w:w="7829"/>
        <w:gridCol w:w="4245"/>
      </w:tblGrid>
      <w:tr w:rsidR="008B494F" w:rsidRPr="005202B8" w14:paraId="6BE32E37" w14:textId="77777777" w:rsidTr="00162145">
        <w:trPr>
          <w:cnfStyle w:val="100000000000" w:firstRow="1" w:lastRow="0" w:firstColumn="0" w:lastColumn="0" w:oddVBand="0" w:evenVBand="0" w:oddHBand="0" w:evenHBand="0" w:firstRowFirstColumn="0" w:firstRowLastColumn="0" w:lastRowFirstColumn="0" w:lastRowLastColumn="0"/>
          <w:tblHeader/>
        </w:trPr>
        <w:tc>
          <w:tcPr>
            <w:tcW w:w="600" w:type="pct"/>
            <w:gridSpan w:val="2"/>
            <w:shd w:val="clear" w:color="auto" w:fill="002060"/>
          </w:tcPr>
          <w:p w14:paraId="1E5568E2" w14:textId="77777777" w:rsidR="008B494F" w:rsidRPr="005202B8" w:rsidRDefault="008B494F" w:rsidP="00857981">
            <w:pPr>
              <w:pStyle w:val="TableHeading"/>
              <w:spacing w:before="40" w:after="40" w:line="252" w:lineRule="auto"/>
              <w:rPr>
                <w:szCs w:val="18"/>
              </w:rPr>
            </w:pPr>
            <w:r w:rsidRPr="005202B8">
              <w:rPr>
                <w:szCs w:val="18"/>
              </w:rPr>
              <w:t>Issue</w:t>
            </w:r>
          </w:p>
        </w:tc>
        <w:tc>
          <w:tcPr>
            <w:tcW w:w="2853" w:type="pct"/>
            <w:shd w:val="clear" w:color="auto" w:fill="002060"/>
          </w:tcPr>
          <w:p w14:paraId="4DA55ADA" w14:textId="77777777" w:rsidR="008B494F" w:rsidRPr="005202B8" w:rsidRDefault="008B494F" w:rsidP="00857981">
            <w:pPr>
              <w:pStyle w:val="TableHeading"/>
              <w:spacing w:before="40" w:after="40" w:line="252" w:lineRule="auto"/>
              <w:rPr>
                <w:szCs w:val="18"/>
              </w:rPr>
            </w:pPr>
            <w:r w:rsidRPr="005202B8">
              <w:rPr>
                <w:szCs w:val="18"/>
              </w:rPr>
              <w:t>Assessment of the feedback</w:t>
            </w:r>
          </w:p>
        </w:tc>
        <w:tc>
          <w:tcPr>
            <w:tcW w:w="1547" w:type="pct"/>
            <w:shd w:val="clear" w:color="auto" w:fill="002060"/>
          </w:tcPr>
          <w:p w14:paraId="5B9B323D" w14:textId="77777777" w:rsidR="008B494F" w:rsidRPr="005202B8" w:rsidRDefault="00B44927" w:rsidP="00857981">
            <w:pPr>
              <w:pStyle w:val="TableHeading"/>
              <w:spacing w:before="40" w:after="40" w:line="252" w:lineRule="auto"/>
              <w:rPr>
                <w:szCs w:val="18"/>
              </w:rPr>
            </w:pPr>
            <w:r w:rsidRPr="00B3710B">
              <w:rPr>
                <w:sz w:val="17"/>
                <w:szCs w:val="17"/>
              </w:rPr>
              <w:t>How feedback accounted for in options 3A and 3B</w:t>
            </w:r>
          </w:p>
        </w:tc>
      </w:tr>
      <w:tr w:rsidR="00CD5FEC" w:rsidRPr="005202B8" w14:paraId="32A6CC3C" w14:textId="77777777" w:rsidTr="00162145">
        <w:trPr>
          <w:trHeight w:val="1966"/>
        </w:trPr>
        <w:tc>
          <w:tcPr>
            <w:tcW w:w="151" w:type="pct"/>
            <w:vMerge w:val="restart"/>
            <w:textDirection w:val="btLr"/>
          </w:tcPr>
          <w:p w14:paraId="0570EEF1" w14:textId="77777777" w:rsidR="00CD5FEC" w:rsidRPr="0014185B" w:rsidRDefault="00CD5FEC" w:rsidP="00CD5FEC">
            <w:pPr>
              <w:pStyle w:val="TableBodyText"/>
              <w:spacing w:before="40" w:after="40" w:line="252" w:lineRule="auto"/>
              <w:jc w:val="center"/>
              <w:rPr>
                <w:sz w:val="17"/>
                <w:szCs w:val="17"/>
              </w:rPr>
            </w:pPr>
            <w:r>
              <w:rPr>
                <w:sz w:val="17"/>
                <w:szCs w:val="17"/>
              </w:rPr>
              <w:t>Threshold for economic regulation</w:t>
            </w:r>
          </w:p>
        </w:tc>
        <w:tc>
          <w:tcPr>
            <w:tcW w:w="449" w:type="pct"/>
            <w:tcBorders>
              <w:bottom w:val="single" w:sz="4" w:space="0" w:color="auto"/>
            </w:tcBorders>
          </w:tcPr>
          <w:p w14:paraId="588B49DF" w14:textId="77777777" w:rsidR="00CD5FEC" w:rsidRPr="0014185B" w:rsidRDefault="00CD5FEC" w:rsidP="00D2257C">
            <w:pPr>
              <w:pStyle w:val="TableBodyText"/>
              <w:spacing w:before="40" w:after="40"/>
              <w:rPr>
                <w:sz w:val="17"/>
                <w:szCs w:val="17"/>
              </w:rPr>
            </w:pPr>
            <w:r>
              <w:rPr>
                <w:sz w:val="17"/>
                <w:szCs w:val="17"/>
              </w:rPr>
              <w:t>Pipelines providing 3</w:t>
            </w:r>
            <w:r w:rsidRPr="00CD5FEC">
              <w:rPr>
                <w:sz w:val="17"/>
                <w:szCs w:val="17"/>
                <w:vertAlign w:val="superscript"/>
              </w:rPr>
              <w:t>rd</w:t>
            </w:r>
            <w:r>
              <w:rPr>
                <w:sz w:val="17"/>
                <w:szCs w:val="17"/>
              </w:rPr>
              <w:t xml:space="preserve"> party access</w:t>
            </w:r>
          </w:p>
        </w:tc>
        <w:tc>
          <w:tcPr>
            <w:tcW w:w="2853" w:type="pct"/>
            <w:tcBorders>
              <w:bottom w:val="single" w:sz="4" w:space="0" w:color="auto"/>
            </w:tcBorders>
          </w:tcPr>
          <w:p w14:paraId="729DE44C" w14:textId="77777777" w:rsidR="000311CC" w:rsidRDefault="00FD2B3E" w:rsidP="00D2257C">
            <w:pPr>
              <w:pStyle w:val="TableListNumber"/>
              <w:numPr>
                <w:ilvl w:val="0"/>
                <w:numId w:val="0"/>
              </w:numPr>
              <w:spacing w:before="40" w:after="120"/>
              <w:ind w:left="85"/>
              <w:rPr>
                <w:sz w:val="17"/>
                <w:szCs w:val="17"/>
              </w:rPr>
            </w:pPr>
            <w:r>
              <w:rPr>
                <w:sz w:val="17"/>
                <w:szCs w:val="17"/>
              </w:rPr>
              <w:t xml:space="preserve">As </w:t>
            </w:r>
            <w:r w:rsidR="0099249B">
              <w:rPr>
                <w:sz w:val="17"/>
                <w:szCs w:val="17"/>
              </w:rPr>
              <w:t xml:space="preserve">outlined above, the </w:t>
            </w:r>
            <w:r w:rsidR="00AD390C">
              <w:rPr>
                <w:sz w:val="17"/>
                <w:szCs w:val="17"/>
              </w:rPr>
              <w:t xml:space="preserve">majority of stakeholders </w:t>
            </w:r>
            <w:r w:rsidR="0099249B">
              <w:rPr>
                <w:sz w:val="17"/>
                <w:szCs w:val="17"/>
              </w:rPr>
              <w:t xml:space="preserve">supported </w:t>
            </w:r>
            <w:r w:rsidR="00CD5FEC">
              <w:rPr>
                <w:sz w:val="17"/>
                <w:szCs w:val="17"/>
              </w:rPr>
              <w:t xml:space="preserve">the </w:t>
            </w:r>
            <w:r w:rsidR="00AC05C7">
              <w:rPr>
                <w:sz w:val="17"/>
                <w:szCs w:val="17"/>
              </w:rPr>
              <w:t xml:space="preserve">continued application of </w:t>
            </w:r>
            <w:r w:rsidR="00CD5FEC">
              <w:rPr>
                <w:sz w:val="17"/>
                <w:szCs w:val="17"/>
              </w:rPr>
              <w:t>economic regulation</w:t>
            </w:r>
            <w:r w:rsidR="00AC05C7">
              <w:rPr>
                <w:sz w:val="17"/>
                <w:szCs w:val="17"/>
              </w:rPr>
              <w:t xml:space="preserve"> to all pipelines providing third party access</w:t>
            </w:r>
            <w:r w:rsidR="00CD5FEC">
              <w:rPr>
                <w:sz w:val="17"/>
                <w:szCs w:val="17"/>
              </w:rPr>
              <w:t xml:space="preserve">. </w:t>
            </w:r>
            <w:r w:rsidR="00AB35ED">
              <w:rPr>
                <w:sz w:val="17"/>
                <w:szCs w:val="17"/>
              </w:rPr>
              <w:t>While t</w:t>
            </w:r>
            <w:r w:rsidR="00AA6102">
              <w:rPr>
                <w:sz w:val="17"/>
                <w:szCs w:val="17"/>
              </w:rPr>
              <w:t>here were</w:t>
            </w:r>
            <w:r w:rsidR="00AB35ED">
              <w:rPr>
                <w:sz w:val="17"/>
                <w:szCs w:val="17"/>
              </w:rPr>
              <w:t xml:space="preserve"> </w:t>
            </w:r>
            <w:r w:rsidR="00AA6102">
              <w:rPr>
                <w:sz w:val="17"/>
                <w:szCs w:val="17"/>
              </w:rPr>
              <w:t xml:space="preserve">a </w:t>
            </w:r>
            <w:r w:rsidR="00CD5FEC">
              <w:rPr>
                <w:sz w:val="17"/>
                <w:szCs w:val="17"/>
              </w:rPr>
              <w:t xml:space="preserve">small number </w:t>
            </w:r>
            <w:r w:rsidR="00AB35ED">
              <w:rPr>
                <w:sz w:val="17"/>
                <w:szCs w:val="17"/>
              </w:rPr>
              <w:t xml:space="preserve">of stakeholders </w:t>
            </w:r>
            <w:r w:rsidR="00CD5FEC">
              <w:rPr>
                <w:sz w:val="17"/>
                <w:szCs w:val="17"/>
              </w:rPr>
              <w:t xml:space="preserve">that thought a full exemption from regulation </w:t>
            </w:r>
            <w:r w:rsidR="00AA6102">
              <w:rPr>
                <w:sz w:val="17"/>
                <w:szCs w:val="17"/>
              </w:rPr>
              <w:t xml:space="preserve">should be </w:t>
            </w:r>
            <w:r w:rsidR="007F0198">
              <w:rPr>
                <w:sz w:val="17"/>
                <w:szCs w:val="17"/>
              </w:rPr>
              <w:t xml:space="preserve">included in the regulatory framework to address </w:t>
            </w:r>
            <w:r w:rsidR="0086783D">
              <w:rPr>
                <w:sz w:val="17"/>
                <w:szCs w:val="17"/>
              </w:rPr>
              <w:t xml:space="preserve">a perceived </w:t>
            </w:r>
            <w:r w:rsidR="007F0198">
              <w:rPr>
                <w:sz w:val="17"/>
                <w:szCs w:val="17"/>
              </w:rPr>
              <w:t xml:space="preserve">risk of over-regulation, </w:t>
            </w:r>
            <w:r w:rsidR="00DE22A4">
              <w:rPr>
                <w:sz w:val="17"/>
                <w:szCs w:val="17"/>
              </w:rPr>
              <w:t xml:space="preserve">for the reasons set out in </w:t>
            </w:r>
            <w:r w:rsidR="007F0198">
              <w:rPr>
                <w:sz w:val="17"/>
                <w:szCs w:val="17"/>
              </w:rPr>
              <w:t xml:space="preserve">section </w:t>
            </w:r>
            <w:r w:rsidR="00CD5FEC">
              <w:rPr>
                <w:sz w:val="17"/>
                <w:szCs w:val="17"/>
              </w:rPr>
              <w:t>4.2.3</w:t>
            </w:r>
            <w:r w:rsidR="00893ED0">
              <w:rPr>
                <w:sz w:val="17"/>
                <w:szCs w:val="17"/>
              </w:rPr>
              <w:t xml:space="preserve"> </w:t>
            </w:r>
            <w:r w:rsidR="00EC40D3">
              <w:rPr>
                <w:sz w:val="17"/>
                <w:szCs w:val="17"/>
              </w:rPr>
              <w:t xml:space="preserve">the risk of over-regulation </w:t>
            </w:r>
            <w:r w:rsidR="00CD5FEC">
              <w:rPr>
                <w:sz w:val="17"/>
                <w:szCs w:val="17"/>
              </w:rPr>
              <w:t xml:space="preserve">is </w:t>
            </w:r>
            <w:r w:rsidR="00EC40D3">
              <w:rPr>
                <w:sz w:val="17"/>
                <w:szCs w:val="17"/>
              </w:rPr>
              <w:t xml:space="preserve">not </w:t>
            </w:r>
            <w:r w:rsidR="00DE22A4">
              <w:rPr>
                <w:sz w:val="17"/>
                <w:szCs w:val="17"/>
              </w:rPr>
              <w:t xml:space="preserve">considered </w:t>
            </w:r>
            <w:r w:rsidR="00CD5FEC">
              <w:rPr>
                <w:sz w:val="17"/>
                <w:szCs w:val="17"/>
              </w:rPr>
              <w:t xml:space="preserve">a problem </w:t>
            </w:r>
            <w:r w:rsidR="0086783D">
              <w:rPr>
                <w:sz w:val="17"/>
                <w:szCs w:val="17"/>
              </w:rPr>
              <w:t xml:space="preserve">with the current framework that </w:t>
            </w:r>
            <w:r w:rsidR="00CD5FEC">
              <w:rPr>
                <w:sz w:val="17"/>
                <w:szCs w:val="17"/>
              </w:rPr>
              <w:t xml:space="preserve">warrants further action. No provision has therefore been made for </w:t>
            </w:r>
            <w:r w:rsidR="0086783D">
              <w:rPr>
                <w:sz w:val="17"/>
                <w:szCs w:val="17"/>
              </w:rPr>
              <w:t xml:space="preserve">a full </w:t>
            </w:r>
            <w:r w:rsidR="00CD5FEC">
              <w:rPr>
                <w:sz w:val="17"/>
                <w:szCs w:val="17"/>
              </w:rPr>
              <w:t xml:space="preserve">exemption from regulation in </w:t>
            </w:r>
            <w:r w:rsidR="005D3E70">
              <w:rPr>
                <w:sz w:val="17"/>
                <w:szCs w:val="17"/>
              </w:rPr>
              <w:t xml:space="preserve">either Option </w:t>
            </w:r>
            <w:r w:rsidR="00CD5FEC">
              <w:rPr>
                <w:sz w:val="17"/>
                <w:szCs w:val="17"/>
              </w:rPr>
              <w:t xml:space="preserve">3A or </w:t>
            </w:r>
            <w:r w:rsidR="005D3E70">
              <w:rPr>
                <w:sz w:val="17"/>
                <w:szCs w:val="17"/>
              </w:rPr>
              <w:t xml:space="preserve">Option </w:t>
            </w:r>
            <w:r w:rsidR="00CD5FEC">
              <w:rPr>
                <w:sz w:val="17"/>
                <w:szCs w:val="17"/>
              </w:rPr>
              <w:t xml:space="preserve">3B. </w:t>
            </w:r>
          </w:p>
          <w:p w14:paraId="2E4C3437" w14:textId="77777777" w:rsidR="00CD5FEC" w:rsidRPr="00CD5FEC" w:rsidRDefault="00EC40D3" w:rsidP="00D2257C">
            <w:pPr>
              <w:pStyle w:val="TableListNumber"/>
              <w:numPr>
                <w:ilvl w:val="0"/>
                <w:numId w:val="0"/>
              </w:numPr>
              <w:spacing w:before="40" w:after="40"/>
              <w:ind w:left="85"/>
              <w:rPr>
                <w:sz w:val="17"/>
                <w:szCs w:val="17"/>
              </w:rPr>
            </w:pPr>
            <w:r>
              <w:rPr>
                <w:sz w:val="17"/>
                <w:szCs w:val="17"/>
              </w:rPr>
              <w:t xml:space="preserve">While an exemption from regulation has not been included in either of these options, </w:t>
            </w:r>
            <w:r w:rsidR="008F3B27">
              <w:rPr>
                <w:sz w:val="17"/>
                <w:szCs w:val="17"/>
              </w:rPr>
              <w:t>i</w:t>
            </w:r>
            <w:r w:rsidR="0087005F">
              <w:rPr>
                <w:sz w:val="17"/>
                <w:szCs w:val="17"/>
              </w:rPr>
              <w:t>t is</w:t>
            </w:r>
            <w:r w:rsidR="008F3B27">
              <w:rPr>
                <w:sz w:val="17"/>
                <w:szCs w:val="17"/>
              </w:rPr>
              <w:t xml:space="preserve"> </w:t>
            </w:r>
            <w:r w:rsidR="0087005F">
              <w:rPr>
                <w:sz w:val="17"/>
                <w:szCs w:val="17"/>
              </w:rPr>
              <w:t xml:space="preserve">worth noting that </w:t>
            </w:r>
            <w:r w:rsidR="008F3B27">
              <w:rPr>
                <w:sz w:val="17"/>
                <w:szCs w:val="17"/>
              </w:rPr>
              <w:t xml:space="preserve">such </w:t>
            </w:r>
            <w:r w:rsidR="0087005F">
              <w:rPr>
                <w:sz w:val="17"/>
                <w:szCs w:val="17"/>
              </w:rPr>
              <w:t xml:space="preserve">an </w:t>
            </w:r>
            <w:r w:rsidR="003B37D4">
              <w:rPr>
                <w:sz w:val="17"/>
                <w:szCs w:val="17"/>
              </w:rPr>
              <w:t xml:space="preserve">exemption is </w:t>
            </w:r>
            <w:r w:rsidR="008F3B27">
              <w:rPr>
                <w:sz w:val="17"/>
                <w:szCs w:val="17"/>
              </w:rPr>
              <w:t xml:space="preserve">assumed to be available </w:t>
            </w:r>
            <w:r w:rsidR="003B37D4">
              <w:rPr>
                <w:sz w:val="17"/>
                <w:szCs w:val="17"/>
              </w:rPr>
              <w:t xml:space="preserve">under </w:t>
            </w:r>
            <w:r w:rsidR="00CD5FEC">
              <w:rPr>
                <w:sz w:val="17"/>
                <w:szCs w:val="17"/>
              </w:rPr>
              <w:t xml:space="preserve">Option 2. The merits of </w:t>
            </w:r>
            <w:r w:rsidR="00D51369">
              <w:rPr>
                <w:sz w:val="17"/>
                <w:szCs w:val="17"/>
              </w:rPr>
              <w:t xml:space="preserve">such an exemption </w:t>
            </w:r>
            <w:r w:rsidR="00CD5FEC">
              <w:rPr>
                <w:sz w:val="17"/>
                <w:szCs w:val="17"/>
              </w:rPr>
              <w:t xml:space="preserve">have therefore still been considered as part of the regulatory impact assessment </w:t>
            </w:r>
            <w:r w:rsidR="0019107E">
              <w:rPr>
                <w:sz w:val="17"/>
                <w:szCs w:val="17"/>
              </w:rPr>
              <w:t xml:space="preserve">in </w:t>
            </w:r>
            <w:r w:rsidR="00CD5FEC">
              <w:rPr>
                <w:sz w:val="17"/>
                <w:szCs w:val="17"/>
              </w:rPr>
              <w:t xml:space="preserve">Chapter 9. </w:t>
            </w:r>
          </w:p>
        </w:tc>
        <w:tc>
          <w:tcPr>
            <w:tcW w:w="1547" w:type="pct"/>
            <w:vMerge w:val="restart"/>
          </w:tcPr>
          <w:p w14:paraId="3C7BFE84" w14:textId="77777777" w:rsidR="00CD5FEC" w:rsidRPr="00E32502" w:rsidRDefault="00CD5FEC" w:rsidP="00D829E6">
            <w:pPr>
              <w:pStyle w:val="TableBullet10"/>
              <w:rPr>
                <w:i/>
                <w:iCs/>
                <w:sz w:val="17"/>
                <w:szCs w:val="17"/>
              </w:rPr>
            </w:pPr>
            <w:r w:rsidRPr="00E32502">
              <w:rPr>
                <w:i/>
                <w:iCs/>
                <w:sz w:val="17"/>
                <w:szCs w:val="17"/>
              </w:rPr>
              <w:t xml:space="preserve">Under Option 3A: </w:t>
            </w:r>
          </w:p>
          <w:p w14:paraId="7BDFF44D" w14:textId="77777777" w:rsidR="00CD5FEC" w:rsidRPr="00E32502" w:rsidRDefault="00CD5FEC" w:rsidP="00D829E6">
            <w:pPr>
              <w:pStyle w:val="TableBullet2"/>
              <w:rPr>
                <w:i/>
                <w:iCs/>
                <w:sz w:val="17"/>
                <w:szCs w:val="17"/>
              </w:rPr>
            </w:pPr>
            <w:r w:rsidRPr="00E32502">
              <w:rPr>
                <w:i/>
                <w:iCs/>
                <w:sz w:val="17"/>
                <w:szCs w:val="17"/>
              </w:rPr>
              <w:t xml:space="preserve">All pipelines providing third party access </w:t>
            </w:r>
            <w:r w:rsidRPr="00E32502">
              <w:rPr>
                <w:i/>
                <w:iCs/>
                <w:sz w:val="17"/>
                <w:szCs w:val="17"/>
                <w:lang w:eastAsia="en-US"/>
              </w:rPr>
              <w:t xml:space="preserve">(including those pipelines that have obtained a greenfield exemption) </w:t>
            </w:r>
            <w:r w:rsidRPr="00E32502">
              <w:rPr>
                <w:i/>
                <w:iCs/>
                <w:sz w:val="17"/>
                <w:szCs w:val="17"/>
              </w:rPr>
              <w:t>would be subject to some form of economic regulation.</w:t>
            </w:r>
          </w:p>
          <w:p w14:paraId="59AC32D2" w14:textId="77777777" w:rsidR="00CD5FEC" w:rsidRPr="00E32502" w:rsidRDefault="00CD5FEC" w:rsidP="00D829E6">
            <w:pPr>
              <w:pStyle w:val="TableBullet2"/>
              <w:rPr>
                <w:i/>
                <w:iCs/>
                <w:sz w:val="17"/>
                <w:szCs w:val="17"/>
              </w:rPr>
            </w:pPr>
            <w:r w:rsidRPr="00E32502">
              <w:rPr>
                <w:i/>
                <w:iCs/>
                <w:sz w:val="17"/>
                <w:szCs w:val="17"/>
              </w:rPr>
              <w:t>A shipper seeking access to a pipeline that is not voluntarily providing third party access would be able to apply to the decision-maker for a third party access decision, which would be made having regard to the market power-NGO test.</w:t>
            </w:r>
          </w:p>
          <w:p w14:paraId="3E267E14" w14:textId="77777777" w:rsidR="00CD5FEC" w:rsidRPr="00E32502" w:rsidRDefault="00CD5FEC" w:rsidP="00D829E6">
            <w:pPr>
              <w:pStyle w:val="TableBullet10"/>
              <w:rPr>
                <w:i/>
                <w:iCs/>
                <w:sz w:val="17"/>
                <w:szCs w:val="17"/>
              </w:rPr>
            </w:pPr>
            <w:r w:rsidRPr="00E32502">
              <w:rPr>
                <w:i/>
                <w:iCs/>
                <w:sz w:val="17"/>
                <w:szCs w:val="17"/>
              </w:rPr>
              <w:t xml:space="preserve">Under Option 3B: </w:t>
            </w:r>
          </w:p>
          <w:p w14:paraId="65BF8C4C" w14:textId="77777777" w:rsidR="00511683" w:rsidRDefault="00CD5FEC" w:rsidP="00D829E6">
            <w:pPr>
              <w:pStyle w:val="TableBullet2"/>
              <w:rPr>
                <w:i/>
                <w:iCs/>
                <w:sz w:val="17"/>
                <w:szCs w:val="17"/>
                <w:lang w:eastAsia="en-US"/>
              </w:rPr>
            </w:pPr>
            <w:r w:rsidRPr="00E32502">
              <w:rPr>
                <w:i/>
                <w:iCs/>
                <w:sz w:val="17"/>
                <w:szCs w:val="17"/>
              </w:rPr>
              <w:t xml:space="preserve">All pipelines would be subject to some form of regulation and required to provide third party access if requested to do so by a shipper. </w:t>
            </w:r>
          </w:p>
          <w:p w14:paraId="007620F2" w14:textId="77777777" w:rsidR="00CD5FEC" w:rsidRPr="00E32502" w:rsidRDefault="00396EDF" w:rsidP="00D829E6">
            <w:pPr>
              <w:pStyle w:val="TableBullet2"/>
              <w:rPr>
                <w:i/>
                <w:iCs/>
                <w:sz w:val="17"/>
                <w:szCs w:val="17"/>
                <w:lang w:eastAsia="en-US"/>
              </w:rPr>
            </w:pPr>
            <w:r w:rsidRPr="00E32502">
              <w:rPr>
                <w:i/>
                <w:iCs/>
                <w:sz w:val="17"/>
                <w:szCs w:val="17"/>
              </w:rPr>
              <w:t>To minimise the regulatory burden for pipelines that do not have any third party shippers, the information disclosure obligations would not apply until third parties start to use the pipeline</w:t>
            </w:r>
            <w:r w:rsidR="00511683">
              <w:rPr>
                <w:i/>
                <w:iCs/>
                <w:sz w:val="17"/>
                <w:szCs w:val="17"/>
              </w:rPr>
              <w:t xml:space="preserve"> (see Chapter 6)</w:t>
            </w:r>
            <w:r w:rsidRPr="00E32502">
              <w:rPr>
                <w:i/>
                <w:iCs/>
                <w:sz w:val="17"/>
                <w:szCs w:val="17"/>
              </w:rPr>
              <w:t>.</w:t>
            </w:r>
          </w:p>
          <w:p w14:paraId="4EDA9584" w14:textId="53B48DA8" w:rsidR="00CD5FEC" w:rsidRPr="00396EDF" w:rsidRDefault="000D6CA5" w:rsidP="00213F67">
            <w:pPr>
              <w:pStyle w:val="TableBullet2"/>
              <w:numPr>
                <w:ilvl w:val="0"/>
                <w:numId w:val="0"/>
              </w:numPr>
              <w:ind w:left="85"/>
              <w:rPr>
                <w:i/>
                <w:iCs/>
                <w:sz w:val="17"/>
                <w:szCs w:val="17"/>
                <w:lang w:eastAsia="en-US"/>
              </w:rPr>
            </w:pPr>
            <w:r>
              <w:rPr>
                <w:i/>
                <w:iCs/>
                <w:sz w:val="17"/>
                <w:szCs w:val="17"/>
              </w:rPr>
              <w:t>Under both of these options, t</w:t>
            </w:r>
            <w:r w:rsidR="00396EDF">
              <w:rPr>
                <w:i/>
                <w:iCs/>
                <w:sz w:val="17"/>
                <w:szCs w:val="17"/>
              </w:rPr>
              <w:t xml:space="preserve">he existing </w:t>
            </w:r>
            <w:r w:rsidR="00CD5FEC" w:rsidRPr="00E32502">
              <w:rPr>
                <w:i/>
                <w:iCs/>
                <w:sz w:val="17"/>
                <w:szCs w:val="17"/>
              </w:rPr>
              <w:t>15-year no coverage determination</w:t>
            </w:r>
            <w:r w:rsidR="00396EDF">
              <w:rPr>
                <w:i/>
                <w:iCs/>
                <w:sz w:val="17"/>
                <w:szCs w:val="17"/>
              </w:rPr>
              <w:t>s would be grandfathered</w:t>
            </w:r>
            <w:r w:rsidR="006D1D6F">
              <w:rPr>
                <w:i/>
                <w:iCs/>
                <w:sz w:val="17"/>
                <w:szCs w:val="17"/>
              </w:rPr>
              <w:t>. T</w:t>
            </w:r>
            <w:r w:rsidR="00396EDF">
              <w:rPr>
                <w:i/>
                <w:iCs/>
                <w:sz w:val="17"/>
                <w:szCs w:val="17"/>
              </w:rPr>
              <w:t>hose pipelines</w:t>
            </w:r>
            <w:r w:rsidR="00CD5FEC" w:rsidRPr="00E32502">
              <w:rPr>
                <w:i/>
                <w:iCs/>
                <w:sz w:val="17"/>
                <w:szCs w:val="17"/>
              </w:rPr>
              <w:t xml:space="preserve"> </w:t>
            </w:r>
            <w:r w:rsidR="006D1D6F">
              <w:rPr>
                <w:i/>
                <w:iCs/>
                <w:sz w:val="17"/>
                <w:szCs w:val="17"/>
              </w:rPr>
              <w:t xml:space="preserve">with such a determination </w:t>
            </w:r>
            <w:r w:rsidR="00CD5FEC" w:rsidRPr="00E32502">
              <w:rPr>
                <w:i/>
                <w:iCs/>
                <w:sz w:val="17"/>
                <w:szCs w:val="17"/>
              </w:rPr>
              <w:t>that are not providing third party access</w:t>
            </w:r>
            <w:r w:rsidR="00370905">
              <w:rPr>
                <w:rFonts w:ascii="ZWAdobeF" w:hAnsi="ZWAdobeF" w:cs="ZWAdobeF"/>
                <w:iCs/>
                <w:sz w:val="2"/>
                <w:szCs w:val="2"/>
              </w:rPr>
              <w:t>103F</w:t>
            </w:r>
            <w:r w:rsidR="008D1601" w:rsidRPr="00E32502">
              <w:rPr>
                <w:rStyle w:val="FootnoteReference"/>
                <w:i/>
                <w:iCs/>
                <w:sz w:val="17"/>
                <w:szCs w:val="17"/>
              </w:rPr>
              <w:footnoteReference w:id="105"/>
            </w:r>
            <w:r w:rsidR="00CD5FEC" w:rsidRPr="00E32502">
              <w:rPr>
                <w:i/>
                <w:iCs/>
                <w:sz w:val="17"/>
                <w:szCs w:val="17"/>
              </w:rPr>
              <w:t xml:space="preserve"> </w:t>
            </w:r>
            <w:r w:rsidR="001B2265">
              <w:rPr>
                <w:i/>
                <w:iCs/>
                <w:sz w:val="17"/>
                <w:szCs w:val="17"/>
              </w:rPr>
              <w:t xml:space="preserve">could not </w:t>
            </w:r>
            <w:r w:rsidR="006D1D6F">
              <w:rPr>
                <w:i/>
                <w:iCs/>
                <w:sz w:val="17"/>
                <w:szCs w:val="17"/>
              </w:rPr>
              <w:t xml:space="preserve">therefore </w:t>
            </w:r>
            <w:r w:rsidR="001B2265">
              <w:rPr>
                <w:i/>
                <w:iCs/>
                <w:sz w:val="17"/>
                <w:szCs w:val="17"/>
              </w:rPr>
              <w:t xml:space="preserve">be subject to the test under Option 3A and </w:t>
            </w:r>
            <w:r w:rsidR="00CD5FEC" w:rsidRPr="00E32502">
              <w:rPr>
                <w:i/>
                <w:iCs/>
                <w:sz w:val="17"/>
                <w:szCs w:val="17"/>
              </w:rPr>
              <w:t xml:space="preserve">would be exempt from the obligation to </w:t>
            </w:r>
            <w:r w:rsidR="001B2265">
              <w:rPr>
                <w:i/>
                <w:iCs/>
                <w:sz w:val="17"/>
                <w:szCs w:val="17"/>
              </w:rPr>
              <w:t xml:space="preserve">provide third party access under Option 3B </w:t>
            </w:r>
            <w:r w:rsidR="00CD5FEC" w:rsidRPr="00E32502">
              <w:rPr>
                <w:i/>
                <w:iCs/>
                <w:sz w:val="17"/>
                <w:szCs w:val="17"/>
              </w:rPr>
              <w:t>for the remaining term of the</w:t>
            </w:r>
            <w:r w:rsidR="00396EDF">
              <w:rPr>
                <w:i/>
                <w:iCs/>
                <w:sz w:val="17"/>
                <w:szCs w:val="17"/>
              </w:rPr>
              <w:t>ir</w:t>
            </w:r>
            <w:r w:rsidR="00CD5FEC" w:rsidRPr="00E32502">
              <w:rPr>
                <w:i/>
                <w:iCs/>
                <w:sz w:val="17"/>
                <w:szCs w:val="17"/>
              </w:rPr>
              <w:t xml:space="preserve"> exemption period.</w:t>
            </w:r>
          </w:p>
        </w:tc>
      </w:tr>
      <w:tr w:rsidR="00CD5FEC" w:rsidRPr="005202B8" w14:paraId="277E5A80" w14:textId="77777777" w:rsidTr="00162145">
        <w:trPr>
          <w:cnfStyle w:val="000000010000" w:firstRow="0" w:lastRow="0" w:firstColumn="0" w:lastColumn="0" w:oddVBand="0" w:evenVBand="0" w:oddHBand="0" w:evenHBand="1" w:firstRowFirstColumn="0" w:firstRowLastColumn="0" w:lastRowFirstColumn="0" w:lastRowLastColumn="0"/>
          <w:trHeight w:val="812"/>
        </w:trPr>
        <w:tc>
          <w:tcPr>
            <w:tcW w:w="151" w:type="pct"/>
            <w:vMerge/>
            <w:tcBorders>
              <w:bottom w:val="single" w:sz="4" w:space="0" w:color="auto"/>
            </w:tcBorders>
          </w:tcPr>
          <w:p w14:paraId="43F5F296" w14:textId="77777777" w:rsidR="00CD5FEC" w:rsidRDefault="00CD5FEC" w:rsidP="00D829E6">
            <w:pPr>
              <w:pStyle w:val="TableBodyText"/>
              <w:spacing w:before="40" w:after="40" w:line="252" w:lineRule="auto"/>
              <w:rPr>
                <w:sz w:val="17"/>
                <w:szCs w:val="17"/>
              </w:rPr>
            </w:pPr>
          </w:p>
        </w:tc>
        <w:tc>
          <w:tcPr>
            <w:tcW w:w="449" w:type="pct"/>
            <w:tcBorders>
              <w:bottom w:val="single" w:sz="4" w:space="0" w:color="auto"/>
            </w:tcBorders>
            <w:shd w:val="clear" w:color="auto" w:fill="FFFFFF" w:themeFill="background1"/>
          </w:tcPr>
          <w:p w14:paraId="4D6847B2" w14:textId="77777777" w:rsidR="00CD5FEC" w:rsidRPr="00022217" w:rsidRDefault="00CD5FEC" w:rsidP="00D2257C">
            <w:pPr>
              <w:pStyle w:val="TableBodyText"/>
              <w:spacing w:before="40" w:after="40"/>
              <w:rPr>
                <w:sz w:val="17"/>
                <w:szCs w:val="17"/>
              </w:rPr>
            </w:pPr>
            <w:r w:rsidRPr="00022217">
              <w:rPr>
                <w:sz w:val="17"/>
                <w:szCs w:val="17"/>
              </w:rPr>
              <w:t>Pipelines not providing 3</w:t>
            </w:r>
            <w:r w:rsidRPr="00022217">
              <w:rPr>
                <w:sz w:val="17"/>
                <w:szCs w:val="17"/>
                <w:vertAlign w:val="superscript"/>
              </w:rPr>
              <w:t>rd</w:t>
            </w:r>
            <w:r w:rsidRPr="00022217">
              <w:rPr>
                <w:sz w:val="17"/>
                <w:szCs w:val="17"/>
              </w:rPr>
              <w:t xml:space="preserve"> party access</w:t>
            </w:r>
          </w:p>
        </w:tc>
        <w:tc>
          <w:tcPr>
            <w:tcW w:w="2853" w:type="pct"/>
            <w:tcBorders>
              <w:bottom w:val="single" w:sz="4" w:space="0" w:color="auto"/>
            </w:tcBorders>
            <w:shd w:val="clear" w:color="auto" w:fill="FFFFFF" w:themeFill="background1"/>
          </w:tcPr>
          <w:p w14:paraId="34936463" w14:textId="77777777" w:rsidR="00CD5FEC" w:rsidRPr="00022217" w:rsidRDefault="003949AC" w:rsidP="00D2257C">
            <w:pPr>
              <w:pStyle w:val="TableListNumber"/>
              <w:numPr>
                <w:ilvl w:val="0"/>
                <w:numId w:val="0"/>
              </w:numPr>
              <w:spacing w:before="40" w:after="40"/>
              <w:ind w:left="85"/>
              <w:rPr>
                <w:sz w:val="17"/>
                <w:szCs w:val="17"/>
              </w:rPr>
            </w:pPr>
            <w:r>
              <w:rPr>
                <w:sz w:val="17"/>
                <w:szCs w:val="17"/>
              </w:rPr>
              <w:t>T</w:t>
            </w:r>
            <w:r w:rsidR="000D56A6" w:rsidRPr="00022217">
              <w:rPr>
                <w:sz w:val="17"/>
                <w:szCs w:val="17"/>
              </w:rPr>
              <w:t xml:space="preserve">he majority of stakeholders </w:t>
            </w:r>
            <w:r>
              <w:rPr>
                <w:sz w:val="17"/>
                <w:szCs w:val="17"/>
              </w:rPr>
              <w:t xml:space="preserve">that commented on access to pipelines </w:t>
            </w:r>
            <w:r w:rsidR="00C21F94">
              <w:rPr>
                <w:sz w:val="17"/>
                <w:szCs w:val="17"/>
              </w:rPr>
              <w:t xml:space="preserve">that do not voluntarily provide </w:t>
            </w:r>
            <w:r>
              <w:rPr>
                <w:sz w:val="17"/>
                <w:szCs w:val="17"/>
              </w:rPr>
              <w:t xml:space="preserve">third party access </w:t>
            </w:r>
            <w:r w:rsidR="000D56A6" w:rsidRPr="00022217">
              <w:rPr>
                <w:sz w:val="17"/>
                <w:szCs w:val="17"/>
              </w:rPr>
              <w:t xml:space="preserve">agreed that the use of the coverage test for </w:t>
            </w:r>
            <w:r w:rsidR="00843BDE" w:rsidRPr="00022217">
              <w:rPr>
                <w:sz w:val="17"/>
                <w:szCs w:val="17"/>
              </w:rPr>
              <w:t xml:space="preserve">third party access decisions is </w:t>
            </w:r>
            <w:r w:rsidR="00D75D5C" w:rsidRPr="00022217">
              <w:rPr>
                <w:sz w:val="17"/>
                <w:szCs w:val="17"/>
              </w:rPr>
              <w:t xml:space="preserve">resulting in under-regulation and inefficient investment in and use of these pipelines. </w:t>
            </w:r>
            <w:r w:rsidR="00CD5FEC" w:rsidRPr="00022217">
              <w:rPr>
                <w:sz w:val="17"/>
                <w:szCs w:val="17"/>
              </w:rPr>
              <w:t xml:space="preserve">Mixed views were, however, expressed on </w:t>
            </w:r>
            <w:r w:rsidR="001244A2" w:rsidRPr="00022217">
              <w:rPr>
                <w:sz w:val="17"/>
                <w:szCs w:val="17"/>
              </w:rPr>
              <w:t>how this problem</w:t>
            </w:r>
            <w:r w:rsidR="009F0C14" w:rsidRPr="00022217">
              <w:rPr>
                <w:sz w:val="17"/>
                <w:szCs w:val="17"/>
              </w:rPr>
              <w:t xml:space="preserve"> should be addressed </w:t>
            </w:r>
            <w:r w:rsidR="00CD5FEC" w:rsidRPr="00022217">
              <w:rPr>
                <w:sz w:val="17"/>
                <w:szCs w:val="17"/>
              </w:rPr>
              <w:t>and, in particular, whether:</w:t>
            </w:r>
          </w:p>
          <w:p w14:paraId="157EF2F3" w14:textId="77777777" w:rsidR="003763E8" w:rsidRPr="00022217" w:rsidRDefault="003763E8" w:rsidP="00D2257C">
            <w:pPr>
              <w:pStyle w:val="TableListNumber"/>
              <w:numPr>
                <w:ilvl w:val="2"/>
                <w:numId w:val="11"/>
              </w:numPr>
              <w:spacing w:before="40" w:after="40"/>
              <w:ind w:left="442" w:hanging="357"/>
              <w:rPr>
                <w:sz w:val="17"/>
                <w:szCs w:val="17"/>
              </w:rPr>
            </w:pPr>
            <w:r w:rsidRPr="00022217">
              <w:rPr>
                <w:sz w:val="17"/>
                <w:szCs w:val="17"/>
              </w:rPr>
              <w:t xml:space="preserve">it should be mandatory for all pipelines to provide third party access if access is sought by a shipper </w:t>
            </w:r>
            <w:r w:rsidR="001D3A57">
              <w:rPr>
                <w:sz w:val="17"/>
                <w:szCs w:val="17"/>
              </w:rPr>
              <w:t xml:space="preserve">and for all pipelines to be subject to economic regulation </w:t>
            </w:r>
            <w:r w:rsidRPr="00022217">
              <w:rPr>
                <w:sz w:val="17"/>
                <w:szCs w:val="17"/>
              </w:rPr>
              <w:t>(i.e. the open access model); or</w:t>
            </w:r>
          </w:p>
          <w:p w14:paraId="423B049B" w14:textId="4BAE855D" w:rsidR="00CD5FEC" w:rsidRPr="00022217" w:rsidRDefault="00CD5FEC" w:rsidP="00D2257C">
            <w:pPr>
              <w:pStyle w:val="TableListNumber"/>
              <w:numPr>
                <w:ilvl w:val="2"/>
                <w:numId w:val="11"/>
              </w:numPr>
              <w:spacing w:before="40" w:after="40"/>
              <w:ind w:left="442" w:hanging="357"/>
              <w:rPr>
                <w:sz w:val="17"/>
                <w:szCs w:val="17"/>
              </w:rPr>
            </w:pPr>
            <w:r w:rsidRPr="00022217">
              <w:rPr>
                <w:sz w:val="17"/>
                <w:szCs w:val="17"/>
              </w:rPr>
              <w:t xml:space="preserve">a third party access test should continue to be used to determine whether a pipeline should be required to </w:t>
            </w:r>
            <w:r w:rsidR="00586EB8">
              <w:rPr>
                <w:sz w:val="17"/>
                <w:szCs w:val="17"/>
              </w:rPr>
              <w:t xml:space="preserve">provide third party access </w:t>
            </w:r>
            <w:r w:rsidRPr="00022217">
              <w:rPr>
                <w:sz w:val="17"/>
                <w:szCs w:val="17"/>
              </w:rPr>
              <w:t xml:space="preserve">if an application </w:t>
            </w:r>
            <w:r w:rsidR="003D5887">
              <w:rPr>
                <w:sz w:val="17"/>
                <w:szCs w:val="17"/>
              </w:rPr>
              <w:t xml:space="preserve">by a prospective shipper </w:t>
            </w:r>
            <w:r w:rsidRPr="00022217">
              <w:rPr>
                <w:sz w:val="17"/>
                <w:szCs w:val="17"/>
              </w:rPr>
              <w:t xml:space="preserve">is made, but with the coverage test replaced by the </w:t>
            </w:r>
            <w:r w:rsidR="00A26F12" w:rsidRPr="00022217">
              <w:rPr>
                <w:sz w:val="17"/>
                <w:szCs w:val="17"/>
              </w:rPr>
              <w:t xml:space="preserve">proposed </w:t>
            </w:r>
            <w:r w:rsidRPr="00022217">
              <w:rPr>
                <w:sz w:val="17"/>
                <w:szCs w:val="17"/>
              </w:rPr>
              <w:t>market power-NGO test</w:t>
            </w:r>
            <w:r w:rsidR="003D5887">
              <w:rPr>
                <w:sz w:val="17"/>
                <w:szCs w:val="17"/>
              </w:rPr>
              <w:t xml:space="preserve"> (see </w:t>
            </w:r>
            <w:r w:rsidR="003D5887">
              <w:rPr>
                <w:sz w:val="17"/>
                <w:szCs w:val="17"/>
              </w:rPr>
              <w:fldChar w:fldCharType="begin" w:fldLock="1"/>
            </w:r>
            <w:r w:rsidR="003D5887">
              <w:rPr>
                <w:sz w:val="17"/>
                <w:szCs w:val="17"/>
              </w:rPr>
              <w:instrText xml:space="preserve"> REF _Ref18234888 \h </w:instrText>
            </w:r>
            <w:r w:rsidR="003D5887">
              <w:rPr>
                <w:sz w:val="17"/>
                <w:szCs w:val="17"/>
              </w:rPr>
            </w:r>
            <w:r w:rsidR="003D5887">
              <w:rPr>
                <w:sz w:val="17"/>
                <w:szCs w:val="17"/>
              </w:rPr>
              <w:fldChar w:fldCharType="separate"/>
            </w:r>
            <w:r w:rsidR="00036405" w:rsidRPr="00750E35">
              <w:t xml:space="preserve">Box </w:t>
            </w:r>
            <w:r w:rsidR="00036405">
              <w:rPr>
                <w:noProof/>
              </w:rPr>
              <w:t>4</w:t>
            </w:r>
            <w:r w:rsidR="00036405" w:rsidRPr="00750E35">
              <w:t>.</w:t>
            </w:r>
            <w:r w:rsidR="00036405">
              <w:rPr>
                <w:noProof/>
              </w:rPr>
              <w:t>1</w:t>
            </w:r>
            <w:r w:rsidR="003D5887">
              <w:rPr>
                <w:sz w:val="17"/>
                <w:szCs w:val="17"/>
              </w:rPr>
              <w:fldChar w:fldCharType="end"/>
            </w:r>
            <w:r w:rsidR="003D5887">
              <w:rPr>
                <w:sz w:val="17"/>
                <w:szCs w:val="17"/>
              </w:rPr>
              <w:t>)</w:t>
            </w:r>
            <w:r w:rsidR="003763E8" w:rsidRPr="00022217">
              <w:rPr>
                <w:sz w:val="17"/>
                <w:szCs w:val="17"/>
              </w:rPr>
              <w:t xml:space="preserve">. </w:t>
            </w:r>
          </w:p>
          <w:p w14:paraId="6D2C8E37" w14:textId="77777777" w:rsidR="00CD5FEC" w:rsidRPr="00022217" w:rsidRDefault="00CD5FEC" w:rsidP="00D2257C">
            <w:pPr>
              <w:pStyle w:val="TableListNumber"/>
              <w:numPr>
                <w:ilvl w:val="0"/>
                <w:numId w:val="0"/>
              </w:numPr>
              <w:spacing w:before="40" w:after="120"/>
              <w:ind w:left="85"/>
              <w:rPr>
                <w:sz w:val="17"/>
                <w:szCs w:val="17"/>
              </w:rPr>
            </w:pPr>
            <w:r w:rsidRPr="00022217">
              <w:rPr>
                <w:sz w:val="17"/>
                <w:szCs w:val="17"/>
              </w:rPr>
              <w:t xml:space="preserve">Further consideration has therefore been given to these two options. </w:t>
            </w:r>
          </w:p>
          <w:p w14:paraId="6158C100" w14:textId="77777777" w:rsidR="00936648" w:rsidRDefault="00A70C76" w:rsidP="00D2257C">
            <w:pPr>
              <w:pStyle w:val="TableBullet10"/>
              <w:rPr>
                <w:sz w:val="17"/>
                <w:szCs w:val="17"/>
              </w:rPr>
            </w:pPr>
            <w:r w:rsidRPr="007124A3">
              <w:rPr>
                <w:b/>
                <w:bCs/>
                <w:sz w:val="17"/>
                <w:szCs w:val="17"/>
              </w:rPr>
              <w:t>Option (a)</w:t>
            </w:r>
            <w:r w:rsidR="007124A3" w:rsidRPr="007124A3">
              <w:rPr>
                <w:b/>
                <w:bCs/>
                <w:sz w:val="17"/>
                <w:szCs w:val="17"/>
              </w:rPr>
              <w:t xml:space="preserve"> mandatory access</w:t>
            </w:r>
            <w:r w:rsidRPr="007124A3">
              <w:rPr>
                <w:b/>
                <w:bCs/>
                <w:sz w:val="17"/>
                <w:szCs w:val="17"/>
              </w:rPr>
              <w:t>:</w:t>
            </w:r>
            <w:r w:rsidRPr="007124A3">
              <w:rPr>
                <w:sz w:val="17"/>
                <w:szCs w:val="17"/>
              </w:rPr>
              <w:t xml:space="preserve"> </w:t>
            </w:r>
            <w:r w:rsidR="00514A93" w:rsidRPr="007124A3">
              <w:rPr>
                <w:sz w:val="17"/>
                <w:szCs w:val="17"/>
              </w:rPr>
              <w:t xml:space="preserve">The principal benefit of </w:t>
            </w:r>
            <w:r w:rsidRPr="007124A3">
              <w:rPr>
                <w:sz w:val="17"/>
                <w:szCs w:val="17"/>
              </w:rPr>
              <w:t xml:space="preserve">this option </w:t>
            </w:r>
            <w:r w:rsidR="00514A93" w:rsidRPr="007124A3">
              <w:rPr>
                <w:sz w:val="17"/>
                <w:szCs w:val="17"/>
              </w:rPr>
              <w:t>is that it would reduce the cost, time and uncertainties that prospective shippers may otherwise face trying to obtain access to pipelines that do not voluntarily offer to provide third party access</w:t>
            </w:r>
            <w:r w:rsidR="004F0B99" w:rsidRPr="007124A3">
              <w:rPr>
                <w:sz w:val="17"/>
                <w:szCs w:val="17"/>
              </w:rPr>
              <w:t xml:space="preserve"> and would also reduce administrative costs</w:t>
            </w:r>
            <w:r w:rsidR="004542F1" w:rsidRPr="007124A3">
              <w:rPr>
                <w:sz w:val="17"/>
                <w:szCs w:val="17"/>
              </w:rPr>
              <w:t xml:space="preserve"> (i.e. because there would be no third party access decision-making process)</w:t>
            </w:r>
            <w:r w:rsidR="00514A93" w:rsidRPr="007124A3">
              <w:rPr>
                <w:sz w:val="17"/>
                <w:szCs w:val="17"/>
              </w:rPr>
              <w:t xml:space="preserve">. </w:t>
            </w:r>
            <w:r w:rsidR="00F56D54" w:rsidRPr="007124A3">
              <w:rPr>
                <w:sz w:val="17"/>
                <w:szCs w:val="17"/>
              </w:rPr>
              <w:t xml:space="preserve">The requirement for all pipelines to provide third party access </w:t>
            </w:r>
            <w:r w:rsidR="001D3A57" w:rsidRPr="007124A3">
              <w:rPr>
                <w:sz w:val="17"/>
                <w:szCs w:val="17"/>
              </w:rPr>
              <w:t xml:space="preserve">and </w:t>
            </w:r>
            <w:r w:rsidR="00705023" w:rsidRPr="007124A3">
              <w:rPr>
                <w:sz w:val="17"/>
                <w:szCs w:val="17"/>
              </w:rPr>
              <w:t xml:space="preserve">to be subject to regulation </w:t>
            </w:r>
            <w:r w:rsidR="00F56D54" w:rsidRPr="007124A3">
              <w:rPr>
                <w:sz w:val="17"/>
                <w:szCs w:val="17"/>
              </w:rPr>
              <w:t xml:space="preserve">would, however, </w:t>
            </w:r>
            <w:r w:rsidR="00066A92">
              <w:rPr>
                <w:sz w:val="17"/>
                <w:szCs w:val="17"/>
              </w:rPr>
              <w:t xml:space="preserve">impose </w:t>
            </w:r>
            <w:r w:rsidR="001D3A57" w:rsidRPr="007124A3">
              <w:rPr>
                <w:sz w:val="17"/>
                <w:szCs w:val="17"/>
              </w:rPr>
              <w:t>additional compliance costs</w:t>
            </w:r>
            <w:r w:rsidR="00705023" w:rsidRPr="007124A3">
              <w:rPr>
                <w:sz w:val="17"/>
                <w:szCs w:val="17"/>
              </w:rPr>
              <w:t xml:space="preserve"> </w:t>
            </w:r>
            <w:r w:rsidR="00066A92">
              <w:rPr>
                <w:sz w:val="17"/>
                <w:szCs w:val="17"/>
              </w:rPr>
              <w:t xml:space="preserve">on </w:t>
            </w:r>
            <w:r w:rsidR="007568D0" w:rsidRPr="007124A3">
              <w:rPr>
                <w:sz w:val="17"/>
                <w:szCs w:val="17"/>
              </w:rPr>
              <w:t>pipelines that are not providing third party access</w:t>
            </w:r>
            <w:r w:rsidR="001D3A57" w:rsidRPr="007124A3">
              <w:rPr>
                <w:sz w:val="17"/>
                <w:szCs w:val="17"/>
              </w:rPr>
              <w:t xml:space="preserve">, although </w:t>
            </w:r>
            <w:r w:rsidR="008C0A2B" w:rsidRPr="007124A3">
              <w:rPr>
                <w:sz w:val="17"/>
                <w:szCs w:val="17"/>
              </w:rPr>
              <w:t xml:space="preserve">these costs </w:t>
            </w:r>
            <w:r w:rsidR="00954AFE" w:rsidRPr="007124A3">
              <w:rPr>
                <w:sz w:val="17"/>
                <w:szCs w:val="17"/>
              </w:rPr>
              <w:t xml:space="preserve">could </w:t>
            </w:r>
            <w:r w:rsidR="008C0A2B" w:rsidRPr="007124A3">
              <w:rPr>
                <w:sz w:val="17"/>
                <w:szCs w:val="17"/>
              </w:rPr>
              <w:t xml:space="preserve">be mitigated </w:t>
            </w:r>
            <w:r w:rsidR="00E30052" w:rsidRPr="007124A3">
              <w:rPr>
                <w:sz w:val="17"/>
                <w:szCs w:val="17"/>
              </w:rPr>
              <w:t>by</w:t>
            </w:r>
            <w:r w:rsidR="00313D93">
              <w:rPr>
                <w:sz w:val="17"/>
                <w:szCs w:val="17"/>
              </w:rPr>
              <w:t>, for example,</w:t>
            </w:r>
            <w:r w:rsidR="00E30052" w:rsidRPr="007124A3">
              <w:rPr>
                <w:sz w:val="17"/>
                <w:szCs w:val="17"/>
              </w:rPr>
              <w:t xml:space="preserve"> deferring the </w:t>
            </w:r>
            <w:r w:rsidR="00802C1C" w:rsidRPr="007124A3">
              <w:rPr>
                <w:sz w:val="17"/>
                <w:szCs w:val="17"/>
              </w:rPr>
              <w:t>application</w:t>
            </w:r>
            <w:r w:rsidR="00E30052" w:rsidRPr="007124A3">
              <w:rPr>
                <w:sz w:val="17"/>
                <w:szCs w:val="17"/>
              </w:rPr>
              <w:t xml:space="preserve"> of information disclosure obligations until there </w:t>
            </w:r>
            <w:r w:rsidR="00802C1C" w:rsidRPr="007124A3">
              <w:rPr>
                <w:sz w:val="17"/>
                <w:szCs w:val="17"/>
              </w:rPr>
              <w:t xml:space="preserve">are </w:t>
            </w:r>
            <w:r w:rsidR="00E30052" w:rsidRPr="007124A3">
              <w:rPr>
                <w:sz w:val="17"/>
                <w:szCs w:val="17"/>
              </w:rPr>
              <w:t>third party shippers</w:t>
            </w:r>
            <w:r w:rsidR="00313D93">
              <w:rPr>
                <w:sz w:val="17"/>
                <w:szCs w:val="17"/>
              </w:rPr>
              <w:t xml:space="preserve"> using the pipeline</w:t>
            </w:r>
            <w:r w:rsidR="00634198" w:rsidRPr="007124A3">
              <w:rPr>
                <w:sz w:val="17"/>
                <w:szCs w:val="17"/>
              </w:rPr>
              <w:t xml:space="preserve">. </w:t>
            </w:r>
          </w:p>
          <w:p w14:paraId="24F101EE" w14:textId="50AB5752" w:rsidR="001D14DC" w:rsidRPr="007B5AC8" w:rsidRDefault="00954AFE" w:rsidP="00D2257C">
            <w:pPr>
              <w:pStyle w:val="TableBullet10"/>
              <w:numPr>
                <w:ilvl w:val="0"/>
                <w:numId w:val="0"/>
              </w:numPr>
              <w:ind w:left="312"/>
              <w:rPr>
                <w:sz w:val="17"/>
                <w:szCs w:val="17"/>
              </w:rPr>
            </w:pPr>
            <w:r w:rsidRPr="007124A3">
              <w:rPr>
                <w:sz w:val="17"/>
                <w:szCs w:val="17"/>
              </w:rPr>
              <w:t>From a risk perspective, t</w:t>
            </w:r>
            <w:r w:rsidR="00CF5366" w:rsidRPr="007124A3">
              <w:rPr>
                <w:sz w:val="17"/>
                <w:szCs w:val="17"/>
              </w:rPr>
              <w:t xml:space="preserve">he key </w:t>
            </w:r>
            <w:r w:rsidR="00064C40" w:rsidRPr="007124A3">
              <w:rPr>
                <w:sz w:val="17"/>
                <w:szCs w:val="17"/>
              </w:rPr>
              <w:t xml:space="preserve">risk </w:t>
            </w:r>
            <w:r w:rsidR="007A736E">
              <w:rPr>
                <w:sz w:val="17"/>
                <w:szCs w:val="17"/>
              </w:rPr>
              <w:t xml:space="preserve">with this option </w:t>
            </w:r>
            <w:r w:rsidR="008E7F4E" w:rsidRPr="007124A3">
              <w:rPr>
                <w:sz w:val="17"/>
                <w:szCs w:val="17"/>
              </w:rPr>
              <w:t xml:space="preserve">is </w:t>
            </w:r>
            <w:r w:rsidR="008206B3" w:rsidRPr="007124A3">
              <w:rPr>
                <w:sz w:val="17"/>
                <w:szCs w:val="17"/>
              </w:rPr>
              <w:t xml:space="preserve">that </w:t>
            </w:r>
            <w:r w:rsidR="0097425E" w:rsidRPr="007124A3">
              <w:rPr>
                <w:sz w:val="17"/>
                <w:szCs w:val="17"/>
              </w:rPr>
              <w:t xml:space="preserve">third party </w:t>
            </w:r>
            <w:r w:rsidR="00127085" w:rsidRPr="007124A3">
              <w:rPr>
                <w:sz w:val="17"/>
                <w:szCs w:val="17"/>
              </w:rPr>
              <w:t xml:space="preserve">access </w:t>
            </w:r>
            <w:r w:rsidR="00BB1A2C" w:rsidRPr="007124A3">
              <w:rPr>
                <w:sz w:val="17"/>
                <w:szCs w:val="17"/>
              </w:rPr>
              <w:t>occur</w:t>
            </w:r>
            <w:r w:rsidR="007469D6" w:rsidRPr="007124A3">
              <w:rPr>
                <w:sz w:val="17"/>
                <w:szCs w:val="17"/>
              </w:rPr>
              <w:t>s</w:t>
            </w:r>
            <w:r w:rsidR="00BB1A2C" w:rsidRPr="007124A3">
              <w:rPr>
                <w:sz w:val="17"/>
                <w:szCs w:val="17"/>
              </w:rPr>
              <w:t xml:space="preserve"> </w:t>
            </w:r>
            <w:r w:rsidR="00243544" w:rsidRPr="007124A3">
              <w:rPr>
                <w:sz w:val="17"/>
                <w:szCs w:val="17"/>
              </w:rPr>
              <w:t xml:space="preserve">in circumstances </w:t>
            </w:r>
            <w:r w:rsidR="00E3683D" w:rsidRPr="007124A3">
              <w:rPr>
                <w:sz w:val="17"/>
                <w:szCs w:val="17"/>
              </w:rPr>
              <w:t xml:space="preserve">where </w:t>
            </w:r>
            <w:r w:rsidR="002B7701" w:rsidRPr="007124A3">
              <w:rPr>
                <w:sz w:val="17"/>
                <w:szCs w:val="17"/>
              </w:rPr>
              <w:t xml:space="preserve">access is not </w:t>
            </w:r>
            <w:r w:rsidR="00465CF6" w:rsidRPr="007124A3">
              <w:rPr>
                <w:sz w:val="17"/>
                <w:szCs w:val="17"/>
              </w:rPr>
              <w:t xml:space="preserve">actually an </w:t>
            </w:r>
            <w:r w:rsidR="002B7701" w:rsidRPr="007124A3">
              <w:rPr>
                <w:sz w:val="17"/>
                <w:szCs w:val="17"/>
              </w:rPr>
              <w:t>efficient</w:t>
            </w:r>
            <w:r w:rsidR="00465CF6" w:rsidRPr="007124A3">
              <w:rPr>
                <w:sz w:val="17"/>
                <w:szCs w:val="17"/>
              </w:rPr>
              <w:t xml:space="preserve"> outcome</w:t>
            </w:r>
            <w:r w:rsidR="002B7701" w:rsidRPr="007124A3">
              <w:rPr>
                <w:sz w:val="17"/>
                <w:szCs w:val="17"/>
              </w:rPr>
              <w:t xml:space="preserve">. This could, for example, occur </w:t>
            </w:r>
            <w:r w:rsidR="001D14DC" w:rsidRPr="007124A3">
              <w:rPr>
                <w:sz w:val="17"/>
                <w:szCs w:val="17"/>
              </w:rPr>
              <w:t xml:space="preserve">where it </w:t>
            </w:r>
            <w:r w:rsidR="009C541B" w:rsidRPr="007124A3">
              <w:rPr>
                <w:sz w:val="17"/>
                <w:szCs w:val="17"/>
              </w:rPr>
              <w:t xml:space="preserve">would be more efficient to develop a new pipeline </w:t>
            </w:r>
            <w:r w:rsidR="00205A77" w:rsidRPr="007124A3">
              <w:rPr>
                <w:sz w:val="17"/>
                <w:szCs w:val="17"/>
              </w:rPr>
              <w:t>than to use the existing pipeline</w:t>
            </w:r>
            <w:r w:rsidR="006F4A12" w:rsidRPr="007124A3">
              <w:rPr>
                <w:sz w:val="17"/>
                <w:szCs w:val="17"/>
              </w:rPr>
              <w:t xml:space="preserve">, </w:t>
            </w:r>
            <w:r w:rsidR="00980AF7" w:rsidRPr="007124A3">
              <w:rPr>
                <w:sz w:val="17"/>
                <w:szCs w:val="17"/>
              </w:rPr>
              <w:t xml:space="preserve">or </w:t>
            </w:r>
            <w:r w:rsidR="001D14DC" w:rsidRPr="007124A3">
              <w:rPr>
                <w:sz w:val="17"/>
                <w:szCs w:val="17"/>
              </w:rPr>
              <w:t xml:space="preserve">where </w:t>
            </w:r>
            <w:r w:rsidR="00980AF7" w:rsidRPr="007124A3">
              <w:rPr>
                <w:sz w:val="17"/>
                <w:szCs w:val="17"/>
              </w:rPr>
              <w:t xml:space="preserve">the benefits of third party access do not exceed the direct and indirect </w:t>
            </w:r>
            <w:r w:rsidR="001D14DC" w:rsidRPr="007124A3">
              <w:rPr>
                <w:sz w:val="17"/>
                <w:szCs w:val="17"/>
              </w:rPr>
              <w:t>costs</w:t>
            </w:r>
            <w:r w:rsidR="00370905">
              <w:rPr>
                <w:rFonts w:ascii="ZWAdobeF" w:hAnsi="ZWAdobeF" w:cs="ZWAdobeF"/>
                <w:sz w:val="2"/>
                <w:szCs w:val="2"/>
              </w:rPr>
              <w:t>104F</w:t>
            </w:r>
            <w:r w:rsidR="00E32177" w:rsidRPr="007124A3">
              <w:rPr>
                <w:rStyle w:val="FootnoteReference"/>
                <w:sz w:val="17"/>
                <w:szCs w:val="17"/>
              </w:rPr>
              <w:footnoteReference w:id="106"/>
            </w:r>
            <w:r w:rsidR="001D14DC" w:rsidRPr="007124A3">
              <w:rPr>
                <w:sz w:val="17"/>
                <w:szCs w:val="17"/>
              </w:rPr>
              <w:t xml:space="preserve"> associated with </w:t>
            </w:r>
            <w:r w:rsidR="00980AF7" w:rsidRPr="007124A3">
              <w:rPr>
                <w:sz w:val="17"/>
                <w:szCs w:val="17"/>
              </w:rPr>
              <w:t xml:space="preserve">providing access. </w:t>
            </w:r>
            <w:r w:rsidR="0018126E" w:rsidRPr="007124A3">
              <w:rPr>
                <w:sz w:val="17"/>
                <w:szCs w:val="17"/>
              </w:rPr>
              <w:t xml:space="preserve">Given the small number of </w:t>
            </w:r>
            <w:r w:rsidR="007A736E">
              <w:rPr>
                <w:sz w:val="17"/>
                <w:szCs w:val="17"/>
              </w:rPr>
              <w:t xml:space="preserve">these </w:t>
            </w:r>
            <w:r w:rsidR="0018126E" w:rsidRPr="007124A3">
              <w:rPr>
                <w:sz w:val="17"/>
                <w:szCs w:val="17"/>
              </w:rPr>
              <w:t xml:space="preserve">pipelines </w:t>
            </w:r>
            <w:r w:rsidR="007B5AC8">
              <w:rPr>
                <w:sz w:val="17"/>
                <w:szCs w:val="17"/>
              </w:rPr>
              <w:t>that shippers are actually likely to seek access to</w:t>
            </w:r>
            <w:r w:rsidR="0018126E" w:rsidRPr="007124A3">
              <w:rPr>
                <w:sz w:val="17"/>
                <w:szCs w:val="17"/>
              </w:rPr>
              <w:t xml:space="preserve">, this is not </w:t>
            </w:r>
            <w:r w:rsidR="0018126E" w:rsidRPr="007B5AC8">
              <w:rPr>
                <w:sz w:val="17"/>
                <w:szCs w:val="17"/>
              </w:rPr>
              <w:t xml:space="preserve">considered a significant </w:t>
            </w:r>
            <w:r w:rsidR="005D1D17" w:rsidRPr="007B5AC8">
              <w:rPr>
                <w:sz w:val="17"/>
                <w:szCs w:val="17"/>
              </w:rPr>
              <w:t>risk</w:t>
            </w:r>
            <w:r w:rsidR="007B5AC8" w:rsidRPr="007B5AC8">
              <w:rPr>
                <w:sz w:val="17"/>
                <w:szCs w:val="17"/>
              </w:rPr>
              <w:t xml:space="preserve"> (see section </w:t>
            </w:r>
            <w:r w:rsidR="00B95DEC">
              <w:rPr>
                <w:sz w:val="17"/>
                <w:szCs w:val="17"/>
              </w:rPr>
              <w:fldChar w:fldCharType="begin" w:fldLock="1"/>
            </w:r>
            <w:r w:rsidR="00B95DEC">
              <w:rPr>
                <w:sz w:val="17"/>
                <w:szCs w:val="17"/>
              </w:rPr>
              <w:instrText xml:space="preserve"> REF _Ref62217751 \r \h </w:instrText>
            </w:r>
            <w:r w:rsidR="00B95DEC">
              <w:rPr>
                <w:sz w:val="17"/>
                <w:szCs w:val="17"/>
              </w:rPr>
            </w:r>
            <w:r w:rsidR="00B95DEC">
              <w:rPr>
                <w:sz w:val="17"/>
                <w:szCs w:val="17"/>
              </w:rPr>
              <w:fldChar w:fldCharType="separate"/>
            </w:r>
            <w:r w:rsidR="00036405">
              <w:rPr>
                <w:sz w:val="17"/>
                <w:szCs w:val="17"/>
              </w:rPr>
              <w:t>9.1</w:t>
            </w:r>
            <w:r w:rsidR="00B95DEC">
              <w:rPr>
                <w:sz w:val="17"/>
                <w:szCs w:val="17"/>
              </w:rPr>
              <w:fldChar w:fldCharType="end"/>
            </w:r>
            <w:r w:rsidR="007B5AC8" w:rsidRPr="007B5AC8">
              <w:rPr>
                <w:sz w:val="17"/>
                <w:szCs w:val="17"/>
              </w:rPr>
              <w:t xml:space="preserve"> for more detail)</w:t>
            </w:r>
            <w:r w:rsidR="005D1D17" w:rsidRPr="007B5AC8">
              <w:rPr>
                <w:sz w:val="17"/>
                <w:szCs w:val="17"/>
              </w:rPr>
              <w:t xml:space="preserve">. </w:t>
            </w:r>
          </w:p>
          <w:p w14:paraId="4CE3D4A3" w14:textId="77777777" w:rsidR="007B5AC8" w:rsidRDefault="007124A3" w:rsidP="00D2257C">
            <w:pPr>
              <w:pStyle w:val="TableBullet10"/>
              <w:rPr>
                <w:sz w:val="17"/>
                <w:szCs w:val="17"/>
              </w:rPr>
            </w:pPr>
            <w:r w:rsidRPr="007B5AC8">
              <w:rPr>
                <w:b/>
                <w:bCs/>
                <w:sz w:val="17"/>
                <w:szCs w:val="17"/>
              </w:rPr>
              <w:lastRenderedPageBreak/>
              <w:t>Option (b) third party access test:</w:t>
            </w:r>
            <w:r w:rsidRPr="007B5AC8">
              <w:rPr>
                <w:sz w:val="17"/>
                <w:szCs w:val="17"/>
              </w:rPr>
              <w:t xml:space="preserve"> </w:t>
            </w:r>
            <w:r w:rsidR="00127E93" w:rsidRPr="007B5AC8">
              <w:rPr>
                <w:sz w:val="17"/>
                <w:szCs w:val="17"/>
              </w:rPr>
              <w:t xml:space="preserve">In contrast to option (a), </w:t>
            </w:r>
            <w:r w:rsidR="00A73D6B" w:rsidRPr="007B5AC8">
              <w:rPr>
                <w:sz w:val="17"/>
                <w:szCs w:val="17"/>
              </w:rPr>
              <w:t xml:space="preserve">the application of a third party access test under </w:t>
            </w:r>
            <w:r w:rsidR="00127E93" w:rsidRPr="007B5AC8">
              <w:rPr>
                <w:sz w:val="17"/>
                <w:szCs w:val="17"/>
              </w:rPr>
              <w:t xml:space="preserve">option (b) recognises that there may be circumstances where third party access </w:t>
            </w:r>
            <w:r w:rsidR="00B93B28" w:rsidRPr="007B5AC8">
              <w:rPr>
                <w:sz w:val="17"/>
                <w:szCs w:val="17"/>
              </w:rPr>
              <w:t>is</w:t>
            </w:r>
            <w:r w:rsidR="00127E93" w:rsidRPr="007B5AC8">
              <w:rPr>
                <w:sz w:val="17"/>
                <w:szCs w:val="17"/>
              </w:rPr>
              <w:t xml:space="preserve"> not efficient and so would not promote the NGO.</w:t>
            </w:r>
            <w:r w:rsidR="004B79C6" w:rsidRPr="007B5AC8">
              <w:rPr>
                <w:sz w:val="17"/>
                <w:szCs w:val="17"/>
              </w:rPr>
              <w:t xml:space="preserve"> The risk of inefficient access is therefore lower under this option</w:t>
            </w:r>
            <w:r w:rsidR="00787B0D" w:rsidRPr="007B5AC8">
              <w:rPr>
                <w:sz w:val="17"/>
                <w:szCs w:val="17"/>
              </w:rPr>
              <w:t>.</w:t>
            </w:r>
            <w:r w:rsidR="0097437D" w:rsidRPr="007B5AC8">
              <w:rPr>
                <w:sz w:val="17"/>
                <w:szCs w:val="17"/>
              </w:rPr>
              <w:t xml:space="preserve"> </w:t>
            </w:r>
            <w:r w:rsidR="00E40736" w:rsidRPr="007B5AC8">
              <w:rPr>
                <w:sz w:val="17"/>
                <w:szCs w:val="17"/>
              </w:rPr>
              <w:t xml:space="preserve">The compliance cost issue identified under option (a) is also not an issue under option (b), because pipelines would only become subject to economic regulation once third </w:t>
            </w:r>
            <w:r w:rsidR="00C56335" w:rsidRPr="007B5AC8">
              <w:rPr>
                <w:sz w:val="17"/>
                <w:szCs w:val="17"/>
              </w:rPr>
              <w:t xml:space="preserve">party access occurs. </w:t>
            </w:r>
          </w:p>
          <w:p w14:paraId="5B614E80" w14:textId="77777777" w:rsidR="00F014D6" w:rsidRDefault="002E1D49" w:rsidP="00D2257C">
            <w:pPr>
              <w:pStyle w:val="TableBullet10"/>
              <w:numPr>
                <w:ilvl w:val="0"/>
                <w:numId w:val="0"/>
              </w:numPr>
              <w:ind w:left="312"/>
              <w:rPr>
                <w:sz w:val="17"/>
                <w:szCs w:val="17"/>
              </w:rPr>
            </w:pPr>
            <w:r w:rsidRPr="007B5AC8">
              <w:rPr>
                <w:sz w:val="17"/>
                <w:szCs w:val="17"/>
              </w:rPr>
              <w:t xml:space="preserve">While </w:t>
            </w:r>
            <w:r w:rsidR="00936648" w:rsidRPr="007B5AC8">
              <w:rPr>
                <w:sz w:val="17"/>
                <w:szCs w:val="17"/>
              </w:rPr>
              <w:t>the</w:t>
            </w:r>
            <w:r w:rsidR="007B5AC8">
              <w:rPr>
                <w:sz w:val="17"/>
                <w:szCs w:val="17"/>
              </w:rPr>
              <w:t>se</w:t>
            </w:r>
            <w:r w:rsidR="00936648" w:rsidRPr="007B5AC8">
              <w:rPr>
                <w:sz w:val="17"/>
                <w:szCs w:val="17"/>
              </w:rPr>
              <w:t xml:space="preserve"> costs </w:t>
            </w:r>
            <w:r w:rsidR="007B5AC8">
              <w:rPr>
                <w:sz w:val="17"/>
                <w:szCs w:val="17"/>
              </w:rPr>
              <w:t xml:space="preserve">and </w:t>
            </w:r>
            <w:r w:rsidRPr="007B5AC8">
              <w:rPr>
                <w:sz w:val="17"/>
                <w:szCs w:val="17"/>
              </w:rPr>
              <w:t>risk</w:t>
            </w:r>
            <w:r w:rsidR="007B5AC8">
              <w:rPr>
                <w:sz w:val="17"/>
                <w:szCs w:val="17"/>
              </w:rPr>
              <w:t>s</w:t>
            </w:r>
            <w:r w:rsidRPr="007B5AC8">
              <w:rPr>
                <w:sz w:val="17"/>
                <w:szCs w:val="17"/>
              </w:rPr>
              <w:t xml:space="preserve"> </w:t>
            </w:r>
            <w:r w:rsidR="007B5AC8">
              <w:rPr>
                <w:sz w:val="17"/>
                <w:szCs w:val="17"/>
              </w:rPr>
              <w:t xml:space="preserve">are </w:t>
            </w:r>
            <w:r w:rsidRPr="007B5AC8">
              <w:rPr>
                <w:sz w:val="17"/>
                <w:szCs w:val="17"/>
              </w:rPr>
              <w:t>lower, t</w:t>
            </w:r>
            <w:r w:rsidR="00FB0758" w:rsidRPr="007B5AC8">
              <w:rPr>
                <w:sz w:val="17"/>
                <w:szCs w:val="17"/>
              </w:rPr>
              <w:t>here are</w:t>
            </w:r>
            <w:r w:rsidRPr="007B5AC8">
              <w:rPr>
                <w:sz w:val="17"/>
                <w:szCs w:val="17"/>
              </w:rPr>
              <w:t xml:space="preserve"> </w:t>
            </w:r>
            <w:r w:rsidR="00FB0758" w:rsidRPr="007B5AC8">
              <w:rPr>
                <w:sz w:val="17"/>
                <w:szCs w:val="17"/>
              </w:rPr>
              <w:t xml:space="preserve">other </w:t>
            </w:r>
            <w:r w:rsidR="007B5AC8">
              <w:rPr>
                <w:sz w:val="17"/>
                <w:szCs w:val="17"/>
              </w:rPr>
              <w:t xml:space="preserve">costs and </w:t>
            </w:r>
            <w:r w:rsidR="00FB0758" w:rsidRPr="007B5AC8">
              <w:rPr>
                <w:sz w:val="17"/>
                <w:szCs w:val="17"/>
              </w:rPr>
              <w:t xml:space="preserve">risks associated with this option. </w:t>
            </w:r>
            <w:r w:rsidR="00DB77E6">
              <w:rPr>
                <w:sz w:val="17"/>
                <w:szCs w:val="17"/>
              </w:rPr>
              <w:t xml:space="preserve">The requirement for a decision-maker to assess an application for third party access would, for example, give rise </w:t>
            </w:r>
            <w:r w:rsidR="00E650E9">
              <w:rPr>
                <w:sz w:val="17"/>
                <w:szCs w:val="17"/>
              </w:rPr>
              <w:t xml:space="preserve">to additional regulatory costs relative to option (a). </w:t>
            </w:r>
            <w:r w:rsidR="00D366F7" w:rsidRPr="007B5AC8">
              <w:rPr>
                <w:sz w:val="17"/>
                <w:szCs w:val="17"/>
              </w:rPr>
              <w:t>There is</w:t>
            </w:r>
            <w:r w:rsidR="00E650E9">
              <w:rPr>
                <w:sz w:val="17"/>
                <w:szCs w:val="17"/>
              </w:rPr>
              <w:t xml:space="preserve"> </w:t>
            </w:r>
            <w:r w:rsidR="00806B06">
              <w:rPr>
                <w:sz w:val="17"/>
                <w:szCs w:val="17"/>
              </w:rPr>
              <w:t xml:space="preserve">also a </w:t>
            </w:r>
            <w:r w:rsidR="00D366F7" w:rsidRPr="007B5AC8">
              <w:rPr>
                <w:sz w:val="17"/>
                <w:szCs w:val="17"/>
              </w:rPr>
              <w:t>risk</w:t>
            </w:r>
            <w:r w:rsidR="00772E26">
              <w:rPr>
                <w:sz w:val="17"/>
                <w:szCs w:val="17"/>
              </w:rPr>
              <w:t xml:space="preserve"> that</w:t>
            </w:r>
            <w:r w:rsidR="00F014D6">
              <w:rPr>
                <w:sz w:val="17"/>
                <w:szCs w:val="17"/>
              </w:rPr>
              <w:t>:</w:t>
            </w:r>
            <w:r w:rsidR="00603A0B" w:rsidRPr="007B5AC8">
              <w:rPr>
                <w:sz w:val="17"/>
                <w:szCs w:val="17"/>
              </w:rPr>
              <w:t xml:space="preserve"> </w:t>
            </w:r>
          </w:p>
          <w:p w14:paraId="3F0D63CF" w14:textId="77777777" w:rsidR="00F014D6" w:rsidRPr="00F014D6" w:rsidRDefault="00603A0B" w:rsidP="00D2257C">
            <w:pPr>
              <w:pStyle w:val="TableBullet2"/>
              <w:rPr>
                <w:sz w:val="17"/>
                <w:szCs w:val="17"/>
              </w:rPr>
            </w:pPr>
            <w:r w:rsidRPr="00F014D6">
              <w:rPr>
                <w:sz w:val="17"/>
                <w:szCs w:val="17"/>
              </w:rPr>
              <w:t xml:space="preserve">the </w:t>
            </w:r>
            <w:r w:rsidR="00772E26">
              <w:rPr>
                <w:sz w:val="17"/>
                <w:szCs w:val="17"/>
              </w:rPr>
              <w:t xml:space="preserve">process for seeking </w:t>
            </w:r>
            <w:r w:rsidR="00867DE6" w:rsidRPr="00F014D6">
              <w:rPr>
                <w:sz w:val="17"/>
                <w:szCs w:val="17"/>
              </w:rPr>
              <w:t xml:space="preserve">third party access </w:t>
            </w:r>
            <w:r w:rsidR="006569F8" w:rsidRPr="00F014D6">
              <w:rPr>
                <w:sz w:val="17"/>
                <w:szCs w:val="17"/>
              </w:rPr>
              <w:t>may</w:t>
            </w:r>
            <w:r w:rsidRPr="00F014D6">
              <w:rPr>
                <w:sz w:val="17"/>
                <w:szCs w:val="17"/>
              </w:rPr>
              <w:t xml:space="preserve"> discourage potential </w:t>
            </w:r>
            <w:r w:rsidR="00E414E8" w:rsidRPr="00F014D6">
              <w:rPr>
                <w:sz w:val="17"/>
                <w:szCs w:val="17"/>
              </w:rPr>
              <w:t>access seekers from applying for access even where it would be efficient for access to be provided</w:t>
            </w:r>
            <w:r w:rsidR="00772E26">
              <w:rPr>
                <w:sz w:val="17"/>
                <w:szCs w:val="17"/>
              </w:rPr>
              <w:t xml:space="preserve"> (i.e. because of the time, cost and uncertainties associated with the process)</w:t>
            </w:r>
            <w:r w:rsidR="00F014D6" w:rsidRPr="00F014D6">
              <w:rPr>
                <w:sz w:val="17"/>
                <w:szCs w:val="17"/>
              </w:rPr>
              <w:t>; and</w:t>
            </w:r>
          </w:p>
          <w:p w14:paraId="7FBAD7D5" w14:textId="77777777" w:rsidR="00F014D6" w:rsidRPr="00F014D6" w:rsidRDefault="00772E26" w:rsidP="00D2257C">
            <w:pPr>
              <w:pStyle w:val="TableBullet2"/>
              <w:rPr>
                <w:sz w:val="17"/>
                <w:szCs w:val="17"/>
              </w:rPr>
            </w:pPr>
            <w:r>
              <w:rPr>
                <w:sz w:val="17"/>
                <w:szCs w:val="17"/>
              </w:rPr>
              <w:t xml:space="preserve">the decision-maker </w:t>
            </w:r>
            <w:r w:rsidR="00022217" w:rsidRPr="00F014D6">
              <w:rPr>
                <w:sz w:val="17"/>
                <w:szCs w:val="17"/>
              </w:rPr>
              <w:t>concludes that third party access should not be required when it would be efficient for access to occur</w:t>
            </w:r>
            <w:r>
              <w:rPr>
                <w:sz w:val="17"/>
                <w:szCs w:val="17"/>
              </w:rPr>
              <w:t xml:space="preserve"> (i.e. the risk of regulatory error</w:t>
            </w:r>
            <w:r w:rsidR="00022217" w:rsidRPr="00F014D6">
              <w:rPr>
                <w:sz w:val="17"/>
                <w:szCs w:val="17"/>
              </w:rPr>
              <w:t>)</w:t>
            </w:r>
            <w:r w:rsidR="008D1FCD" w:rsidRPr="00F014D6">
              <w:rPr>
                <w:sz w:val="17"/>
                <w:szCs w:val="17"/>
              </w:rPr>
              <w:t xml:space="preserve">. </w:t>
            </w:r>
          </w:p>
          <w:p w14:paraId="3DF70C34" w14:textId="77777777" w:rsidR="00CD5FEC" w:rsidRPr="00022217" w:rsidRDefault="00022217" w:rsidP="00D2257C">
            <w:pPr>
              <w:pStyle w:val="TableListNumber"/>
              <w:numPr>
                <w:ilvl w:val="0"/>
                <w:numId w:val="0"/>
              </w:numPr>
              <w:spacing w:before="40" w:after="40"/>
              <w:ind w:left="85"/>
              <w:rPr>
                <w:sz w:val="17"/>
                <w:szCs w:val="17"/>
              </w:rPr>
            </w:pPr>
            <w:r w:rsidRPr="007B5AC8">
              <w:rPr>
                <w:sz w:val="17"/>
                <w:szCs w:val="17"/>
              </w:rPr>
              <w:t>As the preceding discussion highlights, there are</w:t>
            </w:r>
            <w:r>
              <w:rPr>
                <w:sz w:val="17"/>
                <w:szCs w:val="17"/>
              </w:rPr>
              <w:t xml:space="preserve"> </w:t>
            </w:r>
            <w:r w:rsidR="00772E26">
              <w:rPr>
                <w:sz w:val="17"/>
                <w:szCs w:val="17"/>
              </w:rPr>
              <w:t xml:space="preserve">a range of costs, benefits and risks associated </w:t>
            </w:r>
            <w:r>
              <w:rPr>
                <w:sz w:val="17"/>
                <w:szCs w:val="17"/>
              </w:rPr>
              <w:t xml:space="preserve">with </w:t>
            </w:r>
            <w:r w:rsidR="002F2CA0">
              <w:rPr>
                <w:sz w:val="17"/>
                <w:szCs w:val="17"/>
              </w:rPr>
              <w:t xml:space="preserve">both of </w:t>
            </w:r>
            <w:r>
              <w:rPr>
                <w:sz w:val="17"/>
                <w:szCs w:val="17"/>
              </w:rPr>
              <w:t xml:space="preserve">these options. </w:t>
            </w:r>
            <w:r w:rsidR="0083640D">
              <w:rPr>
                <w:sz w:val="17"/>
                <w:szCs w:val="17"/>
              </w:rPr>
              <w:t>When coupled with the fact that both options received some support from stakeholders, p</w:t>
            </w:r>
            <w:r w:rsidR="00CD5FEC" w:rsidRPr="00022217">
              <w:rPr>
                <w:sz w:val="17"/>
                <w:szCs w:val="17"/>
              </w:rPr>
              <w:t xml:space="preserve">rovision has been made for </w:t>
            </w:r>
            <w:r w:rsidR="00D0075C">
              <w:rPr>
                <w:sz w:val="17"/>
                <w:szCs w:val="17"/>
              </w:rPr>
              <w:t xml:space="preserve">the two </w:t>
            </w:r>
            <w:r w:rsidR="00CD5FEC" w:rsidRPr="00022217">
              <w:rPr>
                <w:sz w:val="17"/>
                <w:szCs w:val="17"/>
              </w:rPr>
              <w:t>options to be considered</w:t>
            </w:r>
            <w:r w:rsidR="008A5885">
              <w:rPr>
                <w:sz w:val="17"/>
                <w:szCs w:val="17"/>
              </w:rPr>
              <w:t xml:space="preserve"> separately</w:t>
            </w:r>
            <w:r w:rsidR="00CD5FEC" w:rsidRPr="00022217">
              <w:rPr>
                <w:sz w:val="17"/>
                <w:szCs w:val="17"/>
              </w:rPr>
              <w:t xml:space="preserve"> as part of the regulatory impact assessment, with: </w:t>
            </w:r>
          </w:p>
          <w:p w14:paraId="499BEA40" w14:textId="77777777" w:rsidR="00CD5FEC" w:rsidRPr="00022217" w:rsidRDefault="00CD5FEC" w:rsidP="00D2257C">
            <w:pPr>
              <w:pStyle w:val="TableBullet10"/>
              <w:rPr>
                <w:sz w:val="17"/>
                <w:szCs w:val="17"/>
              </w:rPr>
            </w:pPr>
            <w:r w:rsidRPr="00022217">
              <w:rPr>
                <w:sz w:val="17"/>
                <w:szCs w:val="17"/>
              </w:rPr>
              <w:t xml:space="preserve">Option 3A providing for </w:t>
            </w:r>
            <w:r w:rsidR="00356AB1" w:rsidRPr="00022217">
              <w:rPr>
                <w:sz w:val="17"/>
                <w:szCs w:val="17"/>
              </w:rPr>
              <w:t xml:space="preserve">the use of a </w:t>
            </w:r>
            <w:r w:rsidR="00DC7DC7" w:rsidRPr="00022217">
              <w:rPr>
                <w:sz w:val="17"/>
                <w:szCs w:val="17"/>
              </w:rPr>
              <w:t xml:space="preserve">third party access </w:t>
            </w:r>
            <w:r w:rsidR="00356AB1" w:rsidRPr="00022217">
              <w:rPr>
                <w:sz w:val="17"/>
                <w:szCs w:val="17"/>
              </w:rPr>
              <w:t xml:space="preserve">test </w:t>
            </w:r>
            <w:r w:rsidR="00DC7DC7" w:rsidRPr="00022217">
              <w:rPr>
                <w:sz w:val="17"/>
                <w:szCs w:val="17"/>
              </w:rPr>
              <w:t xml:space="preserve">(the market power-NGO test) </w:t>
            </w:r>
            <w:r w:rsidR="00356AB1" w:rsidRPr="00022217">
              <w:rPr>
                <w:sz w:val="17"/>
                <w:szCs w:val="17"/>
              </w:rPr>
              <w:t xml:space="preserve">to determine whether a </w:t>
            </w:r>
            <w:r w:rsidRPr="00022217">
              <w:rPr>
                <w:sz w:val="17"/>
                <w:szCs w:val="17"/>
              </w:rPr>
              <w:t xml:space="preserve">pipelines that </w:t>
            </w:r>
            <w:r w:rsidR="00356AB1" w:rsidRPr="00022217">
              <w:rPr>
                <w:sz w:val="17"/>
                <w:szCs w:val="17"/>
              </w:rPr>
              <w:t xml:space="preserve">is not voluntarily providing third party access should be required to do so </w:t>
            </w:r>
            <w:r w:rsidR="00DC7DC7" w:rsidRPr="00022217">
              <w:rPr>
                <w:sz w:val="17"/>
                <w:szCs w:val="17"/>
              </w:rPr>
              <w:t>if an application for third party access is made</w:t>
            </w:r>
            <w:r w:rsidRPr="00022217">
              <w:rPr>
                <w:sz w:val="17"/>
                <w:szCs w:val="17"/>
              </w:rPr>
              <w:t xml:space="preserve">. </w:t>
            </w:r>
          </w:p>
          <w:p w14:paraId="7D767E66" w14:textId="77777777" w:rsidR="005E058C" w:rsidRPr="00022217" w:rsidRDefault="00CD5FEC" w:rsidP="00D2257C">
            <w:pPr>
              <w:pStyle w:val="TableBullet10"/>
              <w:rPr>
                <w:sz w:val="17"/>
                <w:szCs w:val="17"/>
                <w:lang w:eastAsia="en-US"/>
              </w:rPr>
            </w:pPr>
            <w:r w:rsidRPr="00022217">
              <w:rPr>
                <w:sz w:val="17"/>
                <w:szCs w:val="17"/>
              </w:rPr>
              <w:t xml:space="preserve">Option 3B providing for all pipelines to be </w:t>
            </w:r>
            <w:r w:rsidR="005E058C" w:rsidRPr="00022217">
              <w:rPr>
                <w:sz w:val="17"/>
                <w:szCs w:val="17"/>
              </w:rPr>
              <w:t xml:space="preserve">subject to economic regulation and </w:t>
            </w:r>
            <w:r w:rsidRPr="00022217">
              <w:rPr>
                <w:sz w:val="17"/>
                <w:szCs w:val="17"/>
              </w:rPr>
              <w:t>required to provide third party access if they are requested to do so.</w:t>
            </w:r>
            <w:r w:rsidR="0087573A" w:rsidRPr="00022217">
              <w:rPr>
                <w:sz w:val="17"/>
                <w:szCs w:val="17"/>
              </w:rPr>
              <w:t xml:space="preserve"> </w:t>
            </w:r>
          </w:p>
        </w:tc>
        <w:tc>
          <w:tcPr>
            <w:tcW w:w="1547" w:type="pct"/>
            <w:vMerge/>
            <w:tcBorders>
              <w:bottom w:val="single" w:sz="4" w:space="0" w:color="auto"/>
            </w:tcBorders>
          </w:tcPr>
          <w:p w14:paraId="45DC1780" w14:textId="77777777" w:rsidR="00CD5FEC" w:rsidRPr="00E32502" w:rsidRDefault="00CD5FEC" w:rsidP="00D829E6">
            <w:pPr>
              <w:pStyle w:val="TableBullet10"/>
              <w:rPr>
                <w:i/>
                <w:iCs/>
                <w:sz w:val="17"/>
                <w:szCs w:val="17"/>
              </w:rPr>
            </w:pPr>
          </w:p>
        </w:tc>
      </w:tr>
      <w:tr w:rsidR="00212586" w:rsidRPr="005202B8" w14:paraId="716303DF" w14:textId="77777777" w:rsidTr="00162145">
        <w:trPr>
          <w:trHeight w:val="812"/>
        </w:trPr>
        <w:tc>
          <w:tcPr>
            <w:tcW w:w="600" w:type="pct"/>
            <w:gridSpan w:val="2"/>
            <w:tcBorders>
              <w:bottom w:val="single" w:sz="4" w:space="0" w:color="auto"/>
            </w:tcBorders>
            <w:shd w:val="clear" w:color="auto" w:fill="E1E2E7" w:themeFill="background2"/>
          </w:tcPr>
          <w:p w14:paraId="6214589D" w14:textId="5AE351E5" w:rsidR="00212586" w:rsidRPr="00022217" w:rsidRDefault="00212586" w:rsidP="00D2257C">
            <w:pPr>
              <w:pStyle w:val="TableBodyText"/>
              <w:spacing w:before="40" w:after="40"/>
              <w:rPr>
                <w:sz w:val="17"/>
                <w:szCs w:val="17"/>
              </w:rPr>
            </w:pPr>
            <w:r w:rsidRPr="00201C46">
              <w:rPr>
                <w:sz w:val="17"/>
                <w:szCs w:val="17"/>
              </w:rPr>
              <w:t>Greenfield exemptions</w:t>
            </w:r>
          </w:p>
        </w:tc>
        <w:tc>
          <w:tcPr>
            <w:tcW w:w="2853" w:type="pct"/>
            <w:tcBorders>
              <w:bottom w:val="single" w:sz="4" w:space="0" w:color="auto"/>
            </w:tcBorders>
            <w:shd w:val="clear" w:color="auto" w:fill="E1E2E7" w:themeFill="background2"/>
          </w:tcPr>
          <w:p w14:paraId="4B6D5F62" w14:textId="77777777" w:rsidR="00212586" w:rsidRPr="00E67674" w:rsidRDefault="00212586" w:rsidP="00212586">
            <w:pPr>
              <w:pStyle w:val="TableBullet10"/>
              <w:numPr>
                <w:ilvl w:val="0"/>
                <w:numId w:val="0"/>
              </w:numPr>
              <w:spacing w:line="252" w:lineRule="auto"/>
              <w:ind w:left="85"/>
              <w:rPr>
                <w:sz w:val="17"/>
                <w:szCs w:val="17"/>
              </w:rPr>
            </w:pPr>
            <w:r w:rsidRPr="00E67674">
              <w:rPr>
                <w:sz w:val="17"/>
                <w:szCs w:val="17"/>
              </w:rPr>
              <w:t xml:space="preserve">The majority of stakeholders that commented on greenfield exemptions were of the view that if a greenfield exemption is to be retained in the regulatory framework, the lighter form of regulation should continue to apply to these pipelines. Questions were, however, raised by a number of stakeholders about whether the greenfield exemption should be retained in the framework and, if so, the circumstances in which it should be available and what it should exempt the holder from. </w:t>
            </w:r>
          </w:p>
          <w:p w14:paraId="3DF1003A" w14:textId="77777777" w:rsidR="00212586" w:rsidRPr="00E67674" w:rsidRDefault="00212586" w:rsidP="00212586">
            <w:pPr>
              <w:pStyle w:val="TableBullet10"/>
              <w:numPr>
                <w:ilvl w:val="0"/>
                <w:numId w:val="0"/>
              </w:numPr>
              <w:spacing w:after="120" w:line="252" w:lineRule="auto"/>
              <w:ind w:left="85"/>
              <w:rPr>
                <w:sz w:val="17"/>
                <w:szCs w:val="17"/>
              </w:rPr>
            </w:pPr>
            <w:r w:rsidRPr="00E67674">
              <w:rPr>
                <w:sz w:val="17"/>
                <w:szCs w:val="17"/>
              </w:rPr>
              <w:t>Further consideration has therefore been given to these issues.</w:t>
            </w:r>
          </w:p>
          <w:p w14:paraId="61A291CD" w14:textId="77777777" w:rsidR="00212586" w:rsidRPr="00E67674" w:rsidRDefault="00212586" w:rsidP="00212586">
            <w:pPr>
              <w:pStyle w:val="TableBullet10"/>
              <w:numPr>
                <w:ilvl w:val="0"/>
                <w:numId w:val="0"/>
              </w:numPr>
              <w:spacing w:line="252" w:lineRule="auto"/>
              <w:ind w:left="85"/>
              <w:rPr>
                <w:b/>
                <w:bCs/>
                <w:sz w:val="17"/>
                <w:szCs w:val="17"/>
              </w:rPr>
            </w:pPr>
            <w:r w:rsidRPr="00E67674">
              <w:rPr>
                <w:b/>
                <w:bCs/>
                <w:sz w:val="17"/>
                <w:szCs w:val="17"/>
              </w:rPr>
              <w:t>Should a greenfield exemption be provided for in the regulatory framework?</w:t>
            </w:r>
          </w:p>
          <w:p w14:paraId="34C0526B" w14:textId="5841D734" w:rsidR="00212586" w:rsidRPr="00E67674" w:rsidRDefault="00212586" w:rsidP="00212586">
            <w:pPr>
              <w:tabs>
                <w:tab w:val="left" w:pos="2268"/>
                <w:tab w:val="left" w:pos="4536"/>
                <w:tab w:val="left" w:pos="6804"/>
                <w:tab w:val="right" w:pos="9638"/>
              </w:tabs>
              <w:spacing w:before="20" w:after="40"/>
              <w:rPr>
                <w:rFonts w:cstheme="minorHAnsi"/>
                <w:sz w:val="17"/>
                <w:szCs w:val="17"/>
              </w:rPr>
            </w:pPr>
            <w:r w:rsidRPr="00E67674">
              <w:rPr>
                <w:rFonts w:cstheme="minorHAnsi"/>
                <w:sz w:val="17"/>
                <w:szCs w:val="17"/>
              </w:rPr>
              <w:t>As noted above, a number of stakeholders have questioned whether the greenfield exemption should be retained in the regulatory framework. This is because, with one or two exceptions, service providers do not build, expand or extend their pipelines on a speculative basis. Rather, they generally only build new pipelines if they are underwritten by shippers. This is reinforced by the fact that so few pipelines have sought a 15-year no coverage determination</w:t>
            </w:r>
            <w:r w:rsidR="00370905">
              <w:rPr>
                <w:rFonts w:ascii="ZWAdobeF" w:hAnsi="ZWAdobeF" w:cs="ZWAdobeF"/>
                <w:sz w:val="2"/>
                <w:szCs w:val="2"/>
              </w:rPr>
              <w:t>105F</w:t>
            </w:r>
            <w:r w:rsidRPr="00E67674">
              <w:rPr>
                <w:rStyle w:val="FootnoteReference"/>
                <w:rFonts w:cstheme="minorHAnsi"/>
                <w:sz w:val="17"/>
                <w:szCs w:val="17"/>
              </w:rPr>
              <w:footnoteReference w:id="107"/>
            </w:r>
            <w:r w:rsidRPr="00E67674">
              <w:rPr>
                <w:rFonts w:cstheme="minorHAnsi"/>
                <w:sz w:val="17"/>
                <w:szCs w:val="17"/>
              </w:rPr>
              <w:t xml:space="preserve"> since it was implemented in 2006 and </w:t>
            </w:r>
            <w:r w:rsidRPr="00E67674">
              <w:rPr>
                <w:rFonts w:cstheme="minorHAnsi"/>
                <w:sz w:val="17"/>
                <w:szCs w:val="17"/>
              </w:rPr>
              <w:lastRenderedPageBreak/>
              <w:t>those that did (i.e. the pipelines servicing the Gladstone LNG facilities) were always going to be developed, irrespective of whether or not they obtained the determination.</w:t>
            </w:r>
          </w:p>
          <w:p w14:paraId="5126B0C1" w14:textId="77777777" w:rsidR="00212586" w:rsidRPr="00E67674" w:rsidRDefault="00212586" w:rsidP="00212586">
            <w:pPr>
              <w:pStyle w:val="TableBullet10"/>
              <w:numPr>
                <w:ilvl w:val="0"/>
                <w:numId w:val="0"/>
              </w:numPr>
              <w:spacing w:line="252" w:lineRule="auto"/>
              <w:ind w:left="85"/>
              <w:rPr>
                <w:rFonts w:cstheme="minorHAnsi"/>
                <w:sz w:val="17"/>
                <w:szCs w:val="17"/>
              </w:rPr>
            </w:pPr>
            <w:r w:rsidRPr="00E67674">
              <w:rPr>
                <w:rFonts w:cstheme="minorHAnsi"/>
                <w:sz w:val="17"/>
                <w:szCs w:val="17"/>
              </w:rPr>
              <w:t xml:space="preserve">While the need for a greenfield exemption under the current framework is questionable, it is possible that some of the changes that are being contemplated as part of the reform options (e.g. the removal of the coverage test from form of regulation assessments) will increase the perceived risk of a stronger form of regulation being applied to a greenfield pipeline, which could adversely affect investment. There appears therefore to be a case for retaining the greenfield exemption in the regulatory framework. </w:t>
            </w:r>
          </w:p>
          <w:p w14:paraId="5457CCCE" w14:textId="77777777" w:rsidR="00212586" w:rsidRPr="00E67674" w:rsidRDefault="00212586" w:rsidP="00212586">
            <w:pPr>
              <w:pStyle w:val="TableBullet10"/>
              <w:numPr>
                <w:ilvl w:val="0"/>
                <w:numId w:val="0"/>
              </w:numPr>
              <w:spacing w:line="252" w:lineRule="auto"/>
              <w:ind w:left="85"/>
              <w:rPr>
                <w:b/>
                <w:bCs/>
                <w:sz w:val="17"/>
                <w:szCs w:val="17"/>
              </w:rPr>
            </w:pPr>
            <w:r w:rsidRPr="00E67674">
              <w:rPr>
                <w:b/>
                <w:bCs/>
                <w:sz w:val="17"/>
                <w:szCs w:val="17"/>
              </w:rPr>
              <w:t>Circumstances in which a greenfield exemption should be available</w:t>
            </w:r>
          </w:p>
          <w:p w14:paraId="4758DBDE" w14:textId="77777777" w:rsidR="00212586" w:rsidRPr="00E67674" w:rsidRDefault="00212586" w:rsidP="00212586">
            <w:pPr>
              <w:pStyle w:val="TableBullet10"/>
              <w:numPr>
                <w:ilvl w:val="0"/>
                <w:numId w:val="0"/>
              </w:numPr>
              <w:spacing w:line="252" w:lineRule="auto"/>
              <w:ind w:left="85"/>
              <w:rPr>
                <w:rFonts w:cstheme="minorHAnsi"/>
                <w:sz w:val="17"/>
                <w:szCs w:val="17"/>
              </w:rPr>
            </w:pPr>
            <w:r w:rsidRPr="00E67674">
              <w:rPr>
                <w:sz w:val="17"/>
                <w:szCs w:val="17"/>
              </w:rPr>
              <w:t xml:space="preserve">If a greenfield exemption is to be retained in the regulatory framework then, as a number of stakeholders suggested, there is likely to be value in amalgamating both the CTP and 15-year no coverage determinations into a single greenfield exemption regime. The way in which this could work is to </w:t>
            </w:r>
            <w:r w:rsidRPr="00E67674">
              <w:rPr>
                <w:rFonts w:cstheme="minorHAnsi"/>
                <w:sz w:val="17"/>
                <w:szCs w:val="17"/>
              </w:rPr>
              <w:t>allow a greenfield exemption to be obtained where it can be demonstrated that the pipeline will not have substantial market power over the exemption period because, for example:</w:t>
            </w:r>
          </w:p>
          <w:p w14:paraId="36F7B61B" w14:textId="77777777" w:rsidR="00212586" w:rsidRPr="00E67674" w:rsidRDefault="00212586" w:rsidP="00212586">
            <w:pPr>
              <w:pStyle w:val="TableBullet10"/>
              <w:numPr>
                <w:ilvl w:val="0"/>
                <w:numId w:val="157"/>
              </w:numPr>
              <w:ind w:left="442" w:hanging="357"/>
              <w:rPr>
                <w:sz w:val="17"/>
                <w:szCs w:val="17"/>
              </w:rPr>
            </w:pPr>
            <w:r w:rsidRPr="00E67674">
              <w:rPr>
                <w:sz w:val="17"/>
                <w:szCs w:val="17"/>
              </w:rPr>
              <w:t>there has been competition for the development of the pipeline and the price and other terms and conditions established through that competitive process will be made available to all prospective users of the pipeline over the exemption period; or</w:t>
            </w:r>
          </w:p>
          <w:p w14:paraId="5811F735" w14:textId="77777777" w:rsidR="00212586" w:rsidRPr="00E67674" w:rsidRDefault="00212586" w:rsidP="00212586">
            <w:pPr>
              <w:pStyle w:val="TableBullet10"/>
              <w:numPr>
                <w:ilvl w:val="0"/>
                <w:numId w:val="157"/>
              </w:numPr>
              <w:ind w:left="442" w:hanging="357"/>
              <w:rPr>
                <w:sz w:val="17"/>
                <w:szCs w:val="17"/>
              </w:rPr>
            </w:pPr>
            <w:r w:rsidRPr="00E67674">
              <w:rPr>
                <w:sz w:val="17"/>
                <w:szCs w:val="17"/>
              </w:rPr>
              <w:t xml:space="preserve">the pipeline’s market power will be effectively constrained over the exemption period as a result of competition from another pipeline, competition from alternative energy sources, the countervailing power of shippers and/or any other factor that may constrain market power.  </w:t>
            </w:r>
          </w:p>
          <w:p w14:paraId="44459E72" w14:textId="5486C26C" w:rsidR="00212586" w:rsidRDefault="00212586" w:rsidP="00212586">
            <w:pPr>
              <w:pStyle w:val="TableBullet10"/>
              <w:numPr>
                <w:ilvl w:val="0"/>
                <w:numId w:val="0"/>
              </w:numPr>
              <w:spacing w:line="252" w:lineRule="auto"/>
              <w:ind w:left="85"/>
              <w:rPr>
                <w:sz w:val="17"/>
                <w:szCs w:val="17"/>
              </w:rPr>
            </w:pPr>
            <w:r w:rsidRPr="00E67674">
              <w:rPr>
                <w:sz w:val="17"/>
                <w:szCs w:val="17"/>
              </w:rPr>
              <w:t>Given the nature of the issues that would need to be considered, it would not be possible to make this exemption available on an automatic basis, as APGA and its members have suggested.</w:t>
            </w:r>
            <w:r w:rsidR="00370905">
              <w:rPr>
                <w:rFonts w:ascii="ZWAdobeF" w:hAnsi="ZWAdobeF" w:cs="ZWAdobeF"/>
                <w:sz w:val="2"/>
                <w:szCs w:val="2"/>
              </w:rPr>
              <w:t>106F</w:t>
            </w:r>
            <w:r w:rsidRPr="00E67674">
              <w:rPr>
                <w:rStyle w:val="FootnoteReference"/>
                <w:sz w:val="17"/>
                <w:szCs w:val="17"/>
              </w:rPr>
              <w:footnoteReference w:id="108"/>
            </w:r>
            <w:r w:rsidRPr="00E67674">
              <w:rPr>
                <w:sz w:val="17"/>
                <w:szCs w:val="17"/>
              </w:rPr>
              <w:t xml:space="preserve"> Rather, an application would have to be made to the relevant decision-maker and an assessment undertaken of the extent to which the pipeline’s market power is likely to be constrained </w:t>
            </w:r>
            <w:r w:rsidR="00C16912">
              <w:rPr>
                <w:sz w:val="17"/>
                <w:szCs w:val="17"/>
              </w:rPr>
              <w:t>in</w:t>
            </w:r>
            <w:r w:rsidR="00C16912" w:rsidRPr="00E67674">
              <w:rPr>
                <w:sz w:val="17"/>
                <w:szCs w:val="17"/>
              </w:rPr>
              <w:t xml:space="preserve"> </w:t>
            </w:r>
            <w:r w:rsidRPr="00E67674">
              <w:rPr>
                <w:sz w:val="17"/>
                <w:szCs w:val="17"/>
              </w:rPr>
              <w:t>the exemption period.</w:t>
            </w:r>
            <w:r w:rsidR="00370905">
              <w:rPr>
                <w:rFonts w:ascii="ZWAdobeF" w:hAnsi="ZWAdobeF" w:cs="ZWAdobeF"/>
                <w:sz w:val="2"/>
                <w:szCs w:val="2"/>
              </w:rPr>
              <w:t>107F</w:t>
            </w:r>
            <w:r>
              <w:rPr>
                <w:rStyle w:val="FootnoteReference"/>
                <w:sz w:val="17"/>
                <w:szCs w:val="17"/>
              </w:rPr>
              <w:footnoteReference w:id="109"/>
            </w:r>
            <w:r w:rsidRPr="00E67674">
              <w:rPr>
                <w:sz w:val="17"/>
                <w:szCs w:val="17"/>
              </w:rPr>
              <w:t xml:space="preserve"> </w:t>
            </w:r>
          </w:p>
          <w:p w14:paraId="3DDC4E5C" w14:textId="77777777" w:rsidR="00212586" w:rsidRPr="00E67674" w:rsidRDefault="00212586" w:rsidP="00212586">
            <w:pPr>
              <w:pStyle w:val="TableBullet10"/>
              <w:numPr>
                <w:ilvl w:val="0"/>
                <w:numId w:val="0"/>
              </w:numPr>
              <w:spacing w:line="252" w:lineRule="auto"/>
              <w:ind w:left="85"/>
              <w:rPr>
                <w:b/>
                <w:bCs/>
                <w:sz w:val="17"/>
                <w:szCs w:val="17"/>
              </w:rPr>
            </w:pPr>
            <w:r w:rsidRPr="00E67674">
              <w:rPr>
                <w:b/>
                <w:bCs/>
                <w:sz w:val="17"/>
                <w:szCs w:val="17"/>
              </w:rPr>
              <w:t>Scope of the greenfield exemption</w:t>
            </w:r>
          </w:p>
          <w:p w14:paraId="47B6FC2F" w14:textId="77777777" w:rsidR="00212586" w:rsidRPr="00E67674" w:rsidRDefault="00212586" w:rsidP="00212586">
            <w:pPr>
              <w:pStyle w:val="TableBullet10"/>
              <w:numPr>
                <w:ilvl w:val="0"/>
                <w:numId w:val="0"/>
              </w:numPr>
              <w:spacing w:line="252" w:lineRule="auto"/>
              <w:ind w:left="85"/>
              <w:rPr>
                <w:sz w:val="17"/>
                <w:szCs w:val="17"/>
              </w:rPr>
            </w:pPr>
            <w:r>
              <w:rPr>
                <w:sz w:val="17"/>
                <w:szCs w:val="17"/>
              </w:rPr>
              <w:t>T</w:t>
            </w:r>
            <w:r w:rsidRPr="00E67674">
              <w:rPr>
                <w:sz w:val="17"/>
                <w:szCs w:val="17"/>
              </w:rPr>
              <w:t xml:space="preserve">he majority of stakeholders were of the view that if a greenfield exemption is to be retained in the regulatory framework, then it should provide the holders with an exemption from the stronger form of regulation but not from the lighter form of regulation. APGA and its members, on the other hand, suggested that the scope of the greenfield exemption be expanded, by providing holders an exemption from all forms of regulation and from the capacity trading reforms. </w:t>
            </w:r>
            <w:r>
              <w:rPr>
                <w:sz w:val="17"/>
                <w:szCs w:val="17"/>
              </w:rPr>
              <w:t xml:space="preserve">They also suggested that exemptions potentially be available for longer than 15 years. </w:t>
            </w:r>
          </w:p>
          <w:p w14:paraId="51F56BF8" w14:textId="77777777" w:rsidR="00212586" w:rsidRDefault="00212586" w:rsidP="00212586">
            <w:pPr>
              <w:pStyle w:val="TableBullet10"/>
              <w:numPr>
                <w:ilvl w:val="0"/>
                <w:numId w:val="0"/>
              </w:numPr>
              <w:spacing w:line="252" w:lineRule="auto"/>
              <w:ind w:left="85"/>
              <w:rPr>
                <w:rFonts w:asciiTheme="majorHAnsi" w:eastAsia="Calibri" w:hAnsiTheme="majorHAnsi" w:cstheme="majorHAnsi"/>
                <w:sz w:val="17"/>
                <w:szCs w:val="17"/>
                <w:lang w:eastAsia="fr-CA"/>
              </w:rPr>
            </w:pPr>
            <w:r w:rsidRPr="00E67674">
              <w:rPr>
                <w:sz w:val="17"/>
                <w:szCs w:val="17"/>
              </w:rPr>
              <w:lastRenderedPageBreak/>
              <w:t xml:space="preserve">While an expansion of the scope of the exemption may be warranted if there was evidence that the current framework was adversely affecting greenfield investments, there is, as noted in section 4.2.3, no such evidence.  To the contrary, </w:t>
            </w:r>
            <w:r w:rsidRPr="00E67674">
              <w:rPr>
                <w:rFonts w:asciiTheme="majorHAnsi" w:eastAsia="Calibri" w:hAnsiTheme="majorHAnsi" w:cstheme="majorHAnsi"/>
                <w:sz w:val="17"/>
                <w:szCs w:val="17"/>
                <w:lang w:eastAsia="fr-CA"/>
              </w:rPr>
              <w:t xml:space="preserve">the feedback provided by stakeholders, including by the owner of a pipeline with a 15-year no coverage determination and the ACCC who has undertaken a detailed review of pipeline operators’ internal documents, indicates that the application of a lighter handed form of regulation to these pipelines is not affecting investments in new pipelines. Further support for this view can be found in the fact that a number of new pipelines have been developed since Part 23 came into operation and a number of other new pipelines are being proposed by APA, AGIG and Jemena, all of which would be subject to Part 23 and the capacity trading reforms.  </w:t>
            </w:r>
          </w:p>
          <w:p w14:paraId="4F3BDB37" w14:textId="50DD7F54" w:rsidR="00212586" w:rsidRPr="004328CB" w:rsidRDefault="00212586" w:rsidP="00212586">
            <w:pPr>
              <w:pStyle w:val="TableBullet10"/>
              <w:numPr>
                <w:ilvl w:val="0"/>
                <w:numId w:val="0"/>
              </w:numPr>
              <w:spacing w:line="252" w:lineRule="auto"/>
              <w:ind w:left="85"/>
              <w:rPr>
                <w:rFonts w:cstheme="majorHAnsi"/>
                <w:sz w:val="17"/>
                <w:szCs w:val="17"/>
              </w:rPr>
            </w:pPr>
            <w:r w:rsidRPr="004328CB">
              <w:rPr>
                <w:rFonts w:asciiTheme="majorHAnsi" w:eastAsia="Calibri" w:hAnsiTheme="majorHAnsi" w:cstheme="majorHAnsi"/>
                <w:sz w:val="17"/>
                <w:szCs w:val="17"/>
                <w:lang w:eastAsia="fr-CA"/>
              </w:rPr>
              <w:t xml:space="preserve">As to the suggestion that the exemption should be available for longer than 15 years, it is worth noting that this issue was considered at length by the Productivity Commission </w:t>
            </w:r>
            <w:r w:rsidRPr="004328CB">
              <w:rPr>
                <w:rFonts w:cstheme="majorHAnsi"/>
                <w:sz w:val="17"/>
                <w:szCs w:val="17"/>
              </w:rPr>
              <w:t xml:space="preserve">when it recommended the introduction of the 15-year no coverage decision. In short, the Productivity Commission concluded that 15-years was the appropriate length of the exemption period. In doing so, </w:t>
            </w:r>
            <w:r>
              <w:rPr>
                <w:rFonts w:cstheme="majorHAnsi"/>
                <w:sz w:val="17"/>
                <w:szCs w:val="17"/>
              </w:rPr>
              <w:t xml:space="preserve">it noted the </w:t>
            </w:r>
            <w:r w:rsidRPr="004328CB">
              <w:rPr>
                <w:rFonts w:cstheme="majorHAnsi"/>
                <w:sz w:val="17"/>
                <w:szCs w:val="17"/>
              </w:rPr>
              <w:t>following:</w:t>
            </w:r>
            <w:r w:rsidR="00370905">
              <w:rPr>
                <w:rFonts w:ascii="ZWAdobeF" w:hAnsi="ZWAdobeF" w:cs="ZWAdobeF"/>
                <w:sz w:val="2"/>
                <w:szCs w:val="2"/>
              </w:rPr>
              <w:t>108F</w:t>
            </w:r>
            <w:r w:rsidRPr="004328CB">
              <w:rPr>
                <w:rStyle w:val="FootnoteReference"/>
                <w:rFonts w:eastAsiaTheme="minorEastAsia" w:cstheme="majorHAnsi"/>
                <w:sz w:val="17"/>
                <w:szCs w:val="17"/>
              </w:rPr>
              <w:footnoteReference w:id="110"/>
            </w:r>
            <w:r w:rsidRPr="004328CB">
              <w:rPr>
                <w:rFonts w:cstheme="majorHAnsi"/>
                <w:sz w:val="17"/>
                <w:szCs w:val="17"/>
              </w:rPr>
              <w:t xml:space="preserve"> </w:t>
            </w:r>
          </w:p>
          <w:p w14:paraId="4655A9D1" w14:textId="77777777" w:rsidR="00212586" w:rsidRPr="003D7758" w:rsidRDefault="00212586" w:rsidP="00212586">
            <w:pPr>
              <w:autoSpaceDE w:val="0"/>
              <w:autoSpaceDN w:val="0"/>
              <w:adjustRightInd w:val="0"/>
              <w:spacing w:after="120" w:line="240" w:lineRule="auto"/>
              <w:ind w:left="280" w:right="282"/>
              <w:rPr>
                <w:rFonts w:asciiTheme="majorHAnsi" w:hAnsiTheme="majorHAnsi" w:cstheme="majorHAnsi"/>
                <w:i/>
                <w:iCs/>
                <w:sz w:val="16"/>
                <w:szCs w:val="16"/>
                <w:lang w:eastAsia="en-US"/>
              </w:rPr>
            </w:pPr>
            <w:r w:rsidRPr="003D7758">
              <w:rPr>
                <w:rFonts w:asciiTheme="majorHAnsi" w:hAnsiTheme="majorHAnsi" w:cstheme="majorHAnsi"/>
                <w:i/>
                <w:iCs/>
                <w:sz w:val="16"/>
                <w:szCs w:val="16"/>
              </w:rPr>
              <w:t xml:space="preserve">“The Commission is not convinced that the investment distorting effects of coverage risk would be markedly reduced by extending the length from 15 to 20 or more years.  </w:t>
            </w:r>
            <w:r w:rsidRPr="003D7758">
              <w:rPr>
                <w:rFonts w:asciiTheme="majorHAnsi" w:hAnsiTheme="majorHAnsi" w:cstheme="majorHAnsi"/>
                <w:i/>
                <w:iCs/>
                <w:sz w:val="16"/>
                <w:szCs w:val="16"/>
                <w:lang w:eastAsia="en-US"/>
              </w:rPr>
              <w:t>Investors are unlikely to undertake a risky investment if they expect its viability to depend largely on earnings that occur more than 15 years into the future. The considerable uncertainty associated with forecasts would cause prudent investors to attach a relatively small weight to returns that are expected to occur well into the future.</w:t>
            </w:r>
          </w:p>
          <w:p w14:paraId="5F6092C9" w14:textId="77777777" w:rsidR="00212586" w:rsidRPr="003D7758" w:rsidRDefault="00212586" w:rsidP="00212586">
            <w:pPr>
              <w:pStyle w:val="TableBullet10"/>
              <w:numPr>
                <w:ilvl w:val="0"/>
                <w:numId w:val="0"/>
              </w:numPr>
              <w:spacing w:line="252" w:lineRule="auto"/>
              <w:ind w:left="278" w:right="284"/>
              <w:rPr>
                <w:rFonts w:cstheme="majorHAnsi"/>
                <w:sz w:val="16"/>
                <w:szCs w:val="16"/>
              </w:rPr>
            </w:pPr>
            <w:r w:rsidRPr="003D7758">
              <w:rPr>
                <w:rFonts w:asciiTheme="majorHAnsi" w:hAnsiTheme="majorHAnsi" w:cstheme="majorHAnsi"/>
                <w:i/>
                <w:iCs/>
                <w:sz w:val="16"/>
                <w:szCs w:val="16"/>
                <w:lang w:eastAsia="en-US"/>
              </w:rPr>
              <w:t>In addition, a dollar earned (with certainty) more than 15 years into the future has a much smaller ‘present value’ than a dollar earned (with certainty) before 15 years, due to the effects of discounting.</w:t>
            </w:r>
            <w:r>
              <w:rPr>
                <w:rFonts w:asciiTheme="majorHAnsi" w:hAnsiTheme="majorHAnsi" w:cstheme="majorHAnsi"/>
                <w:i/>
                <w:iCs/>
                <w:sz w:val="16"/>
                <w:szCs w:val="16"/>
                <w:lang w:eastAsia="en-US"/>
              </w:rPr>
              <w:t>”</w:t>
            </w:r>
          </w:p>
          <w:p w14:paraId="16EC1D63" w14:textId="77777777" w:rsidR="00212586" w:rsidRPr="0076334A" w:rsidRDefault="00212586" w:rsidP="00212586">
            <w:pPr>
              <w:pStyle w:val="TableBullet10"/>
              <w:numPr>
                <w:ilvl w:val="0"/>
                <w:numId w:val="0"/>
              </w:numPr>
              <w:spacing w:line="252" w:lineRule="auto"/>
              <w:ind w:left="85"/>
              <w:rPr>
                <w:sz w:val="17"/>
                <w:szCs w:val="17"/>
              </w:rPr>
            </w:pPr>
            <w:r w:rsidRPr="0076334A">
              <w:rPr>
                <w:sz w:val="17"/>
                <w:szCs w:val="17"/>
              </w:rPr>
              <w:t xml:space="preserve">The Productivity Commission also noted that a decision-maker may be more reluctant to grant an exemption for longer periods, because the risk of regulatory error would be greater. </w:t>
            </w:r>
          </w:p>
          <w:p w14:paraId="7B3015CF" w14:textId="77777777" w:rsidR="00212586" w:rsidRPr="0076334A" w:rsidRDefault="00212586" w:rsidP="00212586">
            <w:pPr>
              <w:pStyle w:val="TableBullet10"/>
              <w:numPr>
                <w:ilvl w:val="0"/>
                <w:numId w:val="0"/>
              </w:numPr>
              <w:spacing w:line="252" w:lineRule="auto"/>
              <w:ind w:left="85"/>
              <w:rPr>
                <w:rFonts w:cstheme="majorHAnsi"/>
                <w:sz w:val="17"/>
                <w:szCs w:val="17"/>
                <w:lang w:eastAsia="fr-CA"/>
              </w:rPr>
            </w:pPr>
            <w:r>
              <w:rPr>
                <w:rFonts w:cstheme="majorHAnsi"/>
                <w:sz w:val="17"/>
                <w:szCs w:val="17"/>
                <w:lang w:eastAsia="fr-CA"/>
              </w:rPr>
              <w:t xml:space="preserve">These </w:t>
            </w:r>
            <w:r w:rsidRPr="0076334A">
              <w:rPr>
                <w:rFonts w:cstheme="majorHAnsi"/>
                <w:sz w:val="17"/>
                <w:szCs w:val="17"/>
                <w:lang w:eastAsia="fr-CA"/>
              </w:rPr>
              <w:t>observations</w:t>
            </w:r>
            <w:r>
              <w:rPr>
                <w:rFonts w:cstheme="majorHAnsi"/>
                <w:sz w:val="17"/>
                <w:szCs w:val="17"/>
                <w:lang w:eastAsia="fr-CA"/>
              </w:rPr>
              <w:t xml:space="preserve">, which are still relevant today, suggest that </w:t>
            </w:r>
            <w:r w:rsidRPr="0076334A">
              <w:rPr>
                <w:rFonts w:cstheme="majorHAnsi"/>
                <w:sz w:val="17"/>
                <w:szCs w:val="17"/>
                <w:lang w:eastAsia="fr-CA"/>
              </w:rPr>
              <w:t xml:space="preserve">15 years </w:t>
            </w:r>
            <w:r>
              <w:rPr>
                <w:rFonts w:cstheme="majorHAnsi"/>
                <w:sz w:val="17"/>
                <w:szCs w:val="17"/>
                <w:lang w:eastAsia="fr-CA"/>
              </w:rPr>
              <w:t xml:space="preserve">is an </w:t>
            </w:r>
            <w:r w:rsidRPr="0076334A">
              <w:rPr>
                <w:rFonts w:cstheme="majorHAnsi"/>
                <w:sz w:val="17"/>
                <w:szCs w:val="17"/>
                <w:lang w:eastAsia="fr-CA"/>
              </w:rPr>
              <w:t xml:space="preserve">appropriate length of time for </w:t>
            </w:r>
            <w:r>
              <w:rPr>
                <w:rFonts w:cstheme="majorHAnsi"/>
                <w:sz w:val="17"/>
                <w:szCs w:val="17"/>
                <w:lang w:eastAsia="fr-CA"/>
              </w:rPr>
              <w:t>the</w:t>
            </w:r>
            <w:r w:rsidRPr="0076334A">
              <w:rPr>
                <w:rFonts w:cstheme="majorHAnsi"/>
                <w:sz w:val="17"/>
                <w:szCs w:val="17"/>
                <w:lang w:eastAsia="fr-CA"/>
              </w:rPr>
              <w:t xml:space="preserve"> exemption.</w:t>
            </w:r>
          </w:p>
          <w:p w14:paraId="7EC1A4E6" w14:textId="77777777" w:rsidR="00212586" w:rsidRPr="00E67674" w:rsidRDefault="00212586" w:rsidP="00212586">
            <w:pPr>
              <w:pStyle w:val="TableBullet10"/>
              <w:numPr>
                <w:ilvl w:val="0"/>
                <w:numId w:val="0"/>
              </w:numPr>
              <w:spacing w:line="252" w:lineRule="auto"/>
              <w:ind w:left="85"/>
              <w:rPr>
                <w:b/>
                <w:bCs/>
                <w:sz w:val="17"/>
                <w:szCs w:val="17"/>
              </w:rPr>
            </w:pPr>
            <w:r>
              <w:rPr>
                <w:b/>
                <w:bCs/>
                <w:sz w:val="17"/>
                <w:szCs w:val="17"/>
              </w:rPr>
              <w:t>Conclusion</w:t>
            </w:r>
          </w:p>
          <w:p w14:paraId="41985979" w14:textId="65E011C0" w:rsidR="00212586" w:rsidRDefault="00212586" w:rsidP="00212586">
            <w:pPr>
              <w:pStyle w:val="TableListNumber"/>
              <w:numPr>
                <w:ilvl w:val="0"/>
                <w:numId w:val="0"/>
              </w:numPr>
              <w:spacing w:before="40" w:after="40"/>
              <w:ind w:left="85"/>
              <w:rPr>
                <w:sz w:val="17"/>
                <w:szCs w:val="17"/>
              </w:rPr>
            </w:pPr>
            <w:r>
              <w:rPr>
                <w:sz w:val="17"/>
                <w:szCs w:val="17"/>
              </w:rPr>
              <w:t xml:space="preserve">As the preceding discussion highlights, there does appear to be value in including a greenfield exemption in options 3A and 3B that would be available to new pipelines where it could </w:t>
            </w:r>
            <w:r w:rsidRPr="00E67674">
              <w:rPr>
                <w:rFonts w:cstheme="minorHAnsi"/>
                <w:sz w:val="17"/>
                <w:szCs w:val="17"/>
              </w:rPr>
              <w:t xml:space="preserve">be demonstrated that the pipeline </w:t>
            </w:r>
            <w:r>
              <w:rPr>
                <w:rFonts w:cstheme="minorHAnsi"/>
                <w:sz w:val="17"/>
                <w:szCs w:val="17"/>
              </w:rPr>
              <w:t xml:space="preserve">would </w:t>
            </w:r>
            <w:r w:rsidRPr="00E67674">
              <w:rPr>
                <w:rFonts w:cstheme="minorHAnsi"/>
                <w:sz w:val="17"/>
                <w:szCs w:val="17"/>
              </w:rPr>
              <w:t>not have substantial market power over the exemption period</w:t>
            </w:r>
            <w:r>
              <w:rPr>
                <w:sz w:val="17"/>
                <w:szCs w:val="17"/>
              </w:rPr>
              <w:t>. This exemption would entitle the holder to an exemption from the stronger, but not the lighter form of regulation, for up to 15 years.</w:t>
            </w:r>
          </w:p>
        </w:tc>
        <w:tc>
          <w:tcPr>
            <w:tcW w:w="1547" w:type="pct"/>
            <w:tcBorders>
              <w:bottom w:val="single" w:sz="4" w:space="0" w:color="auto"/>
            </w:tcBorders>
            <w:shd w:val="clear" w:color="auto" w:fill="E1E2E7" w:themeFill="background2"/>
          </w:tcPr>
          <w:p w14:paraId="068EF790" w14:textId="77777777" w:rsidR="00212586" w:rsidRPr="00212586" w:rsidRDefault="00212586" w:rsidP="00212586">
            <w:pPr>
              <w:spacing w:before="0" w:line="252" w:lineRule="auto"/>
              <w:rPr>
                <w:rFonts w:cs="Arial"/>
                <w:i/>
                <w:iCs/>
                <w:sz w:val="17"/>
                <w:szCs w:val="17"/>
              </w:rPr>
            </w:pPr>
            <w:r w:rsidRPr="00212586">
              <w:rPr>
                <w:rFonts w:cs="Arial"/>
                <w:i/>
                <w:iCs/>
                <w:sz w:val="17"/>
                <w:szCs w:val="17"/>
              </w:rPr>
              <w:lastRenderedPageBreak/>
              <w:t xml:space="preserve">Under options 3A and 3B a greenfield incentive would be available to pipelines that are yet to be commissioned where it can be demonstrated that the pipeline is unlikely to have substantial market power over the exemption period. </w:t>
            </w:r>
          </w:p>
          <w:p w14:paraId="0CAD5A04" w14:textId="35BBF90C" w:rsidR="00212586" w:rsidRPr="00E32502" w:rsidRDefault="00212586" w:rsidP="00212586">
            <w:pPr>
              <w:spacing w:line="252" w:lineRule="auto"/>
              <w:rPr>
                <w:i/>
                <w:iCs/>
                <w:sz w:val="17"/>
                <w:szCs w:val="17"/>
              </w:rPr>
            </w:pPr>
            <w:r w:rsidRPr="00212586">
              <w:rPr>
                <w:i/>
                <w:iCs/>
                <w:sz w:val="17"/>
                <w:szCs w:val="17"/>
              </w:rPr>
              <w:t>This incentive would entitle the holder to an exemption from the stronger form of regulation (but not the lighter form of regulation) for up to 15 years and like the CTP would give effect to the outcomes of any competitive process used to determine initial terms and conditions of access.</w:t>
            </w:r>
          </w:p>
        </w:tc>
      </w:tr>
      <w:tr w:rsidR="008B494F" w:rsidRPr="005202B8" w14:paraId="5C4CC5DB" w14:textId="77777777" w:rsidTr="00162145">
        <w:trPr>
          <w:cnfStyle w:val="000000010000" w:firstRow="0" w:lastRow="0" w:firstColumn="0" w:lastColumn="0" w:oddVBand="0" w:evenVBand="0" w:oddHBand="0" w:evenHBand="1" w:firstRowFirstColumn="0" w:firstRowLastColumn="0" w:lastRowFirstColumn="0" w:lastRowLastColumn="0"/>
        </w:trPr>
        <w:tc>
          <w:tcPr>
            <w:tcW w:w="600" w:type="pct"/>
            <w:gridSpan w:val="2"/>
            <w:shd w:val="clear" w:color="auto" w:fill="FFFFFF" w:themeFill="background1"/>
          </w:tcPr>
          <w:p w14:paraId="19986AAA" w14:textId="77777777" w:rsidR="008B494F" w:rsidRPr="008705FB" w:rsidRDefault="008B494F" w:rsidP="00857981">
            <w:pPr>
              <w:pStyle w:val="TableBodyText"/>
              <w:spacing w:before="40" w:after="40" w:line="252" w:lineRule="auto"/>
              <w:rPr>
                <w:sz w:val="17"/>
                <w:szCs w:val="17"/>
              </w:rPr>
            </w:pPr>
            <w:r w:rsidRPr="008705FB">
              <w:rPr>
                <w:sz w:val="17"/>
                <w:szCs w:val="17"/>
              </w:rPr>
              <w:lastRenderedPageBreak/>
              <w:t>Governance arrangements for when and how to regulate decisions</w:t>
            </w:r>
          </w:p>
        </w:tc>
        <w:tc>
          <w:tcPr>
            <w:tcW w:w="2853" w:type="pct"/>
            <w:shd w:val="clear" w:color="auto" w:fill="FFFFFF" w:themeFill="background1"/>
          </w:tcPr>
          <w:p w14:paraId="0740B276" w14:textId="77777777" w:rsidR="00547FAD" w:rsidRPr="00E67674" w:rsidRDefault="00BB1528" w:rsidP="008E32E9">
            <w:pPr>
              <w:pStyle w:val="TableBullet10"/>
              <w:numPr>
                <w:ilvl w:val="0"/>
                <w:numId w:val="0"/>
              </w:numPr>
              <w:spacing w:line="252" w:lineRule="auto"/>
              <w:ind w:left="85"/>
              <w:rPr>
                <w:sz w:val="17"/>
                <w:szCs w:val="17"/>
              </w:rPr>
            </w:pPr>
            <w:r w:rsidRPr="00E67674">
              <w:rPr>
                <w:sz w:val="17"/>
                <w:szCs w:val="17"/>
              </w:rPr>
              <w:t>As noted above, s</w:t>
            </w:r>
            <w:r w:rsidR="008B4667" w:rsidRPr="00E67674">
              <w:rPr>
                <w:sz w:val="17"/>
                <w:szCs w:val="17"/>
              </w:rPr>
              <w:t>takeholders were divided on whether the</w:t>
            </w:r>
            <w:r w:rsidR="00547FAD" w:rsidRPr="00E67674">
              <w:rPr>
                <w:sz w:val="17"/>
                <w:szCs w:val="17"/>
              </w:rPr>
              <w:t>:</w:t>
            </w:r>
            <w:r w:rsidR="008B4667" w:rsidRPr="00E67674">
              <w:rPr>
                <w:sz w:val="17"/>
                <w:szCs w:val="17"/>
              </w:rPr>
              <w:t xml:space="preserve"> </w:t>
            </w:r>
          </w:p>
          <w:p w14:paraId="580AFCE8" w14:textId="77777777" w:rsidR="00547FAD" w:rsidRPr="00E67674" w:rsidRDefault="008B4667" w:rsidP="000A3668">
            <w:pPr>
              <w:pStyle w:val="TableBullet10"/>
              <w:numPr>
                <w:ilvl w:val="0"/>
                <w:numId w:val="156"/>
              </w:numPr>
              <w:ind w:left="442" w:hanging="357"/>
              <w:rPr>
                <w:sz w:val="17"/>
                <w:szCs w:val="17"/>
              </w:rPr>
            </w:pPr>
            <w:r w:rsidRPr="00E67674">
              <w:rPr>
                <w:sz w:val="17"/>
                <w:szCs w:val="17"/>
              </w:rPr>
              <w:t xml:space="preserve">existing governance arrangements </w:t>
            </w:r>
            <w:r w:rsidR="005C7756" w:rsidRPr="00E67674">
              <w:rPr>
                <w:sz w:val="17"/>
                <w:szCs w:val="17"/>
              </w:rPr>
              <w:t>should be retained</w:t>
            </w:r>
            <w:r w:rsidR="00547FAD" w:rsidRPr="00E67674">
              <w:rPr>
                <w:sz w:val="17"/>
                <w:szCs w:val="17"/>
              </w:rPr>
              <w:t xml:space="preserve">, with the </w:t>
            </w:r>
            <w:r w:rsidR="00161D85" w:rsidRPr="00E67674">
              <w:rPr>
                <w:sz w:val="17"/>
                <w:szCs w:val="17"/>
              </w:rPr>
              <w:t xml:space="preserve">relevant </w:t>
            </w:r>
            <w:r w:rsidR="00547FAD" w:rsidRPr="00E67674">
              <w:rPr>
                <w:sz w:val="17"/>
                <w:szCs w:val="17"/>
              </w:rPr>
              <w:t>Minister</w:t>
            </w:r>
            <w:r w:rsidR="00161D85" w:rsidRPr="00E67674">
              <w:rPr>
                <w:sz w:val="17"/>
                <w:szCs w:val="17"/>
              </w:rPr>
              <w:t xml:space="preserve"> (having regard to the NCC’s recommendation) responsible for third party access and greenfield exemption decisions, and the NCC responsible for form of regulation decisions</w:t>
            </w:r>
            <w:r w:rsidR="00547FAD" w:rsidRPr="00E67674">
              <w:rPr>
                <w:sz w:val="17"/>
                <w:szCs w:val="17"/>
              </w:rPr>
              <w:t>;</w:t>
            </w:r>
            <w:r w:rsidR="005C7756" w:rsidRPr="00E67674">
              <w:rPr>
                <w:sz w:val="17"/>
                <w:szCs w:val="17"/>
              </w:rPr>
              <w:t xml:space="preserve"> or </w:t>
            </w:r>
          </w:p>
          <w:p w14:paraId="38953848" w14:textId="77777777" w:rsidR="008B494F" w:rsidRPr="00E67674" w:rsidRDefault="005C7756" w:rsidP="000A3668">
            <w:pPr>
              <w:pStyle w:val="TableBullet10"/>
              <w:numPr>
                <w:ilvl w:val="0"/>
                <w:numId w:val="156"/>
              </w:numPr>
              <w:ind w:left="442" w:hanging="357"/>
              <w:rPr>
                <w:sz w:val="17"/>
                <w:szCs w:val="17"/>
              </w:rPr>
            </w:pPr>
            <w:r w:rsidRPr="00E67674">
              <w:rPr>
                <w:sz w:val="17"/>
                <w:szCs w:val="17"/>
              </w:rPr>
              <w:t xml:space="preserve">if a single decision-maker should be </w:t>
            </w:r>
            <w:r w:rsidR="00547FAD" w:rsidRPr="00E67674">
              <w:rPr>
                <w:sz w:val="17"/>
                <w:szCs w:val="17"/>
              </w:rPr>
              <w:t>responsible for all when and how to regulate decisions</w:t>
            </w:r>
            <w:r w:rsidRPr="00E67674">
              <w:rPr>
                <w:sz w:val="17"/>
                <w:szCs w:val="17"/>
              </w:rPr>
              <w:t xml:space="preserve">. </w:t>
            </w:r>
          </w:p>
          <w:p w14:paraId="4F9D007E" w14:textId="77777777" w:rsidR="00434E8E" w:rsidRPr="00E67674" w:rsidRDefault="00434E8E" w:rsidP="008522FC">
            <w:pPr>
              <w:pStyle w:val="TableBullet10"/>
              <w:numPr>
                <w:ilvl w:val="0"/>
                <w:numId w:val="0"/>
              </w:numPr>
              <w:spacing w:after="120" w:line="252" w:lineRule="auto"/>
              <w:ind w:left="85"/>
              <w:rPr>
                <w:sz w:val="17"/>
                <w:szCs w:val="17"/>
              </w:rPr>
            </w:pPr>
            <w:r w:rsidRPr="00E67674">
              <w:rPr>
                <w:sz w:val="17"/>
                <w:szCs w:val="17"/>
              </w:rPr>
              <w:t>Further consideration has therefore been given to these two options.</w:t>
            </w:r>
          </w:p>
          <w:p w14:paraId="5528AF8C" w14:textId="5C6A880A" w:rsidR="006C2DAD" w:rsidRPr="00E67674" w:rsidRDefault="00846B5E" w:rsidP="00295BFF">
            <w:pPr>
              <w:pStyle w:val="TableBullet10"/>
              <w:numPr>
                <w:ilvl w:val="0"/>
                <w:numId w:val="0"/>
              </w:numPr>
              <w:spacing w:line="252" w:lineRule="auto"/>
              <w:ind w:left="85"/>
              <w:rPr>
                <w:sz w:val="17"/>
                <w:szCs w:val="17"/>
              </w:rPr>
            </w:pPr>
            <w:r w:rsidRPr="00E67674">
              <w:rPr>
                <w:sz w:val="17"/>
                <w:szCs w:val="17"/>
              </w:rPr>
              <w:lastRenderedPageBreak/>
              <w:t>As outlined in section 4.2, o</w:t>
            </w:r>
            <w:r w:rsidR="00E87993" w:rsidRPr="00E67674">
              <w:rPr>
                <w:sz w:val="17"/>
                <w:szCs w:val="17"/>
              </w:rPr>
              <w:t xml:space="preserve">ne </w:t>
            </w:r>
            <w:r w:rsidR="00DD7BD0" w:rsidRPr="00E67674">
              <w:rPr>
                <w:sz w:val="17"/>
                <w:szCs w:val="17"/>
              </w:rPr>
              <w:t xml:space="preserve">of the main problems that has been identified with </w:t>
            </w:r>
            <w:r w:rsidR="009325C9" w:rsidRPr="00E67674">
              <w:rPr>
                <w:sz w:val="17"/>
                <w:szCs w:val="17"/>
              </w:rPr>
              <w:t>the current</w:t>
            </w:r>
            <w:r w:rsidR="00AD3521" w:rsidRPr="00E67674">
              <w:rPr>
                <w:sz w:val="17"/>
                <w:szCs w:val="17"/>
              </w:rPr>
              <w:t xml:space="preserve"> governance</w:t>
            </w:r>
            <w:r w:rsidR="009325C9" w:rsidRPr="00E67674">
              <w:rPr>
                <w:sz w:val="17"/>
                <w:szCs w:val="17"/>
              </w:rPr>
              <w:t xml:space="preserve"> arrangements is that </w:t>
            </w:r>
            <w:r w:rsidR="00AD3521" w:rsidRPr="00E67674">
              <w:rPr>
                <w:sz w:val="17"/>
                <w:szCs w:val="17"/>
              </w:rPr>
              <w:t xml:space="preserve">the </w:t>
            </w:r>
            <w:r w:rsidR="00875DE1" w:rsidRPr="00E67674">
              <w:rPr>
                <w:sz w:val="17"/>
                <w:szCs w:val="17"/>
              </w:rPr>
              <w:t xml:space="preserve">process for making </w:t>
            </w:r>
            <w:r w:rsidR="00AD3521" w:rsidRPr="00E67674">
              <w:rPr>
                <w:sz w:val="17"/>
                <w:szCs w:val="17"/>
              </w:rPr>
              <w:t xml:space="preserve">third party access </w:t>
            </w:r>
            <w:r w:rsidR="00DD7BD0" w:rsidRPr="00E67674">
              <w:rPr>
                <w:sz w:val="17"/>
                <w:szCs w:val="17"/>
              </w:rPr>
              <w:t>and greenfield exemption</w:t>
            </w:r>
            <w:r w:rsidR="00AD3521" w:rsidRPr="00E67674">
              <w:rPr>
                <w:sz w:val="17"/>
                <w:szCs w:val="17"/>
              </w:rPr>
              <w:t xml:space="preserve"> decisions </w:t>
            </w:r>
            <w:r w:rsidR="00875DE1" w:rsidRPr="00E67674">
              <w:rPr>
                <w:sz w:val="17"/>
                <w:szCs w:val="17"/>
              </w:rPr>
              <w:t>involves a duplication of effort by the NCC and the relevant Minister</w:t>
            </w:r>
            <w:r w:rsidR="00DD7BD0" w:rsidRPr="00E67674">
              <w:rPr>
                <w:sz w:val="17"/>
                <w:szCs w:val="17"/>
              </w:rPr>
              <w:t>.</w:t>
            </w:r>
            <w:r w:rsidR="00D55780" w:rsidRPr="00E67674">
              <w:rPr>
                <w:sz w:val="17"/>
                <w:szCs w:val="17"/>
              </w:rPr>
              <w:t xml:space="preserve"> </w:t>
            </w:r>
            <w:r w:rsidR="00853B4B" w:rsidRPr="00E67674">
              <w:rPr>
                <w:sz w:val="17"/>
                <w:szCs w:val="17"/>
              </w:rPr>
              <w:t xml:space="preserve">This is because the Minister is not just required to accept or reject the NCC’s recommendation. Rather, the Minister </w:t>
            </w:r>
            <w:r w:rsidR="007C34CC" w:rsidRPr="00E67674">
              <w:rPr>
                <w:sz w:val="17"/>
                <w:szCs w:val="17"/>
              </w:rPr>
              <w:t xml:space="preserve">is required by s. 100 of the NGL to </w:t>
            </w:r>
            <w:r w:rsidR="00853B4B" w:rsidRPr="00E67674">
              <w:rPr>
                <w:sz w:val="17"/>
                <w:szCs w:val="17"/>
              </w:rPr>
              <w:t xml:space="preserve">give effect to the same criteria and have regard to the same matters </w:t>
            </w:r>
            <w:r w:rsidR="007F66E0" w:rsidRPr="00E67674">
              <w:rPr>
                <w:sz w:val="17"/>
                <w:szCs w:val="17"/>
              </w:rPr>
              <w:t xml:space="preserve">that </w:t>
            </w:r>
            <w:r w:rsidR="00853B4B" w:rsidRPr="00E67674">
              <w:rPr>
                <w:sz w:val="17"/>
                <w:szCs w:val="17"/>
              </w:rPr>
              <w:t>the NCC is required to when making its recommendation and may also consult affected parties.</w:t>
            </w:r>
            <w:r w:rsidR="00370905">
              <w:rPr>
                <w:rFonts w:ascii="ZWAdobeF" w:hAnsi="ZWAdobeF" w:cs="ZWAdobeF"/>
                <w:sz w:val="2"/>
                <w:szCs w:val="2"/>
              </w:rPr>
              <w:t>109F</w:t>
            </w:r>
            <w:r w:rsidR="008747B7" w:rsidRPr="00E67674">
              <w:rPr>
                <w:rStyle w:val="FootnoteReference"/>
                <w:sz w:val="17"/>
                <w:szCs w:val="17"/>
              </w:rPr>
              <w:footnoteReference w:id="111"/>
            </w:r>
            <w:r w:rsidR="00853B4B" w:rsidRPr="00E67674">
              <w:rPr>
                <w:sz w:val="17"/>
                <w:szCs w:val="17"/>
              </w:rPr>
              <w:t xml:space="preserve"> </w:t>
            </w:r>
            <w:r w:rsidR="00045C1F" w:rsidRPr="00E67674">
              <w:rPr>
                <w:sz w:val="17"/>
                <w:szCs w:val="17"/>
              </w:rPr>
              <w:t xml:space="preserve">It is this duplication of effort that </w:t>
            </w:r>
            <w:r w:rsidR="001B737D" w:rsidRPr="00E67674">
              <w:rPr>
                <w:sz w:val="17"/>
                <w:szCs w:val="17"/>
              </w:rPr>
              <w:t xml:space="preserve">can </w:t>
            </w:r>
            <w:r w:rsidR="00045C1F" w:rsidRPr="00E67674">
              <w:rPr>
                <w:sz w:val="17"/>
                <w:szCs w:val="17"/>
              </w:rPr>
              <w:t>give rise to unnecessary costs and delays for access seekers, service providers and decision-makers</w:t>
            </w:r>
            <w:r w:rsidR="00B40169" w:rsidRPr="00E67674">
              <w:rPr>
                <w:sz w:val="17"/>
                <w:szCs w:val="17"/>
              </w:rPr>
              <w:t xml:space="preserve">, which is a problem with the current framework that would not be addressed by the retention of these arrangements. </w:t>
            </w:r>
          </w:p>
          <w:p w14:paraId="14E37C88" w14:textId="77777777" w:rsidR="00123302" w:rsidRPr="00E67674" w:rsidRDefault="005E6BFF" w:rsidP="00295BFF">
            <w:pPr>
              <w:pStyle w:val="TableBullet10"/>
              <w:numPr>
                <w:ilvl w:val="0"/>
                <w:numId w:val="0"/>
              </w:numPr>
              <w:spacing w:line="252" w:lineRule="auto"/>
              <w:ind w:left="85"/>
              <w:rPr>
                <w:rFonts w:cstheme="minorHAnsi"/>
                <w:sz w:val="17"/>
                <w:szCs w:val="17"/>
              </w:rPr>
            </w:pPr>
            <w:r w:rsidRPr="00E67674">
              <w:rPr>
                <w:rFonts w:cstheme="minorHAnsi"/>
                <w:sz w:val="17"/>
                <w:szCs w:val="17"/>
              </w:rPr>
              <w:t xml:space="preserve">In contrast to the </w:t>
            </w:r>
            <w:r w:rsidR="00041920" w:rsidRPr="00E67674">
              <w:rPr>
                <w:rFonts w:cstheme="minorHAnsi"/>
                <w:sz w:val="17"/>
                <w:szCs w:val="17"/>
              </w:rPr>
              <w:t xml:space="preserve">current </w:t>
            </w:r>
            <w:r w:rsidR="00280895" w:rsidRPr="00E67674">
              <w:rPr>
                <w:rFonts w:cstheme="minorHAnsi"/>
                <w:sz w:val="17"/>
                <w:szCs w:val="17"/>
              </w:rPr>
              <w:t>arrangements</w:t>
            </w:r>
            <w:r w:rsidR="00041920" w:rsidRPr="00E67674">
              <w:rPr>
                <w:rFonts w:cstheme="minorHAnsi"/>
                <w:sz w:val="17"/>
                <w:szCs w:val="17"/>
              </w:rPr>
              <w:t xml:space="preserve">, </w:t>
            </w:r>
            <w:r w:rsidRPr="00E67674">
              <w:rPr>
                <w:rFonts w:cstheme="minorHAnsi"/>
                <w:sz w:val="17"/>
                <w:szCs w:val="17"/>
              </w:rPr>
              <w:t xml:space="preserve">the movement to a single decision-making body model would </w:t>
            </w:r>
            <w:r w:rsidR="00F41379" w:rsidRPr="00E67674">
              <w:rPr>
                <w:rFonts w:cstheme="minorHAnsi"/>
                <w:sz w:val="17"/>
                <w:szCs w:val="17"/>
              </w:rPr>
              <w:t xml:space="preserve">address the problems that have been identified with this aspect of the framework by removing </w:t>
            </w:r>
            <w:r w:rsidRPr="00E67674">
              <w:rPr>
                <w:rFonts w:cstheme="minorHAnsi"/>
                <w:sz w:val="17"/>
                <w:szCs w:val="17"/>
              </w:rPr>
              <w:t xml:space="preserve">the duplication of effort </w:t>
            </w:r>
            <w:r w:rsidR="002F0C37" w:rsidRPr="00E67674">
              <w:rPr>
                <w:rFonts w:cstheme="minorHAnsi"/>
                <w:sz w:val="17"/>
                <w:szCs w:val="17"/>
              </w:rPr>
              <w:t xml:space="preserve">associated with these decisions. It </w:t>
            </w:r>
            <w:r w:rsidR="00F41379" w:rsidRPr="00E67674">
              <w:rPr>
                <w:rFonts w:cstheme="minorHAnsi"/>
                <w:sz w:val="17"/>
                <w:szCs w:val="17"/>
              </w:rPr>
              <w:t xml:space="preserve">would </w:t>
            </w:r>
            <w:r w:rsidR="00253FFF" w:rsidRPr="00E67674">
              <w:rPr>
                <w:rFonts w:cstheme="minorHAnsi"/>
                <w:sz w:val="17"/>
                <w:szCs w:val="17"/>
              </w:rPr>
              <w:t>therefore halve the time required to make third party access and greenfield exemption decisions</w:t>
            </w:r>
            <w:r w:rsidR="00030716" w:rsidRPr="00E67674">
              <w:rPr>
                <w:rFonts w:cstheme="minorHAnsi"/>
                <w:sz w:val="17"/>
                <w:szCs w:val="17"/>
              </w:rPr>
              <w:t xml:space="preserve">, and </w:t>
            </w:r>
            <w:r w:rsidR="00125C63" w:rsidRPr="00E67674">
              <w:rPr>
                <w:rFonts w:cstheme="minorHAnsi"/>
                <w:sz w:val="17"/>
                <w:szCs w:val="17"/>
              </w:rPr>
              <w:t xml:space="preserve">in so doing, </w:t>
            </w:r>
            <w:r w:rsidR="00030716" w:rsidRPr="00E67674">
              <w:rPr>
                <w:rFonts w:cstheme="minorHAnsi"/>
                <w:sz w:val="17"/>
                <w:szCs w:val="17"/>
              </w:rPr>
              <w:t>provide for more cost effective and timely decisions.</w:t>
            </w:r>
            <w:r w:rsidR="00E33998" w:rsidRPr="00E67674">
              <w:rPr>
                <w:rFonts w:cstheme="minorHAnsi"/>
                <w:sz w:val="17"/>
                <w:szCs w:val="17"/>
              </w:rPr>
              <w:t xml:space="preserve"> </w:t>
            </w:r>
            <w:r w:rsidR="00137CCA" w:rsidRPr="00E67674">
              <w:rPr>
                <w:rFonts w:cstheme="minorHAnsi"/>
                <w:sz w:val="17"/>
                <w:szCs w:val="17"/>
              </w:rPr>
              <w:t xml:space="preserve">This option therefore </w:t>
            </w:r>
            <w:r w:rsidR="006C18CB" w:rsidRPr="00E67674">
              <w:rPr>
                <w:rFonts w:cstheme="minorHAnsi"/>
                <w:sz w:val="17"/>
                <w:szCs w:val="17"/>
              </w:rPr>
              <w:t xml:space="preserve">offers a number of benefits over </w:t>
            </w:r>
            <w:r w:rsidR="00685FFD" w:rsidRPr="00E67674">
              <w:rPr>
                <w:rFonts w:cstheme="minorHAnsi"/>
                <w:sz w:val="17"/>
                <w:szCs w:val="17"/>
              </w:rPr>
              <w:t xml:space="preserve">the </w:t>
            </w:r>
            <w:r w:rsidR="00137CCA" w:rsidRPr="00E67674">
              <w:rPr>
                <w:rFonts w:cstheme="minorHAnsi"/>
                <w:sz w:val="17"/>
                <w:szCs w:val="17"/>
              </w:rPr>
              <w:t>current arrangements</w:t>
            </w:r>
            <w:r w:rsidR="00685FFD" w:rsidRPr="00E67674">
              <w:rPr>
                <w:rFonts w:cstheme="minorHAnsi"/>
                <w:sz w:val="17"/>
                <w:szCs w:val="17"/>
              </w:rPr>
              <w:t>, which</w:t>
            </w:r>
            <w:r w:rsidR="00F52C94" w:rsidRPr="00E67674">
              <w:rPr>
                <w:rFonts w:cstheme="minorHAnsi"/>
                <w:sz w:val="17"/>
                <w:szCs w:val="17"/>
              </w:rPr>
              <w:t xml:space="preserve"> is why it has been included in options 3A and 3B</w:t>
            </w:r>
            <w:r w:rsidR="00137CCA" w:rsidRPr="00E67674">
              <w:rPr>
                <w:rFonts w:cstheme="minorHAnsi"/>
                <w:sz w:val="17"/>
                <w:szCs w:val="17"/>
              </w:rPr>
              <w:t>.</w:t>
            </w:r>
          </w:p>
          <w:p w14:paraId="762D2BBE" w14:textId="77777777" w:rsidR="002732CF" w:rsidRPr="00E67674" w:rsidRDefault="000D651D" w:rsidP="00295BFF">
            <w:pPr>
              <w:pStyle w:val="TableBullet10"/>
              <w:numPr>
                <w:ilvl w:val="0"/>
                <w:numId w:val="0"/>
              </w:numPr>
              <w:spacing w:line="252" w:lineRule="auto"/>
              <w:ind w:left="85"/>
              <w:rPr>
                <w:rFonts w:cstheme="minorHAnsi"/>
                <w:sz w:val="17"/>
                <w:szCs w:val="17"/>
              </w:rPr>
            </w:pPr>
            <w:r w:rsidRPr="00E67674">
              <w:rPr>
                <w:rFonts w:cstheme="minorHAnsi"/>
                <w:sz w:val="17"/>
                <w:szCs w:val="17"/>
              </w:rPr>
              <w:t xml:space="preserve">As to which organisation should take on </w:t>
            </w:r>
            <w:r w:rsidR="00F52C94" w:rsidRPr="00E67674">
              <w:rPr>
                <w:rFonts w:cstheme="minorHAnsi"/>
                <w:sz w:val="17"/>
                <w:szCs w:val="17"/>
              </w:rPr>
              <w:t>the decision-making</w:t>
            </w:r>
            <w:r w:rsidRPr="00E67674">
              <w:rPr>
                <w:rFonts w:cstheme="minorHAnsi"/>
                <w:sz w:val="17"/>
                <w:szCs w:val="17"/>
              </w:rPr>
              <w:t xml:space="preserve"> role, there is no single </w:t>
            </w:r>
            <w:r w:rsidR="001A6D1B" w:rsidRPr="00E67674">
              <w:rPr>
                <w:rFonts w:cstheme="minorHAnsi"/>
                <w:sz w:val="17"/>
                <w:szCs w:val="17"/>
              </w:rPr>
              <w:t>organisation</w:t>
            </w:r>
            <w:r w:rsidRPr="00E67674">
              <w:rPr>
                <w:rFonts w:cstheme="minorHAnsi"/>
                <w:sz w:val="17"/>
                <w:szCs w:val="17"/>
              </w:rPr>
              <w:t xml:space="preserve"> that all stakeholders agreed should </w:t>
            </w:r>
            <w:r w:rsidR="0055735D" w:rsidRPr="00E67674">
              <w:rPr>
                <w:rFonts w:cstheme="minorHAnsi"/>
                <w:sz w:val="17"/>
                <w:szCs w:val="17"/>
              </w:rPr>
              <w:t>be responsible for these decisions</w:t>
            </w:r>
            <w:r w:rsidR="00365A54" w:rsidRPr="00E67674">
              <w:rPr>
                <w:rFonts w:cstheme="minorHAnsi"/>
                <w:sz w:val="17"/>
                <w:szCs w:val="17"/>
              </w:rPr>
              <w:t>.</w:t>
            </w:r>
            <w:r w:rsidR="001C4440" w:rsidRPr="00E67674">
              <w:rPr>
                <w:rFonts w:cstheme="minorHAnsi"/>
                <w:sz w:val="17"/>
                <w:szCs w:val="17"/>
              </w:rPr>
              <w:t xml:space="preserve"> </w:t>
            </w:r>
            <w:r w:rsidR="0055735D" w:rsidRPr="00E67674">
              <w:rPr>
                <w:rFonts w:cstheme="minorHAnsi"/>
                <w:sz w:val="17"/>
                <w:szCs w:val="17"/>
              </w:rPr>
              <w:t xml:space="preserve">Further consideration has therefore </w:t>
            </w:r>
            <w:r w:rsidR="00A45F3C" w:rsidRPr="00E67674">
              <w:rPr>
                <w:rFonts w:cstheme="minorHAnsi"/>
                <w:sz w:val="17"/>
                <w:szCs w:val="17"/>
              </w:rPr>
              <w:t xml:space="preserve">been given to the </w:t>
            </w:r>
            <w:r w:rsidR="00DE469C" w:rsidRPr="00E67674">
              <w:rPr>
                <w:rFonts w:cstheme="minorHAnsi"/>
                <w:sz w:val="17"/>
                <w:szCs w:val="17"/>
              </w:rPr>
              <w:t>options, which include the NCC, the ACCC and the relevant regulator (i.e. the AER in the east coast and NT and the ERA in WA)</w:t>
            </w:r>
            <w:r w:rsidR="00A45F3C" w:rsidRPr="00E67674">
              <w:rPr>
                <w:rFonts w:cstheme="minorHAnsi"/>
                <w:sz w:val="17"/>
                <w:szCs w:val="17"/>
              </w:rPr>
              <w:t>. Of these three options</w:t>
            </w:r>
            <w:r w:rsidR="00DE469C" w:rsidRPr="00E67674">
              <w:rPr>
                <w:rFonts w:cstheme="minorHAnsi"/>
                <w:sz w:val="17"/>
                <w:szCs w:val="17"/>
              </w:rPr>
              <w:t xml:space="preserve">, </w:t>
            </w:r>
            <w:r w:rsidR="00FC65A6" w:rsidRPr="00E67674">
              <w:rPr>
                <w:rFonts w:cstheme="minorHAnsi"/>
                <w:sz w:val="17"/>
                <w:szCs w:val="17"/>
              </w:rPr>
              <w:t xml:space="preserve">requiring </w:t>
            </w:r>
            <w:r w:rsidR="00DE469C" w:rsidRPr="00E67674">
              <w:rPr>
                <w:rFonts w:cstheme="minorHAnsi"/>
                <w:sz w:val="17"/>
                <w:szCs w:val="17"/>
              </w:rPr>
              <w:t xml:space="preserve">the </w:t>
            </w:r>
            <w:r w:rsidR="00DA473C" w:rsidRPr="00E67674">
              <w:rPr>
                <w:rFonts w:cstheme="minorHAnsi"/>
                <w:sz w:val="17"/>
                <w:szCs w:val="17"/>
              </w:rPr>
              <w:t>relevant</w:t>
            </w:r>
            <w:r w:rsidR="002F0ECD" w:rsidRPr="00E67674">
              <w:rPr>
                <w:rFonts w:cstheme="minorHAnsi"/>
                <w:sz w:val="17"/>
                <w:szCs w:val="17"/>
              </w:rPr>
              <w:t xml:space="preserve"> regulator </w:t>
            </w:r>
            <w:r w:rsidR="00FC65A6" w:rsidRPr="00E67674">
              <w:rPr>
                <w:rFonts w:cstheme="minorHAnsi"/>
                <w:sz w:val="17"/>
                <w:szCs w:val="17"/>
              </w:rPr>
              <w:t xml:space="preserve">to make these decisions would be more in keeping with the </w:t>
            </w:r>
            <w:r w:rsidR="001D4FF2" w:rsidRPr="00E67674">
              <w:rPr>
                <w:rFonts w:cstheme="minorHAnsi"/>
                <w:sz w:val="17"/>
                <w:szCs w:val="17"/>
              </w:rPr>
              <w:t>broader energy market governance arrangements</w:t>
            </w:r>
            <w:r w:rsidR="0075614F" w:rsidRPr="00E67674">
              <w:rPr>
                <w:rFonts w:cstheme="minorHAnsi"/>
                <w:sz w:val="17"/>
                <w:szCs w:val="17"/>
              </w:rPr>
              <w:t xml:space="preserve">. </w:t>
            </w:r>
            <w:r w:rsidR="0030194A" w:rsidRPr="00E67674">
              <w:rPr>
                <w:rFonts w:cstheme="minorHAnsi"/>
                <w:sz w:val="17"/>
                <w:szCs w:val="17"/>
              </w:rPr>
              <w:t xml:space="preserve">It would also be </w:t>
            </w:r>
            <w:r w:rsidR="00A64A3F" w:rsidRPr="00E67674">
              <w:rPr>
                <w:rFonts w:cstheme="minorHAnsi"/>
                <w:sz w:val="17"/>
                <w:szCs w:val="17"/>
              </w:rPr>
              <w:t xml:space="preserve">consistent with other aspects of options 3A and 3B, which are intended </w:t>
            </w:r>
            <w:r w:rsidR="00AF5095" w:rsidRPr="00E67674">
              <w:rPr>
                <w:rFonts w:cstheme="minorHAnsi"/>
                <w:sz w:val="17"/>
                <w:szCs w:val="17"/>
              </w:rPr>
              <w:t xml:space="preserve">to </w:t>
            </w:r>
            <w:r w:rsidR="002E496D" w:rsidRPr="00E67674">
              <w:rPr>
                <w:rFonts w:cstheme="minorHAnsi"/>
                <w:sz w:val="17"/>
                <w:szCs w:val="17"/>
              </w:rPr>
              <w:t xml:space="preserve">strengthen </w:t>
            </w:r>
            <w:r w:rsidR="00ED3BEB" w:rsidRPr="00E67674">
              <w:rPr>
                <w:rFonts w:cstheme="minorHAnsi"/>
                <w:sz w:val="17"/>
                <w:szCs w:val="17"/>
              </w:rPr>
              <w:t xml:space="preserve">the role of </w:t>
            </w:r>
            <w:r w:rsidR="002E496D" w:rsidRPr="00E67674">
              <w:rPr>
                <w:rFonts w:cstheme="minorHAnsi"/>
                <w:sz w:val="17"/>
                <w:szCs w:val="17"/>
              </w:rPr>
              <w:t xml:space="preserve">the </w:t>
            </w:r>
            <w:r w:rsidR="003F558E" w:rsidRPr="00E67674">
              <w:rPr>
                <w:rFonts w:cstheme="minorHAnsi"/>
                <w:sz w:val="17"/>
                <w:szCs w:val="17"/>
              </w:rPr>
              <w:t xml:space="preserve">relevant </w:t>
            </w:r>
            <w:r w:rsidR="002E496D" w:rsidRPr="00E67674">
              <w:rPr>
                <w:rFonts w:cstheme="minorHAnsi"/>
                <w:sz w:val="17"/>
                <w:szCs w:val="17"/>
              </w:rPr>
              <w:t>regulator and</w:t>
            </w:r>
            <w:r w:rsidR="003F558E" w:rsidRPr="00E67674">
              <w:rPr>
                <w:rFonts w:cstheme="minorHAnsi"/>
                <w:sz w:val="17"/>
                <w:szCs w:val="17"/>
              </w:rPr>
              <w:t>, in so doing,</w:t>
            </w:r>
            <w:r w:rsidR="002E496D" w:rsidRPr="00E67674">
              <w:rPr>
                <w:rFonts w:cstheme="minorHAnsi"/>
                <w:sz w:val="17"/>
                <w:szCs w:val="17"/>
              </w:rPr>
              <w:t xml:space="preserve"> pose a more credible </w:t>
            </w:r>
            <w:r w:rsidR="003F558E" w:rsidRPr="00E67674">
              <w:rPr>
                <w:rFonts w:cstheme="minorHAnsi"/>
                <w:sz w:val="17"/>
                <w:szCs w:val="17"/>
              </w:rPr>
              <w:t>constraint on service providers.</w:t>
            </w:r>
          </w:p>
          <w:p w14:paraId="3DF41D06" w14:textId="40A8F8D5" w:rsidR="00030716" w:rsidRPr="00E67674" w:rsidRDefault="000E15D3" w:rsidP="00295BFF">
            <w:pPr>
              <w:pStyle w:val="TableBullet10"/>
              <w:numPr>
                <w:ilvl w:val="0"/>
                <w:numId w:val="0"/>
              </w:numPr>
              <w:spacing w:line="252" w:lineRule="auto"/>
              <w:ind w:left="85"/>
              <w:rPr>
                <w:rFonts w:cstheme="minorHAnsi"/>
                <w:sz w:val="17"/>
                <w:szCs w:val="17"/>
              </w:rPr>
            </w:pPr>
            <w:r w:rsidRPr="00E67674">
              <w:rPr>
                <w:rFonts w:cstheme="minorHAnsi"/>
                <w:sz w:val="17"/>
                <w:szCs w:val="17"/>
              </w:rPr>
              <w:t xml:space="preserve">While some stakeholders suggested that this may constitute a conflict for the relevant regulator, </w:t>
            </w:r>
            <w:r w:rsidR="00C95D97" w:rsidRPr="00E67674">
              <w:rPr>
                <w:rFonts w:cstheme="minorHAnsi"/>
                <w:sz w:val="17"/>
                <w:szCs w:val="17"/>
              </w:rPr>
              <w:t xml:space="preserve">there are numerous examples of this </w:t>
            </w:r>
            <w:r w:rsidR="00E0621D" w:rsidRPr="00E67674">
              <w:rPr>
                <w:rFonts w:cstheme="minorHAnsi"/>
                <w:sz w:val="17"/>
                <w:szCs w:val="17"/>
              </w:rPr>
              <w:t xml:space="preserve">type of </w:t>
            </w:r>
            <w:r w:rsidR="00C95D97" w:rsidRPr="00E67674">
              <w:rPr>
                <w:rFonts w:cstheme="minorHAnsi"/>
                <w:sz w:val="17"/>
                <w:szCs w:val="17"/>
              </w:rPr>
              <w:t xml:space="preserve">governance arrangement </w:t>
            </w:r>
            <w:r w:rsidR="00E0621D" w:rsidRPr="00E67674">
              <w:rPr>
                <w:rFonts w:cstheme="minorHAnsi"/>
                <w:sz w:val="17"/>
                <w:szCs w:val="17"/>
              </w:rPr>
              <w:t xml:space="preserve">being employed </w:t>
            </w:r>
            <w:r w:rsidR="00C95D97" w:rsidRPr="00E67674">
              <w:rPr>
                <w:rFonts w:cstheme="minorHAnsi"/>
                <w:sz w:val="17"/>
                <w:szCs w:val="17"/>
              </w:rPr>
              <w:t>in other jurisdictions</w:t>
            </w:r>
            <w:r w:rsidR="00B0435B" w:rsidRPr="00E67674">
              <w:rPr>
                <w:rFonts w:cstheme="minorHAnsi"/>
                <w:sz w:val="17"/>
                <w:szCs w:val="17"/>
              </w:rPr>
              <w:t xml:space="preserve"> (</w:t>
            </w:r>
            <w:r w:rsidR="00BA79CF" w:rsidRPr="00E67674">
              <w:rPr>
                <w:rFonts w:cstheme="minorHAnsi"/>
                <w:sz w:val="17"/>
                <w:szCs w:val="17"/>
              </w:rPr>
              <w:t>see Table 2.2</w:t>
            </w:r>
            <w:r w:rsidR="00B0435B" w:rsidRPr="00E67674">
              <w:rPr>
                <w:rFonts w:cstheme="minorHAnsi"/>
                <w:sz w:val="17"/>
                <w:szCs w:val="17"/>
              </w:rPr>
              <w:t>)</w:t>
            </w:r>
            <w:r w:rsidR="00C95D97" w:rsidRPr="00E67674">
              <w:rPr>
                <w:rFonts w:cstheme="minorHAnsi"/>
                <w:sz w:val="17"/>
                <w:szCs w:val="17"/>
              </w:rPr>
              <w:t xml:space="preserve"> and in </w:t>
            </w:r>
            <w:r w:rsidR="00B0435B" w:rsidRPr="00E67674">
              <w:rPr>
                <w:rFonts w:cstheme="minorHAnsi"/>
                <w:sz w:val="17"/>
                <w:szCs w:val="17"/>
              </w:rPr>
              <w:t>other industries</w:t>
            </w:r>
            <w:r w:rsidR="00BA79CF" w:rsidRPr="00E67674">
              <w:rPr>
                <w:rFonts w:cstheme="minorHAnsi"/>
                <w:sz w:val="17"/>
                <w:szCs w:val="17"/>
              </w:rPr>
              <w:t xml:space="preserve"> in Australia</w:t>
            </w:r>
            <w:r w:rsidR="002D4A22" w:rsidRPr="00E67674">
              <w:rPr>
                <w:rFonts w:cstheme="minorHAnsi"/>
                <w:sz w:val="17"/>
                <w:szCs w:val="17"/>
              </w:rPr>
              <w:t>.</w:t>
            </w:r>
            <w:r w:rsidR="00370905">
              <w:rPr>
                <w:rFonts w:ascii="ZWAdobeF" w:hAnsi="ZWAdobeF" w:cs="ZWAdobeF"/>
                <w:sz w:val="2"/>
                <w:szCs w:val="2"/>
              </w:rPr>
              <w:t>110F</w:t>
            </w:r>
            <w:r w:rsidR="002D4A22" w:rsidRPr="00E67674">
              <w:rPr>
                <w:rStyle w:val="FootnoteReference"/>
                <w:rFonts w:cstheme="minorHAnsi"/>
                <w:sz w:val="17"/>
                <w:szCs w:val="17"/>
              </w:rPr>
              <w:footnoteReference w:id="112"/>
            </w:r>
            <w:r w:rsidR="00B0435B" w:rsidRPr="00E67674">
              <w:rPr>
                <w:rFonts w:cstheme="minorHAnsi"/>
                <w:sz w:val="17"/>
                <w:szCs w:val="17"/>
              </w:rPr>
              <w:t xml:space="preserve"> </w:t>
            </w:r>
            <w:r w:rsidR="00DA473C" w:rsidRPr="00E67674">
              <w:rPr>
                <w:rFonts w:cstheme="minorHAnsi"/>
                <w:sz w:val="17"/>
                <w:szCs w:val="17"/>
              </w:rPr>
              <w:t xml:space="preserve"> </w:t>
            </w:r>
            <w:r w:rsidR="00B901BB">
              <w:rPr>
                <w:rFonts w:cstheme="minorHAnsi"/>
                <w:sz w:val="17"/>
                <w:szCs w:val="17"/>
              </w:rPr>
              <w:t xml:space="preserve">The type of arrangement was also proposed by </w:t>
            </w:r>
            <w:r w:rsidR="002732CF" w:rsidRPr="00E67674">
              <w:rPr>
                <w:sz w:val="17"/>
                <w:szCs w:val="17"/>
              </w:rPr>
              <w:t xml:space="preserve">the Harper Review </w:t>
            </w:r>
            <w:r w:rsidR="00B901BB">
              <w:rPr>
                <w:sz w:val="17"/>
                <w:szCs w:val="17"/>
              </w:rPr>
              <w:t xml:space="preserve">when it </w:t>
            </w:r>
            <w:r w:rsidR="002732CF" w:rsidRPr="00E67674">
              <w:rPr>
                <w:sz w:val="17"/>
                <w:szCs w:val="17"/>
              </w:rPr>
              <w:t>considered a similar issue in 2015</w:t>
            </w:r>
            <w:r w:rsidR="00B901BB">
              <w:rPr>
                <w:sz w:val="17"/>
                <w:szCs w:val="17"/>
              </w:rPr>
              <w:t xml:space="preserve">. At the time, the Harper Review noted that according </w:t>
            </w:r>
            <w:r w:rsidR="002732CF" w:rsidRPr="00E67674">
              <w:rPr>
                <w:sz w:val="17"/>
                <w:szCs w:val="17"/>
              </w:rPr>
              <w:t>a single organisation responsi</w:t>
            </w:r>
            <w:r w:rsidR="00B901BB">
              <w:rPr>
                <w:sz w:val="17"/>
                <w:szCs w:val="17"/>
              </w:rPr>
              <w:t>bility</w:t>
            </w:r>
            <w:r w:rsidR="002732CF" w:rsidRPr="00E67674">
              <w:rPr>
                <w:sz w:val="17"/>
                <w:szCs w:val="17"/>
              </w:rPr>
              <w:t xml:space="preserve"> for determining when an asset should be regulated and </w:t>
            </w:r>
            <w:r w:rsidR="00E1497E">
              <w:rPr>
                <w:sz w:val="17"/>
                <w:szCs w:val="17"/>
              </w:rPr>
              <w:t xml:space="preserve">for applying regulation to that asset </w:t>
            </w:r>
            <w:r w:rsidR="002732CF" w:rsidRPr="00E67674">
              <w:rPr>
                <w:sz w:val="17"/>
                <w:szCs w:val="17"/>
              </w:rPr>
              <w:t xml:space="preserve">would </w:t>
            </w:r>
            <w:r w:rsidR="002732CF" w:rsidRPr="00E67674">
              <w:rPr>
                <w:b/>
                <w:bCs/>
                <w:sz w:val="17"/>
                <w:szCs w:val="17"/>
              </w:rPr>
              <w:t>not</w:t>
            </w:r>
            <w:r w:rsidR="002732CF" w:rsidRPr="00E67674">
              <w:rPr>
                <w:sz w:val="17"/>
                <w:szCs w:val="17"/>
              </w:rPr>
              <w:t xml:space="preserve"> constitute a conflict and could give rise to some benefits.</w:t>
            </w:r>
            <w:r w:rsidR="00370905">
              <w:rPr>
                <w:rFonts w:ascii="ZWAdobeF" w:hAnsi="ZWAdobeF" w:cs="ZWAdobeF"/>
                <w:sz w:val="2"/>
                <w:szCs w:val="2"/>
              </w:rPr>
              <w:t>111F</w:t>
            </w:r>
            <w:r w:rsidR="002732CF" w:rsidRPr="00E67674">
              <w:rPr>
                <w:rStyle w:val="FootnoteReference"/>
                <w:sz w:val="17"/>
                <w:szCs w:val="17"/>
              </w:rPr>
              <w:footnoteReference w:id="113"/>
            </w:r>
          </w:p>
          <w:p w14:paraId="590A328A" w14:textId="77777777" w:rsidR="00A800CB" w:rsidRPr="00E67674" w:rsidRDefault="00B211CA" w:rsidP="00295BFF">
            <w:pPr>
              <w:pStyle w:val="TableBullet10"/>
              <w:numPr>
                <w:ilvl w:val="0"/>
                <w:numId w:val="0"/>
              </w:numPr>
              <w:spacing w:line="252" w:lineRule="auto"/>
              <w:ind w:left="85"/>
              <w:rPr>
                <w:sz w:val="17"/>
                <w:szCs w:val="17"/>
              </w:rPr>
            </w:pPr>
            <w:r w:rsidRPr="00E67674">
              <w:rPr>
                <w:sz w:val="17"/>
                <w:szCs w:val="17"/>
              </w:rPr>
              <w:t>Provision has therefore been made for the relevant regulator to be responsible for when and how to regulate decisions under options 3A and 3B</w:t>
            </w:r>
            <w:r w:rsidR="00D61BFB" w:rsidRPr="00E67674">
              <w:rPr>
                <w:sz w:val="17"/>
                <w:szCs w:val="17"/>
              </w:rPr>
              <w:t>, which in the case of</w:t>
            </w:r>
            <w:r w:rsidR="00A800CB" w:rsidRPr="00E67674">
              <w:rPr>
                <w:sz w:val="17"/>
                <w:szCs w:val="17"/>
              </w:rPr>
              <w:t>:</w:t>
            </w:r>
            <w:r w:rsidR="00D61BFB" w:rsidRPr="00E67674">
              <w:rPr>
                <w:sz w:val="17"/>
                <w:szCs w:val="17"/>
              </w:rPr>
              <w:t xml:space="preserve"> </w:t>
            </w:r>
          </w:p>
          <w:p w14:paraId="7741BD48" w14:textId="77777777" w:rsidR="00A654D6" w:rsidRPr="00E67674" w:rsidRDefault="008705FB" w:rsidP="008705FB">
            <w:pPr>
              <w:pStyle w:val="TableBullet10"/>
              <w:rPr>
                <w:sz w:val="17"/>
                <w:szCs w:val="17"/>
              </w:rPr>
            </w:pPr>
            <w:r w:rsidRPr="00E67674">
              <w:rPr>
                <w:sz w:val="17"/>
                <w:szCs w:val="17"/>
              </w:rPr>
              <w:t>O</w:t>
            </w:r>
            <w:r w:rsidR="00D61BFB" w:rsidRPr="00E67674">
              <w:rPr>
                <w:sz w:val="17"/>
                <w:szCs w:val="17"/>
              </w:rPr>
              <w:t xml:space="preserve">ption 3A </w:t>
            </w:r>
            <w:r w:rsidRPr="00E67674">
              <w:rPr>
                <w:sz w:val="17"/>
                <w:szCs w:val="17"/>
              </w:rPr>
              <w:t>would</w:t>
            </w:r>
            <w:r w:rsidR="00D61BFB" w:rsidRPr="00E67674">
              <w:rPr>
                <w:sz w:val="17"/>
                <w:szCs w:val="17"/>
              </w:rPr>
              <w:t xml:space="preserve"> involve considering applications for third party access, greenfield exemptions and </w:t>
            </w:r>
            <w:r w:rsidRPr="00E67674">
              <w:rPr>
                <w:sz w:val="17"/>
                <w:szCs w:val="17"/>
              </w:rPr>
              <w:t xml:space="preserve">changes to the </w:t>
            </w:r>
            <w:r w:rsidR="00D61BFB" w:rsidRPr="00E67674">
              <w:rPr>
                <w:sz w:val="17"/>
                <w:szCs w:val="17"/>
              </w:rPr>
              <w:t>form of regulation</w:t>
            </w:r>
            <w:r w:rsidR="00A654D6" w:rsidRPr="00E67674">
              <w:rPr>
                <w:sz w:val="17"/>
                <w:szCs w:val="17"/>
              </w:rPr>
              <w:t>; and</w:t>
            </w:r>
          </w:p>
          <w:p w14:paraId="30077B9A" w14:textId="77777777" w:rsidR="00A422DF" w:rsidRPr="00E67674" w:rsidRDefault="008705FB" w:rsidP="00295BFF">
            <w:pPr>
              <w:pStyle w:val="TableBullet10"/>
              <w:spacing w:after="0"/>
              <w:rPr>
                <w:sz w:val="17"/>
                <w:szCs w:val="17"/>
              </w:rPr>
            </w:pPr>
            <w:r w:rsidRPr="00E67674">
              <w:rPr>
                <w:sz w:val="17"/>
                <w:szCs w:val="17"/>
              </w:rPr>
              <w:t>O</w:t>
            </w:r>
            <w:r w:rsidR="00A654D6" w:rsidRPr="00E67674">
              <w:rPr>
                <w:sz w:val="17"/>
                <w:szCs w:val="17"/>
              </w:rPr>
              <w:t xml:space="preserve">ption 3B </w:t>
            </w:r>
            <w:r w:rsidRPr="00E67674">
              <w:rPr>
                <w:sz w:val="17"/>
                <w:szCs w:val="17"/>
              </w:rPr>
              <w:t xml:space="preserve">would </w:t>
            </w:r>
            <w:r w:rsidR="00A654D6" w:rsidRPr="00E67674">
              <w:rPr>
                <w:sz w:val="17"/>
                <w:szCs w:val="17"/>
              </w:rPr>
              <w:t xml:space="preserve">involve considering applications for greenfield exemptions and </w:t>
            </w:r>
            <w:r w:rsidRPr="00E67674">
              <w:rPr>
                <w:sz w:val="17"/>
                <w:szCs w:val="17"/>
              </w:rPr>
              <w:t xml:space="preserve">changes to the </w:t>
            </w:r>
            <w:r w:rsidR="00A654D6" w:rsidRPr="00E67674">
              <w:rPr>
                <w:sz w:val="17"/>
                <w:szCs w:val="17"/>
              </w:rPr>
              <w:t>form of regulation</w:t>
            </w:r>
            <w:r w:rsidRPr="00E67674">
              <w:rPr>
                <w:sz w:val="17"/>
                <w:szCs w:val="17"/>
              </w:rPr>
              <w:t>.</w:t>
            </w:r>
          </w:p>
        </w:tc>
        <w:tc>
          <w:tcPr>
            <w:tcW w:w="1547" w:type="pct"/>
            <w:shd w:val="clear" w:color="auto" w:fill="FFFFFF" w:themeFill="background1"/>
          </w:tcPr>
          <w:p w14:paraId="2A1D93F2" w14:textId="77777777" w:rsidR="00F8323C" w:rsidRPr="008705FB" w:rsidRDefault="00D52F18" w:rsidP="000779D9">
            <w:pPr>
              <w:pStyle w:val="TableBullet10"/>
              <w:spacing w:before="20" w:after="20"/>
              <w:rPr>
                <w:i/>
                <w:iCs/>
                <w:sz w:val="17"/>
                <w:szCs w:val="17"/>
              </w:rPr>
            </w:pPr>
            <w:r w:rsidRPr="008705FB">
              <w:rPr>
                <w:i/>
                <w:iCs/>
                <w:sz w:val="17"/>
                <w:szCs w:val="17"/>
              </w:rPr>
              <w:lastRenderedPageBreak/>
              <w:t>Under O</w:t>
            </w:r>
            <w:r w:rsidR="006D2349" w:rsidRPr="008705FB">
              <w:rPr>
                <w:i/>
                <w:iCs/>
                <w:sz w:val="17"/>
                <w:szCs w:val="17"/>
              </w:rPr>
              <w:t xml:space="preserve">ption 3A </w:t>
            </w:r>
            <w:r w:rsidR="00E14606" w:rsidRPr="008705FB">
              <w:rPr>
                <w:i/>
                <w:iCs/>
                <w:sz w:val="17"/>
                <w:szCs w:val="17"/>
              </w:rPr>
              <w:t>t</w:t>
            </w:r>
            <w:r w:rsidR="006D2349" w:rsidRPr="008705FB">
              <w:rPr>
                <w:i/>
                <w:iCs/>
                <w:sz w:val="17"/>
                <w:szCs w:val="17"/>
              </w:rPr>
              <w:t xml:space="preserve">he relevant regulator would be responsible for </w:t>
            </w:r>
            <w:r w:rsidRPr="008705FB">
              <w:rPr>
                <w:i/>
                <w:iCs/>
                <w:sz w:val="17"/>
                <w:szCs w:val="17"/>
              </w:rPr>
              <w:t>assessing applications for</w:t>
            </w:r>
            <w:r w:rsidR="00F8323C" w:rsidRPr="008705FB">
              <w:rPr>
                <w:i/>
                <w:iCs/>
                <w:sz w:val="17"/>
                <w:szCs w:val="17"/>
              </w:rPr>
              <w:t xml:space="preserve">: </w:t>
            </w:r>
          </w:p>
          <w:p w14:paraId="4BC16BF4" w14:textId="77777777" w:rsidR="00F8323C" w:rsidRPr="008705FB" w:rsidRDefault="006D2349" w:rsidP="000779D9">
            <w:pPr>
              <w:pStyle w:val="TableBullet2"/>
              <w:spacing w:before="20" w:after="20"/>
              <w:rPr>
                <w:i/>
                <w:iCs/>
                <w:sz w:val="17"/>
                <w:szCs w:val="17"/>
              </w:rPr>
            </w:pPr>
            <w:r w:rsidRPr="008705FB">
              <w:rPr>
                <w:i/>
                <w:iCs/>
                <w:sz w:val="17"/>
                <w:szCs w:val="17"/>
              </w:rPr>
              <w:t xml:space="preserve">third party access </w:t>
            </w:r>
            <w:r w:rsidR="00D52F18" w:rsidRPr="008705FB">
              <w:rPr>
                <w:i/>
                <w:iCs/>
                <w:sz w:val="17"/>
                <w:szCs w:val="17"/>
              </w:rPr>
              <w:t xml:space="preserve">to </w:t>
            </w:r>
            <w:r w:rsidR="00F8323C" w:rsidRPr="008705FB">
              <w:rPr>
                <w:i/>
                <w:iCs/>
                <w:sz w:val="17"/>
                <w:szCs w:val="17"/>
              </w:rPr>
              <w:t>pipeline</w:t>
            </w:r>
            <w:r w:rsidR="00D52F18" w:rsidRPr="008705FB">
              <w:rPr>
                <w:i/>
                <w:iCs/>
                <w:sz w:val="17"/>
                <w:szCs w:val="17"/>
              </w:rPr>
              <w:t>s</w:t>
            </w:r>
            <w:r w:rsidR="00F8323C" w:rsidRPr="008705FB">
              <w:rPr>
                <w:i/>
                <w:iCs/>
                <w:sz w:val="17"/>
                <w:szCs w:val="17"/>
              </w:rPr>
              <w:t xml:space="preserve"> not voluntarily </w:t>
            </w:r>
            <w:r w:rsidR="00D52F18" w:rsidRPr="008705FB">
              <w:rPr>
                <w:i/>
                <w:iCs/>
                <w:sz w:val="17"/>
                <w:szCs w:val="17"/>
              </w:rPr>
              <w:t xml:space="preserve">providing </w:t>
            </w:r>
            <w:r w:rsidR="000779D9" w:rsidRPr="008705FB">
              <w:rPr>
                <w:i/>
                <w:iCs/>
                <w:sz w:val="17"/>
                <w:szCs w:val="17"/>
              </w:rPr>
              <w:t xml:space="preserve">such </w:t>
            </w:r>
            <w:r w:rsidR="00D52F18" w:rsidRPr="008705FB">
              <w:rPr>
                <w:i/>
                <w:iCs/>
                <w:sz w:val="17"/>
                <w:szCs w:val="17"/>
              </w:rPr>
              <w:t>access</w:t>
            </w:r>
            <w:r w:rsidR="00F8323C" w:rsidRPr="008705FB">
              <w:rPr>
                <w:i/>
                <w:iCs/>
                <w:sz w:val="17"/>
                <w:szCs w:val="17"/>
              </w:rPr>
              <w:t xml:space="preserve">; </w:t>
            </w:r>
          </w:p>
          <w:p w14:paraId="56573C97" w14:textId="77777777" w:rsidR="00F8323C" w:rsidRPr="008705FB" w:rsidRDefault="00F8323C" w:rsidP="000779D9">
            <w:pPr>
              <w:pStyle w:val="TableBullet2"/>
              <w:spacing w:before="20" w:after="20"/>
              <w:rPr>
                <w:i/>
                <w:iCs/>
                <w:sz w:val="17"/>
                <w:szCs w:val="17"/>
              </w:rPr>
            </w:pPr>
            <w:r w:rsidRPr="008705FB">
              <w:rPr>
                <w:i/>
                <w:iCs/>
                <w:sz w:val="17"/>
                <w:szCs w:val="17"/>
              </w:rPr>
              <w:t xml:space="preserve">a </w:t>
            </w:r>
            <w:r w:rsidR="006D2349" w:rsidRPr="008705FB">
              <w:rPr>
                <w:i/>
                <w:iCs/>
                <w:sz w:val="17"/>
                <w:szCs w:val="17"/>
              </w:rPr>
              <w:t>greenfield exemption</w:t>
            </w:r>
            <w:r w:rsidRPr="008705FB">
              <w:rPr>
                <w:i/>
                <w:iCs/>
                <w:sz w:val="17"/>
                <w:szCs w:val="17"/>
              </w:rPr>
              <w:t xml:space="preserve">; </w:t>
            </w:r>
            <w:r w:rsidR="006D2349" w:rsidRPr="008705FB">
              <w:rPr>
                <w:i/>
                <w:iCs/>
                <w:sz w:val="17"/>
                <w:szCs w:val="17"/>
              </w:rPr>
              <w:t xml:space="preserve">and </w:t>
            </w:r>
          </w:p>
          <w:p w14:paraId="6BBC5B99" w14:textId="77777777" w:rsidR="008B494F" w:rsidRPr="008705FB" w:rsidRDefault="00EA5CD6" w:rsidP="00F8323C">
            <w:pPr>
              <w:pStyle w:val="TableBullet2"/>
              <w:rPr>
                <w:i/>
                <w:iCs/>
                <w:sz w:val="17"/>
                <w:szCs w:val="17"/>
              </w:rPr>
            </w:pPr>
            <w:r w:rsidRPr="008705FB">
              <w:rPr>
                <w:i/>
                <w:iCs/>
                <w:sz w:val="17"/>
                <w:szCs w:val="17"/>
              </w:rPr>
              <w:t xml:space="preserve">a change to the </w:t>
            </w:r>
            <w:r w:rsidR="006D2349" w:rsidRPr="008705FB">
              <w:rPr>
                <w:i/>
                <w:iCs/>
                <w:sz w:val="17"/>
                <w:szCs w:val="17"/>
              </w:rPr>
              <w:t xml:space="preserve">form of regulation </w:t>
            </w:r>
            <w:r w:rsidRPr="008705FB">
              <w:rPr>
                <w:i/>
                <w:iCs/>
                <w:sz w:val="17"/>
                <w:szCs w:val="17"/>
              </w:rPr>
              <w:t>applying to a pipeline</w:t>
            </w:r>
            <w:r w:rsidR="00F8323C" w:rsidRPr="008705FB">
              <w:rPr>
                <w:i/>
                <w:iCs/>
                <w:sz w:val="17"/>
                <w:szCs w:val="17"/>
              </w:rPr>
              <w:t xml:space="preserve">. </w:t>
            </w:r>
          </w:p>
          <w:p w14:paraId="3412E841" w14:textId="77777777" w:rsidR="00EA5CD6" w:rsidRPr="008705FB" w:rsidRDefault="00D52F18" w:rsidP="000779D9">
            <w:pPr>
              <w:pStyle w:val="TableBullet10"/>
              <w:spacing w:before="20" w:after="20"/>
              <w:rPr>
                <w:i/>
                <w:iCs/>
                <w:sz w:val="17"/>
                <w:szCs w:val="17"/>
              </w:rPr>
            </w:pPr>
            <w:r w:rsidRPr="008705FB">
              <w:rPr>
                <w:i/>
                <w:iCs/>
                <w:sz w:val="17"/>
                <w:szCs w:val="17"/>
              </w:rPr>
              <w:lastRenderedPageBreak/>
              <w:t xml:space="preserve">Under Option 3B the relevant regulator would be responsible </w:t>
            </w:r>
            <w:r w:rsidR="00EA5CD6" w:rsidRPr="008705FB">
              <w:rPr>
                <w:i/>
                <w:iCs/>
                <w:sz w:val="17"/>
                <w:szCs w:val="17"/>
              </w:rPr>
              <w:t xml:space="preserve">for assessing applications for: </w:t>
            </w:r>
          </w:p>
          <w:p w14:paraId="5464E033" w14:textId="77777777" w:rsidR="00EA5CD6" w:rsidRPr="008705FB" w:rsidRDefault="00EA5CD6" w:rsidP="000779D9">
            <w:pPr>
              <w:pStyle w:val="TableBullet2"/>
              <w:spacing w:before="20" w:after="20"/>
              <w:rPr>
                <w:i/>
                <w:iCs/>
                <w:sz w:val="17"/>
                <w:szCs w:val="17"/>
              </w:rPr>
            </w:pPr>
            <w:r w:rsidRPr="008705FB">
              <w:rPr>
                <w:i/>
                <w:iCs/>
                <w:sz w:val="17"/>
                <w:szCs w:val="17"/>
              </w:rPr>
              <w:t xml:space="preserve">a greenfield exemption; and </w:t>
            </w:r>
          </w:p>
          <w:p w14:paraId="3CF9F585" w14:textId="77777777" w:rsidR="00E14606" w:rsidRPr="008705FB" w:rsidRDefault="00EA5CD6" w:rsidP="00EA5CD6">
            <w:pPr>
              <w:pStyle w:val="TableBullet2"/>
              <w:rPr>
                <w:i/>
                <w:iCs/>
                <w:sz w:val="17"/>
                <w:szCs w:val="17"/>
              </w:rPr>
            </w:pPr>
            <w:r w:rsidRPr="008705FB">
              <w:rPr>
                <w:i/>
                <w:iCs/>
                <w:sz w:val="17"/>
                <w:szCs w:val="17"/>
              </w:rPr>
              <w:t xml:space="preserve">a change to the form of regulation applying to a pipeline. </w:t>
            </w:r>
          </w:p>
        </w:tc>
      </w:tr>
    </w:tbl>
    <w:p w14:paraId="084F5AE6" w14:textId="77777777" w:rsidR="00A622CF" w:rsidRPr="00C16912" w:rsidRDefault="00A622CF" w:rsidP="00C16912">
      <w:pPr>
        <w:pStyle w:val="ListBullet"/>
        <w:numPr>
          <w:ilvl w:val="0"/>
          <w:numId w:val="0"/>
        </w:numPr>
        <w:spacing w:before="0" w:after="0"/>
        <w:rPr>
          <w:sz w:val="2"/>
          <w:szCs w:val="2"/>
        </w:rPr>
      </w:pPr>
    </w:p>
    <w:p w14:paraId="675ED217" w14:textId="77777777" w:rsidR="00A622CF" w:rsidRPr="00C16912" w:rsidRDefault="00A622CF" w:rsidP="00C16912">
      <w:pPr>
        <w:pStyle w:val="ListBullet"/>
        <w:numPr>
          <w:ilvl w:val="0"/>
          <w:numId w:val="0"/>
        </w:numPr>
        <w:spacing w:before="0" w:after="0"/>
        <w:rPr>
          <w:sz w:val="2"/>
          <w:szCs w:val="2"/>
        </w:rPr>
        <w:sectPr w:rsidR="00A622CF" w:rsidRPr="00C16912" w:rsidSect="00A9382B">
          <w:pgSz w:w="16839" w:h="11907" w:orient="landscape" w:code="9"/>
          <w:pgMar w:top="1361" w:right="1418" w:bottom="992" w:left="1701" w:header="567" w:footer="397" w:gutter="0"/>
          <w:cols w:space="708"/>
          <w:docGrid w:linePitch="360"/>
        </w:sectPr>
      </w:pPr>
    </w:p>
    <w:p w14:paraId="3BAEA076" w14:textId="77777777" w:rsidR="00951AF6" w:rsidRDefault="00951AF6" w:rsidP="00907480">
      <w:pPr>
        <w:pStyle w:val="Heading2"/>
      </w:pPr>
      <w:bookmarkStart w:id="98" w:name="_Toc62219407"/>
      <w:r>
        <w:lastRenderedPageBreak/>
        <w:t xml:space="preserve">Summary of </w:t>
      </w:r>
      <w:r w:rsidR="007378A6">
        <w:t xml:space="preserve">policy </w:t>
      </w:r>
      <w:r>
        <w:t>options</w:t>
      </w:r>
      <w:r w:rsidR="007378A6">
        <w:t xml:space="preserve"> for </w:t>
      </w:r>
      <w:r w:rsidR="00907480">
        <w:t xml:space="preserve">when </w:t>
      </w:r>
      <w:r w:rsidR="007A026C">
        <w:t xml:space="preserve">a pipeline should be </w:t>
      </w:r>
      <w:r w:rsidR="00907480">
        <w:t>regulate</w:t>
      </w:r>
      <w:r w:rsidR="007A026C">
        <w:t>d</w:t>
      </w:r>
      <w:bookmarkEnd w:id="98"/>
      <w:r w:rsidR="00907480">
        <w:t xml:space="preserve"> </w:t>
      </w:r>
    </w:p>
    <w:p w14:paraId="354E9C1F" w14:textId="167D72DD" w:rsidR="002E371D" w:rsidRDefault="008430A4" w:rsidP="002E371D">
      <w:pPr>
        <w:pStyle w:val="BodyText"/>
      </w:pPr>
      <w:r>
        <w:fldChar w:fldCharType="begin" w:fldLock="1"/>
      </w:r>
      <w:r>
        <w:instrText xml:space="preserve"> REF _Ref52791959 \h </w:instrText>
      </w:r>
      <w:r>
        <w:fldChar w:fldCharType="separate"/>
      </w:r>
      <w:r w:rsidR="00036405" w:rsidRPr="006B4639">
        <w:t xml:space="preserve">Table </w:t>
      </w:r>
      <w:r w:rsidR="00036405">
        <w:rPr>
          <w:noProof/>
        </w:rPr>
        <w:t>4</w:t>
      </w:r>
      <w:r w:rsidR="00036405">
        <w:t>.</w:t>
      </w:r>
      <w:r w:rsidR="00036405">
        <w:rPr>
          <w:noProof/>
        </w:rPr>
        <w:t>5</w:t>
      </w:r>
      <w:r>
        <w:fldChar w:fldCharType="end"/>
      </w:r>
      <w:r w:rsidR="00951AF6">
        <w:t xml:space="preserve"> </w:t>
      </w:r>
      <w:r w:rsidR="007E4FB9" w:rsidRPr="00E8405E">
        <w:t xml:space="preserve">sets out the key elements of the policy options that have been considered as part of the Decision RIS. </w:t>
      </w:r>
    </w:p>
    <w:p w14:paraId="23C80F28" w14:textId="1C37871B" w:rsidR="008B4813" w:rsidRDefault="008B4813" w:rsidP="008B4813">
      <w:pPr>
        <w:pStyle w:val="Caption"/>
        <w:spacing w:before="0" w:after="0"/>
      </w:pPr>
      <w:bookmarkStart w:id="99" w:name="_Ref52791959"/>
      <w:r w:rsidRPr="006B4639">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4</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5</w:t>
      </w:r>
      <w:r w:rsidR="00F323B2">
        <w:rPr>
          <w:noProof/>
        </w:rPr>
        <w:fldChar w:fldCharType="end"/>
      </w:r>
      <w:bookmarkEnd w:id="99"/>
      <w:r w:rsidRPr="006B4639">
        <w:t xml:space="preserve">: </w:t>
      </w:r>
      <w:r>
        <w:t>Policy options identified for the Decision RIS</w:t>
      </w:r>
    </w:p>
    <w:tbl>
      <w:tblPr>
        <w:tblStyle w:val="TableGrid"/>
        <w:tblW w:w="5000" w:type="pct"/>
        <w:tblLook w:val="04A0" w:firstRow="1" w:lastRow="0" w:firstColumn="1" w:lastColumn="0" w:noHBand="0" w:noVBand="1"/>
      </w:tblPr>
      <w:tblGrid>
        <w:gridCol w:w="1161"/>
        <w:gridCol w:w="1902"/>
        <w:gridCol w:w="1665"/>
        <w:gridCol w:w="1520"/>
        <w:gridCol w:w="1115"/>
        <w:gridCol w:w="1425"/>
      </w:tblGrid>
      <w:tr w:rsidR="004D6EBD" w:rsidRPr="0048187C" w14:paraId="67D1C838" w14:textId="77777777" w:rsidTr="00DA5E49">
        <w:trPr>
          <w:cnfStyle w:val="100000000000" w:firstRow="1" w:lastRow="0" w:firstColumn="0" w:lastColumn="0" w:oddVBand="0" w:evenVBand="0" w:oddHBand="0" w:evenHBand="0" w:firstRowFirstColumn="0" w:firstRowLastColumn="0" w:lastRowFirstColumn="0" w:lastRowLastColumn="0"/>
          <w:tblHeader/>
        </w:trPr>
        <w:tc>
          <w:tcPr>
            <w:tcW w:w="1161" w:type="dxa"/>
            <w:shd w:val="clear" w:color="auto" w:fill="002060"/>
          </w:tcPr>
          <w:p w14:paraId="4CFA265B" w14:textId="77777777" w:rsidR="002C5266" w:rsidRPr="009708B7" w:rsidRDefault="002C5266" w:rsidP="00004D3B">
            <w:pPr>
              <w:spacing w:before="40" w:after="40" w:line="240" w:lineRule="auto"/>
              <w:rPr>
                <w:rFonts w:cs="Arial"/>
                <w:b w:val="0"/>
                <w:bCs/>
                <w:sz w:val="16"/>
                <w:szCs w:val="16"/>
              </w:rPr>
            </w:pPr>
            <w:r>
              <w:rPr>
                <w:rFonts w:cs="Arial"/>
                <w:b w:val="0"/>
                <w:bCs/>
                <w:sz w:val="16"/>
                <w:szCs w:val="16"/>
              </w:rPr>
              <w:t xml:space="preserve">Element </w:t>
            </w:r>
          </w:p>
        </w:tc>
        <w:tc>
          <w:tcPr>
            <w:tcW w:w="1902" w:type="dxa"/>
            <w:tcBorders>
              <w:right w:val="single" w:sz="4" w:space="0" w:color="FFFFFF" w:themeColor="background1"/>
            </w:tcBorders>
            <w:shd w:val="clear" w:color="auto" w:fill="002060"/>
          </w:tcPr>
          <w:p w14:paraId="339E4D12" w14:textId="77777777" w:rsidR="002C5266" w:rsidRPr="009708B7" w:rsidRDefault="002C5266" w:rsidP="00004D3B">
            <w:pPr>
              <w:pStyle w:val="BodyText"/>
              <w:spacing w:before="40" w:after="40"/>
              <w:jc w:val="center"/>
              <w:rPr>
                <w:rFonts w:cs="Arial"/>
                <w:b w:val="0"/>
                <w:bCs/>
                <w:sz w:val="16"/>
                <w:szCs w:val="16"/>
              </w:rPr>
            </w:pPr>
            <w:r w:rsidRPr="009708B7">
              <w:rPr>
                <w:rFonts w:cs="Arial"/>
                <w:bCs/>
                <w:sz w:val="16"/>
                <w:szCs w:val="16"/>
              </w:rPr>
              <w:t xml:space="preserve">Option 1 </w:t>
            </w:r>
            <w:r>
              <w:rPr>
                <w:rFonts w:cs="Arial"/>
                <w:bCs/>
                <w:sz w:val="16"/>
                <w:szCs w:val="16"/>
              </w:rPr>
              <w:br/>
            </w:r>
            <w:r w:rsidRPr="009708B7">
              <w:rPr>
                <w:rFonts w:cs="Arial"/>
                <w:bCs/>
                <w:sz w:val="16"/>
                <w:szCs w:val="16"/>
              </w:rPr>
              <w:t>(Status quo)</w:t>
            </w:r>
          </w:p>
        </w:tc>
        <w:tc>
          <w:tcPr>
            <w:tcW w:w="1665" w:type="dxa"/>
            <w:tcBorders>
              <w:left w:val="single" w:sz="4" w:space="0" w:color="FFFFFF" w:themeColor="background1"/>
              <w:right w:val="single" w:sz="4" w:space="0" w:color="FFFFFF" w:themeColor="background1"/>
            </w:tcBorders>
            <w:shd w:val="clear" w:color="auto" w:fill="002060"/>
          </w:tcPr>
          <w:p w14:paraId="5AFF877A" w14:textId="77777777" w:rsidR="002C5266" w:rsidRPr="009708B7" w:rsidRDefault="002C5266" w:rsidP="00004D3B">
            <w:pPr>
              <w:pStyle w:val="BodyText"/>
              <w:spacing w:before="40" w:after="40"/>
              <w:jc w:val="center"/>
              <w:rPr>
                <w:rFonts w:cs="Arial"/>
                <w:b w:val="0"/>
                <w:bCs/>
                <w:sz w:val="16"/>
                <w:szCs w:val="16"/>
              </w:rPr>
            </w:pPr>
            <w:r w:rsidRPr="009708B7">
              <w:rPr>
                <w:rFonts w:cs="Arial"/>
                <w:bCs/>
                <w:sz w:val="16"/>
                <w:szCs w:val="16"/>
              </w:rPr>
              <w:t>Option 2</w:t>
            </w:r>
          </w:p>
        </w:tc>
        <w:tc>
          <w:tcPr>
            <w:tcW w:w="1520" w:type="dxa"/>
            <w:tcBorders>
              <w:left w:val="single" w:sz="4" w:space="0" w:color="FFFFFF" w:themeColor="background1"/>
              <w:right w:val="single" w:sz="4" w:space="0" w:color="FFFFFF" w:themeColor="background1"/>
            </w:tcBorders>
            <w:shd w:val="clear" w:color="auto" w:fill="002060"/>
          </w:tcPr>
          <w:p w14:paraId="17FD284B" w14:textId="77777777" w:rsidR="002C5266" w:rsidRPr="009708B7" w:rsidRDefault="002C5266" w:rsidP="00004D3B">
            <w:pPr>
              <w:pStyle w:val="BodyText"/>
              <w:spacing w:before="40" w:after="40"/>
              <w:jc w:val="center"/>
              <w:rPr>
                <w:rFonts w:cs="Arial"/>
                <w:b w:val="0"/>
                <w:bCs/>
                <w:sz w:val="16"/>
                <w:szCs w:val="16"/>
              </w:rPr>
            </w:pPr>
            <w:r w:rsidRPr="009708B7">
              <w:rPr>
                <w:rFonts w:cs="Arial"/>
                <w:bCs/>
                <w:sz w:val="16"/>
                <w:szCs w:val="16"/>
              </w:rPr>
              <w:t xml:space="preserve">Option </w:t>
            </w:r>
            <w:r>
              <w:rPr>
                <w:rFonts w:cs="Arial"/>
                <w:bCs/>
                <w:sz w:val="16"/>
                <w:szCs w:val="16"/>
              </w:rPr>
              <w:t>3</w:t>
            </w:r>
            <w:r w:rsidRPr="009708B7">
              <w:rPr>
                <w:rFonts w:cs="Arial"/>
                <w:bCs/>
                <w:sz w:val="16"/>
                <w:szCs w:val="16"/>
              </w:rPr>
              <w:t>A</w:t>
            </w:r>
          </w:p>
        </w:tc>
        <w:tc>
          <w:tcPr>
            <w:tcW w:w="1115" w:type="dxa"/>
            <w:tcBorders>
              <w:left w:val="single" w:sz="4" w:space="0" w:color="FFFFFF" w:themeColor="background1"/>
              <w:right w:val="single" w:sz="4" w:space="0" w:color="FFFFFF" w:themeColor="background1"/>
            </w:tcBorders>
            <w:shd w:val="clear" w:color="auto" w:fill="002060"/>
          </w:tcPr>
          <w:p w14:paraId="65FF77F8" w14:textId="77777777" w:rsidR="002C5266" w:rsidRPr="0048187C" w:rsidRDefault="002C5266" w:rsidP="00004D3B">
            <w:pPr>
              <w:pStyle w:val="BodyText"/>
              <w:spacing w:before="40" w:after="40"/>
              <w:jc w:val="center"/>
              <w:rPr>
                <w:rFonts w:cs="Arial"/>
                <w:bCs/>
                <w:sz w:val="16"/>
                <w:szCs w:val="16"/>
              </w:rPr>
            </w:pPr>
            <w:r w:rsidRPr="0048187C">
              <w:rPr>
                <w:rFonts w:cs="Arial"/>
                <w:bCs/>
                <w:sz w:val="16"/>
                <w:szCs w:val="16"/>
              </w:rPr>
              <w:t>Option 3B</w:t>
            </w:r>
          </w:p>
        </w:tc>
        <w:tc>
          <w:tcPr>
            <w:tcW w:w="1425" w:type="dxa"/>
            <w:tcBorders>
              <w:left w:val="single" w:sz="4" w:space="0" w:color="FFFFFF" w:themeColor="background1"/>
            </w:tcBorders>
            <w:shd w:val="clear" w:color="auto" w:fill="002060"/>
          </w:tcPr>
          <w:p w14:paraId="14AA642D" w14:textId="77777777" w:rsidR="002C5266" w:rsidRPr="0048187C" w:rsidRDefault="002C5266" w:rsidP="00004D3B">
            <w:pPr>
              <w:pStyle w:val="BodyText"/>
              <w:spacing w:before="40" w:after="40"/>
              <w:jc w:val="center"/>
              <w:rPr>
                <w:rFonts w:cs="Arial"/>
                <w:bCs/>
                <w:sz w:val="16"/>
                <w:szCs w:val="16"/>
              </w:rPr>
            </w:pPr>
            <w:r w:rsidRPr="0048187C">
              <w:rPr>
                <w:rFonts w:cs="Arial"/>
                <w:bCs/>
                <w:sz w:val="16"/>
                <w:szCs w:val="16"/>
              </w:rPr>
              <w:t>Option 4</w:t>
            </w:r>
          </w:p>
        </w:tc>
      </w:tr>
      <w:tr w:rsidR="004D6EBD" w:rsidRPr="004E18B9" w14:paraId="108E1F00" w14:textId="77777777" w:rsidTr="00DA5E49">
        <w:trPr>
          <w:trHeight w:val="525"/>
        </w:trPr>
        <w:tc>
          <w:tcPr>
            <w:tcW w:w="1161" w:type="dxa"/>
            <w:shd w:val="clear" w:color="auto" w:fill="FFFFFF" w:themeFill="background1"/>
          </w:tcPr>
          <w:p w14:paraId="75FAFD2F" w14:textId="77777777" w:rsidR="002C5266" w:rsidRPr="004E18B9" w:rsidRDefault="002C5266" w:rsidP="00004D3B">
            <w:pPr>
              <w:pStyle w:val="BodyText"/>
              <w:spacing w:before="20" w:after="20"/>
              <w:rPr>
                <w:rFonts w:cs="Arial"/>
                <w:b/>
                <w:sz w:val="16"/>
                <w:szCs w:val="16"/>
              </w:rPr>
            </w:pPr>
            <w:r w:rsidRPr="004E18B9">
              <w:rPr>
                <w:rFonts w:cs="Arial"/>
                <w:b/>
                <w:sz w:val="16"/>
                <w:szCs w:val="16"/>
              </w:rPr>
              <w:t>Access to pipelines providing 3rd party access</w:t>
            </w:r>
          </w:p>
        </w:tc>
        <w:tc>
          <w:tcPr>
            <w:tcW w:w="1902" w:type="dxa"/>
            <w:shd w:val="clear" w:color="auto" w:fill="FFFFFF" w:themeFill="background1"/>
          </w:tcPr>
          <w:p w14:paraId="38CFE30B" w14:textId="77777777" w:rsidR="002C5266" w:rsidRPr="004E18B9" w:rsidRDefault="002C5266" w:rsidP="00004D3B">
            <w:pPr>
              <w:pStyle w:val="TableBullet10"/>
              <w:numPr>
                <w:ilvl w:val="0"/>
                <w:numId w:val="0"/>
              </w:numPr>
              <w:spacing w:before="20" w:after="20"/>
              <w:ind w:left="85"/>
              <w:rPr>
                <w:sz w:val="16"/>
                <w:szCs w:val="16"/>
              </w:rPr>
            </w:pPr>
            <w:r w:rsidRPr="004E18B9">
              <w:rPr>
                <w:sz w:val="16"/>
                <w:szCs w:val="16"/>
              </w:rPr>
              <w:t>Maintain current approach, with all pipelines providing 3</w:t>
            </w:r>
            <w:r w:rsidRPr="004E18B9">
              <w:rPr>
                <w:sz w:val="16"/>
                <w:szCs w:val="16"/>
                <w:vertAlign w:val="superscript"/>
              </w:rPr>
              <w:t>rd</w:t>
            </w:r>
            <w:r w:rsidRPr="004E18B9">
              <w:rPr>
                <w:sz w:val="16"/>
                <w:szCs w:val="16"/>
              </w:rPr>
              <w:t xml:space="preserve"> party access subject to some form of regulation. </w:t>
            </w:r>
          </w:p>
        </w:tc>
        <w:tc>
          <w:tcPr>
            <w:tcW w:w="1665" w:type="dxa"/>
            <w:shd w:val="clear" w:color="auto" w:fill="FFFFFF" w:themeFill="background1"/>
          </w:tcPr>
          <w:p w14:paraId="1A45F74A" w14:textId="77777777" w:rsidR="002C5266" w:rsidRDefault="002C5266" w:rsidP="00004D3B">
            <w:pPr>
              <w:pStyle w:val="TableBullet10"/>
              <w:numPr>
                <w:ilvl w:val="0"/>
                <w:numId w:val="0"/>
              </w:numPr>
              <w:spacing w:before="20" w:after="20"/>
              <w:ind w:left="85"/>
              <w:rPr>
                <w:sz w:val="16"/>
                <w:szCs w:val="16"/>
              </w:rPr>
            </w:pPr>
            <w:r w:rsidRPr="004E18B9">
              <w:rPr>
                <w:sz w:val="16"/>
                <w:szCs w:val="16"/>
              </w:rPr>
              <w:t>Allow 3</w:t>
            </w:r>
            <w:r w:rsidRPr="004E18B9">
              <w:rPr>
                <w:sz w:val="16"/>
                <w:szCs w:val="16"/>
                <w:vertAlign w:val="superscript"/>
              </w:rPr>
              <w:t>rd</w:t>
            </w:r>
            <w:r w:rsidRPr="004E18B9">
              <w:rPr>
                <w:sz w:val="16"/>
                <w:szCs w:val="16"/>
              </w:rPr>
              <w:t xml:space="preserve"> party access </w:t>
            </w:r>
            <w:r>
              <w:rPr>
                <w:sz w:val="16"/>
                <w:szCs w:val="16"/>
              </w:rPr>
              <w:t xml:space="preserve">pipelines </w:t>
            </w:r>
            <w:r w:rsidRPr="004E18B9">
              <w:rPr>
                <w:sz w:val="16"/>
                <w:szCs w:val="16"/>
              </w:rPr>
              <w:t xml:space="preserve">to obtain </w:t>
            </w:r>
            <w:r>
              <w:rPr>
                <w:sz w:val="16"/>
                <w:szCs w:val="16"/>
              </w:rPr>
              <w:t xml:space="preserve">an </w:t>
            </w:r>
            <w:r w:rsidRPr="004E18B9">
              <w:rPr>
                <w:sz w:val="16"/>
                <w:szCs w:val="16"/>
              </w:rPr>
              <w:t xml:space="preserve">exemption from regulation if </w:t>
            </w:r>
            <w:r>
              <w:rPr>
                <w:sz w:val="16"/>
                <w:szCs w:val="16"/>
              </w:rPr>
              <w:t>they</w:t>
            </w:r>
            <w:r w:rsidRPr="004E18B9">
              <w:rPr>
                <w:sz w:val="16"/>
                <w:szCs w:val="16"/>
              </w:rPr>
              <w:t xml:space="preserve"> can </w:t>
            </w:r>
            <w:r>
              <w:rPr>
                <w:sz w:val="16"/>
                <w:szCs w:val="16"/>
              </w:rPr>
              <w:t>demonstrate</w:t>
            </w:r>
            <w:r w:rsidRPr="004E18B9">
              <w:rPr>
                <w:sz w:val="16"/>
                <w:szCs w:val="16"/>
              </w:rPr>
              <w:t xml:space="preserve"> </w:t>
            </w:r>
            <w:r>
              <w:rPr>
                <w:sz w:val="16"/>
                <w:szCs w:val="16"/>
              </w:rPr>
              <w:t xml:space="preserve">they do </w:t>
            </w:r>
            <w:r w:rsidRPr="004E18B9">
              <w:rPr>
                <w:sz w:val="16"/>
                <w:szCs w:val="16"/>
              </w:rPr>
              <w:t>not have substantial market power</w:t>
            </w:r>
            <w:r>
              <w:rPr>
                <w:sz w:val="16"/>
                <w:szCs w:val="16"/>
              </w:rPr>
              <w:t>.</w:t>
            </w:r>
            <w:r w:rsidRPr="004E18B9">
              <w:rPr>
                <w:sz w:val="16"/>
                <w:szCs w:val="16"/>
              </w:rPr>
              <w:t xml:space="preserve"> </w:t>
            </w:r>
          </w:p>
        </w:tc>
        <w:tc>
          <w:tcPr>
            <w:tcW w:w="1520" w:type="dxa"/>
            <w:shd w:val="clear" w:color="auto" w:fill="FFFFFF" w:themeFill="background1"/>
          </w:tcPr>
          <w:p w14:paraId="092C80A4" w14:textId="77777777" w:rsidR="002C5266" w:rsidRDefault="002C5266" w:rsidP="00004D3B">
            <w:pPr>
              <w:pStyle w:val="TableBullet10"/>
              <w:numPr>
                <w:ilvl w:val="0"/>
                <w:numId w:val="0"/>
              </w:numPr>
              <w:spacing w:before="20" w:after="20"/>
              <w:ind w:left="85"/>
              <w:rPr>
                <w:sz w:val="16"/>
                <w:szCs w:val="16"/>
              </w:rPr>
            </w:pPr>
            <w:r w:rsidRPr="004E18B9">
              <w:rPr>
                <w:sz w:val="16"/>
                <w:szCs w:val="16"/>
              </w:rPr>
              <w:t>Maintain current approach, with all pipelines providing 3</w:t>
            </w:r>
            <w:r w:rsidRPr="004E18B9">
              <w:rPr>
                <w:sz w:val="16"/>
                <w:szCs w:val="16"/>
                <w:vertAlign w:val="superscript"/>
              </w:rPr>
              <w:t>rd</w:t>
            </w:r>
            <w:r w:rsidRPr="004E18B9">
              <w:rPr>
                <w:sz w:val="16"/>
                <w:szCs w:val="16"/>
              </w:rPr>
              <w:t xml:space="preserve"> party access subject to some form of regulation  </w:t>
            </w:r>
          </w:p>
        </w:tc>
        <w:tc>
          <w:tcPr>
            <w:tcW w:w="2540" w:type="dxa"/>
            <w:gridSpan w:val="2"/>
            <w:vMerge w:val="restart"/>
            <w:shd w:val="clear" w:color="auto" w:fill="FFFFFF" w:themeFill="background1"/>
          </w:tcPr>
          <w:p w14:paraId="0B4FD43F" w14:textId="77777777" w:rsidR="002C5266" w:rsidRPr="004E18B9" w:rsidRDefault="002C5266" w:rsidP="00004D3B">
            <w:pPr>
              <w:pStyle w:val="BodyText"/>
              <w:spacing w:before="20" w:after="20"/>
              <w:rPr>
                <w:rFonts w:cs="Arial"/>
                <w:sz w:val="16"/>
                <w:szCs w:val="16"/>
              </w:rPr>
            </w:pPr>
            <w:r w:rsidRPr="004E18B9">
              <w:rPr>
                <w:rFonts w:cs="Arial"/>
                <w:sz w:val="16"/>
                <w:szCs w:val="16"/>
              </w:rPr>
              <w:t xml:space="preserve">Require </w:t>
            </w:r>
            <w:r w:rsidRPr="004E18B9">
              <w:rPr>
                <w:rFonts w:cs="Arial"/>
                <w:sz w:val="16"/>
                <w:szCs w:val="16"/>
                <w:u w:val="single"/>
              </w:rPr>
              <w:t>all</w:t>
            </w:r>
            <w:r w:rsidRPr="004E18B9">
              <w:rPr>
                <w:rFonts w:cs="Arial"/>
                <w:sz w:val="16"/>
                <w:szCs w:val="16"/>
              </w:rPr>
              <w:t xml:space="preserve"> pipelines to provide 3</w:t>
            </w:r>
            <w:r w:rsidRPr="004E18B9">
              <w:rPr>
                <w:rFonts w:cs="Arial"/>
                <w:sz w:val="16"/>
                <w:szCs w:val="16"/>
                <w:vertAlign w:val="superscript"/>
              </w:rPr>
              <w:t>rd</w:t>
            </w:r>
            <w:r w:rsidRPr="004E18B9">
              <w:rPr>
                <w:rFonts w:cs="Arial"/>
                <w:sz w:val="16"/>
                <w:szCs w:val="16"/>
              </w:rPr>
              <w:t xml:space="preserve"> party access and to be subject to some form of regulation.</w:t>
            </w:r>
          </w:p>
        </w:tc>
      </w:tr>
      <w:tr w:rsidR="0015124A" w:rsidRPr="004E18B9" w14:paraId="48E2F3CC" w14:textId="77777777" w:rsidTr="00DA5E49">
        <w:trPr>
          <w:cnfStyle w:val="000000010000" w:firstRow="0" w:lastRow="0" w:firstColumn="0" w:lastColumn="0" w:oddVBand="0" w:evenVBand="0" w:oddHBand="0" w:evenHBand="1" w:firstRowFirstColumn="0" w:firstRowLastColumn="0" w:lastRowFirstColumn="0" w:lastRowLastColumn="0"/>
          <w:trHeight w:val="1457"/>
        </w:trPr>
        <w:tc>
          <w:tcPr>
            <w:tcW w:w="1161" w:type="dxa"/>
            <w:tcBorders>
              <w:bottom w:val="single" w:sz="4" w:space="0" w:color="auto"/>
            </w:tcBorders>
            <w:shd w:val="clear" w:color="auto" w:fill="F2F2F2" w:themeFill="background1" w:themeFillShade="F2"/>
          </w:tcPr>
          <w:p w14:paraId="3747F9A0" w14:textId="77777777" w:rsidR="0015124A" w:rsidRPr="004E18B9" w:rsidRDefault="0015124A" w:rsidP="00004D3B">
            <w:pPr>
              <w:pStyle w:val="BodyText"/>
              <w:spacing w:before="20" w:after="20"/>
              <w:rPr>
                <w:rFonts w:cs="Arial"/>
                <w:b/>
                <w:sz w:val="16"/>
                <w:szCs w:val="16"/>
              </w:rPr>
            </w:pPr>
            <w:r w:rsidRPr="004E18B9">
              <w:rPr>
                <w:rFonts w:cs="Arial"/>
                <w:b/>
                <w:sz w:val="16"/>
                <w:szCs w:val="16"/>
              </w:rPr>
              <w:t>Access to pipelines not voluntarily providing 3</w:t>
            </w:r>
            <w:r w:rsidRPr="004E18B9">
              <w:rPr>
                <w:rFonts w:cs="Arial"/>
                <w:b/>
                <w:sz w:val="16"/>
                <w:szCs w:val="16"/>
                <w:vertAlign w:val="superscript"/>
              </w:rPr>
              <w:t>rd</w:t>
            </w:r>
            <w:r w:rsidRPr="004E18B9">
              <w:rPr>
                <w:rFonts w:cs="Arial"/>
                <w:b/>
                <w:sz w:val="16"/>
                <w:szCs w:val="16"/>
              </w:rPr>
              <w:t xml:space="preserve"> party access</w:t>
            </w:r>
          </w:p>
        </w:tc>
        <w:tc>
          <w:tcPr>
            <w:tcW w:w="1902" w:type="dxa"/>
            <w:tcBorders>
              <w:bottom w:val="single" w:sz="4" w:space="0" w:color="auto"/>
            </w:tcBorders>
            <w:shd w:val="clear" w:color="auto" w:fill="F2F2F2" w:themeFill="background1" w:themeFillShade="F2"/>
          </w:tcPr>
          <w:p w14:paraId="5F40328F" w14:textId="77777777" w:rsidR="0015124A" w:rsidRPr="004E18B9" w:rsidRDefault="0015124A" w:rsidP="00004D3B">
            <w:pPr>
              <w:pStyle w:val="TableBullet10"/>
              <w:numPr>
                <w:ilvl w:val="0"/>
                <w:numId w:val="0"/>
              </w:numPr>
              <w:spacing w:before="20" w:after="20"/>
              <w:ind w:left="85"/>
              <w:rPr>
                <w:sz w:val="16"/>
                <w:szCs w:val="16"/>
              </w:rPr>
            </w:pPr>
            <w:r w:rsidRPr="004E18B9">
              <w:rPr>
                <w:sz w:val="16"/>
                <w:szCs w:val="16"/>
              </w:rPr>
              <w:t xml:space="preserve">Maintain current approach to enabling access to be sought to pipelines not </w:t>
            </w:r>
            <w:r>
              <w:rPr>
                <w:sz w:val="16"/>
                <w:szCs w:val="16"/>
              </w:rPr>
              <w:t xml:space="preserve">voluntarily </w:t>
            </w:r>
            <w:r w:rsidRPr="004E18B9">
              <w:rPr>
                <w:sz w:val="16"/>
                <w:szCs w:val="16"/>
              </w:rPr>
              <w:t>providing 3</w:t>
            </w:r>
            <w:r w:rsidRPr="004E18B9">
              <w:rPr>
                <w:sz w:val="16"/>
                <w:szCs w:val="16"/>
                <w:vertAlign w:val="superscript"/>
              </w:rPr>
              <w:t>rd</w:t>
            </w:r>
            <w:r w:rsidRPr="004E18B9">
              <w:rPr>
                <w:sz w:val="16"/>
                <w:szCs w:val="16"/>
              </w:rPr>
              <w:t xml:space="preserve"> party access</w:t>
            </w:r>
            <w:r>
              <w:rPr>
                <w:sz w:val="16"/>
                <w:szCs w:val="16"/>
              </w:rPr>
              <w:t xml:space="preserve"> if the coverage test is satisfied</w:t>
            </w:r>
            <w:r w:rsidRPr="004E18B9">
              <w:rPr>
                <w:sz w:val="16"/>
                <w:szCs w:val="16"/>
              </w:rPr>
              <w:t>.</w:t>
            </w:r>
          </w:p>
        </w:tc>
        <w:tc>
          <w:tcPr>
            <w:tcW w:w="3185" w:type="dxa"/>
            <w:gridSpan w:val="2"/>
            <w:tcBorders>
              <w:bottom w:val="single" w:sz="4" w:space="0" w:color="auto"/>
            </w:tcBorders>
            <w:shd w:val="clear" w:color="auto" w:fill="F2F2F2" w:themeFill="background1" w:themeFillShade="F2"/>
          </w:tcPr>
          <w:p w14:paraId="3CE08412" w14:textId="77777777" w:rsidR="0015124A" w:rsidRPr="004E18B9" w:rsidRDefault="0015124A" w:rsidP="00004D3B">
            <w:pPr>
              <w:pStyle w:val="TableBullet10"/>
              <w:numPr>
                <w:ilvl w:val="0"/>
                <w:numId w:val="0"/>
              </w:numPr>
              <w:spacing w:before="20" w:after="20"/>
              <w:ind w:left="85"/>
              <w:rPr>
                <w:sz w:val="16"/>
                <w:szCs w:val="16"/>
              </w:rPr>
            </w:pPr>
            <w:r>
              <w:rPr>
                <w:sz w:val="16"/>
                <w:szCs w:val="16"/>
              </w:rPr>
              <w:t>Allow</w:t>
            </w:r>
            <w:r w:rsidRPr="004E18B9">
              <w:rPr>
                <w:sz w:val="16"/>
                <w:szCs w:val="16"/>
              </w:rPr>
              <w:t xml:space="preserve"> access to be sought to pipelines not </w:t>
            </w:r>
            <w:r>
              <w:rPr>
                <w:sz w:val="16"/>
                <w:szCs w:val="16"/>
              </w:rPr>
              <w:t xml:space="preserve">voluntarily </w:t>
            </w:r>
            <w:r w:rsidRPr="004E18B9">
              <w:rPr>
                <w:sz w:val="16"/>
                <w:szCs w:val="16"/>
              </w:rPr>
              <w:t>providing 3</w:t>
            </w:r>
            <w:r w:rsidRPr="004E18B9">
              <w:rPr>
                <w:sz w:val="16"/>
                <w:szCs w:val="16"/>
                <w:vertAlign w:val="superscript"/>
              </w:rPr>
              <w:t>rd</w:t>
            </w:r>
            <w:r w:rsidRPr="004E18B9">
              <w:rPr>
                <w:sz w:val="16"/>
                <w:szCs w:val="16"/>
              </w:rPr>
              <w:t xml:space="preserve"> party access</w:t>
            </w:r>
            <w:r>
              <w:rPr>
                <w:sz w:val="16"/>
                <w:szCs w:val="16"/>
              </w:rPr>
              <w:t xml:space="preserve"> if </w:t>
            </w:r>
            <w:r w:rsidR="00176350">
              <w:rPr>
                <w:sz w:val="16"/>
                <w:szCs w:val="16"/>
              </w:rPr>
              <w:t xml:space="preserve">an application is made and the pipeline satisfies the </w:t>
            </w:r>
            <w:r>
              <w:rPr>
                <w:sz w:val="16"/>
                <w:szCs w:val="16"/>
              </w:rPr>
              <w:t>market power-NGO test</w:t>
            </w:r>
            <w:r w:rsidRPr="004E18B9">
              <w:rPr>
                <w:sz w:val="16"/>
                <w:szCs w:val="16"/>
              </w:rPr>
              <w:t>.</w:t>
            </w:r>
          </w:p>
        </w:tc>
        <w:tc>
          <w:tcPr>
            <w:tcW w:w="2540" w:type="dxa"/>
            <w:gridSpan w:val="2"/>
            <w:vMerge/>
            <w:tcBorders>
              <w:bottom w:val="single" w:sz="4" w:space="0" w:color="auto"/>
            </w:tcBorders>
          </w:tcPr>
          <w:p w14:paraId="0C378481" w14:textId="77777777" w:rsidR="0015124A" w:rsidRPr="004E18B9" w:rsidRDefault="0015124A" w:rsidP="00004D3B">
            <w:pPr>
              <w:pStyle w:val="BodyText"/>
              <w:spacing w:before="20" w:after="20"/>
              <w:rPr>
                <w:rFonts w:cs="Arial"/>
                <w:sz w:val="16"/>
                <w:szCs w:val="16"/>
              </w:rPr>
            </w:pPr>
          </w:p>
        </w:tc>
      </w:tr>
      <w:tr w:rsidR="004D6EBD" w:rsidRPr="004E18B9" w14:paraId="56B3073E" w14:textId="77777777" w:rsidTr="00DA5E49">
        <w:trPr>
          <w:trHeight w:val="888"/>
        </w:trPr>
        <w:tc>
          <w:tcPr>
            <w:tcW w:w="1161" w:type="dxa"/>
            <w:tcBorders>
              <w:bottom w:val="single" w:sz="4" w:space="0" w:color="auto"/>
            </w:tcBorders>
            <w:shd w:val="clear" w:color="auto" w:fill="C8C9D3" w:themeFill="background2" w:themeFillShade="E6"/>
          </w:tcPr>
          <w:p w14:paraId="45AFB605" w14:textId="77777777" w:rsidR="002C5266" w:rsidRPr="004E18B9" w:rsidRDefault="002C5266" w:rsidP="00004D3B">
            <w:pPr>
              <w:pStyle w:val="BodyText"/>
              <w:spacing w:before="20" w:after="20"/>
              <w:rPr>
                <w:rFonts w:cs="Arial"/>
                <w:b/>
                <w:sz w:val="16"/>
                <w:szCs w:val="16"/>
              </w:rPr>
            </w:pPr>
            <w:r w:rsidRPr="004E18B9">
              <w:rPr>
                <w:rFonts w:cs="Arial"/>
                <w:b/>
                <w:sz w:val="16"/>
                <w:szCs w:val="16"/>
              </w:rPr>
              <w:t xml:space="preserve">Greenfield </w:t>
            </w:r>
            <w:r w:rsidR="00164DDA">
              <w:rPr>
                <w:rFonts w:cs="Arial"/>
                <w:b/>
                <w:sz w:val="16"/>
                <w:szCs w:val="16"/>
              </w:rPr>
              <w:t>exemption</w:t>
            </w:r>
          </w:p>
        </w:tc>
        <w:tc>
          <w:tcPr>
            <w:tcW w:w="1902" w:type="dxa"/>
            <w:tcBorders>
              <w:bottom w:val="single" w:sz="4" w:space="0" w:color="auto"/>
            </w:tcBorders>
            <w:shd w:val="clear" w:color="auto" w:fill="C8C9D3" w:themeFill="background2" w:themeFillShade="E6"/>
          </w:tcPr>
          <w:p w14:paraId="00E6C0A7" w14:textId="77777777" w:rsidR="002C5266" w:rsidRPr="004E18B9" w:rsidRDefault="002C5266" w:rsidP="00004D3B">
            <w:pPr>
              <w:pStyle w:val="TableBullet10"/>
              <w:numPr>
                <w:ilvl w:val="0"/>
                <w:numId w:val="0"/>
              </w:numPr>
              <w:spacing w:before="20" w:after="20"/>
              <w:ind w:left="85"/>
              <w:rPr>
                <w:sz w:val="16"/>
                <w:szCs w:val="16"/>
              </w:rPr>
            </w:pPr>
            <w:r w:rsidRPr="004E18B9">
              <w:rPr>
                <w:sz w:val="16"/>
                <w:szCs w:val="16"/>
              </w:rPr>
              <w:t>Maintain current approach</w:t>
            </w:r>
            <w:r>
              <w:rPr>
                <w:sz w:val="16"/>
                <w:szCs w:val="16"/>
              </w:rPr>
              <w:t>, with new pipelines able to obtain a 15-year no coverage determination if the coverage test is not satisfied and the terms and conditions of access for pipelines developed through a competitive tender process able to be locked in for up to 15 years.</w:t>
            </w:r>
          </w:p>
        </w:tc>
        <w:tc>
          <w:tcPr>
            <w:tcW w:w="1665" w:type="dxa"/>
            <w:tcBorders>
              <w:bottom w:val="single" w:sz="4" w:space="0" w:color="auto"/>
            </w:tcBorders>
            <w:shd w:val="clear" w:color="auto" w:fill="C8C9D3" w:themeFill="background2" w:themeFillShade="E6"/>
          </w:tcPr>
          <w:p w14:paraId="2F796A2F" w14:textId="77777777" w:rsidR="002C5266" w:rsidRPr="004E18B9" w:rsidRDefault="002C5266" w:rsidP="00004D3B">
            <w:pPr>
              <w:pStyle w:val="TableBullet10"/>
              <w:numPr>
                <w:ilvl w:val="0"/>
                <w:numId w:val="0"/>
              </w:numPr>
              <w:spacing w:before="20" w:after="20"/>
              <w:ind w:left="85"/>
              <w:rPr>
                <w:sz w:val="16"/>
                <w:szCs w:val="16"/>
              </w:rPr>
            </w:pPr>
            <w:r w:rsidRPr="004E18B9">
              <w:rPr>
                <w:sz w:val="16"/>
                <w:szCs w:val="16"/>
              </w:rPr>
              <w:t xml:space="preserve">Single greenfield </w:t>
            </w:r>
            <w:r w:rsidR="00164DDA">
              <w:rPr>
                <w:sz w:val="16"/>
                <w:szCs w:val="16"/>
              </w:rPr>
              <w:t>exemption</w:t>
            </w:r>
            <w:r w:rsidR="00164DDA" w:rsidRPr="004E18B9">
              <w:rPr>
                <w:sz w:val="16"/>
                <w:szCs w:val="16"/>
              </w:rPr>
              <w:t xml:space="preserve"> </w:t>
            </w:r>
            <w:r w:rsidRPr="004E18B9">
              <w:rPr>
                <w:sz w:val="16"/>
                <w:szCs w:val="16"/>
              </w:rPr>
              <w:t xml:space="preserve">to </w:t>
            </w:r>
            <w:r>
              <w:rPr>
                <w:sz w:val="16"/>
                <w:szCs w:val="16"/>
              </w:rPr>
              <w:t>enable</w:t>
            </w:r>
            <w:r w:rsidRPr="004E18B9">
              <w:rPr>
                <w:sz w:val="16"/>
                <w:szCs w:val="16"/>
              </w:rPr>
              <w:t xml:space="preserve"> new pipelines with a full exemption from regulation if the pipeline </w:t>
            </w:r>
            <w:r w:rsidR="00E756DE">
              <w:rPr>
                <w:sz w:val="16"/>
                <w:szCs w:val="16"/>
              </w:rPr>
              <w:t>can demonstrate it will not have substantial market power over the exemption period</w:t>
            </w:r>
            <w:r w:rsidRPr="004E18B9">
              <w:rPr>
                <w:sz w:val="16"/>
                <w:szCs w:val="16"/>
              </w:rPr>
              <w:t xml:space="preserve">. </w:t>
            </w:r>
          </w:p>
        </w:tc>
        <w:tc>
          <w:tcPr>
            <w:tcW w:w="2635" w:type="dxa"/>
            <w:gridSpan w:val="2"/>
            <w:tcBorders>
              <w:bottom w:val="single" w:sz="4" w:space="0" w:color="auto"/>
            </w:tcBorders>
            <w:shd w:val="clear" w:color="auto" w:fill="C8C9D3" w:themeFill="background2" w:themeFillShade="E6"/>
          </w:tcPr>
          <w:p w14:paraId="5FEB6AA9" w14:textId="77777777" w:rsidR="002C5266" w:rsidRPr="004E18B9" w:rsidRDefault="002C5266" w:rsidP="00004D3B">
            <w:pPr>
              <w:pStyle w:val="TableBullet10"/>
              <w:numPr>
                <w:ilvl w:val="0"/>
                <w:numId w:val="0"/>
              </w:numPr>
              <w:spacing w:before="20" w:after="20"/>
              <w:ind w:left="85"/>
              <w:rPr>
                <w:sz w:val="16"/>
                <w:szCs w:val="16"/>
              </w:rPr>
            </w:pPr>
            <w:r w:rsidRPr="004E18B9">
              <w:rPr>
                <w:sz w:val="16"/>
                <w:szCs w:val="16"/>
              </w:rPr>
              <w:t xml:space="preserve">Single greenfield </w:t>
            </w:r>
            <w:r w:rsidR="00164DDA">
              <w:rPr>
                <w:sz w:val="16"/>
                <w:szCs w:val="16"/>
              </w:rPr>
              <w:t>exemption</w:t>
            </w:r>
            <w:r w:rsidR="00164DDA" w:rsidRPr="004E18B9">
              <w:rPr>
                <w:sz w:val="16"/>
                <w:szCs w:val="16"/>
              </w:rPr>
              <w:t xml:space="preserve"> </w:t>
            </w:r>
            <w:r w:rsidRPr="004E18B9">
              <w:rPr>
                <w:sz w:val="16"/>
                <w:szCs w:val="16"/>
              </w:rPr>
              <w:t xml:space="preserve">to </w:t>
            </w:r>
            <w:r>
              <w:rPr>
                <w:sz w:val="16"/>
                <w:szCs w:val="16"/>
              </w:rPr>
              <w:t xml:space="preserve">enable </w:t>
            </w:r>
            <w:r w:rsidRPr="004E18B9">
              <w:rPr>
                <w:sz w:val="16"/>
                <w:szCs w:val="16"/>
              </w:rPr>
              <w:t xml:space="preserve">new pipelines </w:t>
            </w:r>
            <w:r>
              <w:rPr>
                <w:sz w:val="16"/>
                <w:szCs w:val="16"/>
              </w:rPr>
              <w:t xml:space="preserve">to obtain an </w:t>
            </w:r>
            <w:r w:rsidRPr="004E18B9">
              <w:rPr>
                <w:sz w:val="16"/>
                <w:szCs w:val="16"/>
              </w:rPr>
              <w:t xml:space="preserve">exemption from </w:t>
            </w:r>
            <w:r>
              <w:rPr>
                <w:sz w:val="16"/>
                <w:szCs w:val="16"/>
              </w:rPr>
              <w:t xml:space="preserve">the stronger </w:t>
            </w:r>
            <w:r w:rsidRPr="004E18B9">
              <w:rPr>
                <w:sz w:val="16"/>
                <w:szCs w:val="16"/>
              </w:rPr>
              <w:t>form of regulation</w:t>
            </w:r>
            <w:r>
              <w:rPr>
                <w:sz w:val="16"/>
                <w:szCs w:val="16"/>
              </w:rPr>
              <w:t xml:space="preserve">, </w:t>
            </w:r>
            <w:r w:rsidR="00DA5E49">
              <w:rPr>
                <w:sz w:val="16"/>
                <w:szCs w:val="16"/>
              </w:rPr>
              <w:t xml:space="preserve">and </w:t>
            </w:r>
            <w:r>
              <w:rPr>
                <w:sz w:val="16"/>
                <w:szCs w:val="16"/>
              </w:rPr>
              <w:t>where relevant,</w:t>
            </w:r>
            <w:r w:rsidRPr="004E18B9">
              <w:rPr>
                <w:sz w:val="16"/>
                <w:szCs w:val="16"/>
              </w:rPr>
              <w:t xml:space="preserve"> </w:t>
            </w:r>
            <w:r>
              <w:rPr>
                <w:sz w:val="16"/>
                <w:szCs w:val="16"/>
              </w:rPr>
              <w:t>lock in the outcomes of competition,</w:t>
            </w:r>
            <w:r w:rsidRPr="004E18B9">
              <w:rPr>
                <w:sz w:val="16"/>
                <w:szCs w:val="16"/>
              </w:rPr>
              <w:t xml:space="preserve"> for up to 15 years</w:t>
            </w:r>
            <w:r>
              <w:rPr>
                <w:sz w:val="16"/>
                <w:szCs w:val="16"/>
              </w:rPr>
              <w:t xml:space="preserve"> where it can be demonstrated that the pipeline is unlikely to have substantial market power over the exemption period</w:t>
            </w:r>
            <w:r w:rsidRPr="004E18B9">
              <w:rPr>
                <w:sz w:val="16"/>
                <w:szCs w:val="16"/>
              </w:rPr>
              <w:t xml:space="preserve">. </w:t>
            </w:r>
          </w:p>
        </w:tc>
        <w:tc>
          <w:tcPr>
            <w:tcW w:w="1425" w:type="dxa"/>
            <w:tcBorders>
              <w:bottom w:val="single" w:sz="4" w:space="0" w:color="auto"/>
            </w:tcBorders>
            <w:shd w:val="clear" w:color="auto" w:fill="C8C9D3" w:themeFill="background2" w:themeFillShade="E6"/>
          </w:tcPr>
          <w:p w14:paraId="6567B5B6" w14:textId="77777777" w:rsidR="002C5266" w:rsidRPr="004E18B9" w:rsidRDefault="002C5266" w:rsidP="00004D3B">
            <w:pPr>
              <w:pStyle w:val="TableBullet10"/>
              <w:numPr>
                <w:ilvl w:val="0"/>
                <w:numId w:val="0"/>
              </w:numPr>
              <w:spacing w:before="20" w:after="20"/>
              <w:ind w:left="85"/>
              <w:rPr>
                <w:sz w:val="16"/>
                <w:szCs w:val="16"/>
              </w:rPr>
            </w:pPr>
            <w:r>
              <w:rPr>
                <w:sz w:val="16"/>
                <w:szCs w:val="16"/>
              </w:rPr>
              <w:t xml:space="preserve">No greenfield </w:t>
            </w:r>
            <w:r w:rsidR="004D6EBD">
              <w:rPr>
                <w:sz w:val="16"/>
                <w:szCs w:val="16"/>
              </w:rPr>
              <w:t>exemption</w:t>
            </w:r>
          </w:p>
        </w:tc>
      </w:tr>
    </w:tbl>
    <w:p w14:paraId="2D29C697" w14:textId="77777777" w:rsidR="00DA5E49" w:rsidRDefault="00DA5E49" w:rsidP="00DA5E49">
      <w:pPr>
        <w:pStyle w:val="BodyText"/>
      </w:pPr>
      <w:r w:rsidRPr="00DA5E49">
        <w:t>Further detail on how these options form part of a broader regulatory package is provided in Chapter 8, while Chapter 9 sets out the results of regulatory impact assessment of these reform options and Chapter 10 sets out the preferred option.</w:t>
      </w:r>
    </w:p>
    <w:p w14:paraId="36B46C5E" w14:textId="77777777" w:rsidR="00DA5E49" w:rsidRDefault="00DA5E49" w:rsidP="00DA5E49">
      <w:pPr>
        <w:pStyle w:val="BodyText"/>
      </w:pPr>
    </w:p>
    <w:p w14:paraId="42AE2000" w14:textId="77777777" w:rsidR="002C5266" w:rsidRPr="003E2A83" w:rsidRDefault="002C5266" w:rsidP="00507831">
      <w:pPr>
        <w:pStyle w:val="BodyText"/>
        <w:rPr>
          <w:szCs w:val="18"/>
          <w:lang w:eastAsia="fr-CA"/>
        </w:rPr>
      </w:pPr>
    </w:p>
    <w:p w14:paraId="2D0E6F47" w14:textId="77777777" w:rsidR="00AB34D1" w:rsidRPr="006B4639" w:rsidRDefault="00AB34D1" w:rsidP="00AB34D1">
      <w:pPr>
        <w:pStyle w:val="BodyText"/>
        <w:rPr>
          <w:rFonts w:asciiTheme="majorHAnsi" w:eastAsiaTheme="minorEastAsia" w:hAnsiTheme="majorHAnsi" w:cstheme="majorBidi"/>
          <w:color w:val="002060"/>
          <w:sz w:val="32"/>
          <w:szCs w:val="32"/>
        </w:rPr>
      </w:pPr>
      <w:r w:rsidRPr="006B4639">
        <w:br w:type="page"/>
      </w:r>
    </w:p>
    <w:p w14:paraId="1DCFB104" w14:textId="77777777" w:rsidR="00856B08" w:rsidRPr="006B4639" w:rsidRDefault="00856B08" w:rsidP="00856B08">
      <w:pPr>
        <w:pStyle w:val="Heading1"/>
      </w:pPr>
      <w:bookmarkStart w:id="100" w:name="_Toc62219408"/>
      <w:r w:rsidRPr="006B4639">
        <w:lastRenderedPageBreak/>
        <w:t xml:space="preserve">Reform focus 2: </w:t>
      </w:r>
      <w:r w:rsidR="00662517" w:rsidRPr="006B4639">
        <w:t>F</w:t>
      </w:r>
      <w:r w:rsidR="006B3B6B" w:rsidRPr="006B4639">
        <w:t>orm</w:t>
      </w:r>
      <w:r w:rsidR="00662517" w:rsidRPr="006B4639">
        <w:t>s</w:t>
      </w:r>
      <w:r w:rsidR="006B3B6B" w:rsidRPr="006B4639">
        <w:t xml:space="preserve"> of regulation </w:t>
      </w:r>
      <w:r w:rsidR="00662517" w:rsidRPr="006B4639">
        <w:t>and movements between the alternative forms of regulation</w:t>
      </w:r>
      <w:bookmarkEnd w:id="100"/>
      <w:r w:rsidR="00662517" w:rsidRPr="006B4639">
        <w:t xml:space="preserve"> </w:t>
      </w:r>
    </w:p>
    <w:p w14:paraId="43C69F19" w14:textId="77777777" w:rsidR="004A793A" w:rsidRPr="006B4639" w:rsidRDefault="004A793A" w:rsidP="004A793A">
      <w:pPr>
        <w:pStyle w:val="BodyText"/>
      </w:pPr>
      <w:bookmarkStart w:id="101" w:name="_Toc15264833"/>
      <w:r w:rsidRPr="006B4639">
        <w:t xml:space="preserve">The preceding chapter considered the question of </w:t>
      </w:r>
      <w:r w:rsidRPr="006B4639">
        <w:rPr>
          <w:i/>
        </w:rPr>
        <w:t>when</w:t>
      </w:r>
      <w:r w:rsidRPr="006B4639">
        <w:t xml:space="preserve"> a pipeline should be subject to economic regulation. This chapter considers the related question of </w:t>
      </w:r>
      <w:r w:rsidRPr="006B4639">
        <w:rPr>
          <w:i/>
        </w:rPr>
        <w:t>how</w:t>
      </w:r>
      <w:r w:rsidRPr="006B4639">
        <w:t xml:space="preserve"> a pipeline should be regulated, if a decision has been made that it should be subject to regulation. </w:t>
      </w:r>
      <w:bookmarkEnd w:id="101"/>
    </w:p>
    <w:p w14:paraId="35D26836" w14:textId="2D5EE5E9" w:rsidR="0004494F" w:rsidRDefault="004A793A" w:rsidP="0004494F">
      <w:pPr>
        <w:pStyle w:val="BodyText"/>
        <w:rPr>
          <w:sz w:val="16"/>
          <w:szCs w:val="16"/>
        </w:rPr>
      </w:pPr>
      <w:r w:rsidRPr="006B4639">
        <w:t>There are a number of different forms that economic regulation can take, ranging from price monitoring through to full price control and variations in between</w:t>
      </w:r>
      <w:r w:rsidR="002103AF">
        <w:t>,</w:t>
      </w:r>
      <w:r w:rsidRPr="006B4639">
        <w:t xml:space="preserve"> such as information disclosure and negotiate-arbitrate (see </w:t>
      </w:r>
      <w:r w:rsidRPr="006B4639">
        <w:fldChar w:fldCharType="begin" w:fldLock="1"/>
      </w:r>
      <w:r w:rsidRPr="006B4639">
        <w:instrText xml:space="preserve"> REF _Ref4140380 \h </w:instrText>
      </w:r>
      <w:r w:rsidRPr="006B4639">
        <w:fldChar w:fldCharType="separate"/>
      </w:r>
      <w:r w:rsidR="00036405" w:rsidRPr="006B4639">
        <w:rPr>
          <w:rFonts w:cs="Arial"/>
        </w:rPr>
        <w:t xml:space="preserve">Table </w:t>
      </w:r>
      <w:r w:rsidR="00036405">
        <w:rPr>
          <w:rFonts w:cs="Arial"/>
          <w:noProof/>
        </w:rPr>
        <w:t>5</w:t>
      </w:r>
      <w:r w:rsidR="00036405">
        <w:rPr>
          <w:rFonts w:cs="Arial"/>
        </w:rPr>
        <w:t>.</w:t>
      </w:r>
      <w:r w:rsidR="00036405">
        <w:rPr>
          <w:rFonts w:cs="Arial"/>
          <w:noProof/>
        </w:rPr>
        <w:t>1</w:t>
      </w:r>
      <w:r w:rsidRPr="006B4639">
        <w:fldChar w:fldCharType="end"/>
      </w:r>
      <w:r w:rsidRPr="006B4639">
        <w:t xml:space="preserve">). </w:t>
      </w:r>
      <w:r w:rsidR="001E3C9F">
        <w:t xml:space="preserve">The choice between these </w:t>
      </w:r>
      <w:r w:rsidR="001E3C9F" w:rsidRPr="0004494F">
        <w:t>alternative forms of regulation will generally depend on</w:t>
      </w:r>
      <w:r w:rsidR="00752365" w:rsidRPr="0004494F">
        <w:t xml:space="preserve"> the degree of market power held by the service provider and the costs and benefits associated </w:t>
      </w:r>
      <w:r w:rsidR="000571EF" w:rsidRPr="0004494F">
        <w:t>with the form of regulation</w:t>
      </w:r>
      <w:r w:rsidR="0004494F" w:rsidRPr="0004494F">
        <w:t xml:space="preserve">, as noted by the Expert Panel on Access Pricing in its 2006 report to the </w:t>
      </w:r>
      <w:r w:rsidR="00C2578D">
        <w:t xml:space="preserve">former </w:t>
      </w:r>
      <w:r w:rsidR="0004494F" w:rsidRPr="0004494F">
        <w:t>Ministerial Council on Energy:</w:t>
      </w:r>
      <w:r w:rsidR="00963DD0" w:rsidRPr="00963DD0">
        <w:rPr>
          <w:rStyle w:val="FootnoteReference"/>
          <w:rFonts w:cstheme="minorHAnsi"/>
        </w:rPr>
        <w:t xml:space="preserve"> </w:t>
      </w:r>
      <w:r w:rsidR="00370905">
        <w:rPr>
          <w:rFonts w:ascii="ZWAdobeF" w:hAnsi="ZWAdobeF" w:cs="ZWAdobeF"/>
          <w:sz w:val="2"/>
          <w:szCs w:val="2"/>
        </w:rPr>
        <w:t>112F</w:t>
      </w:r>
      <w:r w:rsidR="00963DD0">
        <w:rPr>
          <w:rStyle w:val="FootnoteReference"/>
          <w:rFonts w:cstheme="minorHAnsi"/>
        </w:rPr>
        <w:footnoteReference w:id="114"/>
      </w:r>
      <w:r w:rsidR="0004494F" w:rsidRPr="00B47F19">
        <w:rPr>
          <w:sz w:val="16"/>
          <w:szCs w:val="16"/>
        </w:rPr>
        <w:t xml:space="preserve">  </w:t>
      </w:r>
    </w:p>
    <w:p w14:paraId="63F4A932" w14:textId="77777777" w:rsidR="0004494F" w:rsidRPr="0004494F" w:rsidRDefault="0004494F" w:rsidP="0004494F">
      <w:pPr>
        <w:pStyle w:val="BodyText"/>
        <w:spacing w:before="120"/>
        <w:ind w:left="357"/>
        <w:rPr>
          <w:rFonts w:asciiTheme="majorHAnsi" w:hAnsiTheme="majorHAnsi" w:cstheme="majorHAnsi"/>
          <w:i/>
          <w:iCs/>
          <w:sz w:val="20"/>
          <w:szCs w:val="20"/>
        </w:rPr>
      </w:pPr>
      <w:r w:rsidRPr="0004494F">
        <w:rPr>
          <w:rFonts w:asciiTheme="majorHAnsi" w:hAnsiTheme="majorHAnsi" w:cstheme="majorHAnsi"/>
          <w:i/>
          <w:iCs/>
          <w:sz w:val="20"/>
          <w:szCs w:val="20"/>
        </w:rPr>
        <w:t>“The general principle to be applied is that more intrusive and potentially costly forms of regulation (principally direct price or revenue controls) will only be warranted where substantial market power is involved. Where the market conditions involve the reality of, or potential for, a measure of contestability or the prospect of meaningful commercial negotiation, less intrusive and costly forms of regulation are likely to be warranted.”</w:t>
      </w:r>
    </w:p>
    <w:p w14:paraId="3C0BCB3D" w14:textId="7B80AF87" w:rsidR="004A793A" w:rsidRPr="006B4639" w:rsidRDefault="004A793A" w:rsidP="004A793A">
      <w:pPr>
        <w:pStyle w:val="Caption"/>
        <w:spacing w:after="0"/>
        <w:rPr>
          <w:rFonts w:cs="Arial"/>
        </w:rPr>
      </w:pPr>
      <w:bookmarkStart w:id="102" w:name="_Ref4140380"/>
      <w:r w:rsidRPr="006B4639">
        <w:rPr>
          <w:rFonts w:cs="Arial"/>
        </w:rPr>
        <w:t xml:space="preserve">Table </w:t>
      </w:r>
      <w:r w:rsidR="007362CF">
        <w:rPr>
          <w:rFonts w:cs="Arial"/>
        </w:rPr>
        <w:fldChar w:fldCharType="begin" w:fldLock="1"/>
      </w:r>
      <w:r w:rsidR="007362CF">
        <w:rPr>
          <w:rFonts w:cs="Arial"/>
        </w:rPr>
        <w:instrText xml:space="preserve"> STYLEREF 1 \s </w:instrText>
      </w:r>
      <w:r w:rsidR="007362CF">
        <w:rPr>
          <w:rFonts w:cs="Arial"/>
        </w:rPr>
        <w:fldChar w:fldCharType="separate"/>
      </w:r>
      <w:r w:rsidR="00036405">
        <w:rPr>
          <w:rFonts w:cs="Arial"/>
          <w:noProof/>
        </w:rPr>
        <w:t>5</w:t>
      </w:r>
      <w:r w:rsidR="007362CF">
        <w:rPr>
          <w:rFonts w:cs="Arial"/>
        </w:rPr>
        <w:fldChar w:fldCharType="end"/>
      </w:r>
      <w:r w:rsidR="007362CF">
        <w:rPr>
          <w:rFonts w:cs="Arial"/>
        </w:rPr>
        <w:t>.</w:t>
      </w:r>
      <w:r w:rsidR="007362CF">
        <w:rPr>
          <w:rFonts w:cs="Arial"/>
        </w:rPr>
        <w:fldChar w:fldCharType="begin"/>
      </w:r>
      <w:r w:rsidR="007362CF">
        <w:rPr>
          <w:rFonts w:cs="Arial"/>
        </w:rPr>
        <w:instrText xml:space="preserve"> SEQ Table \* ARABIC \s 1 </w:instrText>
      </w:r>
      <w:r w:rsidR="007362CF">
        <w:rPr>
          <w:rFonts w:cs="Arial"/>
        </w:rPr>
        <w:fldChar w:fldCharType="separate"/>
      </w:r>
      <w:r w:rsidR="004031E8">
        <w:rPr>
          <w:rFonts w:cs="Arial"/>
          <w:noProof/>
        </w:rPr>
        <w:t>1</w:t>
      </w:r>
      <w:r w:rsidR="007362CF">
        <w:rPr>
          <w:rFonts w:cs="Arial"/>
        </w:rPr>
        <w:fldChar w:fldCharType="end"/>
      </w:r>
      <w:bookmarkEnd w:id="102"/>
      <w:r w:rsidRPr="006B4639">
        <w:rPr>
          <w:rFonts w:cs="Arial"/>
        </w:rPr>
        <w:t xml:space="preserve">: Alternative forms of regulation </w:t>
      </w:r>
    </w:p>
    <w:tbl>
      <w:tblPr>
        <w:tblStyle w:val="TableGrid"/>
        <w:tblW w:w="5000" w:type="pct"/>
        <w:tblLayout w:type="fixed"/>
        <w:tblLook w:val="0420" w:firstRow="1" w:lastRow="0" w:firstColumn="0" w:lastColumn="0" w:noHBand="0" w:noVBand="1"/>
      </w:tblPr>
      <w:tblGrid>
        <w:gridCol w:w="1489"/>
        <w:gridCol w:w="2162"/>
        <w:gridCol w:w="5137"/>
      </w:tblGrid>
      <w:tr w:rsidR="004A793A" w:rsidRPr="001A581F" w14:paraId="02F4DBA1" w14:textId="77777777" w:rsidTr="003E4A31">
        <w:trPr>
          <w:cnfStyle w:val="100000000000" w:firstRow="1" w:lastRow="0" w:firstColumn="0" w:lastColumn="0" w:oddVBand="0" w:evenVBand="0" w:oddHBand="0" w:evenHBand="0" w:firstRowFirstColumn="0" w:firstRowLastColumn="0" w:lastRowFirstColumn="0" w:lastRowLastColumn="0"/>
          <w:cantSplit/>
          <w:tblHeader/>
        </w:trPr>
        <w:tc>
          <w:tcPr>
            <w:tcW w:w="847" w:type="pct"/>
            <w:shd w:val="clear" w:color="auto" w:fill="002060"/>
          </w:tcPr>
          <w:p w14:paraId="2B80C877" w14:textId="77777777" w:rsidR="004A793A" w:rsidRPr="001A581F" w:rsidRDefault="004A793A" w:rsidP="00AF0A93">
            <w:pPr>
              <w:pStyle w:val="TableHeading"/>
              <w:spacing w:before="20" w:after="40"/>
              <w:rPr>
                <w:szCs w:val="18"/>
              </w:rPr>
            </w:pPr>
            <w:r w:rsidRPr="001A581F">
              <w:rPr>
                <w:szCs w:val="18"/>
              </w:rPr>
              <w:t>Intrusiveness</w:t>
            </w:r>
          </w:p>
        </w:tc>
        <w:tc>
          <w:tcPr>
            <w:tcW w:w="1230" w:type="pct"/>
            <w:shd w:val="clear" w:color="auto" w:fill="002060"/>
          </w:tcPr>
          <w:p w14:paraId="069746E4" w14:textId="77777777" w:rsidR="004A793A" w:rsidRPr="001A581F" w:rsidRDefault="004A793A" w:rsidP="00AF0A93">
            <w:pPr>
              <w:pStyle w:val="TableHeading"/>
              <w:spacing w:before="20" w:after="40"/>
              <w:rPr>
                <w:szCs w:val="18"/>
                <w:lang w:eastAsia="fr-CA"/>
              </w:rPr>
            </w:pPr>
            <w:r w:rsidRPr="001A581F">
              <w:rPr>
                <w:szCs w:val="18"/>
              </w:rPr>
              <w:t>Regulatory response</w:t>
            </w:r>
          </w:p>
        </w:tc>
        <w:tc>
          <w:tcPr>
            <w:tcW w:w="2923" w:type="pct"/>
            <w:shd w:val="clear" w:color="auto" w:fill="002060"/>
          </w:tcPr>
          <w:p w14:paraId="74873B24" w14:textId="77777777" w:rsidR="004A793A" w:rsidRPr="001A581F" w:rsidRDefault="004A793A" w:rsidP="00AF0A93">
            <w:pPr>
              <w:pStyle w:val="TableHeading"/>
              <w:spacing w:before="20" w:after="40"/>
              <w:rPr>
                <w:szCs w:val="18"/>
                <w:lang w:eastAsia="fr-CA"/>
              </w:rPr>
            </w:pPr>
            <w:r w:rsidRPr="001A581F">
              <w:rPr>
                <w:szCs w:val="18"/>
              </w:rPr>
              <w:t>Description</w:t>
            </w:r>
          </w:p>
        </w:tc>
      </w:tr>
      <w:tr w:rsidR="004A793A" w:rsidRPr="001A581F" w14:paraId="08EF7422" w14:textId="77777777" w:rsidTr="008A6289">
        <w:trPr>
          <w:cantSplit/>
        </w:trPr>
        <w:tc>
          <w:tcPr>
            <w:tcW w:w="847" w:type="pct"/>
            <w:vMerge w:val="restart"/>
          </w:tcPr>
          <w:p w14:paraId="069A533C" w14:textId="77777777" w:rsidR="004A793A" w:rsidRPr="001A581F" w:rsidRDefault="007E270E" w:rsidP="00AF0A93">
            <w:pPr>
              <w:pStyle w:val="TableBodyText"/>
              <w:spacing w:before="20" w:after="40"/>
              <w:ind w:left="0"/>
              <w:rPr>
                <w:szCs w:val="18"/>
              </w:rPr>
            </w:pPr>
            <w:r w:rsidRPr="001A581F">
              <w:rPr>
                <w:noProof/>
                <w:szCs w:val="18"/>
              </w:rPr>
              <mc:AlternateContent>
                <mc:Choice Requires="wps">
                  <w:drawing>
                    <wp:anchor distT="0" distB="0" distL="114300" distR="114300" simplePos="0" relativeHeight="251659264" behindDoc="0" locked="0" layoutInCell="1" allowOverlap="1" wp14:anchorId="7F4346EA" wp14:editId="53047971">
                      <wp:simplePos x="0" y="0"/>
                      <wp:positionH relativeFrom="column">
                        <wp:posOffset>-1657704</wp:posOffset>
                      </wp:positionH>
                      <wp:positionV relativeFrom="paragraph">
                        <wp:posOffset>2215868</wp:posOffset>
                      </wp:positionV>
                      <wp:extent cx="4534537" cy="176461"/>
                      <wp:effectExtent l="7620" t="0" r="6985" b="6985"/>
                      <wp:wrapNone/>
                      <wp:docPr id="38" name="Left-Right Arrow 37" descr="P1511C4T22#y1"/>
                      <wp:cNvGraphicFramePr/>
                      <a:graphic xmlns:a="http://schemas.openxmlformats.org/drawingml/2006/main">
                        <a:graphicData uri="http://schemas.microsoft.com/office/word/2010/wordprocessingShape">
                          <wps:wsp>
                            <wps:cNvSpPr/>
                            <wps:spPr>
                              <a:xfrm rot="5400000">
                                <a:off x="0" y="0"/>
                                <a:ext cx="4534537" cy="176461"/>
                              </a:xfrm>
                              <a:prstGeom prst="leftRightArrow">
                                <a:avLst/>
                              </a:prstGeom>
                              <a:gradFill flip="none" rotWithShape="1">
                                <a:gsLst>
                                  <a:gs pos="1000">
                                    <a:srgbClr val="00B050"/>
                                  </a:gs>
                                  <a:gs pos="45000">
                                    <a:srgbClr val="FFFF00"/>
                                  </a:gs>
                                  <a:gs pos="90000">
                                    <a:srgbClr val="FF00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263F96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7" o:spid="_x0000_s1026" type="#_x0000_t69" alt="P1511C4T22#y1" style="position:absolute;margin-left:-130.55pt;margin-top:174.5pt;width:357.05pt;height:13.9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" adj="420" fillcolor="#00b050" stroked="f" strokeweight="2pt">
                      <v:fill color2="red" rotate="t" angle="90" colors="0 #00b050;655f #00b050;29491f yellow" focus="100%" type="gradient"/>
                    </v:shape>
                  </w:pict>
                </mc:Fallback>
              </mc:AlternateContent>
            </w:r>
            <w:r w:rsidRPr="001A581F">
              <w:rPr>
                <w:noProof/>
                <w:szCs w:val="18"/>
              </w:rPr>
              <mc:AlternateContent>
                <mc:Choice Requires="wps">
                  <w:drawing>
                    <wp:anchor distT="45720" distB="45720" distL="114300" distR="114300" simplePos="0" relativeHeight="251657216" behindDoc="0" locked="0" layoutInCell="1" allowOverlap="1" wp14:anchorId="6DB3B665" wp14:editId="4947D44C">
                      <wp:simplePos x="0" y="0"/>
                      <wp:positionH relativeFrom="column">
                        <wp:posOffset>321945</wp:posOffset>
                      </wp:positionH>
                      <wp:positionV relativeFrom="paragraph">
                        <wp:posOffset>3379470</wp:posOffset>
                      </wp:positionV>
                      <wp:extent cx="1089025" cy="1404620"/>
                      <wp:effectExtent l="6033" t="0" r="2857" b="2858"/>
                      <wp:wrapSquare wrapText="bothSides"/>
                      <wp:docPr id="6" name="Text Box 6" descr="P1511C4T22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89025" cy="1404620"/>
                              </a:xfrm>
                              <a:prstGeom prst="rect">
                                <a:avLst/>
                              </a:prstGeom>
                              <a:solidFill>
                                <a:srgbClr val="FFFFFF"/>
                              </a:solidFill>
                              <a:ln w="9525">
                                <a:noFill/>
                                <a:miter lim="800000"/>
                                <a:headEnd/>
                                <a:tailEnd/>
                              </a:ln>
                            </wps:spPr>
                            <wps:txbx>
                              <w:txbxContent>
                                <w:p w14:paraId="2F488466" w14:textId="77777777" w:rsidR="00F323B2" w:rsidRPr="00A34EA0" w:rsidRDefault="00F323B2" w:rsidP="004A793A">
                                  <w:pPr>
                                    <w:rPr>
                                      <w:color w:val="002060"/>
                                    </w:rPr>
                                  </w:pPr>
                                  <w:r w:rsidRPr="00A34EA0">
                                    <w:rPr>
                                      <w:color w:val="002060"/>
                                    </w:rPr>
                                    <w:t>More intrusive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DB3B665" id="_x0000_t202" coordsize="21600,21600" o:spt="202" path="m,l,21600r21600,l21600,xe">
                      <v:stroke joinstyle="miter"/>
                      <v:path gradientshapeok="t" o:connecttype="rect"/>
                    </v:shapetype>
                    <v:shape id="Text Box 6" o:spid="_x0000_s1026" type="#_x0000_t202" alt="P1511C4T22TB3#y1" style="position:absolute;margin-left:25.35pt;margin-top:266.1pt;width:85.75pt;height:110.6pt;rotation:-90;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" stroked="f">
                      <v:textbox style="mso-fit-shape-to-text:t">
                        <w:txbxContent>
                          <w:p w14:paraId="2F488466" w14:textId="77777777" w:rsidR="00F323B2" w:rsidRPr="00A34EA0" w:rsidRDefault="00F323B2" w:rsidP="004A793A">
                            <w:pPr>
                              <w:rPr>
                                <w:color w:val="002060"/>
                              </w:rPr>
                            </w:pPr>
                            <w:r w:rsidRPr="00A34EA0">
                              <w:rPr>
                                <w:color w:val="002060"/>
                              </w:rPr>
                              <w:t>More intrusive</w:t>
                            </w:r>
                          </w:p>
                        </w:txbxContent>
                      </v:textbox>
                      <w10:wrap type="square"/>
                    </v:shape>
                  </w:pict>
                </mc:Fallback>
              </mc:AlternateContent>
            </w:r>
            <w:r w:rsidR="00A34EA0" w:rsidRPr="001A581F">
              <w:rPr>
                <w:noProof/>
                <w:szCs w:val="18"/>
              </w:rPr>
              <mc:AlternateContent>
                <mc:Choice Requires="wps">
                  <w:drawing>
                    <wp:anchor distT="45720" distB="45720" distL="114300" distR="114300" simplePos="0" relativeHeight="251655168" behindDoc="0" locked="0" layoutInCell="1" allowOverlap="1" wp14:anchorId="38C09BF9" wp14:editId="5C608E17">
                      <wp:simplePos x="0" y="0"/>
                      <wp:positionH relativeFrom="column">
                        <wp:posOffset>254000</wp:posOffset>
                      </wp:positionH>
                      <wp:positionV relativeFrom="paragraph">
                        <wp:posOffset>-123190</wp:posOffset>
                      </wp:positionV>
                      <wp:extent cx="1089025" cy="1404620"/>
                      <wp:effectExtent l="6033" t="0" r="2857" b="2858"/>
                      <wp:wrapSquare wrapText="bothSides"/>
                      <wp:docPr id="217" name="Text Box 2" descr="P1511C4T22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89025" cy="1404620"/>
                              </a:xfrm>
                              <a:prstGeom prst="rect">
                                <a:avLst/>
                              </a:prstGeom>
                              <a:solidFill>
                                <a:srgbClr val="FFFFFF"/>
                              </a:solidFill>
                              <a:ln w="9525">
                                <a:noFill/>
                                <a:miter lim="800000"/>
                                <a:headEnd/>
                                <a:tailEnd/>
                              </a:ln>
                            </wps:spPr>
                            <wps:txbx>
                              <w:txbxContent>
                                <w:p w14:paraId="433F4A3F" w14:textId="77777777" w:rsidR="00F323B2" w:rsidRPr="00A34EA0" w:rsidRDefault="00F323B2" w:rsidP="004A793A">
                                  <w:pPr>
                                    <w:rPr>
                                      <w:color w:val="002060"/>
                                    </w:rPr>
                                  </w:pPr>
                                  <w:r w:rsidRPr="00A34EA0">
                                    <w:rPr>
                                      <w:color w:val="002060"/>
                                    </w:rPr>
                                    <w:t>Less intrusive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C09BF9" id="Text Box 2" o:spid="_x0000_s1027" type="#_x0000_t202" alt="P1511C4T22TB2#y1" style="position:absolute;margin-left:20pt;margin-top:-9.7pt;width:85.75pt;height:110.6pt;rotation:-90;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" stroked="f">
                      <v:textbox style="mso-fit-shape-to-text:t">
                        <w:txbxContent>
                          <w:p w14:paraId="433F4A3F" w14:textId="77777777" w:rsidR="00F323B2" w:rsidRPr="00A34EA0" w:rsidRDefault="00F323B2" w:rsidP="004A793A">
                            <w:pPr>
                              <w:rPr>
                                <w:color w:val="002060"/>
                              </w:rPr>
                            </w:pPr>
                            <w:r w:rsidRPr="00A34EA0">
                              <w:rPr>
                                <w:color w:val="002060"/>
                              </w:rPr>
                              <w:t>Less intrusive</w:t>
                            </w:r>
                          </w:p>
                        </w:txbxContent>
                      </v:textbox>
                      <w10:wrap type="square"/>
                    </v:shape>
                  </w:pict>
                </mc:Fallback>
              </mc:AlternateContent>
            </w:r>
            <w:r w:rsidR="004A793A" w:rsidRPr="001A581F">
              <w:rPr>
                <w:szCs w:val="18"/>
              </w:rPr>
              <w:t xml:space="preserve">      </w:t>
            </w:r>
          </w:p>
        </w:tc>
        <w:tc>
          <w:tcPr>
            <w:tcW w:w="1230" w:type="pct"/>
          </w:tcPr>
          <w:p w14:paraId="6977CA90" w14:textId="77777777" w:rsidR="004A793A" w:rsidRPr="001A581F" w:rsidRDefault="004A793A" w:rsidP="00AF0A93">
            <w:pPr>
              <w:pStyle w:val="TableBodyText"/>
              <w:spacing w:before="20" w:after="40"/>
              <w:rPr>
                <w:szCs w:val="18"/>
                <w:lang w:eastAsia="fr-CA"/>
              </w:rPr>
            </w:pPr>
            <w:r w:rsidRPr="001A581F">
              <w:rPr>
                <w:szCs w:val="18"/>
              </w:rPr>
              <w:t>No regulation</w:t>
            </w:r>
          </w:p>
        </w:tc>
        <w:tc>
          <w:tcPr>
            <w:tcW w:w="2923" w:type="pct"/>
          </w:tcPr>
          <w:p w14:paraId="33A2D5C3" w14:textId="77777777" w:rsidR="004A793A" w:rsidRPr="001A581F" w:rsidRDefault="004A793A" w:rsidP="00AF0A93">
            <w:pPr>
              <w:pStyle w:val="TableBodyText"/>
              <w:spacing w:before="20" w:after="40"/>
              <w:rPr>
                <w:szCs w:val="18"/>
                <w:lang w:eastAsia="fr-CA"/>
              </w:rPr>
            </w:pPr>
            <w:r w:rsidRPr="001A581F">
              <w:rPr>
                <w:szCs w:val="18"/>
              </w:rPr>
              <w:t>Government intervention is limited to establishing institutional arrangements for competitive markets and setting competition law, the latter of which works on an ex post basis to, with competitive markets, facilitate socially optimal outcomes.</w:t>
            </w:r>
          </w:p>
        </w:tc>
      </w:tr>
      <w:tr w:rsidR="004A793A" w:rsidRPr="001A581F" w14:paraId="07E1CE1F" w14:textId="77777777" w:rsidTr="008A6289">
        <w:trPr>
          <w:cnfStyle w:val="000000010000" w:firstRow="0" w:lastRow="0" w:firstColumn="0" w:lastColumn="0" w:oddVBand="0" w:evenVBand="0" w:oddHBand="0" w:evenHBand="1" w:firstRowFirstColumn="0" w:firstRowLastColumn="0" w:lastRowFirstColumn="0" w:lastRowLastColumn="0"/>
          <w:cantSplit/>
        </w:trPr>
        <w:tc>
          <w:tcPr>
            <w:tcW w:w="847" w:type="pct"/>
            <w:vMerge/>
          </w:tcPr>
          <w:p w14:paraId="6546EB1B" w14:textId="77777777" w:rsidR="004A793A" w:rsidRPr="001A581F" w:rsidRDefault="004A793A" w:rsidP="00AF0A93">
            <w:pPr>
              <w:pStyle w:val="TableBodyText"/>
              <w:spacing w:before="20" w:after="40"/>
              <w:rPr>
                <w:szCs w:val="18"/>
              </w:rPr>
            </w:pPr>
          </w:p>
        </w:tc>
        <w:tc>
          <w:tcPr>
            <w:tcW w:w="1230" w:type="pct"/>
          </w:tcPr>
          <w:p w14:paraId="6CB651D5" w14:textId="77777777" w:rsidR="004A793A" w:rsidRPr="001A581F" w:rsidRDefault="004A793A" w:rsidP="00AF0A93">
            <w:pPr>
              <w:pStyle w:val="TableBodyText"/>
              <w:spacing w:before="20" w:after="40"/>
              <w:rPr>
                <w:szCs w:val="18"/>
              </w:rPr>
            </w:pPr>
            <w:r w:rsidRPr="001A581F">
              <w:rPr>
                <w:szCs w:val="18"/>
              </w:rPr>
              <w:t>Price monitoring</w:t>
            </w:r>
          </w:p>
        </w:tc>
        <w:tc>
          <w:tcPr>
            <w:tcW w:w="2923" w:type="pct"/>
          </w:tcPr>
          <w:p w14:paraId="296E4F38" w14:textId="77777777" w:rsidR="004A793A" w:rsidRPr="001A581F" w:rsidRDefault="004A793A" w:rsidP="00AF0A93">
            <w:pPr>
              <w:pStyle w:val="TableBodyText"/>
              <w:spacing w:before="20" w:after="40"/>
              <w:rPr>
                <w:szCs w:val="18"/>
              </w:rPr>
            </w:pPr>
            <w:r w:rsidRPr="001A581F">
              <w:rPr>
                <w:szCs w:val="18"/>
              </w:rPr>
              <w:t>Regulatory requirements for the disclosure of information around prices and potentially quality over time. More focused on assessing trends and relative performance (where multiple firms are subject to price monitoring).</w:t>
            </w:r>
          </w:p>
        </w:tc>
      </w:tr>
      <w:tr w:rsidR="004A793A" w:rsidRPr="001A581F" w14:paraId="7F2D463F" w14:textId="77777777" w:rsidTr="008A6289">
        <w:trPr>
          <w:cantSplit/>
        </w:trPr>
        <w:tc>
          <w:tcPr>
            <w:tcW w:w="847" w:type="pct"/>
            <w:vMerge/>
          </w:tcPr>
          <w:p w14:paraId="7CAD2644" w14:textId="77777777" w:rsidR="004A793A" w:rsidRPr="001A581F" w:rsidRDefault="004A793A" w:rsidP="00AF0A93">
            <w:pPr>
              <w:pStyle w:val="TableBodyText"/>
              <w:spacing w:before="20" w:after="40"/>
              <w:rPr>
                <w:szCs w:val="18"/>
              </w:rPr>
            </w:pPr>
          </w:p>
        </w:tc>
        <w:tc>
          <w:tcPr>
            <w:tcW w:w="1230" w:type="pct"/>
          </w:tcPr>
          <w:p w14:paraId="19A208F3" w14:textId="77777777" w:rsidR="004A793A" w:rsidRPr="001A581F" w:rsidRDefault="004A793A" w:rsidP="00AF0A93">
            <w:pPr>
              <w:pStyle w:val="TableBodyText"/>
              <w:spacing w:before="20" w:after="40"/>
              <w:rPr>
                <w:szCs w:val="18"/>
                <w:lang w:eastAsia="fr-CA"/>
              </w:rPr>
            </w:pPr>
            <w:r w:rsidRPr="001A581F">
              <w:rPr>
                <w:szCs w:val="18"/>
              </w:rPr>
              <w:t>Information disclosure</w:t>
            </w:r>
          </w:p>
        </w:tc>
        <w:tc>
          <w:tcPr>
            <w:tcW w:w="2923" w:type="pct"/>
          </w:tcPr>
          <w:p w14:paraId="783E0AB2" w14:textId="77777777" w:rsidR="004A793A" w:rsidRPr="001A581F" w:rsidRDefault="004A793A" w:rsidP="00AF0A93">
            <w:pPr>
              <w:pStyle w:val="TableBodyText"/>
              <w:spacing w:before="20" w:after="40"/>
              <w:rPr>
                <w:szCs w:val="18"/>
                <w:lang w:eastAsia="fr-CA"/>
              </w:rPr>
            </w:pPr>
            <w:r w:rsidRPr="001A581F">
              <w:rPr>
                <w:szCs w:val="18"/>
              </w:rPr>
              <w:t>Regulatory requirements for the public disclosure of key information. This provides incentives for firms to improve performance, and allows the regulator and/or customers to hold firms to account.</w:t>
            </w:r>
          </w:p>
        </w:tc>
      </w:tr>
      <w:tr w:rsidR="004A793A" w:rsidRPr="001A581F" w14:paraId="3DD2AE66" w14:textId="77777777" w:rsidTr="008A6289">
        <w:trPr>
          <w:cnfStyle w:val="000000010000" w:firstRow="0" w:lastRow="0" w:firstColumn="0" w:lastColumn="0" w:oddVBand="0" w:evenVBand="0" w:oddHBand="0" w:evenHBand="1" w:firstRowFirstColumn="0" w:firstRowLastColumn="0" w:lastRowFirstColumn="0" w:lastRowLastColumn="0"/>
          <w:cantSplit/>
        </w:trPr>
        <w:tc>
          <w:tcPr>
            <w:tcW w:w="847" w:type="pct"/>
            <w:vMerge/>
          </w:tcPr>
          <w:p w14:paraId="06ECDB32" w14:textId="77777777" w:rsidR="004A793A" w:rsidRPr="001A581F" w:rsidRDefault="004A793A" w:rsidP="00AF0A93">
            <w:pPr>
              <w:pStyle w:val="TableBodyText"/>
              <w:spacing w:before="20" w:after="40"/>
              <w:rPr>
                <w:szCs w:val="18"/>
              </w:rPr>
            </w:pPr>
          </w:p>
        </w:tc>
        <w:tc>
          <w:tcPr>
            <w:tcW w:w="1230" w:type="pct"/>
          </w:tcPr>
          <w:p w14:paraId="47A1CDD4" w14:textId="77777777" w:rsidR="004A793A" w:rsidRPr="001A581F" w:rsidRDefault="004A793A" w:rsidP="00AF0A93">
            <w:pPr>
              <w:pStyle w:val="TableBodyText"/>
              <w:spacing w:before="20" w:after="40"/>
              <w:rPr>
                <w:szCs w:val="18"/>
                <w:lang w:eastAsia="fr-CA"/>
              </w:rPr>
            </w:pPr>
            <w:r w:rsidRPr="001A581F">
              <w:rPr>
                <w:szCs w:val="18"/>
              </w:rPr>
              <w:t>Negotiate-arbitrate</w:t>
            </w:r>
          </w:p>
        </w:tc>
        <w:tc>
          <w:tcPr>
            <w:tcW w:w="2923" w:type="pct"/>
          </w:tcPr>
          <w:p w14:paraId="25620E7E" w14:textId="77777777" w:rsidR="004A793A" w:rsidRPr="001A581F" w:rsidRDefault="00B311D3" w:rsidP="00AF0A93">
            <w:pPr>
              <w:pStyle w:val="TableBodyText"/>
              <w:spacing w:before="20" w:after="40"/>
              <w:rPr>
                <w:szCs w:val="18"/>
                <w:lang w:eastAsia="fr-CA"/>
              </w:rPr>
            </w:pPr>
            <w:r w:rsidRPr="001A581F">
              <w:rPr>
                <w:szCs w:val="18"/>
              </w:rPr>
              <w:t>Individual c</w:t>
            </w:r>
            <w:r w:rsidR="004A793A" w:rsidRPr="001A581F">
              <w:rPr>
                <w:szCs w:val="18"/>
              </w:rPr>
              <w:t xml:space="preserve">ustomers negotiate with </w:t>
            </w:r>
            <w:r w:rsidRPr="001A581F">
              <w:rPr>
                <w:szCs w:val="18"/>
              </w:rPr>
              <w:t xml:space="preserve">service providers to determine the </w:t>
            </w:r>
            <w:r w:rsidR="004A793A" w:rsidRPr="001A581F">
              <w:rPr>
                <w:szCs w:val="18"/>
              </w:rPr>
              <w:t xml:space="preserve">price and </w:t>
            </w:r>
            <w:r w:rsidRPr="001A581F">
              <w:rPr>
                <w:szCs w:val="18"/>
              </w:rPr>
              <w:t xml:space="preserve">non-price terms and </w:t>
            </w:r>
            <w:r w:rsidR="004A793A" w:rsidRPr="001A581F">
              <w:rPr>
                <w:szCs w:val="18"/>
              </w:rPr>
              <w:t>conditions</w:t>
            </w:r>
            <w:r w:rsidRPr="001A581F">
              <w:rPr>
                <w:szCs w:val="18"/>
              </w:rPr>
              <w:t xml:space="preserve"> of access</w:t>
            </w:r>
            <w:r w:rsidR="004A793A" w:rsidRPr="001A581F">
              <w:rPr>
                <w:szCs w:val="18"/>
              </w:rPr>
              <w:t xml:space="preserve"> (often supported by information disclosure)</w:t>
            </w:r>
            <w:r w:rsidR="001A581F" w:rsidRPr="001A581F">
              <w:rPr>
                <w:szCs w:val="18"/>
              </w:rPr>
              <w:t xml:space="preserve">. If negotiations fail an </w:t>
            </w:r>
            <w:r w:rsidR="004A793A" w:rsidRPr="001A581F">
              <w:rPr>
                <w:szCs w:val="18"/>
              </w:rPr>
              <w:t xml:space="preserve">independent arbitrator </w:t>
            </w:r>
            <w:r w:rsidR="001A581F" w:rsidRPr="001A581F">
              <w:rPr>
                <w:szCs w:val="18"/>
              </w:rPr>
              <w:t>(commercial arbitrator or regulator) can be called on to resolve the dispute</w:t>
            </w:r>
            <w:r w:rsidR="004A793A" w:rsidRPr="001A581F">
              <w:rPr>
                <w:szCs w:val="18"/>
              </w:rPr>
              <w:t>.</w:t>
            </w:r>
          </w:p>
        </w:tc>
      </w:tr>
      <w:tr w:rsidR="001A581F" w:rsidRPr="001A581F" w14:paraId="7A9C3371" w14:textId="77777777" w:rsidTr="008A6289">
        <w:trPr>
          <w:cantSplit/>
        </w:trPr>
        <w:tc>
          <w:tcPr>
            <w:tcW w:w="847" w:type="pct"/>
            <w:vMerge/>
          </w:tcPr>
          <w:p w14:paraId="5679427D" w14:textId="77777777" w:rsidR="001A581F" w:rsidRPr="001A581F" w:rsidRDefault="001A581F" w:rsidP="00AF0A93">
            <w:pPr>
              <w:pStyle w:val="TableBodyText"/>
              <w:spacing w:before="20" w:after="40"/>
              <w:rPr>
                <w:szCs w:val="18"/>
              </w:rPr>
            </w:pPr>
          </w:p>
        </w:tc>
        <w:tc>
          <w:tcPr>
            <w:tcW w:w="1230" w:type="pct"/>
          </w:tcPr>
          <w:p w14:paraId="04F8A189" w14:textId="77777777" w:rsidR="001A581F" w:rsidRPr="001A581F" w:rsidRDefault="001A581F" w:rsidP="00AF0A93">
            <w:pPr>
              <w:pStyle w:val="TableBodyText"/>
              <w:spacing w:before="20" w:after="40"/>
              <w:rPr>
                <w:szCs w:val="18"/>
              </w:rPr>
            </w:pPr>
            <w:r w:rsidRPr="001A581F">
              <w:rPr>
                <w:szCs w:val="18"/>
              </w:rPr>
              <w:t>Negotiated settlements</w:t>
            </w:r>
          </w:p>
        </w:tc>
        <w:tc>
          <w:tcPr>
            <w:tcW w:w="2923" w:type="pct"/>
          </w:tcPr>
          <w:p w14:paraId="5159BC5E" w14:textId="77777777" w:rsidR="001A581F" w:rsidRPr="001A581F" w:rsidRDefault="001A581F" w:rsidP="00AF0A93">
            <w:pPr>
              <w:pStyle w:val="TableBodyText"/>
              <w:spacing w:before="20" w:after="40"/>
              <w:rPr>
                <w:szCs w:val="18"/>
              </w:rPr>
            </w:pPr>
            <w:r w:rsidRPr="001A581F">
              <w:rPr>
                <w:szCs w:val="18"/>
              </w:rPr>
              <w:t>Customers jointly negotiate with service providers to determine the prices and non-price terms and conditions of access, which may be facilitated by the involvement of the regulator. Once an agreement (negotiated settlement) is reached, it is approved by the regulator.</w:t>
            </w:r>
          </w:p>
        </w:tc>
      </w:tr>
      <w:tr w:rsidR="004A793A" w:rsidRPr="001A581F" w14:paraId="58842B2F" w14:textId="77777777" w:rsidTr="008A6289">
        <w:trPr>
          <w:cnfStyle w:val="000000010000" w:firstRow="0" w:lastRow="0" w:firstColumn="0" w:lastColumn="0" w:oddVBand="0" w:evenVBand="0" w:oddHBand="0" w:evenHBand="1" w:firstRowFirstColumn="0" w:firstRowLastColumn="0" w:lastRowFirstColumn="0" w:lastRowLastColumn="0"/>
          <w:cantSplit/>
        </w:trPr>
        <w:tc>
          <w:tcPr>
            <w:tcW w:w="847" w:type="pct"/>
            <w:vMerge/>
          </w:tcPr>
          <w:p w14:paraId="556E7953" w14:textId="77777777" w:rsidR="004A793A" w:rsidRPr="001A581F" w:rsidRDefault="004A793A" w:rsidP="00AF0A93">
            <w:pPr>
              <w:pStyle w:val="TableBodyText"/>
              <w:spacing w:before="20" w:after="40"/>
              <w:rPr>
                <w:szCs w:val="18"/>
              </w:rPr>
            </w:pPr>
          </w:p>
        </w:tc>
        <w:tc>
          <w:tcPr>
            <w:tcW w:w="1230" w:type="pct"/>
          </w:tcPr>
          <w:p w14:paraId="0A3147FD" w14:textId="77777777" w:rsidR="004A793A" w:rsidRPr="001A581F" w:rsidRDefault="001A581F" w:rsidP="00AF0A93">
            <w:pPr>
              <w:pStyle w:val="TableBodyText"/>
              <w:spacing w:before="20" w:after="40"/>
              <w:rPr>
                <w:szCs w:val="18"/>
              </w:rPr>
            </w:pPr>
            <w:r w:rsidRPr="001A581F">
              <w:rPr>
                <w:szCs w:val="18"/>
              </w:rPr>
              <w:t>Negotiate-arbitrate with reference tariffs determined by regulator</w:t>
            </w:r>
          </w:p>
        </w:tc>
        <w:tc>
          <w:tcPr>
            <w:tcW w:w="2923" w:type="pct"/>
          </w:tcPr>
          <w:p w14:paraId="1FA3586E" w14:textId="77777777" w:rsidR="004A793A" w:rsidRPr="001A581F" w:rsidRDefault="001A581F" w:rsidP="00AF0A93">
            <w:pPr>
              <w:pStyle w:val="TableBodyText"/>
              <w:spacing w:before="20" w:after="40"/>
              <w:rPr>
                <w:szCs w:val="18"/>
              </w:rPr>
            </w:pPr>
            <w:r w:rsidRPr="001A581F">
              <w:rPr>
                <w:szCs w:val="18"/>
              </w:rPr>
              <w:t>The regulator determines reference tariffs for key services on an ex ante basis, which can then be used as the basis for negotiations by individual shippers. If negotiations fail the regulator can be called on to resolve the dispute.</w:t>
            </w:r>
          </w:p>
        </w:tc>
      </w:tr>
      <w:tr w:rsidR="004A793A" w:rsidRPr="001A581F" w14:paraId="0180A197" w14:textId="77777777" w:rsidTr="008A6289">
        <w:trPr>
          <w:cantSplit/>
        </w:trPr>
        <w:tc>
          <w:tcPr>
            <w:tcW w:w="847" w:type="pct"/>
            <w:vMerge/>
          </w:tcPr>
          <w:p w14:paraId="61797EE4" w14:textId="77777777" w:rsidR="004A793A" w:rsidRPr="001A581F" w:rsidRDefault="004A793A" w:rsidP="00AF0A93">
            <w:pPr>
              <w:pStyle w:val="TableBodyText"/>
              <w:spacing w:before="20" w:after="40"/>
              <w:rPr>
                <w:szCs w:val="18"/>
              </w:rPr>
            </w:pPr>
          </w:p>
        </w:tc>
        <w:tc>
          <w:tcPr>
            <w:tcW w:w="1230" w:type="pct"/>
          </w:tcPr>
          <w:p w14:paraId="0D05E259" w14:textId="77777777" w:rsidR="004A793A" w:rsidRPr="001A581F" w:rsidRDefault="004A793A" w:rsidP="00AF0A93">
            <w:pPr>
              <w:pStyle w:val="TableBodyText"/>
              <w:spacing w:before="20" w:after="40"/>
              <w:rPr>
                <w:szCs w:val="18"/>
                <w:lang w:eastAsia="fr-CA"/>
              </w:rPr>
            </w:pPr>
            <w:r w:rsidRPr="001A581F">
              <w:rPr>
                <w:szCs w:val="18"/>
              </w:rPr>
              <w:t>Price control</w:t>
            </w:r>
          </w:p>
        </w:tc>
        <w:tc>
          <w:tcPr>
            <w:tcW w:w="2923" w:type="pct"/>
          </w:tcPr>
          <w:p w14:paraId="35C92AED" w14:textId="77777777" w:rsidR="004A793A" w:rsidRPr="001A581F" w:rsidRDefault="004A793A" w:rsidP="00AF0A93">
            <w:pPr>
              <w:pStyle w:val="TableBodyText"/>
              <w:spacing w:before="20" w:after="40"/>
              <w:rPr>
                <w:szCs w:val="18"/>
                <w:lang w:eastAsia="fr-CA"/>
              </w:rPr>
            </w:pPr>
            <w:r w:rsidRPr="001A581F">
              <w:rPr>
                <w:szCs w:val="18"/>
              </w:rPr>
              <w:t xml:space="preserve">The regulator directly sets </w:t>
            </w:r>
            <w:r w:rsidR="001A581F">
              <w:rPr>
                <w:szCs w:val="18"/>
              </w:rPr>
              <w:t xml:space="preserve">the </w:t>
            </w:r>
            <w:r w:rsidRPr="001A581F">
              <w:rPr>
                <w:szCs w:val="18"/>
              </w:rPr>
              <w:t xml:space="preserve">prices </w:t>
            </w:r>
            <w:r w:rsidR="001A581F">
              <w:rPr>
                <w:szCs w:val="18"/>
              </w:rPr>
              <w:t xml:space="preserve">and non-price terms and conditions of access on an ex ante basis </w:t>
            </w:r>
            <w:r w:rsidRPr="001A581F">
              <w:rPr>
                <w:szCs w:val="18"/>
              </w:rPr>
              <w:t>(and potentially other metrics, such as quality thresholds).</w:t>
            </w:r>
          </w:p>
        </w:tc>
      </w:tr>
    </w:tbl>
    <w:p w14:paraId="3EC3C904" w14:textId="77777777" w:rsidR="00CA2D6D" w:rsidRDefault="005E64B6" w:rsidP="00A442BC">
      <w:pPr>
        <w:pStyle w:val="BodyText"/>
        <w:rPr>
          <w:rFonts w:cstheme="minorHAnsi"/>
        </w:rPr>
      </w:pPr>
      <w:r>
        <w:rPr>
          <w:rFonts w:cstheme="minorHAnsi"/>
        </w:rPr>
        <w:lastRenderedPageBreak/>
        <w:t xml:space="preserve">There are currently three forms of regulation that a pipeline </w:t>
      </w:r>
      <w:r w:rsidR="00C17D86">
        <w:rPr>
          <w:rFonts w:cstheme="minorHAnsi"/>
        </w:rPr>
        <w:t xml:space="preserve">can </w:t>
      </w:r>
      <w:r>
        <w:rPr>
          <w:rFonts w:cstheme="minorHAnsi"/>
        </w:rPr>
        <w:t xml:space="preserve">be subject to: </w:t>
      </w:r>
      <w:r w:rsidR="00A442BC">
        <w:rPr>
          <w:rFonts w:cstheme="minorHAnsi"/>
        </w:rPr>
        <w:t xml:space="preserve">full regulation, light regulation and Part 23. </w:t>
      </w:r>
      <w:r w:rsidR="00B60534">
        <w:rPr>
          <w:rFonts w:cstheme="minorHAnsi"/>
        </w:rPr>
        <w:t>Following the introduction of Part 23</w:t>
      </w:r>
      <w:r w:rsidR="00646FFB">
        <w:rPr>
          <w:rFonts w:cstheme="minorHAnsi"/>
        </w:rPr>
        <w:t xml:space="preserve"> in August 2017</w:t>
      </w:r>
      <w:r w:rsidR="00B60534">
        <w:rPr>
          <w:rFonts w:cstheme="minorHAnsi"/>
        </w:rPr>
        <w:t xml:space="preserve">, some </w:t>
      </w:r>
      <w:r w:rsidR="00CA2D6D">
        <w:rPr>
          <w:rFonts w:cstheme="minorHAnsi"/>
        </w:rPr>
        <w:t xml:space="preserve">concerns have been expressed about the number and forms of regulation </w:t>
      </w:r>
      <w:r w:rsidR="0093315D">
        <w:rPr>
          <w:rFonts w:cstheme="minorHAnsi"/>
        </w:rPr>
        <w:t xml:space="preserve">currently </w:t>
      </w:r>
      <w:r w:rsidR="00D069CF">
        <w:rPr>
          <w:rFonts w:cstheme="minorHAnsi"/>
        </w:rPr>
        <w:t>available</w:t>
      </w:r>
      <w:r w:rsidR="0093315D">
        <w:rPr>
          <w:rFonts w:cstheme="minorHAnsi"/>
        </w:rPr>
        <w:t xml:space="preserve"> under the </w:t>
      </w:r>
      <w:r w:rsidR="00CA2D6D">
        <w:rPr>
          <w:rFonts w:cstheme="minorHAnsi"/>
        </w:rPr>
        <w:t xml:space="preserve">regulatory framework, and how movements between these forms of regulation occur. Questions have </w:t>
      </w:r>
      <w:r w:rsidR="0093315D">
        <w:rPr>
          <w:rFonts w:cstheme="minorHAnsi"/>
        </w:rPr>
        <w:t xml:space="preserve">also been raised about whether the </w:t>
      </w:r>
      <w:r w:rsidR="006566FF">
        <w:rPr>
          <w:rFonts w:cstheme="minorHAnsi"/>
        </w:rPr>
        <w:t xml:space="preserve">regulatory framework should continue to focus exclusively on trying to constrain exercises of static market power, or if it should also focus on constraining dynamic market power. </w:t>
      </w:r>
    </w:p>
    <w:p w14:paraId="780369E7" w14:textId="77777777" w:rsidR="00282407" w:rsidRDefault="006566FF" w:rsidP="00BC2DCD">
      <w:pPr>
        <w:pStyle w:val="BodyText"/>
      </w:pPr>
      <w:bookmarkStart w:id="103" w:name="_Toc15264834"/>
      <w:r>
        <w:t xml:space="preserve">These potential problems with the regulatory framework are discussed in the </w:t>
      </w:r>
      <w:r w:rsidR="00BC2DCD" w:rsidRPr="006B4639">
        <w:t>remainder of this chapter</w:t>
      </w:r>
      <w:r>
        <w:t xml:space="preserve">, which commences with an overview of the </w:t>
      </w:r>
      <w:r w:rsidR="00A95546">
        <w:t>forms of regulation currently provided for under the regulatory framework</w:t>
      </w:r>
      <w:r>
        <w:t xml:space="preserve">. </w:t>
      </w:r>
      <w:r w:rsidR="00282407">
        <w:t xml:space="preserve">It then sets out the </w:t>
      </w:r>
      <w:r w:rsidR="00282407" w:rsidRPr="006B4639">
        <w:t xml:space="preserve">problems </w:t>
      </w:r>
      <w:r w:rsidR="00282407">
        <w:t xml:space="preserve">that have been </w:t>
      </w:r>
      <w:r w:rsidR="00282407" w:rsidRPr="006B4639">
        <w:t>identified</w:t>
      </w:r>
      <w:r w:rsidR="00282407">
        <w:t xml:space="preserve"> with this aspect of the regulatory framework, the feedback </w:t>
      </w:r>
      <w:r w:rsidR="006547A0">
        <w:t xml:space="preserve">that </w:t>
      </w:r>
      <w:r w:rsidR="00282407">
        <w:t xml:space="preserve">stakeholders provided on </w:t>
      </w:r>
      <w:r w:rsidR="006547A0">
        <w:t xml:space="preserve">these problems and </w:t>
      </w:r>
      <w:r w:rsidR="00282407">
        <w:t xml:space="preserve">the options </w:t>
      </w:r>
      <w:r w:rsidR="006547A0">
        <w:t xml:space="preserve">to </w:t>
      </w:r>
      <w:r w:rsidR="00282407">
        <w:t>address these problems and how this feedback has been taken into account in the reform options.</w:t>
      </w:r>
    </w:p>
    <w:p w14:paraId="3602CB37" w14:textId="77777777" w:rsidR="004A793A" w:rsidRPr="006B4639" w:rsidRDefault="004A793A" w:rsidP="00A65089">
      <w:pPr>
        <w:pStyle w:val="Heading2"/>
        <w:spacing w:after="120"/>
      </w:pPr>
      <w:bookmarkStart w:id="104" w:name="_Toc62219409"/>
      <w:r w:rsidRPr="006B4639">
        <w:t>What is the current situation?</w:t>
      </w:r>
      <w:bookmarkEnd w:id="103"/>
      <w:bookmarkEnd w:id="104"/>
    </w:p>
    <w:p w14:paraId="243AC00B" w14:textId="77777777" w:rsidR="00A65089" w:rsidRDefault="0024151B" w:rsidP="00890634">
      <w:pPr>
        <w:pStyle w:val="Heading3"/>
        <w:spacing w:before="0" w:after="120"/>
      </w:pPr>
      <w:bookmarkStart w:id="105" w:name="_Ref52334132"/>
      <w:r>
        <w:t>Current f</w:t>
      </w:r>
      <w:r w:rsidR="00A65089">
        <w:t>orms of regulation</w:t>
      </w:r>
      <w:bookmarkEnd w:id="105"/>
      <w:r w:rsidR="00A65089">
        <w:t xml:space="preserve"> </w:t>
      </w:r>
    </w:p>
    <w:p w14:paraId="7CE62F46" w14:textId="77777777" w:rsidR="00646FFB" w:rsidRDefault="004A793A" w:rsidP="00F335BA">
      <w:pPr>
        <w:pStyle w:val="BodyText"/>
        <w:spacing w:before="120"/>
      </w:pPr>
      <w:r w:rsidRPr="006B4639">
        <w:t>Section</w:t>
      </w:r>
      <w:r w:rsidR="00795317" w:rsidRPr="006B4639">
        <w:t xml:space="preserve"> </w:t>
      </w:r>
      <w:r w:rsidR="00267CF7">
        <w:t>2</w:t>
      </w:r>
      <w:r w:rsidRPr="006B4639">
        <w:t>.</w:t>
      </w:r>
      <w:r w:rsidR="00267CF7">
        <w:t>2</w:t>
      </w:r>
      <w:r w:rsidRPr="006B4639">
        <w:t xml:space="preserve"> </w:t>
      </w:r>
      <w:r w:rsidR="00B434E3">
        <w:t xml:space="preserve">and Appendix A.2 </w:t>
      </w:r>
      <w:r w:rsidRPr="006B4639">
        <w:t xml:space="preserve">provide an overview of the different forms of regulation that are available under the current regulatory framework and the tests used to determine which form of regulation should apply.  </w:t>
      </w:r>
    </w:p>
    <w:p w14:paraId="25B082FF" w14:textId="45EB3DAF" w:rsidR="006A40F7" w:rsidRPr="00EC5A2C" w:rsidRDefault="004A793A" w:rsidP="00F335BA">
      <w:pPr>
        <w:pStyle w:val="BodyText"/>
        <w:spacing w:before="120"/>
      </w:pPr>
      <w:r w:rsidRPr="006B4639">
        <w:t xml:space="preserve">As described in </w:t>
      </w:r>
      <w:r w:rsidR="00646FFB">
        <w:t xml:space="preserve">those </w:t>
      </w:r>
      <w:r w:rsidRPr="006B4639">
        <w:t>section</w:t>
      </w:r>
      <w:r w:rsidR="00646FFB">
        <w:t>s</w:t>
      </w:r>
      <w:r w:rsidRPr="006B4639">
        <w:t>, the three forms of regulation that current</w:t>
      </w:r>
      <w:r w:rsidR="00A11ED6">
        <w:t>ly</w:t>
      </w:r>
      <w:r w:rsidRPr="006B4639">
        <w:t xml:space="preserve"> apply to pipelines providing third party access are </w:t>
      </w:r>
      <w:r w:rsidR="0090353C">
        <w:t>‘</w:t>
      </w:r>
      <w:r w:rsidRPr="006B4639">
        <w:t>full regulation</w:t>
      </w:r>
      <w:r w:rsidR="0090353C">
        <w:t>’</w:t>
      </w:r>
      <w:r w:rsidRPr="006B4639">
        <w:t xml:space="preserve">, </w:t>
      </w:r>
      <w:r w:rsidR="0090353C">
        <w:t>‘</w:t>
      </w:r>
      <w:r w:rsidRPr="006B4639">
        <w:t>light regulation</w:t>
      </w:r>
      <w:r w:rsidR="0090353C">
        <w:t>’</w:t>
      </w:r>
      <w:r w:rsidRPr="006B4639">
        <w:t xml:space="preserve"> and </w:t>
      </w:r>
      <w:r w:rsidR="0090353C">
        <w:t>‘</w:t>
      </w:r>
      <w:r w:rsidRPr="006B4639">
        <w:t>Part 23</w:t>
      </w:r>
      <w:r w:rsidR="0090353C">
        <w:t>’</w:t>
      </w:r>
      <w:r w:rsidRPr="006B4639">
        <w:t xml:space="preserve">. </w:t>
      </w:r>
      <w:r w:rsidR="00646FFB">
        <w:rPr>
          <w:rFonts w:cstheme="minorHAnsi"/>
        </w:rPr>
        <w:t>Light regulation and Part 23 are based on the negotiate-arbitrate form of regulation, while full regulation is based on the negotiate-arbitrate with regulator approved reference tariff form of regulation.</w:t>
      </w:r>
      <w:r w:rsidR="00646FFB">
        <w:t xml:space="preserve"> </w:t>
      </w:r>
      <w:r w:rsidR="006A40F7" w:rsidRPr="006B4639">
        <w:t>A simplified mapping of the</w:t>
      </w:r>
      <w:r w:rsidR="00955E0D">
        <w:t>se</w:t>
      </w:r>
      <w:r w:rsidR="006A40F7" w:rsidRPr="006B4639">
        <w:t xml:space="preserve"> </w:t>
      </w:r>
      <w:r w:rsidR="00955E0D">
        <w:t xml:space="preserve">three </w:t>
      </w:r>
      <w:r w:rsidR="006A40F7" w:rsidRPr="006B4639">
        <w:t xml:space="preserve">forms of regulation against the different types of regulation and their </w:t>
      </w:r>
      <w:r w:rsidR="009D2554">
        <w:t xml:space="preserve">degree of </w:t>
      </w:r>
      <w:r w:rsidR="006A40F7" w:rsidRPr="006B4639">
        <w:t xml:space="preserve">intrusiveness is shown in </w:t>
      </w:r>
      <w:r w:rsidR="006A40F7" w:rsidRPr="006B4639">
        <w:fldChar w:fldCharType="begin" w:fldLock="1"/>
      </w:r>
      <w:r w:rsidR="006A40F7" w:rsidRPr="006B4639">
        <w:instrText xml:space="preserve"> REF _Ref18329141 \h  \* MERGEFORMAT </w:instrText>
      </w:r>
      <w:r w:rsidR="006A40F7" w:rsidRPr="006B4639">
        <w:fldChar w:fldCharType="separate"/>
      </w:r>
      <w:r w:rsidR="00036405" w:rsidRPr="00036405">
        <w:t>Figure 5.1</w:t>
      </w:r>
      <w:r w:rsidR="006A40F7" w:rsidRPr="006B4639">
        <w:fldChar w:fldCharType="end"/>
      </w:r>
      <w:r w:rsidR="006A40F7" w:rsidRPr="006B4639">
        <w:t xml:space="preserve">. </w:t>
      </w:r>
    </w:p>
    <w:p w14:paraId="7F9E4022" w14:textId="7111E85B" w:rsidR="006A40F7" w:rsidRPr="008A1DC3" w:rsidRDefault="006A40F7" w:rsidP="00AD36B8">
      <w:pPr>
        <w:pStyle w:val="ListBullet"/>
        <w:numPr>
          <w:ilvl w:val="0"/>
          <w:numId w:val="0"/>
        </w:numPr>
        <w:rPr>
          <w:b/>
          <w:bCs/>
        </w:rPr>
      </w:pPr>
      <w:bookmarkStart w:id="106" w:name="_Ref18329141"/>
      <w:r w:rsidRPr="008A1DC3">
        <w:rPr>
          <w:b/>
          <w:bCs/>
        </w:rPr>
        <w:t xml:space="preserve">Figure </w:t>
      </w:r>
      <w:r w:rsidR="001B5C8A" w:rsidRPr="008A1DC3">
        <w:rPr>
          <w:b/>
          <w:bCs/>
        </w:rPr>
        <w:fldChar w:fldCharType="begin" w:fldLock="1"/>
      </w:r>
      <w:r w:rsidR="001B5C8A" w:rsidRPr="008A1DC3">
        <w:rPr>
          <w:b/>
          <w:bCs/>
        </w:rPr>
        <w:instrText xml:space="preserve"> STYLEREF 1 \s </w:instrText>
      </w:r>
      <w:r w:rsidR="001B5C8A" w:rsidRPr="008A1DC3">
        <w:rPr>
          <w:b/>
          <w:bCs/>
        </w:rPr>
        <w:fldChar w:fldCharType="separate"/>
      </w:r>
      <w:r w:rsidR="00036405">
        <w:rPr>
          <w:b/>
          <w:bCs/>
          <w:noProof/>
        </w:rPr>
        <w:t>5</w:t>
      </w:r>
      <w:r w:rsidR="001B5C8A" w:rsidRPr="008A1DC3">
        <w:rPr>
          <w:b/>
          <w:bCs/>
        </w:rPr>
        <w:fldChar w:fldCharType="end"/>
      </w:r>
      <w:r w:rsidR="001B5C8A" w:rsidRPr="008A1DC3">
        <w:rPr>
          <w:b/>
          <w:bCs/>
        </w:rPr>
        <w:t>.</w:t>
      </w:r>
      <w:r w:rsidR="001B5C8A" w:rsidRPr="008A1DC3">
        <w:rPr>
          <w:b/>
          <w:bCs/>
        </w:rPr>
        <w:fldChar w:fldCharType="begin"/>
      </w:r>
      <w:r w:rsidR="001B5C8A" w:rsidRPr="008A1DC3">
        <w:rPr>
          <w:b/>
          <w:bCs/>
        </w:rPr>
        <w:instrText xml:space="preserve"> SEQ Figure \* ARABIC \s 1 </w:instrText>
      </w:r>
      <w:r w:rsidR="001B5C8A" w:rsidRPr="008A1DC3">
        <w:rPr>
          <w:b/>
          <w:bCs/>
        </w:rPr>
        <w:fldChar w:fldCharType="separate"/>
      </w:r>
      <w:r w:rsidR="004031E8">
        <w:rPr>
          <w:b/>
          <w:bCs/>
          <w:noProof/>
        </w:rPr>
        <w:t>1</w:t>
      </w:r>
      <w:r w:rsidR="001B5C8A" w:rsidRPr="008A1DC3">
        <w:rPr>
          <w:b/>
          <w:bCs/>
        </w:rPr>
        <w:fldChar w:fldCharType="end"/>
      </w:r>
      <w:bookmarkEnd w:id="106"/>
      <w:r w:rsidRPr="008A1DC3">
        <w:rPr>
          <w:b/>
          <w:bCs/>
        </w:rPr>
        <w:t xml:space="preserve">: Mapping of </w:t>
      </w:r>
      <w:r w:rsidR="00EC5A2C" w:rsidRPr="008A1DC3">
        <w:rPr>
          <w:b/>
          <w:bCs/>
        </w:rPr>
        <w:t xml:space="preserve">the </w:t>
      </w:r>
      <w:r w:rsidRPr="008A1DC3">
        <w:rPr>
          <w:b/>
          <w:bCs/>
        </w:rPr>
        <w:t xml:space="preserve">different forms of regulation </w:t>
      </w:r>
    </w:p>
    <w:p w14:paraId="750F4DD6" w14:textId="77777777" w:rsidR="006A40F7" w:rsidRPr="008A1DC3" w:rsidRDefault="004B6CAC" w:rsidP="00AD36B8">
      <w:pPr>
        <w:pStyle w:val="ListBullet"/>
        <w:numPr>
          <w:ilvl w:val="0"/>
          <w:numId w:val="0"/>
        </w:numPr>
        <w:rPr>
          <w:sz w:val="18"/>
          <w:szCs w:val="18"/>
        </w:rPr>
      </w:pPr>
      <w:r>
        <w:rPr>
          <w:noProof/>
        </w:rPr>
        <w:drawing>
          <wp:inline distT="0" distB="0" distL="0" distR="0" wp14:anchorId="55B1C4B8" wp14:editId="1FD4AED9">
            <wp:extent cx="5751312" cy="1709530"/>
            <wp:effectExtent l="0" t="0" r="0" b="5080"/>
            <wp:docPr id="29" name="Picture 29" descr="P15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1546#yIS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79769" cy="1717989"/>
                    </a:xfrm>
                    <a:prstGeom prst="rect">
                      <a:avLst/>
                    </a:prstGeom>
                    <a:noFill/>
                  </pic:spPr>
                </pic:pic>
              </a:graphicData>
            </a:graphic>
          </wp:inline>
        </w:drawing>
      </w:r>
      <w:r w:rsidR="00EC5A2C">
        <w:br/>
      </w:r>
      <w:r w:rsidR="00EC5A2C" w:rsidRPr="008A1DC3">
        <w:rPr>
          <w:sz w:val="18"/>
          <w:szCs w:val="18"/>
        </w:rPr>
        <w:t>Source: Based on AEMC diagram.</w:t>
      </w:r>
    </w:p>
    <w:p w14:paraId="672A03C0" w14:textId="77777777" w:rsidR="00BB05D8" w:rsidRPr="006B4639" w:rsidRDefault="00BB05D8" w:rsidP="00BB05D8">
      <w:pPr>
        <w:pStyle w:val="BodyText"/>
      </w:pPr>
      <w:r>
        <w:t xml:space="preserve">As this </w:t>
      </w:r>
      <w:r w:rsidRPr="006B4639">
        <w:t>figure shows</w:t>
      </w:r>
      <w:r>
        <w:t>,</w:t>
      </w:r>
      <w:r w:rsidRPr="006B4639">
        <w:t xml:space="preserve"> Part 23 and light regulation</w:t>
      </w:r>
      <w:r>
        <w:t xml:space="preserve"> are very similar in nature</w:t>
      </w:r>
      <w:r w:rsidR="002C2B96">
        <w:t xml:space="preserve"> (particularly following the </w:t>
      </w:r>
      <w:r w:rsidR="006157BB">
        <w:t>recent changes to the NGR to align many of the information disclosure obligations across the two forms of regulation)</w:t>
      </w:r>
      <w:r>
        <w:t xml:space="preserve">, with the key </w:t>
      </w:r>
      <w:r w:rsidRPr="006B4639">
        <w:t xml:space="preserve">differences </w:t>
      </w:r>
      <w:r>
        <w:t xml:space="preserve">between the two being </w:t>
      </w:r>
      <w:r w:rsidRPr="006B4639">
        <w:t>that:</w:t>
      </w:r>
    </w:p>
    <w:p w14:paraId="51DEC413" w14:textId="77777777" w:rsidR="00BB05D8" w:rsidRPr="006B4639" w:rsidRDefault="00BB05D8" w:rsidP="00AD36B8">
      <w:pPr>
        <w:pStyle w:val="ListBullet"/>
      </w:pPr>
      <w:r w:rsidRPr="006B4639">
        <w:t>Part 23 has a commercially-oriented arbitration mechanism</w:t>
      </w:r>
      <w:r>
        <w:t xml:space="preserve">, while light regulation utilises a </w:t>
      </w:r>
      <w:r w:rsidRPr="006B4639">
        <w:t>regulatory-oriented mechanism</w:t>
      </w:r>
      <w:r>
        <w:t>.</w:t>
      </w:r>
    </w:p>
    <w:p w14:paraId="6A14F93F" w14:textId="2CA6F004" w:rsidR="00BB05D8" w:rsidRPr="006B4639" w:rsidRDefault="00BB05D8" w:rsidP="00AD36B8">
      <w:pPr>
        <w:pStyle w:val="ListBullet"/>
      </w:pPr>
      <w:r w:rsidRPr="006B4639">
        <w:t xml:space="preserve">Light regulation includes a number of additional safeguards that do not apply under Part 23, many of which are designed to address the denial of access and </w:t>
      </w:r>
      <w:r w:rsidRPr="006B4639">
        <w:lastRenderedPageBreak/>
        <w:t>discriminatory behaviour that may arise if a service provider is vertically integrated. These safeguards include</w:t>
      </w:r>
      <w:r w:rsidR="00C54BDC">
        <w:t>, amongst others</w:t>
      </w:r>
      <w:r w:rsidRPr="006B4639">
        <w:t>:</w:t>
      </w:r>
      <w:r w:rsidR="00370905">
        <w:rPr>
          <w:rFonts w:ascii="ZWAdobeF" w:hAnsi="ZWAdobeF" w:cs="ZWAdobeF"/>
          <w:sz w:val="2"/>
          <w:szCs w:val="2"/>
        </w:rPr>
        <w:t>113F</w:t>
      </w:r>
      <w:r w:rsidR="00C54BDC">
        <w:rPr>
          <w:rStyle w:val="FootnoteReference"/>
        </w:rPr>
        <w:footnoteReference w:id="115"/>
      </w:r>
      <w:r w:rsidRPr="006B4639">
        <w:t xml:space="preserve"> </w:t>
      </w:r>
    </w:p>
    <w:p w14:paraId="41AAD8C1" w14:textId="1B529129" w:rsidR="00BB05D8" w:rsidRPr="006B4639" w:rsidRDefault="00BB05D8" w:rsidP="00AD36B8">
      <w:pPr>
        <w:pStyle w:val="ListBullet2"/>
      </w:pPr>
      <w:r w:rsidRPr="006B4639">
        <w:t>the prohibition on service providers bundling services, preventing or hindering access and engaging in inefficient price discrimination;</w:t>
      </w:r>
      <w:r w:rsidR="00370905">
        <w:rPr>
          <w:rFonts w:ascii="ZWAdobeF" w:hAnsi="ZWAdobeF" w:cs="ZWAdobeF"/>
          <w:sz w:val="2"/>
          <w:szCs w:val="2"/>
        </w:rPr>
        <w:t>114F</w:t>
      </w:r>
      <w:r w:rsidR="00107716">
        <w:rPr>
          <w:rStyle w:val="FootnoteReference"/>
        </w:rPr>
        <w:footnoteReference w:id="116"/>
      </w:r>
      <w:r w:rsidRPr="006B4639">
        <w:t xml:space="preserve"> and </w:t>
      </w:r>
    </w:p>
    <w:p w14:paraId="524A290C" w14:textId="4997A537" w:rsidR="00BB05D8" w:rsidRDefault="00BB05D8" w:rsidP="00AD36B8">
      <w:pPr>
        <w:pStyle w:val="ListBullet2"/>
      </w:pPr>
      <w:r w:rsidRPr="006B4639">
        <w:t>the ring fencing and associate contract provisions,</w:t>
      </w:r>
      <w:r w:rsidR="00370905">
        <w:rPr>
          <w:rFonts w:ascii="ZWAdobeF" w:hAnsi="ZWAdobeF" w:cs="ZWAdobeF"/>
          <w:sz w:val="2"/>
          <w:szCs w:val="2"/>
        </w:rPr>
        <w:t>115F</w:t>
      </w:r>
      <w:r w:rsidR="00C54BDC">
        <w:rPr>
          <w:rStyle w:val="FootnoteReference"/>
        </w:rPr>
        <w:footnoteReference w:id="117"/>
      </w:r>
      <w:r w:rsidRPr="006B4639">
        <w:t xml:space="preserve"> </w:t>
      </w:r>
      <w:r w:rsidR="00646FFB">
        <w:t>which</w:t>
      </w:r>
      <w:r w:rsidRPr="006B4639">
        <w:t xml:space="preserve"> are designed to ensure the </w:t>
      </w:r>
      <w:r w:rsidRPr="00EC5A2C">
        <w:t>separation of pipeline operations from associated businesses in other markets.</w:t>
      </w:r>
    </w:p>
    <w:p w14:paraId="02158F66" w14:textId="77777777" w:rsidR="00A65089" w:rsidRDefault="00A65089" w:rsidP="00890634">
      <w:pPr>
        <w:pStyle w:val="Heading3"/>
      </w:pPr>
      <w:bookmarkStart w:id="107" w:name="_Ref52335373"/>
      <w:r>
        <w:t>Current focus of the forms of regulation</w:t>
      </w:r>
      <w:bookmarkEnd w:id="107"/>
      <w:r>
        <w:t xml:space="preserve"> </w:t>
      </w:r>
    </w:p>
    <w:p w14:paraId="102AEDF6" w14:textId="77777777" w:rsidR="004A793A" w:rsidRPr="006B4639" w:rsidRDefault="004A793A" w:rsidP="004A793A">
      <w:pPr>
        <w:pStyle w:val="BodyText"/>
      </w:pPr>
      <w:r w:rsidRPr="006B4639">
        <w:t xml:space="preserve">As described in </w:t>
      </w:r>
      <w:r w:rsidR="00437870">
        <w:t xml:space="preserve">section </w:t>
      </w:r>
      <w:r w:rsidR="00977B53" w:rsidRPr="006B4639">
        <w:t>2</w:t>
      </w:r>
      <w:r w:rsidR="00437870">
        <w:t>.1</w:t>
      </w:r>
      <w:r w:rsidRPr="006B4639">
        <w:t xml:space="preserve">, there are </w:t>
      </w:r>
      <w:r w:rsidR="006A40F7" w:rsidRPr="006B4639">
        <w:t xml:space="preserve">two </w:t>
      </w:r>
      <w:r w:rsidRPr="006B4639">
        <w:t>broad market power problems that regulation can target:</w:t>
      </w:r>
    </w:p>
    <w:p w14:paraId="59F7A8CC" w14:textId="77777777" w:rsidR="004A793A" w:rsidRPr="006B4639" w:rsidRDefault="003D0593" w:rsidP="00AD36B8">
      <w:pPr>
        <w:pStyle w:val="ListBullet"/>
      </w:pPr>
      <w:r w:rsidRPr="00437870">
        <w:rPr>
          <w:b/>
          <w:bCs/>
        </w:rPr>
        <w:t>s</w:t>
      </w:r>
      <w:r w:rsidR="006A40F7" w:rsidRPr="00437870">
        <w:rPr>
          <w:b/>
          <w:bCs/>
        </w:rPr>
        <w:t>tatic market power</w:t>
      </w:r>
      <w:r w:rsidR="006A40F7" w:rsidRPr="006B4639">
        <w:t>, which arises when a service provider exerts its market power over the existing capacity of the pipeline by, for example, engaging in m</w:t>
      </w:r>
      <w:r w:rsidR="004A793A" w:rsidRPr="006B4639">
        <w:t xml:space="preserve">onopoly </w:t>
      </w:r>
      <w:r w:rsidR="006A40F7" w:rsidRPr="006B4639">
        <w:t>pricing, restricting or denying access, or favouring an affiliate in an upstream or downstream market</w:t>
      </w:r>
      <w:r w:rsidR="004A793A" w:rsidRPr="006B4639">
        <w:t>;</w:t>
      </w:r>
      <w:r>
        <w:t xml:space="preserve"> and</w:t>
      </w:r>
    </w:p>
    <w:p w14:paraId="0D136DF5" w14:textId="6B0A32FE" w:rsidR="004A793A" w:rsidRPr="006B4639" w:rsidRDefault="003D0593" w:rsidP="00AD36B8">
      <w:pPr>
        <w:pStyle w:val="ListBullet"/>
      </w:pPr>
      <w:r w:rsidRPr="00437870">
        <w:rPr>
          <w:b/>
          <w:bCs/>
        </w:rPr>
        <w:t>d</w:t>
      </w:r>
      <w:r w:rsidR="004A793A" w:rsidRPr="00437870">
        <w:rPr>
          <w:b/>
          <w:bCs/>
        </w:rPr>
        <w:t>ynamic market power</w:t>
      </w:r>
      <w:r w:rsidR="006A40F7" w:rsidRPr="006B4639">
        <w:t xml:space="preserve">, which arises when a service provider uses its market power </w:t>
      </w:r>
      <w:r w:rsidR="005C23AB">
        <w:t xml:space="preserve">to </w:t>
      </w:r>
      <w:r w:rsidR="006A40F7" w:rsidRPr="006B4639">
        <w:t>block competition from other pipelines by, for example, restricting or denying interconnections</w:t>
      </w:r>
      <w:r w:rsidR="00E47E24">
        <w:t>,</w:t>
      </w:r>
      <w:r w:rsidR="00370905">
        <w:rPr>
          <w:rFonts w:ascii="ZWAdobeF" w:hAnsi="ZWAdobeF" w:cs="ZWAdobeF"/>
          <w:sz w:val="2"/>
          <w:szCs w:val="2"/>
        </w:rPr>
        <w:t>116F</w:t>
      </w:r>
      <w:r w:rsidR="006A40F7" w:rsidRPr="006B4639">
        <w:rPr>
          <w:rStyle w:val="FootnoteReference"/>
        </w:rPr>
        <w:footnoteReference w:id="118"/>
      </w:r>
      <w:r w:rsidR="006A40F7" w:rsidRPr="006B4639">
        <w:t xml:space="preserve"> or pricing new capacity below the incremental cost.</w:t>
      </w:r>
      <w:r w:rsidR="00370905">
        <w:rPr>
          <w:rFonts w:ascii="ZWAdobeF" w:hAnsi="ZWAdobeF" w:cs="ZWAdobeF"/>
          <w:sz w:val="2"/>
          <w:szCs w:val="2"/>
        </w:rPr>
        <w:t>117F</w:t>
      </w:r>
      <w:r w:rsidR="006A40F7" w:rsidRPr="006B4639">
        <w:rPr>
          <w:rStyle w:val="FootnoteReference"/>
        </w:rPr>
        <w:footnoteReference w:id="119"/>
      </w:r>
      <w:r w:rsidR="006A40F7" w:rsidRPr="006B4639">
        <w:t xml:space="preserve"> </w:t>
      </w:r>
    </w:p>
    <w:p w14:paraId="3D6E0D4C" w14:textId="4100BCCB" w:rsidR="004A793A" w:rsidRDefault="004A793A" w:rsidP="00835AC1">
      <w:pPr>
        <w:pStyle w:val="BodyText"/>
      </w:pPr>
      <w:r w:rsidRPr="006B4639">
        <w:t xml:space="preserve">The existing forms of regulation are </w:t>
      </w:r>
      <w:r w:rsidR="006A40F7" w:rsidRPr="006B4639">
        <w:t xml:space="preserve">primarily directed </w:t>
      </w:r>
      <w:r w:rsidR="007E7A18" w:rsidRPr="006B4639">
        <w:t xml:space="preserve">toward </w:t>
      </w:r>
      <w:r w:rsidR="006A40F7" w:rsidRPr="006B4639">
        <w:t xml:space="preserve">static market power </w:t>
      </w:r>
      <w:r w:rsidR="007E7A18" w:rsidRPr="006B4639">
        <w:t>and while dynamic market power is dealt with to some extent, there are inconsistencies in approaches</w:t>
      </w:r>
      <w:r w:rsidR="00DF56BF">
        <w:t xml:space="preserve"> to interconnections and the pricing of new capacity</w:t>
      </w:r>
      <w:r w:rsidR="007E7A18" w:rsidRPr="006B4639">
        <w:t xml:space="preserve"> across the forms of regulation</w:t>
      </w:r>
      <w:r w:rsidR="00B638FE">
        <w:t xml:space="preserve"> (see </w:t>
      </w:r>
      <w:r w:rsidR="001D3026">
        <w:fldChar w:fldCharType="begin" w:fldLock="1"/>
      </w:r>
      <w:r w:rsidR="001D3026">
        <w:instrText xml:space="preserve"> REF _Ref52270915 \h </w:instrText>
      </w:r>
      <w:r w:rsidR="001D3026">
        <w:fldChar w:fldCharType="separate"/>
      </w:r>
      <w:r w:rsidR="00036405">
        <w:t xml:space="preserve">Box </w:t>
      </w:r>
      <w:r w:rsidR="00036405">
        <w:rPr>
          <w:noProof/>
        </w:rPr>
        <w:t>5</w:t>
      </w:r>
      <w:r w:rsidR="00036405">
        <w:t>.</w:t>
      </w:r>
      <w:r w:rsidR="00036405">
        <w:rPr>
          <w:noProof/>
        </w:rPr>
        <w:t>1</w:t>
      </w:r>
      <w:r w:rsidR="001D3026">
        <w:fldChar w:fldCharType="end"/>
      </w:r>
      <w:r w:rsidR="00B638FE">
        <w:t>)</w:t>
      </w:r>
      <w:r w:rsidR="007E7A18" w:rsidRPr="006B4639">
        <w:t xml:space="preserve">. </w:t>
      </w:r>
    </w:p>
    <w:p w14:paraId="4200E66A" w14:textId="7EC7E43E" w:rsidR="00B638FE" w:rsidRDefault="00B638FE" w:rsidP="0024151B">
      <w:pPr>
        <w:pStyle w:val="Caption"/>
        <w:spacing w:after="0"/>
      </w:pPr>
      <w:bookmarkStart w:id="108" w:name="_Ref52270915"/>
      <w:r>
        <w:lastRenderedPageBreak/>
        <w:t xml:space="preserve">Box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5</w:t>
      </w:r>
      <w:r w:rsidR="00F323B2">
        <w:rPr>
          <w:noProof/>
        </w:rPr>
        <w:fldChar w:fldCharType="end"/>
      </w:r>
      <w:r w:rsidR="00B80405">
        <w:t>.</w:t>
      </w:r>
      <w:r w:rsidR="00F323B2">
        <w:rPr>
          <w:noProof/>
        </w:rPr>
        <w:fldChar w:fldCharType="begin"/>
      </w:r>
      <w:r w:rsidR="00F323B2">
        <w:rPr>
          <w:noProof/>
        </w:rPr>
        <w:instrText xml:space="preserve"> SEQ Box \* ARABIC \s 1 </w:instrText>
      </w:r>
      <w:r w:rsidR="00F323B2">
        <w:rPr>
          <w:noProof/>
        </w:rPr>
        <w:fldChar w:fldCharType="separate"/>
      </w:r>
      <w:r w:rsidR="004031E8">
        <w:rPr>
          <w:noProof/>
        </w:rPr>
        <w:t>1</w:t>
      </w:r>
      <w:r w:rsidR="00F323B2">
        <w:rPr>
          <w:noProof/>
        </w:rPr>
        <w:fldChar w:fldCharType="end"/>
      </w:r>
      <w:bookmarkEnd w:id="108"/>
      <w:r>
        <w:t xml:space="preserve">: </w:t>
      </w:r>
      <w:r w:rsidR="00E6477D">
        <w:t xml:space="preserve">Current approach to interconnections and </w:t>
      </w:r>
      <w:r w:rsidR="001D3026">
        <w:t xml:space="preserve">the pricing of new capacity </w:t>
      </w:r>
    </w:p>
    <w:tbl>
      <w:tblPr>
        <w:tblStyle w:val="PullOutBoxTable"/>
        <w:tblW w:w="5000" w:type="pct"/>
        <w:tblLook w:val="0600" w:firstRow="0" w:lastRow="0" w:firstColumn="0" w:lastColumn="0" w:noHBand="1" w:noVBand="1"/>
      </w:tblPr>
      <w:tblGrid>
        <w:gridCol w:w="8788"/>
      </w:tblGrid>
      <w:tr w:rsidR="00B638FE" w:rsidRPr="00C16912" w14:paraId="4DE7D6EF" w14:textId="77777777" w:rsidTr="00B638FE">
        <w:tc>
          <w:tcPr>
            <w:tcW w:w="5000" w:type="pct"/>
          </w:tcPr>
          <w:p w14:paraId="37944720" w14:textId="77777777" w:rsidR="0003665A" w:rsidRPr="00C16912" w:rsidRDefault="0003665A" w:rsidP="004430C9">
            <w:pPr>
              <w:pStyle w:val="BodyText"/>
              <w:keepNext/>
              <w:spacing w:before="60" w:after="60"/>
              <w:rPr>
                <w:rFonts w:asciiTheme="majorHAnsi" w:hAnsiTheme="majorHAnsi" w:cstheme="majorHAnsi"/>
                <w:b/>
                <w:bCs/>
                <w:sz w:val="20"/>
                <w:szCs w:val="20"/>
              </w:rPr>
            </w:pPr>
            <w:r w:rsidRPr="00C16912">
              <w:rPr>
                <w:rFonts w:asciiTheme="majorHAnsi" w:hAnsiTheme="majorHAnsi" w:cstheme="majorHAnsi"/>
                <w:b/>
                <w:bCs/>
                <w:sz w:val="20"/>
                <w:szCs w:val="20"/>
              </w:rPr>
              <w:t xml:space="preserve">Interconnections </w:t>
            </w:r>
          </w:p>
          <w:p w14:paraId="4E796F90" w14:textId="77777777" w:rsidR="0003665A" w:rsidRPr="00C16912" w:rsidRDefault="0003665A" w:rsidP="004430C9">
            <w:pPr>
              <w:pStyle w:val="BodyText"/>
              <w:keepNext/>
              <w:spacing w:before="0"/>
              <w:rPr>
                <w:rFonts w:asciiTheme="majorHAnsi" w:hAnsiTheme="majorHAnsi" w:cstheme="majorHAnsi"/>
                <w:sz w:val="20"/>
                <w:szCs w:val="20"/>
              </w:rPr>
            </w:pPr>
            <w:r w:rsidRPr="00C16912">
              <w:rPr>
                <w:rFonts w:asciiTheme="majorHAnsi" w:hAnsiTheme="majorHAnsi" w:cstheme="majorHAnsi"/>
                <w:sz w:val="20"/>
                <w:szCs w:val="20"/>
              </w:rPr>
              <w:t>While interconnections are dealt with to some extent in the regulatory framework, there are inconsistencies in the approaches across the forms of regulation. For example:</w:t>
            </w:r>
            <w:r w:rsidRPr="00C16912">
              <w:rPr>
                <w:rFonts w:asciiTheme="majorHAnsi" w:hAnsiTheme="majorHAnsi" w:cstheme="majorHAnsi"/>
                <w:iCs/>
                <w:sz w:val="20"/>
                <w:szCs w:val="20"/>
              </w:rPr>
              <w:t xml:space="preserve"> </w:t>
            </w:r>
          </w:p>
          <w:p w14:paraId="23B9D875" w14:textId="3BEE2510" w:rsidR="0003665A" w:rsidRPr="00C16912" w:rsidRDefault="0003665A" w:rsidP="00AD36B8">
            <w:pPr>
              <w:pStyle w:val="ListBullet"/>
              <w:rPr>
                <w:sz w:val="20"/>
                <w:szCs w:val="20"/>
              </w:rPr>
            </w:pPr>
            <w:r w:rsidRPr="00C16912">
              <w:rPr>
                <w:sz w:val="20"/>
                <w:szCs w:val="20"/>
              </w:rPr>
              <w:t>Under full and light regulation, service providers are prohibited by the NGL from preventing or hindering access to pipeline services,</w:t>
            </w:r>
            <w:r w:rsidRPr="00C16912">
              <w:rPr>
                <w:rStyle w:val="FootnoteReference"/>
                <w:rFonts w:asciiTheme="majorHAnsi" w:eastAsia="Cambria" w:hAnsiTheme="majorHAnsi" w:cstheme="majorHAnsi"/>
                <w:bCs/>
                <w:sz w:val="20"/>
                <w:szCs w:val="20"/>
              </w:rPr>
              <w:t xml:space="preserve"> </w:t>
            </w:r>
            <w:r w:rsidR="00370905">
              <w:rPr>
                <w:rFonts w:ascii="ZWAdobeF" w:hAnsi="ZWAdobeF" w:cs="ZWAdobeF"/>
                <w:sz w:val="2"/>
                <w:szCs w:val="2"/>
              </w:rPr>
              <w:t>118F</w:t>
            </w:r>
            <w:r w:rsidRPr="00C16912">
              <w:rPr>
                <w:rStyle w:val="FootnoteReference"/>
                <w:rFonts w:asciiTheme="majorHAnsi" w:eastAsia="Cambria" w:hAnsiTheme="majorHAnsi" w:cstheme="majorHAnsi"/>
                <w:bCs/>
                <w:sz w:val="20"/>
                <w:szCs w:val="20"/>
              </w:rPr>
              <w:footnoteReference w:id="120"/>
            </w:r>
            <w:r w:rsidRPr="00C16912">
              <w:rPr>
                <w:sz w:val="20"/>
                <w:szCs w:val="20"/>
              </w:rPr>
              <w:t xml:space="preserve"> which includes interconnection services. A competing pipeline that is seeking to interconnect with a full or light regulation pipeline therefore has a right to negotiate access to such a service and can take action if a service provider seeks to prevent or hinder access to these services.</w:t>
            </w:r>
            <w:r w:rsidR="00370905">
              <w:rPr>
                <w:rFonts w:ascii="ZWAdobeF" w:hAnsi="ZWAdobeF" w:cs="ZWAdobeF"/>
                <w:sz w:val="2"/>
                <w:szCs w:val="2"/>
              </w:rPr>
              <w:t>119F</w:t>
            </w:r>
            <w:r w:rsidRPr="00C16912">
              <w:rPr>
                <w:rStyle w:val="FootnoteReference"/>
                <w:rFonts w:asciiTheme="majorHAnsi" w:hAnsiTheme="majorHAnsi" w:cstheme="majorHAnsi"/>
                <w:bCs/>
                <w:sz w:val="20"/>
                <w:szCs w:val="20"/>
              </w:rPr>
              <w:footnoteReference w:id="121"/>
            </w:r>
            <w:r w:rsidRPr="00C16912">
              <w:rPr>
                <w:sz w:val="20"/>
                <w:szCs w:val="20"/>
              </w:rPr>
              <w:t xml:space="preserve"> If the competing pipeline is unable to reach an agreement with the service provider, then it may also trigger the dispute resolution mechanism that is available under full and light regulation.</w:t>
            </w:r>
            <w:r w:rsidR="00370905">
              <w:rPr>
                <w:rFonts w:ascii="ZWAdobeF" w:hAnsi="ZWAdobeF" w:cs="ZWAdobeF"/>
                <w:sz w:val="2"/>
                <w:szCs w:val="2"/>
              </w:rPr>
              <w:t>120F</w:t>
            </w:r>
            <w:r w:rsidRPr="00C16912">
              <w:rPr>
                <w:rStyle w:val="FootnoteReference"/>
                <w:rFonts w:asciiTheme="majorHAnsi" w:hAnsiTheme="majorHAnsi" w:cstheme="majorHAnsi"/>
                <w:bCs/>
                <w:sz w:val="20"/>
                <w:szCs w:val="20"/>
              </w:rPr>
              <w:footnoteReference w:id="122"/>
            </w:r>
            <w:r w:rsidRPr="00C16912">
              <w:rPr>
                <w:sz w:val="20"/>
                <w:szCs w:val="20"/>
              </w:rPr>
              <w:t xml:space="preserve"> </w:t>
            </w:r>
          </w:p>
          <w:p w14:paraId="2BB1BE9F" w14:textId="3A10B599" w:rsidR="0003665A" w:rsidRPr="00C16912" w:rsidRDefault="0003665A" w:rsidP="00AD36B8">
            <w:pPr>
              <w:pStyle w:val="ListBullet"/>
              <w:rPr>
                <w:sz w:val="20"/>
                <w:szCs w:val="20"/>
              </w:rPr>
            </w:pPr>
            <w:r w:rsidRPr="00C16912">
              <w:rPr>
                <w:sz w:val="20"/>
                <w:szCs w:val="20"/>
              </w:rPr>
              <w:t>Under Part 23, service providers are not prohibited from preventing or hindering access. The arbitration provisions in Part 23 do, however, provide for an access determination to be made about interconnections.</w:t>
            </w:r>
            <w:r w:rsidR="00370905">
              <w:rPr>
                <w:rFonts w:ascii="ZWAdobeF" w:hAnsi="ZWAdobeF" w:cs="ZWAdobeF"/>
                <w:sz w:val="2"/>
                <w:szCs w:val="2"/>
              </w:rPr>
              <w:t>121F</w:t>
            </w:r>
            <w:r w:rsidRPr="00C16912">
              <w:rPr>
                <w:rStyle w:val="FootnoteReference"/>
                <w:rFonts w:asciiTheme="majorHAnsi" w:hAnsiTheme="majorHAnsi" w:cstheme="majorHAnsi"/>
                <w:bCs/>
                <w:sz w:val="20"/>
                <w:szCs w:val="20"/>
              </w:rPr>
              <w:footnoteReference w:id="123"/>
            </w:r>
            <w:r w:rsidRPr="00C16912">
              <w:rPr>
                <w:sz w:val="20"/>
                <w:szCs w:val="20"/>
              </w:rPr>
              <w:t xml:space="preserve"> A competing pipeline seeking to interconnect with a non-scheme pipeline that is unable to reach an agreement with the service provider could therefore trigger the arbitration mechanism.</w:t>
            </w:r>
          </w:p>
          <w:p w14:paraId="5CEAA37D" w14:textId="77777777" w:rsidR="00B638FE" w:rsidRPr="00C16912" w:rsidRDefault="00602D10" w:rsidP="004430C9">
            <w:pPr>
              <w:pStyle w:val="PullOutBoxBodyText"/>
              <w:keepNext/>
              <w:rPr>
                <w:rFonts w:asciiTheme="majorHAnsi" w:hAnsiTheme="majorHAnsi" w:cstheme="majorHAnsi"/>
                <w:b/>
                <w:bCs/>
                <w:sz w:val="20"/>
                <w:szCs w:val="20"/>
              </w:rPr>
            </w:pPr>
            <w:r w:rsidRPr="00C16912">
              <w:rPr>
                <w:rFonts w:asciiTheme="majorHAnsi" w:hAnsiTheme="majorHAnsi" w:cstheme="majorHAnsi"/>
                <w:b/>
                <w:bCs/>
                <w:sz w:val="20"/>
                <w:szCs w:val="20"/>
              </w:rPr>
              <w:t>Pricing of new capacity</w:t>
            </w:r>
          </w:p>
          <w:p w14:paraId="308EE86C" w14:textId="2E137FCE" w:rsidR="00993D6B" w:rsidRPr="00C16912" w:rsidRDefault="00E95BC0" w:rsidP="004430C9">
            <w:pPr>
              <w:pStyle w:val="PullOutBoxBodyText"/>
              <w:keepNext/>
              <w:rPr>
                <w:rFonts w:asciiTheme="majorHAnsi" w:hAnsiTheme="majorHAnsi" w:cstheme="majorHAnsi"/>
                <w:sz w:val="20"/>
                <w:szCs w:val="20"/>
              </w:rPr>
            </w:pPr>
            <w:r w:rsidRPr="00C16912">
              <w:rPr>
                <w:rFonts w:asciiTheme="majorHAnsi" w:hAnsiTheme="majorHAnsi" w:cstheme="majorHAnsi"/>
                <w:sz w:val="20"/>
                <w:szCs w:val="20"/>
              </w:rPr>
              <w:t xml:space="preserve">There are </w:t>
            </w:r>
            <w:r w:rsidR="003C7348" w:rsidRPr="00C16912">
              <w:rPr>
                <w:rFonts w:asciiTheme="majorHAnsi" w:hAnsiTheme="majorHAnsi" w:cstheme="majorHAnsi"/>
                <w:sz w:val="20"/>
                <w:szCs w:val="20"/>
              </w:rPr>
              <w:t xml:space="preserve">broadly </w:t>
            </w:r>
            <w:r w:rsidR="00F1662A" w:rsidRPr="00C16912">
              <w:rPr>
                <w:rFonts w:asciiTheme="majorHAnsi" w:hAnsiTheme="majorHAnsi" w:cstheme="majorHAnsi"/>
                <w:sz w:val="20"/>
                <w:szCs w:val="20"/>
              </w:rPr>
              <w:t>three</w:t>
            </w:r>
            <w:r w:rsidR="003C7348" w:rsidRPr="00C16912">
              <w:rPr>
                <w:rFonts w:asciiTheme="majorHAnsi" w:hAnsiTheme="majorHAnsi" w:cstheme="majorHAnsi"/>
                <w:sz w:val="20"/>
                <w:szCs w:val="20"/>
              </w:rPr>
              <w:t xml:space="preserve"> </w:t>
            </w:r>
            <w:r w:rsidRPr="00C16912">
              <w:rPr>
                <w:rFonts w:asciiTheme="majorHAnsi" w:hAnsiTheme="majorHAnsi" w:cstheme="majorHAnsi"/>
                <w:sz w:val="20"/>
                <w:szCs w:val="20"/>
              </w:rPr>
              <w:t xml:space="preserve">ways in which </w:t>
            </w:r>
            <w:r w:rsidR="00486AF0" w:rsidRPr="00C16912">
              <w:rPr>
                <w:rFonts w:asciiTheme="majorHAnsi" w:hAnsiTheme="majorHAnsi" w:cstheme="majorHAnsi"/>
                <w:sz w:val="20"/>
                <w:szCs w:val="20"/>
              </w:rPr>
              <w:t xml:space="preserve">the </w:t>
            </w:r>
            <w:r w:rsidR="00F1662A" w:rsidRPr="00C16912">
              <w:rPr>
                <w:rFonts w:asciiTheme="majorHAnsi" w:hAnsiTheme="majorHAnsi" w:cstheme="majorHAnsi"/>
                <w:sz w:val="20"/>
                <w:szCs w:val="20"/>
              </w:rPr>
              <w:t xml:space="preserve">price </w:t>
            </w:r>
            <w:r w:rsidR="00486AF0" w:rsidRPr="00C16912">
              <w:rPr>
                <w:rFonts w:asciiTheme="majorHAnsi" w:hAnsiTheme="majorHAnsi" w:cstheme="majorHAnsi"/>
                <w:sz w:val="20"/>
                <w:szCs w:val="20"/>
              </w:rPr>
              <w:t>of new capacity can be determined</w:t>
            </w:r>
            <w:r w:rsidR="0035258A" w:rsidRPr="00C16912">
              <w:rPr>
                <w:rFonts w:asciiTheme="majorHAnsi" w:hAnsiTheme="majorHAnsi" w:cstheme="majorHAnsi"/>
                <w:sz w:val="20"/>
                <w:szCs w:val="20"/>
              </w:rPr>
              <w:t>:</w:t>
            </w:r>
            <w:r w:rsidR="00370905">
              <w:rPr>
                <w:rFonts w:ascii="ZWAdobeF" w:hAnsi="ZWAdobeF" w:cs="ZWAdobeF"/>
                <w:sz w:val="2"/>
                <w:szCs w:val="2"/>
              </w:rPr>
              <w:t>122F</w:t>
            </w:r>
            <w:r w:rsidR="004978C0" w:rsidRPr="00C16912">
              <w:rPr>
                <w:rStyle w:val="FootnoteReference"/>
                <w:rFonts w:asciiTheme="majorHAnsi" w:hAnsiTheme="majorHAnsi" w:cstheme="majorHAnsi"/>
                <w:sz w:val="20"/>
                <w:szCs w:val="20"/>
              </w:rPr>
              <w:footnoteReference w:id="124"/>
            </w:r>
            <w:r w:rsidR="00486AF0" w:rsidRPr="00C16912">
              <w:rPr>
                <w:rFonts w:asciiTheme="majorHAnsi" w:hAnsiTheme="majorHAnsi" w:cstheme="majorHAnsi"/>
                <w:sz w:val="20"/>
                <w:szCs w:val="20"/>
              </w:rPr>
              <w:t xml:space="preserve"> </w:t>
            </w:r>
          </w:p>
          <w:p w14:paraId="7577544B" w14:textId="77777777" w:rsidR="00993D6B" w:rsidRPr="00C16912" w:rsidRDefault="004867FA" w:rsidP="00AD36B8">
            <w:pPr>
              <w:pStyle w:val="ListBullet"/>
              <w:rPr>
                <w:sz w:val="20"/>
                <w:szCs w:val="20"/>
              </w:rPr>
            </w:pPr>
            <w:r w:rsidRPr="00C16912">
              <w:rPr>
                <w:sz w:val="20"/>
                <w:szCs w:val="20"/>
              </w:rPr>
              <w:t>A</w:t>
            </w:r>
            <w:r w:rsidR="00486AF0" w:rsidRPr="00C16912">
              <w:rPr>
                <w:sz w:val="20"/>
                <w:szCs w:val="20"/>
              </w:rPr>
              <w:t xml:space="preserve"> </w:t>
            </w:r>
            <w:r w:rsidR="00486AF0" w:rsidRPr="00C16912">
              <w:rPr>
                <w:b/>
                <w:bCs/>
                <w:sz w:val="20"/>
                <w:szCs w:val="20"/>
              </w:rPr>
              <w:t xml:space="preserve">‘rolled-in’ </w:t>
            </w:r>
            <w:r w:rsidR="00486AF0" w:rsidRPr="00C16912">
              <w:rPr>
                <w:sz w:val="20"/>
                <w:szCs w:val="20"/>
              </w:rPr>
              <w:t>approach</w:t>
            </w:r>
            <w:r w:rsidR="0064795A" w:rsidRPr="00C16912">
              <w:rPr>
                <w:sz w:val="20"/>
                <w:szCs w:val="20"/>
              </w:rPr>
              <w:t xml:space="preserve"> </w:t>
            </w:r>
            <w:r w:rsidR="00F143BB" w:rsidRPr="00C16912">
              <w:rPr>
                <w:sz w:val="20"/>
                <w:szCs w:val="20"/>
              </w:rPr>
              <w:t xml:space="preserve">– under this approach all volumes are charged the average cost of capacity, and thus the price charged for use of the existing capacity changes when capacity is expanded </w:t>
            </w:r>
            <w:r w:rsidR="00AB6DD1" w:rsidRPr="00C16912">
              <w:rPr>
                <w:sz w:val="20"/>
                <w:szCs w:val="20"/>
              </w:rPr>
              <w:t xml:space="preserve">will </w:t>
            </w:r>
            <w:r w:rsidR="002D1D4E" w:rsidRPr="00C16912">
              <w:rPr>
                <w:sz w:val="20"/>
                <w:szCs w:val="20"/>
              </w:rPr>
              <w:t xml:space="preserve">either rise or fall </w:t>
            </w:r>
            <w:r w:rsidR="00F143BB" w:rsidRPr="00C16912">
              <w:rPr>
                <w:sz w:val="20"/>
                <w:szCs w:val="20"/>
              </w:rPr>
              <w:t>depending on whether the expansion is more or less expensive than existing capacity.</w:t>
            </w:r>
          </w:p>
          <w:p w14:paraId="7DE9B202" w14:textId="77777777" w:rsidR="0064795A" w:rsidRPr="00C16912" w:rsidRDefault="004867FA" w:rsidP="00AD36B8">
            <w:pPr>
              <w:pStyle w:val="ListBullet"/>
              <w:rPr>
                <w:sz w:val="20"/>
                <w:szCs w:val="20"/>
              </w:rPr>
            </w:pPr>
            <w:r w:rsidRPr="00C16912">
              <w:rPr>
                <w:sz w:val="20"/>
                <w:szCs w:val="20"/>
              </w:rPr>
              <w:t>A</w:t>
            </w:r>
            <w:r w:rsidR="00486AF0" w:rsidRPr="00C16912">
              <w:rPr>
                <w:sz w:val="20"/>
                <w:szCs w:val="20"/>
              </w:rPr>
              <w:t xml:space="preserve">n </w:t>
            </w:r>
            <w:r w:rsidR="00486AF0" w:rsidRPr="00C16912">
              <w:rPr>
                <w:b/>
                <w:bCs/>
                <w:sz w:val="20"/>
                <w:szCs w:val="20"/>
              </w:rPr>
              <w:t xml:space="preserve">‘incremental pricing’ </w:t>
            </w:r>
            <w:r w:rsidR="00486AF0" w:rsidRPr="00C16912">
              <w:rPr>
                <w:sz w:val="20"/>
                <w:szCs w:val="20"/>
              </w:rPr>
              <w:t>approach</w:t>
            </w:r>
            <w:r w:rsidR="0064795A" w:rsidRPr="00C16912">
              <w:rPr>
                <w:sz w:val="20"/>
                <w:szCs w:val="20"/>
              </w:rPr>
              <w:t xml:space="preserve"> - under </w:t>
            </w:r>
            <w:r w:rsidR="0064795A" w:rsidRPr="00C16912">
              <w:rPr>
                <w:bCs/>
                <w:sz w:val="20"/>
                <w:szCs w:val="20"/>
              </w:rPr>
              <w:t>this</w:t>
            </w:r>
            <w:r w:rsidR="0064795A" w:rsidRPr="00C16912">
              <w:rPr>
                <w:b/>
                <w:sz w:val="20"/>
                <w:szCs w:val="20"/>
              </w:rPr>
              <w:t xml:space="preserve"> </w:t>
            </w:r>
            <w:r w:rsidR="0064795A" w:rsidRPr="00C16912">
              <w:rPr>
                <w:bCs/>
                <w:sz w:val="20"/>
                <w:szCs w:val="20"/>
              </w:rPr>
              <w:t>approach</w:t>
            </w:r>
            <w:r w:rsidR="0064795A" w:rsidRPr="00C16912">
              <w:rPr>
                <w:b/>
                <w:sz w:val="20"/>
                <w:szCs w:val="20"/>
              </w:rPr>
              <w:t xml:space="preserve"> </w:t>
            </w:r>
            <w:r w:rsidR="0064795A" w:rsidRPr="00C16912">
              <w:rPr>
                <w:sz w:val="20"/>
                <w:szCs w:val="20"/>
              </w:rPr>
              <w:t xml:space="preserve">all new capacity is charged at its incremental cost, whether </w:t>
            </w:r>
            <w:r w:rsidR="002D1D4E" w:rsidRPr="00C16912">
              <w:rPr>
                <w:sz w:val="20"/>
                <w:szCs w:val="20"/>
              </w:rPr>
              <w:t xml:space="preserve">the extension or </w:t>
            </w:r>
            <w:r w:rsidR="0064795A" w:rsidRPr="00C16912">
              <w:rPr>
                <w:sz w:val="20"/>
                <w:szCs w:val="20"/>
              </w:rPr>
              <w:t xml:space="preserve">expansion is more </w:t>
            </w:r>
            <w:r w:rsidR="007260D8" w:rsidRPr="00C16912">
              <w:rPr>
                <w:sz w:val="20"/>
                <w:szCs w:val="20"/>
              </w:rPr>
              <w:t xml:space="preserve">or less </w:t>
            </w:r>
            <w:r w:rsidR="0064795A" w:rsidRPr="00C16912">
              <w:rPr>
                <w:sz w:val="20"/>
                <w:szCs w:val="20"/>
              </w:rPr>
              <w:t>expensive than existing capacity. This approach relies on the ability to set different tariffs for different capacity tranches, or to impose surcharges for that capacity</w:t>
            </w:r>
            <w:r w:rsidR="003C7348" w:rsidRPr="00C16912">
              <w:rPr>
                <w:sz w:val="20"/>
                <w:szCs w:val="20"/>
              </w:rPr>
              <w:t>.</w:t>
            </w:r>
          </w:p>
          <w:p w14:paraId="095F052B" w14:textId="3D1AD7C7" w:rsidR="005C6EBE" w:rsidRPr="00C16912" w:rsidRDefault="004867FA" w:rsidP="00AD36B8">
            <w:pPr>
              <w:pStyle w:val="ListBullet"/>
              <w:rPr>
                <w:sz w:val="20"/>
                <w:szCs w:val="20"/>
              </w:rPr>
            </w:pPr>
            <w:r w:rsidRPr="00C16912">
              <w:rPr>
                <w:sz w:val="20"/>
                <w:szCs w:val="20"/>
              </w:rPr>
              <w:t>A</w:t>
            </w:r>
            <w:r w:rsidR="0035258A" w:rsidRPr="00C16912">
              <w:rPr>
                <w:sz w:val="20"/>
                <w:szCs w:val="20"/>
              </w:rPr>
              <w:t xml:space="preserve"> </w:t>
            </w:r>
            <w:r w:rsidR="009A7C40" w:rsidRPr="00C16912">
              <w:rPr>
                <w:b/>
                <w:bCs/>
                <w:sz w:val="20"/>
                <w:szCs w:val="20"/>
              </w:rPr>
              <w:t>‘</w:t>
            </w:r>
            <w:r w:rsidR="0035258A" w:rsidRPr="00C16912">
              <w:rPr>
                <w:b/>
                <w:bCs/>
                <w:sz w:val="20"/>
                <w:szCs w:val="20"/>
              </w:rPr>
              <w:t xml:space="preserve">hybrid </w:t>
            </w:r>
            <w:r w:rsidR="00F143BB" w:rsidRPr="00C16912">
              <w:rPr>
                <w:b/>
                <w:bCs/>
                <w:sz w:val="20"/>
                <w:szCs w:val="20"/>
              </w:rPr>
              <w:t>rolled in-incremental pricing</w:t>
            </w:r>
            <w:r w:rsidR="009A7C40" w:rsidRPr="00C16912">
              <w:rPr>
                <w:b/>
                <w:bCs/>
                <w:sz w:val="20"/>
                <w:szCs w:val="20"/>
              </w:rPr>
              <w:t>’</w:t>
            </w:r>
            <w:r w:rsidR="00F143BB" w:rsidRPr="00C16912">
              <w:rPr>
                <w:b/>
                <w:bCs/>
                <w:sz w:val="20"/>
                <w:szCs w:val="20"/>
              </w:rPr>
              <w:t xml:space="preserve"> </w:t>
            </w:r>
            <w:r w:rsidR="005C6EBE" w:rsidRPr="00C16912">
              <w:rPr>
                <w:sz w:val="20"/>
                <w:szCs w:val="20"/>
              </w:rPr>
              <w:t>approach</w:t>
            </w:r>
            <w:r w:rsidR="007260D8" w:rsidRPr="00C16912">
              <w:rPr>
                <w:sz w:val="20"/>
                <w:szCs w:val="20"/>
              </w:rPr>
              <w:t xml:space="preserve"> </w:t>
            </w:r>
            <w:r w:rsidR="00F143BB" w:rsidRPr="00C16912">
              <w:rPr>
                <w:sz w:val="20"/>
                <w:szCs w:val="20"/>
              </w:rPr>
              <w:t xml:space="preserve">- </w:t>
            </w:r>
            <w:r w:rsidR="005C6EBE" w:rsidRPr="00C16912">
              <w:rPr>
                <w:sz w:val="20"/>
                <w:szCs w:val="20"/>
              </w:rPr>
              <w:t>under this approac</w:t>
            </w:r>
            <w:r w:rsidR="00F1662A" w:rsidRPr="00C16912">
              <w:rPr>
                <w:sz w:val="20"/>
                <w:szCs w:val="20"/>
              </w:rPr>
              <w:t xml:space="preserve">h, incremental pricing is used for </w:t>
            </w:r>
            <w:r w:rsidR="0079038E" w:rsidRPr="00C16912">
              <w:rPr>
                <w:sz w:val="20"/>
                <w:szCs w:val="20"/>
              </w:rPr>
              <w:t>extension</w:t>
            </w:r>
            <w:r w:rsidR="00F1662A" w:rsidRPr="00C16912">
              <w:rPr>
                <w:sz w:val="20"/>
                <w:szCs w:val="20"/>
              </w:rPr>
              <w:t>s</w:t>
            </w:r>
            <w:r w:rsidR="0079038E" w:rsidRPr="00C16912">
              <w:rPr>
                <w:sz w:val="20"/>
                <w:szCs w:val="20"/>
              </w:rPr>
              <w:t xml:space="preserve"> or </w:t>
            </w:r>
            <w:r w:rsidR="005C6EBE" w:rsidRPr="00C16912">
              <w:rPr>
                <w:sz w:val="20"/>
                <w:szCs w:val="20"/>
              </w:rPr>
              <w:t>expansion</w:t>
            </w:r>
            <w:r w:rsidR="00F1662A" w:rsidRPr="00C16912">
              <w:rPr>
                <w:sz w:val="20"/>
                <w:szCs w:val="20"/>
              </w:rPr>
              <w:t>s</w:t>
            </w:r>
            <w:r w:rsidR="005C6EBE" w:rsidRPr="00C16912">
              <w:rPr>
                <w:sz w:val="20"/>
                <w:szCs w:val="20"/>
              </w:rPr>
              <w:t xml:space="preserve"> that result in </w:t>
            </w:r>
            <w:r w:rsidR="006B6887" w:rsidRPr="00C16912">
              <w:rPr>
                <w:sz w:val="20"/>
                <w:szCs w:val="20"/>
              </w:rPr>
              <w:t xml:space="preserve">a </w:t>
            </w:r>
            <w:r w:rsidR="005C6EBE" w:rsidRPr="00C16912">
              <w:rPr>
                <w:sz w:val="20"/>
                <w:szCs w:val="20"/>
              </w:rPr>
              <w:t xml:space="preserve">higher average cost </w:t>
            </w:r>
            <w:r w:rsidR="007260D8" w:rsidRPr="00C16912">
              <w:rPr>
                <w:sz w:val="20"/>
                <w:szCs w:val="20"/>
              </w:rPr>
              <w:t>than the existing capacity</w:t>
            </w:r>
            <w:r w:rsidR="005C6EBE" w:rsidRPr="00C16912">
              <w:rPr>
                <w:sz w:val="20"/>
                <w:szCs w:val="20"/>
              </w:rPr>
              <w:t>,</w:t>
            </w:r>
            <w:r w:rsidR="00370905">
              <w:rPr>
                <w:rFonts w:ascii="ZWAdobeF" w:hAnsi="ZWAdobeF" w:cs="ZWAdobeF"/>
                <w:sz w:val="2"/>
                <w:szCs w:val="2"/>
              </w:rPr>
              <w:t>123F</w:t>
            </w:r>
            <w:r w:rsidR="005C6EBE" w:rsidRPr="00C16912">
              <w:rPr>
                <w:rStyle w:val="FootnoteReference"/>
                <w:rFonts w:asciiTheme="majorHAnsi" w:hAnsiTheme="majorHAnsi" w:cstheme="majorHAnsi"/>
                <w:sz w:val="20"/>
                <w:szCs w:val="20"/>
              </w:rPr>
              <w:footnoteReference w:id="125"/>
            </w:r>
            <w:r w:rsidR="005C6EBE" w:rsidRPr="00C16912">
              <w:rPr>
                <w:sz w:val="20"/>
                <w:szCs w:val="20"/>
              </w:rPr>
              <w:t xml:space="preserve"> </w:t>
            </w:r>
            <w:r w:rsidR="00F1662A" w:rsidRPr="00C16912">
              <w:rPr>
                <w:sz w:val="20"/>
                <w:szCs w:val="20"/>
              </w:rPr>
              <w:t xml:space="preserve">while the rolled-in approach is used for </w:t>
            </w:r>
            <w:r w:rsidR="005C6EBE" w:rsidRPr="00C16912">
              <w:rPr>
                <w:sz w:val="20"/>
                <w:szCs w:val="20"/>
              </w:rPr>
              <w:t>e</w:t>
            </w:r>
            <w:r w:rsidR="009A7C40" w:rsidRPr="00C16912">
              <w:rPr>
                <w:sz w:val="20"/>
                <w:szCs w:val="20"/>
              </w:rPr>
              <w:t xml:space="preserve">xpansions that </w:t>
            </w:r>
            <w:r w:rsidR="00F1662A" w:rsidRPr="00C16912">
              <w:rPr>
                <w:sz w:val="20"/>
                <w:szCs w:val="20"/>
              </w:rPr>
              <w:t>result in a lower average cost</w:t>
            </w:r>
            <w:r w:rsidR="009A7C40" w:rsidRPr="00C16912">
              <w:rPr>
                <w:sz w:val="20"/>
                <w:szCs w:val="20"/>
              </w:rPr>
              <w:t xml:space="preserve">. </w:t>
            </w:r>
          </w:p>
          <w:p w14:paraId="1D5601A3" w14:textId="04DF3E65" w:rsidR="00C26F75" w:rsidRPr="00C16912" w:rsidRDefault="00E6477D" w:rsidP="004430C9">
            <w:pPr>
              <w:pStyle w:val="PullOutBoxBodyText"/>
              <w:keepNext/>
              <w:rPr>
                <w:rFonts w:asciiTheme="majorHAnsi" w:hAnsiTheme="majorHAnsi" w:cstheme="majorHAnsi"/>
                <w:sz w:val="20"/>
                <w:szCs w:val="20"/>
              </w:rPr>
            </w:pPr>
            <w:r w:rsidRPr="00C16912">
              <w:rPr>
                <w:rFonts w:asciiTheme="majorHAnsi" w:hAnsiTheme="majorHAnsi" w:cstheme="majorHAnsi"/>
                <w:sz w:val="20"/>
                <w:szCs w:val="20"/>
              </w:rPr>
              <w:t xml:space="preserve">Under the current regulatory framework, </w:t>
            </w:r>
            <w:r w:rsidR="00C26F75" w:rsidRPr="00C16912">
              <w:rPr>
                <w:rFonts w:asciiTheme="majorHAnsi" w:hAnsiTheme="majorHAnsi" w:cstheme="majorHAnsi"/>
                <w:sz w:val="20"/>
                <w:szCs w:val="20"/>
              </w:rPr>
              <w:t>rule 79</w:t>
            </w:r>
            <w:r w:rsidRPr="00C16912">
              <w:rPr>
                <w:rFonts w:asciiTheme="majorHAnsi" w:hAnsiTheme="majorHAnsi" w:cstheme="majorHAnsi"/>
                <w:sz w:val="20"/>
                <w:szCs w:val="20"/>
              </w:rPr>
              <w:t>,</w:t>
            </w:r>
            <w:r w:rsidR="00370905">
              <w:rPr>
                <w:rFonts w:ascii="ZWAdobeF" w:hAnsi="ZWAdobeF" w:cs="ZWAdobeF"/>
                <w:sz w:val="2"/>
                <w:szCs w:val="2"/>
              </w:rPr>
              <w:t>124F</w:t>
            </w:r>
            <w:r w:rsidR="00C26F75" w:rsidRPr="00C16912">
              <w:rPr>
                <w:rStyle w:val="FootnoteReference"/>
                <w:rFonts w:asciiTheme="majorHAnsi" w:hAnsiTheme="majorHAnsi" w:cstheme="majorHAnsi"/>
                <w:sz w:val="20"/>
                <w:szCs w:val="20"/>
              </w:rPr>
              <w:footnoteReference w:id="126"/>
            </w:r>
            <w:r w:rsidR="00C26F75" w:rsidRPr="00C16912">
              <w:rPr>
                <w:rFonts w:asciiTheme="majorHAnsi" w:hAnsiTheme="majorHAnsi" w:cstheme="majorHAnsi"/>
                <w:sz w:val="20"/>
                <w:szCs w:val="20"/>
              </w:rPr>
              <w:t xml:space="preserve"> </w:t>
            </w:r>
            <w:r w:rsidRPr="00C16912">
              <w:rPr>
                <w:rFonts w:asciiTheme="majorHAnsi" w:hAnsiTheme="majorHAnsi" w:cstheme="majorHAnsi"/>
                <w:sz w:val="20"/>
                <w:szCs w:val="20"/>
              </w:rPr>
              <w:t>which applies to full regulation pipelines</w:t>
            </w:r>
            <w:r w:rsidR="00BD3601" w:rsidRPr="00C16912">
              <w:rPr>
                <w:rFonts w:asciiTheme="majorHAnsi" w:hAnsiTheme="majorHAnsi" w:cstheme="majorHAnsi"/>
                <w:sz w:val="20"/>
                <w:szCs w:val="20"/>
              </w:rPr>
              <w:t xml:space="preserve"> only</w:t>
            </w:r>
            <w:r w:rsidRPr="00C16912">
              <w:rPr>
                <w:rFonts w:asciiTheme="majorHAnsi" w:hAnsiTheme="majorHAnsi" w:cstheme="majorHAnsi"/>
                <w:sz w:val="20"/>
                <w:szCs w:val="20"/>
              </w:rPr>
              <w:t xml:space="preserve">, </w:t>
            </w:r>
            <w:r w:rsidR="00C26F75" w:rsidRPr="00C16912">
              <w:rPr>
                <w:rFonts w:asciiTheme="majorHAnsi" w:hAnsiTheme="majorHAnsi" w:cstheme="majorHAnsi"/>
                <w:sz w:val="20"/>
                <w:szCs w:val="20"/>
              </w:rPr>
              <w:t>places some constraints on the use of the rolled-in approach,</w:t>
            </w:r>
            <w:r w:rsidR="00370905">
              <w:rPr>
                <w:rFonts w:ascii="ZWAdobeF" w:hAnsi="ZWAdobeF" w:cs="ZWAdobeF"/>
                <w:sz w:val="2"/>
                <w:szCs w:val="2"/>
              </w:rPr>
              <w:t>125F</w:t>
            </w:r>
            <w:r w:rsidR="00C26F75" w:rsidRPr="00C16912">
              <w:rPr>
                <w:rStyle w:val="FootnoteReference"/>
                <w:rFonts w:asciiTheme="majorHAnsi" w:hAnsiTheme="majorHAnsi" w:cstheme="majorHAnsi"/>
                <w:sz w:val="20"/>
                <w:szCs w:val="20"/>
              </w:rPr>
              <w:footnoteReference w:id="127"/>
            </w:r>
            <w:r w:rsidR="00C26F75" w:rsidRPr="00C16912">
              <w:rPr>
                <w:rFonts w:asciiTheme="majorHAnsi" w:hAnsiTheme="majorHAnsi" w:cstheme="majorHAnsi"/>
                <w:sz w:val="20"/>
                <w:szCs w:val="20"/>
              </w:rPr>
              <w:t xml:space="preserve"> with service providers only able to use this approach to cross-subsidise new capacity if it can be demonstrated that: </w:t>
            </w:r>
          </w:p>
          <w:p w14:paraId="07899AD7" w14:textId="77777777" w:rsidR="00C26F75" w:rsidRPr="00C16912" w:rsidRDefault="00C26F75" w:rsidP="00AD36B8">
            <w:pPr>
              <w:pStyle w:val="ListBullet"/>
              <w:rPr>
                <w:sz w:val="20"/>
                <w:szCs w:val="20"/>
              </w:rPr>
            </w:pPr>
            <w:r w:rsidRPr="00C16912">
              <w:rPr>
                <w:sz w:val="20"/>
                <w:szCs w:val="20"/>
              </w:rPr>
              <w:t>the overall economic value of the expenditure is positive;</w:t>
            </w:r>
            <w:r w:rsidRPr="00C16912">
              <w:rPr>
                <w:rStyle w:val="FootnoteReference"/>
                <w:rFonts w:asciiTheme="majorHAnsi" w:eastAsia="Cambria" w:hAnsiTheme="majorHAnsi" w:cstheme="majorHAnsi"/>
                <w:sz w:val="20"/>
                <w:szCs w:val="20"/>
              </w:rPr>
              <w:t xml:space="preserve"> </w:t>
            </w:r>
            <w:r w:rsidRPr="00C16912">
              <w:rPr>
                <w:sz w:val="20"/>
                <w:szCs w:val="20"/>
              </w:rPr>
              <w:t xml:space="preserve">or </w:t>
            </w:r>
          </w:p>
          <w:p w14:paraId="4505EEAA" w14:textId="77777777" w:rsidR="00C26F75" w:rsidRPr="00C16912" w:rsidRDefault="00C26F75" w:rsidP="00AD36B8">
            <w:pPr>
              <w:pStyle w:val="ListBullet"/>
              <w:rPr>
                <w:sz w:val="20"/>
                <w:szCs w:val="20"/>
              </w:rPr>
            </w:pPr>
            <w:r w:rsidRPr="00C16912">
              <w:rPr>
                <w:sz w:val="20"/>
                <w:szCs w:val="20"/>
              </w:rPr>
              <w:t>the expenditure is necessary to maintain and improve the safety of services, maintain the integrity of services or to comply with a regulatory obligation or requirement.</w:t>
            </w:r>
          </w:p>
          <w:p w14:paraId="0FA1D151" w14:textId="77777777" w:rsidR="00C26F75" w:rsidRPr="00C16912" w:rsidRDefault="00E6477D" w:rsidP="00AD36B8">
            <w:pPr>
              <w:pStyle w:val="ListBullet"/>
              <w:numPr>
                <w:ilvl w:val="0"/>
                <w:numId w:val="0"/>
              </w:numPr>
              <w:rPr>
                <w:sz w:val="20"/>
                <w:szCs w:val="20"/>
              </w:rPr>
            </w:pPr>
            <w:r w:rsidRPr="00C16912">
              <w:rPr>
                <w:sz w:val="20"/>
                <w:szCs w:val="20"/>
              </w:rPr>
              <w:t>The same constraint does not, however, apply u</w:t>
            </w:r>
            <w:r w:rsidR="00C26F75" w:rsidRPr="00C16912">
              <w:rPr>
                <w:sz w:val="20"/>
                <w:szCs w:val="20"/>
              </w:rPr>
              <w:t xml:space="preserve">nder light regulation </w:t>
            </w:r>
            <w:r w:rsidRPr="00C16912">
              <w:rPr>
                <w:sz w:val="20"/>
                <w:szCs w:val="20"/>
              </w:rPr>
              <w:t xml:space="preserve">or </w:t>
            </w:r>
            <w:r w:rsidR="00C26F75" w:rsidRPr="00C16912">
              <w:rPr>
                <w:sz w:val="20"/>
                <w:szCs w:val="20"/>
              </w:rPr>
              <w:t xml:space="preserve">Part 23. </w:t>
            </w:r>
          </w:p>
        </w:tc>
      </w:tr>
    </w:tbl>
    <w:p w14:paraId="522D65BE" w14:textId="77777777" w:rsidR="004A793A" w:rsidRPr="003D0593" w:rsidRDefault="004A793A" w:rsidP="00890634">
      <w:pPr>
        <w:pStyle w:val="Heading3"/>
      </w:pPr>
      <w:r w:rsidRPr="003D0593">
        <w:t>The</w:t>
      </w:r>
      <w:r w:rsidR="0024151B">
        <w:t xml:space="preserve"> current</w:t>
      </w:r>
      <w:r w:rsidRPr="003D0593">
        <w:t xml:space="preserve"> process for moving between the forms of regulation</w:t>
      </w:r>
    </w:p>
    <w:p w14:paraId="32A4F879" w14:textId="6730A817" w:rsidR="004A793A" w:rsidRPr="006B4639" w:rsidRDefault="00EE0606" w:rsidP="00AD36B8">
      <w:pPr>
        <w:pStyle w:val="ListBullet"/>
        <w:numPr>
          <w:ilvl w:val="0"/>
          <w:numId w:val="0"/>
        </w:numPr>
      </w:pPr>
      <w:r>
        <w:t xml:space="preserve">As outlined in </w:t>
      </w:r>
      <w:r w:rsidRPr="009816BE">
        <w:fldChar w:fldCharType="begin" w:fldLock="1"/>
      </w:r>
      <w:r w:rsidRPr="009816BE">
        <w:instrText xml:space="preserve"> REF _Ref18150489 \h </w:instrText>
      </w:r>
      <w:r w:rsidR="009816BE" w:rsidRPr="009816BE">
        <w:instrText xml:space="preserve"> \* MERGEFORMAT </w:instrText>
      </w:r>
      <w:r w:rsidRPr="009816BE">
        <w:fldChar w:fldCharType="separate"/>
      </w:r>
      <w:r w:rsidR="00036405" w:rsidRPr="00036405">
        <w:t xml:space="preserve">Figure </w:t>
      </w:r>
      <w:r w:rsidR="00036405" w:rsidRPr="00036405">
        <w:rPr>
          <w:noProof/>
        </w:rPr>
        <w:t>2.2</w:t>
      </w:r>
      <w:r w:rsidRPr="009816BE">
        <w:fldChar w:fldCharType="end"/>
      </w:r>
      <w:r w:rsidR="00731542">
        <w:t>,</w:t>
      </w:r>
      <w:r>
        <w:t xml:space="preserve"> there is currently a two-tiered test for determining what form of regulation to apply to a pipeline</w:t>
      </w:r>
      <w:r w:rsidR="004A793A" w:rsidRPr="006B4639">
        <w:t>:</w:t>
      </w:r>
    </w:p>
    <w:p w14:paraId="7DDD1A9C" w14:textId="77777777" w:rsidR="004A793A" w:rsidRPr="006B4639" w:rsidRDefault="004A793A" w:rsidP="00AD36B8">
      <w:pPr>
        <w:pStyle w:val="ListBullet"/>
      </w:pPr>
      <w:r w:rsidRPr="006B4639">
        <w:lastRenderedPageBreak/>
        <w:t>The coverage test is used to determine whether a pipeline is a scheme pipeline and therefore subject to either full or light regulation (if all the coverage criteria are satisfied)</w:t>
      </w:r>
      <w:r w:rsidR="003D0593">
        <w:t>,</w:t>
      </w:r>
      <w:r w:rsidRPr="006B4639">
        <w:t xml:space="preserve"> or a non-scheme pipeline (if one or more of the criteria are not satisfied).</w:t>
      </w:r>
    </w:p>
    <w:p w14:paraId="2652DF04" w14:textId="77777777" w:rsidR="00694249" w:rsidRDefault="004A793A" w:rsidP="00AD36B8">
      <w:pPr>
        <w:pStyle w:val="ListBullet"/>
      </w:pPr>
      <w:r w:rsidRPr="006B4639">
        <w:t>If the coverage test is</w:t>
      </w:r>
      <w:r w:rsidR="00694249">
        <w:t>:</w:t>
      </w:r>
      <w:r w:rsidRPr="006B4639">
        <w:t xml:space="preserve"> </w:t>
      </w:r>
    </w:p>
    <w:p w14:paraId="5442582C" w14:textId="77777777" w:rsidR="004A793A" w:rsidRDefault="003D0593" w:rsidP="00AD36B8">
      <w:pPr>
        <w:pStyle w:val="ListBullet2"/>
      </w:pPr>
      <w:r>
        <w:t>satisfied</w:t>
      </w:r>
      <w:r w:rsidR="004A793A" w:rsidRPr="006B4639">
        <w:t xml:space="preserve">, the form of regulation test </w:t>
      </w:r>
      <w:r w:rsidR="00F95773" w:rsidRPr="006B4639">
        <w:t xml:space="preserve">in s. 122 of the NGL </w:t>
      </w:r>
      <w:r w:rsidR="004A793A" w:rsidRPr="006B4639">
        <w:t>is used to determine whether full or light regulation should be applied</w:t>
      </w:r>
      <w:r w:rsidR="00694249">
        <w:t>; or</w:t>
      </w:r>
    </w:p>
    <w:p w14:paraId="103D60E9" w14:textId="77777777" w:rsidR="00694249" w:rsidRDefault="00694249" w:rsidP="00AD36B8">
      <w:pPr>
        <w:pStyle w:val="ListBullet2"/>
      </w:pPr>
      <w:r>
        <w:t xml:space="preserve">not satisfied, the pipeline will be subject to Part 23 if </w:t>
      </w:r>
      <w:r w:rsidR="008E16C9">
        <w:t xml:space="preserve">it provides </w:t>
      </w:r>
      <w:r>
        <w:t>third party access.</w:t>
      </w:r>
    </w:p>
    <w:p w14:paraId="1DBB84B7" w14:textId="77777777" w:rsidR="00694249" w:rsidRDefault="008E16C9" w:rsidP="00694249">
      <w:pPr>
        <w:pStyle w:val="BodyText"/>
      </w:pPr>
      <w:r>
        <w:t>In effect, t</w:t>
      </w:r>
      <w:r w:rsidR="00EE0606">
        <w:t>he coverage test, which was originally intended to be a threshold test for whether a pipeline should be subject to economic regulation</w:t>
      </w:r>
      <w:r w:rsidR="00731542">
        <w:t>,</w:t>
      </w:r>
      <w:r w:rsidR="00EE0606">
        <w:t xml:space="preserve"> has</w:t>
      </w:r>
      <w:r w:rsidR="007A7181">
        <w:t xml:space="preserve"> </w:t>
      </w:r>
      <w:r w:rsidR="00731542">
        <w:t>become a gateway between Part 23 and full/light regulation and vice versa</w:t>
      </w:r>
      <w:r w:rsidR="007A7181">
        <w:t xml:space="preserve"> following the introduction of Part 23</w:t>
      </w:r>
      <w:r w:rsidR="00694249">
        <w:t xml:space="preserve">. </w:t>
      </w:r>
    </w:p>
    <w:p w14:paraId="3DDF318E" w14:textId="2567B421" w:rsidR="00E476E5" w:rsidRPr="006B4639" w:rsidRDefault="004A793A" w:rsidP="00977B53">
      <w:pPr>
        <w:pStyle w:val="BodyText"/>
      </w:pPr>
      <w:r w:rsidRPr="006B4639">
        <w:t xml:space="preserve">For scheme pipelines, the </w:t>
      </w:r>
      <w:r w:rsidR="005C58C9">
        <w:t xml:space="preserve">decision as to whether full or light regulation applies </w:t>
      </w:r>
      <w:r w:rsidRPr="006B4639">
        <w:t xml:space="preserve">is </w:t>
      </w:r>
      <w:r w:rsidR="005C58C9">
        <w:t xml:space="preserve">currently </w:t>
      </w:r>
      <w:r w:rsidRPr="006B4639">
        <w:t>made by the NCC</w:t>
      </w:r>
      <w:r w:rsidR="00640A0E">
        <w:t xml:space="preserve"> (see </w:t>
      </w:r>
      <w:r w:rsidR="00637F77">
        <w:fldChar w:fldCharType="begin" w:fldLock="1"/>
      </w:r>
      <w:r w:rsidR="00637F77">
        <w:instrText xml:space="preserve"> REF _Ref18328964 \h </w:instrText>
      </w:r>
      <w:r w:rsidR="00637F77">
        <w:fldChar w:fldCharType="separate"/>
      </w:r>
      <w:r w:rsidR="00036405" w:rsidRPr="006B4639">
        <w:t xml:space="preserve">Box </w:t>
      </w:r>
      <w:r w:rsidR="00036405">
        <w:rPr>
          <w:noProof/>
        </w:rPr>
        <w:t>2</w:t>
      </w:r>
      <w:r w:rsidR="00036405">
        <w:t>.</w:t>
      </w:r>
      <w:r w:rsidR="00036405">
        <w:rPr>
          <w:noProof/>
        </w:rPr>
        <w:t>5</w:t>
      </w:r>
      <w:r w:rsidR="00637F77">
        <w:fldChar w:fldCharType="end"/>
      </w:r>
      <w:r w:rsidR="00640A0E">
        <w:t>)</w:t>
      </w:r>
      <w:r w:rsidR="0024151B">
        <w:t>. When making this decision, the NCC is required to apply the form of regulation test in s. 122 of the NGL, which requires consideration to be given to</w:t>
      </w:r>
      <w:r w:rsidR="00E476E5" w:rsidRPr="006B4639">
        <w:t>:</w:t>
      </w:r>
    </w:p>
    <w:p w14:paraId="367CDC98" w14:textId="77777777" w:rsidR="00E476E5" w:rsidRPr="006B4639" w:rsidRDefault="00E476E5" w:rsidP="00AD36B8">
      <w:pPr>
        <w:pStyle w:val="ListBullet"/>
      </w:pPr>
      <w:r w:rsidRPr="006B4639">
        <w:t xml:space="preserve">the likely effectiveness of </w:t>
      </w:r>
      <w:r w:rsidR="00DE19BA">
        <w:t xml:space="preserve">these two forms of </w:t>
      </w:r>
      <w:r w:rsidRPr="006B4639">
        <w:t>regulation in promoting access to the services provided by the pipeline, and</w:t>
      </w:r>
    </w:p>
    <w:p w14:paraId="6F277C0C" w14:textId="77777777" w:rsidR="00E476E5" w:rsidRPr="006B4639" w:rsidRDefault="00E476E5" w:rsidP="00AD36B8">
      <w:pPr>
        <w:pStyle w:val="ListBullet"/>
      </w:pPr>
      <w:r w:rsidRPr="006B4639">
        <w:t xml:space="preserve">the effect </w:t>
      </w:r>
      <w:r w:rsidR="00DE19BA">
        <w:t xml:space="preserve">of these two forms of regulation </w:t>
      </w:r>
      <w:r w:rsidRPr="006B4639">
        <w:t xml:space="preserve">on the </w:t>
      </w:r>
      <w:r w:rsidR="00D7341F">
        <w:t xml:space="preserve">likely </w:t>
      </w:r>
      <w:r w:rsidRPr="006B4639">
        <w:t xml:space="preserve">costs that may be incurred by an efficient service provider, efficient users and prospective users, and end-users. </w:t>
      </w:r>
    </w:p>
    <w:p w14:paraId="58CEC77A" w14:textId="38C1E2B6" w:rsidR="00271B29" w:rsidRDefault="00E476E5" w:rsidP="00E476E5">
      <w:pPr>
        <w:pStyle w:val="BodyText"/>
      </w:pPr>
      <w:r w:rsidRPr="006B4639">
        <w:t xml:space="preserve">In </w:t>
      </w:r>
      <w:r w:rsidR="00EE0606">
        <w:t>applying this test</w:t>
      </w:r>
      <w:r w:rsidRPr="006B4639">
        <w:t xml:space="preserve">, the NCC must have regard to the form of regulation factors, the NGO and any other matters it considers relevant. The form of regulation factors, which are set out in </w:t>
      </w:r>
      <w:r w:rsidR="004A793A" w:rsidRPr="006B4639">
        <w:fldChar w:fldCharType="begin" w:fldLock="1"/>
      </w:r>
      <w:r w:rsidR="004A793A" w:rsidRPr="006B4639">
        <w:instrText xml:space="preserve"> REF _Ref18328964 \h </w:instrText>
      </w:r>
      <w:r w:rsidR="004A793A" w:rsidRPr="006B4639">
        <w:fldChar w:fldCharType="separate"/>
      </w:r>
      <w:r w:rsidR="00036405" w:rsidRPr="006B4639">
        <w:t xml:space="preserve">Box </w:t>
      </w:r>
      <w:r w:rsidR="00036405">
        <w:rPr>
          <w:noProof/>
        </w:rPr>
        <w:t>2</w:t>
      </w:r>
      <w:r w:rsidR="00036405">
        <w:t>.</w:t>
      </w:r>
      <w:r w:rsidR="00036405">
        <w:rPr>
          <w:noProof/>
        </w:rPr>
        <w:t>5</w:t>
      </w:r>
      <w:r w:rsidR="004A793A" w:rsidRPr="006B4639">
        <w:fldChar w:fldCharType="end"/>
      </w:r>
      <w:r w:rsidRPr="006B4639">
        <w:t xml:space="preserve">, </w:t>
      </w:r>
      <w:r w:rsidR="00EE0606">
        <w:t>require</w:t>
      </w:r>
      <w:r w:rsidR="004A793A" w:rsidRPr="006B4639">
        <w:t xml:space="preserve"> an assessment of</w:t>
      </w:r>
      <w:r w:rsidR="00271B29">
        <w:t>:</w:t>
      </w:r>
      <w:r w:rsidR="004A793A" w:rsidRPr="006B4639">
        <w:t xml:space="preserve"> </w:t>
      </w:r>
    </w:p>
    <w:p w14:paraId="0FC77B8D" w14:textId="77777777" w:rsidR="004A793A" w:rsidRPr="0099684E" w:rsidRDefault="004A793A" w:rsidP="00C16912">
      <w:pPr>
        <w:pStyle w:val="ListBullet"/>
      </w:pPr>
      <w:r w:rsidRPr="0099684E">
        <w:t xml:space="preserve">the degree of market power held by the pipeline </w:t>
      </w:r>
      <w:r w:rsidR="00E476E5" w:rsidRPr="0099684E">
        <w:t>and the extent to which there are any constraints on that power</w:t>
      </w:r>
      <w:r w:rsidR="00EE0606" w:rsidRPr="0099684E">
        <w:t xml:space="preserve"> (e.g. from competition from other pipelines or energy sources, or the countervailing power of shippers)</w:t>
      </w:r>
      <w:r w:rsidR="00271B29" w:rsidRPr="0099684E">
        <w:t>; and</w:t>
      </w:r>
    </w:p>
    <w:p w14:paraId="72DB76BC" w14:textId="77777777" w:rsidR="0099684E" w:rsidRPr="0099684E" w:rsidRDefault="008675B6" w:rsidP="00C16912">
      <w:pPr>
        <w:pStyle w:val="ListBullet"/>
      </w:pPr>
      <w:r w:rsidRPr="0099684E">
        <w:lastRenderedPageBreak/>
        <w:t xml:space="preserve">the extent </w:t>
      </w:r>
      <w:r w:rsidR="0099684E">
        <w:t xml:space="preserve">and adequacy of the </w:t>
      </w:r>
      <w:r w:rsidRPr="0099684E">
        <w:t xml:space="preserve">information available </w:t>
      </w:r>
      <w:r w:rsidR="0099684E" w:rsidRPr="0099684E">
        <w:t xml:space="preserve">to shippers to </w:t>
      </w:r>
      <w:r w:rsidR="00BB7F35">
        <w:t xml:space="preserve">enable them to </w:t>
      </w:r>
      <w:r w:rsidR="0099684E" w:rsidRPr="0099684E">
        <w:t>negotiate on an informed basis with service provider</w:t>
      </w:r>
      <w:r w:rsidR="00BB7F35">
        <w:t>s</w:t>
      </w:r>
      <w:r w:rsidR="0099684E" w:rsidRPr="0099684E">
        <w:t>.</w:t>
      </w:r>
    </w:p>
    <w:p w14:paraId="6866F212" w14:textId="77777777" w:rsidR="004A793A" w:rsidRPr="006B4639" w:rsidRDefault="004A793A" w:rsidP="00C90817">
      <w:pPr>
        <w:pStyle w:val="Heading2"/>
        <w:spacing w:after="120"/>
      </w:pPr>
      <w:bookmarkStart w:id="109" w:name="_Toc15264835"/>
      <w:bookmarkStart w:id="110" w:name="_Ref19286843"/>
      <w:bookmarkStart w:id="111" w:name="_Ref49784891"/>
      <w:bookmarkStart w:id="112" w:name="_Ref52553847"/>
      <w:bookmarkStart w:id="113" w:name="_Toc62219410"/>
      <w:r w:rsidRPr="006B4639">
        <w:t>What problem</w:t>
      </w:r>
      <w:r w:rsidR="00731542">
        <w:t>s</w:t>
      </w:r>
      <w:r w:rsidR="007726BB">
        <w:t xml:space="preserve"> </w:t>
      </w:r>
      <w:r w:rsidR="00A62B3A">
        <w:t xml:space="preserve">have been identified with this aspect of </w:t>
      </w:r>
      <w:r w:rsidR="009F4047">
        <w:t>the regulatory framework</w:t>
      </w:r>
      <w:r w:rsidRPr="006B4639">
        <w:t>?</w:t>
      </w:r>
      <w:bookmarkEnd w:id="109"/>
      <w:bookmarkEnd w:id="110"/>
      <w:bookmarkEnd w:id="111"/>
      <w:bookmarkEnd w:id="112"/>
      <w:bookmarkEnd w:id="113"/>
    </w:p>
    <w:p w14:paraId="50618C68" w14:textId="77777777" w:rsidR="00C74643" w:rsidRDefault="00C74643" w:rsidP="0005644E">
      <w:pPr>
        <w:pStyle w:val="Heading3"/>
        <w:spacing w:before="120" w:after="120"/>
      </w:pPr>
      <w:r>
        <w:t>Potential problems identified in the Consultation RIS</w:t>
      </w:r>
    </w:p>
    <w:p w14:paraId="495452E3" w14:textId="77777777" w:rsidR="00731542" w:rsidRDefault="00022C30" w:rsidP="004F6EB7">
      <w:pPr>
        <w:pStyle w:val="BodyText"/>
        <w:spacing w:before="120" w:line="252" w:lineRule="auto"/>
      </w:pPr>
      <w:r>
        <w:t xml:space="preserve">In the Consultation RIS the following </w:t>
      </w:r>
      <w:r w:rsidRPr="00B370BB">
        <w:rPr>
          <w:i/>
          <w:iCs/>
        </w:rPr>
        <w:t>potential</w:t>
      </w:r>
      <w:r>
        <w:t xml:space="preserve"> problems were identified with this aspect of the regulatory framework</w:t>
      </w:r>
      <w:r w:rsidR="00DE53DD">
        <w:t>:</w:t>
      </w:r>
    </w:p>
    <w:p w14:paraId="42FCB7E4" w14:textId="03696370" w:rsidR="0077337A" w:rsidRDefault="0077337A" w:rsidP="00C16912">
      <w:pPr>
        <w:pStyle w:val="ListBullet"/>
        <w:numPr>
          <w:ilvl w:val="0"/>
          <w:numId w:val="143"/>
        </w:numPr>
        <w:ind w:left="357" w:hanging="357"/>
      </w:pPr>
      <w:r w:rsidRPr="006B4639">
        <w:t xml:space="preserve">the inconsistencies and overlap between Part 23 and light regulation </w:t>
      </w:r>
      <w:r w:rsidR="00905FBA" w:rsidRPr="00B370BB">
        <w:rPr>
          <w:i/>
          <w:iCs/>
        </w:rPr>
        <w:t>may</w:t>
      </w:r>
      <w:r w:rsidR="00905FBA">
        <w:t xml:space="preserve"> </w:t>
      </w:r>
      <w:r w:rsidRPr="006B4639">
        <w:t>increase the complexity and administrative burden for regulators, shippers and service providers;</w:t>
      </w:r>
      <w:r w:rsidR="00370905">
        <w:rPr>
          <w:rFonts w:ascii="ZWAdobeF" w:hAnsi="ZWAdobeF" w:cs="ZWAdobeF"/>
          <w:sz w:val="2"/>
          <w:szCs w:val="2"/>
        </w:rPr>
        <w:t>126F</w:t>
      </w:r>
      <w:r>
        <w:rPr>
          <w:rStyle w:val="FootnoteReference"/>
        </w:rPr>
        <w:footnoteReference w:id="128"/>
      </w:r>
      <w:r w:rsidRPr="006B4639">
        <w:t xml:space="preserve"> </w:t>
      </w:r>
    </w:p>
    <w:p w14:paraId="74276F1B" w14:textId="7D1882BF" w:rsidR="0077337A" w:rsidRPr="006B4639" w:rsidRDefault="0077337A" w:rsidP="00C16912">
      <w:pPr>
        <w:pStyle w:val="ListBullet"/>
        <w:numPr>
          <w:ilvl w:val="0"/>
          <w:numId w:val="143"/>
        </w:numPr>
        <w:ind w:left="357" w:hanging="357"/>
      </w:pPr>
      <w:r w:rsidRPr="006B4639">
        <w:t xml:space="preserve">the use of the coverage test as a gateway from Part 23 to full regulation </w:t>
      </w:r>
      <w:r w:rsidR="00905FBA" w:rsidRPr="00B370BB">
        <w:rPr>
          <w:i/>
          <w:iCs/>
        </w:rPr>
        <w:t>may</w:t>
      </w:r>
      <w:r w:rsidRPr="006B4639">
        <w:t xml:space="preserve"> result in under-regulation</w:t>
      </w:r>
      <w:r>
        <w:t xml:space="preserve"> and, in so doing, render shippers more susceptible to exercises of market power</w:t>
      </w:r>
      <w:r w:rsidR="00EB4A00">
        <w:t xml:space="preserve"> and adversely </w:t>
      </w:r>
      <w:r w:rsidR="002E0FFD">
        <w:t xml:space="preserve">affect </w:t>
      </w:r>
      <w:r w:rsidR="00EB4A00">
        <w:t xml:space="preserve">economic efficiency and </w:t>
      </w:r>
      <w:r>
        <w:t>consumers</w:t>
      </w:r>
      <w:r w:rsidRPr="006B4639">
        <w:t>;</w:t>
      </w:r>
      <w:r w:rsidR="00370905">
        <w:rPr>
          <w:rFonts w:ascii="ZWAdobeF" w:hAnsi="ZWAdobeF" w:cs="ZWAdobeF"/>
          <w:sz w:val="2"/>
          <w:szCs w:val="2"/>
        </w:rPr>
        <w:t>127F</w:t>
      </w:r>
      <w:r>
        <w:rPr>
          <w:rStyle w:val="FootnoteReference"/>
        </w:rPr>
        <w:footnoteReference w:id="129"/>
      </w:r>
      <w:r w:rsidRPr="006B4639">
        <w:t xml:space="preserve"> </w:t>
      </w:r>
      <w:r>
        <w:t>and</w:t>
      </w:r>
    </w:p>
    <w:p w14:paraId="27DE5160" w14:textId="77777777" w:rsidR="0077337A" w:rsidRDefault="0077337A" w:rsidP="00C16912">
      <w:pPr>
        <w:pStyle w:val="ListBullet"/>
        <w:numPr>
          <w:ilvl w:val="0"/>
          <w:numId w:val="143"/>
        </w:numPr>
        <w:ind w:left="357" w:hanging="357"/>
      </w:pPr>
      <w:r w:rsidRPr="006B4639">
        <w:t xml:space="preserve">the current forms of regulation </w:t>
      </w:r>
      <w:r w:rsidR="00905FBA" w:rsidRPr="00B370BB">
        <w:rPr>
          <w:i/>
          <w:iCs/>
        </w:rPr>
        <w:t>may</w:t>
      </w:r>
      <w:r w:rsidR="00905FBA">
        <w:t xml:space="preserve"> </w:t>
      </w:r>
      <w:r w:rsidRPr="006B4639">
        <w:t>not effectively deal with potential exercises of dynamic market power, which could further entrench the incumbent service providers’ market power</w:t>
      </w:r>
      <w:r>
        <w:t xml:space="preserve"> and prevent the efficiencies associated with competition from flowing through to the market and broader economy</w:t>
      </w:r>
      <w:r w:rsidRPr="006B4639">
        <w:t>.</w:t>
      </w:r>
    </w:p>
    <w:p w14:paraId="16E49F60" w14:textId="3EFD62FA" w:rsidR="00E9232D" w:rsidRDefault="00E9232D" w:rsidP="00AD36B8">
      <w:pPr>
        <w:pStyle w:val="ListBullet"/>
        <w:numPr>
          <w:ilvl w:val="0"/>
          <w:numId w:val="0"/>
        </w:numPr>
      </w:pPr>
      <w:r>
        <w:t>The identification of these potential problems was based on the reviews of the regulatory framework that have been undertaken by the AEMC, GMRG, ACCC, Brattle</w:t>
      </w:r>
      <w:r w:rsidR="00A2670D">
        <w:t xml:space="preserve"> and OGW </w:t>
      </w:r>
      <w:r>
        <w:t>(see Appendix B)</w:t>
      </w:r>
      <w:r w:rsidR="00A2670D">
        <w:t xml:space="preserve"> and the international review undertaken by NERA (see </w:t>
      </w:r>
      <w:r w:rsidR="002F31C8">
        <w:t xml:space="preserve">section </w:t>
      </w:r>
      <w:r w:rsidR="002F31C8">
        <w:fldChar w:fldCharType="begin" w:fldLock="1"/>
      </w:r>
      <w:r w:rsidR="002F31C8">
        <w:instrText xml:space="preserve"> REF _Ref59965347 \r \h </w:instrText>
      </w:r>
      <w:r w:rsidR="002F31C8">
        <w:fldChar w:fldCharType="separate"/>
      </w:r>
      <w:r w:rsidR="00036405">
        <w:t>2.3</w:t>
      </w:r>
      <w:r w:rsidR="002F31C8">
        <w:fldChar w:fldCharType="end"/>
      </w:r>
      <w:r w:rsidR="00905FBA">
        <w:t>)</w:t>
      </w:r>
      <w:r>
        <w:t xml:space="preserve">. </w:t>
      </w:r>
    </w:p>
    <w:p w14:paraId="5BC2F4FF" w14:textId="77777777" w:rsidR="00C74643" w:rsidRDefault="00C74643" w:rsidP="004F6EB7">
      <w:pPr>
        <w:pStyle w:val="Heading3"/>
        <w:spacing w:before="120" w:line="252" w:lineRule="auto"/>
      </w:pPr>
      <w:r>
        <w:t xml:space="preserve">Stakeholder feedback on the potential problems </w:t>
      </w:r>
    </w:p>
    <w:p w14:paraId="613DD3A5" w14:textId="305CC908" w:rsidR="00B11F84" w:rsidRDefault="00983887" w:rsidP="004F6EB7">
      <w:pPr>
        <w:pStyle w:val="BodyText"/>
        <w:spacing w:before="120" w:line="252" w:lineRule="auto"/>
      </w:pPr>
      <w:r>
        <w:fldChar w:fldCharType="begin" w:fldLock="1"/>
      </w:r>
      <w:r>
        <w:instrText xml:space="preserve"> REF _Ref52729753 \h </w:instrText>
      </w:r>
      <w:r>
        <w:fldChar w:fldCharType="separate"/>
      </w:r>
      <w:r w:rsidR="00036405">
        <w:t xml:space="preserve">Table </w:t>
      </w:r>
      <w:r w:rsidR="00036405">
        <w:rPr>
          <w:noProof/>
        </w:rPr>
        <w:t>5</w:t>
      </w:r>
      <w:r w:rsidR="00036405">
        <w:t>.</w:t>
      </w:r>
      <w:r w:rsidR="00036405">
        <w:rPr>
          <w:noProof/>
        </w:rPr>
        <w:t>2</w:t>
      </w:r>
      <w:r>
        <w:fldChar w:fldCharType="end"/>
      </w:r>
      <w:r>
        <w:t xml:space="preserve"> sets out the feedback that stakeholders provided on the potential problems.</w:t>
      </w:r>
      <w:r w:rsidR="00370905">
        <w:rPr>
          <w:rFonts w:ascii="ZWAdobeF" w:hAnsi="ZWAdobeF" w:cs="ZWAdobeF"/>
          <w:sz w:val="2"/>
          <w:szCs w:val="2"/>
        </w:rPr>
        <w:t>128F</w:t>
      </w:r>
      <w:r>
        <w:rPr>
          <w:rStyle w:val="FootnoteReference"/>
        </w:rPr>
        <w:footnoteReference w:id="130"/>
      </w:r>
      <w:r>
        <w:t xml:space="preserve"> </w:t>
      </w:r>
      <w:bookmarkStart w:id="114" w:name="_Toc15264836"/>
      <w:r>
        <w:t xml:space="preserve">As </w:t>
      </w:r>
      <w:r w:rsidR="001F357E">
        <w:t xml:space="preserve">the feedback in </w:t>
      </w:r>
      <w:r>
        <w:t xml:space="preserve">this table </w:t>
      </w:r>
      <w:r w:rsidR="00063468">
        <w:t xml:space="preserve">and </w:t>
      </w:r>
      <w:r w:rsidR="00063468">
        <w:fldChar w:fldCharType="begin" w:fldLock="1"/>
      </w:r>
      <w:r w:rsidR="00063468">
        <w:instrText xml:space="preserve"> REF _Ref59972767 \h </w:instrText>
      </w:r>
      <w:r w:rsidR="00063468">
        <w:fldChar w:fldCharType="separate"/>
      </w:r>
      <w:r w:rsidR="00036405">
        <w:t xml:space="preserve">Table </w:t>
      </w:r>
      <w:r w:rsidR="00036405">
        <w:rPr>
          <w:noProof/>
        </w:rPr>
        <w:t>5</w:t>
      </w:r>
      <w:r w:rsidR="00036405">
        <w:t>.</w:t>
      </w:r>
      <w:r w:rsidR="00036405">
        <w:rPr>
          <w:noProof/>
        </w:rPr>
        <w:t>5</w:t>
      </w:r>
      <w:r w:rsidR="00063468">
        <w:fldChar w:fldCharType="end"/>
      </w:r>
      <w:r w:rsidR="00063468">
        <w:t xml:space="preserve"> </w:t>
      </w:r>
      <w:r>
        <w:t xml:space="preserve">shows, </w:t>
      </w:r>
      <w:r w:rsidR="001F357E">
        <w:t xml:space="preserve">there was near universal agreement amongst </w:t>
      </w:r>
      <w:r w:rsidR="0003477D">
        <w:t xml:space="preserve">stakeholders that </w:t>
      </w:r>
      <w:r w:rsidR="00DF0D75">
        <w:t xml:space="preserve">the </w:t>
      </w:r>
      <w:r w:rsidR="008F466C">
        <w:t>overlap between Part 23 and light regulation was a problem and that the regulatory framework should be simplified by having just two forms of regulation, with the lighter form based on Part 23.</w:t>
      </w:r>
      <w:r w:rsidR="00421AC1">
        <w:t xml:space="preserve"> </w:t>
      </w:r>
    </w:p>
    <w:p w14:paraId="1BED4832" w14:textId="1EDCC837" w:rsidR="00B31D7E" w:rsidRDefault="00B31D7E" w:rsidP="004F6EB7">
      <w:pPr>
        <w:pStyle w:val="BodyText"/>
        <w:spacing w:line="252" w:lineRule="auto"/>
      </w:pPr>
      <w:r>
        <w:t xml:space="preserve">This view is consistent with the feedback that stakeholders provided in response to specific questions in the Consultation RIS about how effective Part 23 had been since its introduction in August 2017 (see </w:t>
      </w:r>
      <w:r>
        <w:fldChar w:fldCharType="begin" w:fldLock="1"/>
      </w:r>
      <w:r>
        <w:instrText xml:space="preserve"> REF _Ref53126893 \h </w:instrText>
      </w:r>
      <w:r>
        <w:fldChar w:fldCharType="separate"/>
      </w:r>
      <w:r w:rsidR="00036405">
        <w:t xml:space="preserve">Table </w:t>
      </w:r>
      <w:r w:rsidR="00036405">
        <w:rPr>
          <w:noProof/>
        </w:rPr>
        <w:t>5</w:t>
      </w:r>
      <w:r w:rsidR="00036405">
        <w:t>.</w:t>
      </w:r>
      <w:r w:rsidR="00036405">
        <w:rPr>
          <w:noProof/>
        </w:rPr>
        <w:t>3</w:t>
      </w:r>
      <w:r>
        <w:fldChar w:fldCharType="end"/>
      </w:r>
      <w:r>
        <w:t>). In short, most stakeholders agree</w:t>
      </w:r>
      <w:r w:rsidR="00B11F84">
        <w:t>d</w:t>
      </w:r>
      <w:r>
        <w:t xml:space="preserve"> that Part 23 has been effective. As discussed in further detail in chapters 6 and 7, while stakeholders supported the retention of Part 23, a large number </w:t>
      </w:r>
      <w:r w:rsidR="00FD1656">
        <w:t xml:space="preserve">agreed that </w:t>
      </w:r>
      <w:r>
        <w:t xml:space="preserve">refinements </w:t>
      </w:r>
      <w:r w:rsidR="00DF0D75">
        <w:t xml:space="preserve">to the information disclosure obligations, the negotiation framework and dispute resolution mechanism </w:t>
      </w:r>
      <w:r w:rsidR="00E273F2">
        <w:t xml:space="preserve">are </w:t>
      </w:r>
      <w:r>
        <w:t>required to address the issues identified in the OGW shipper survey and reviews of Part 23 undertaken by the ACCC and Brattle (see Appendix B).</w:t>
      </w:r>
    </w:p>
    <w:p w14:paraId="78F7652D" w14:textId="77777777" w:rsidR="00983887" w:rsidRDefault="00B11F84" w:rsidP="004F6EB7">
      <w:pPr>
        <w:pStyle w:val="BodyText"/>
        <w:spacing w:after="60" w:line="252" w:lineRule="auto"/>
      </w:pPr>
      <w:r>
        <w:t xml:space="preserve">As to the other two </w:t>
      </w:r>
      <w:r w:rsidR="00FD1656">
        <w:t xml:space="preserve">potential </w:t>
      </w:r>
      <w:r>
        <w:t xml:space="preserve">problems, </w:t>
      </w:r>
      <w:r w:rsidR="00FD1656">
        <w:t xml:space="preserve">stakeholder </w:t>
      </w:r>
      <w:r w:rsidR="00983887">
        <w:t xml:space="preserve">expressed </w:t>
      </w:r>
      <w:r w:rsidR="00FD1656">
        <w:t xml:space="preserve">mixed views </w:t>
      </w:r>
      <w:r w:rsidR="00983887">
        <w:t xml:space="preserve">about whether: </w:t>
      </w:r>
    </w:p>
    <w:p w14:paraId="45F16655" w14:textId="77777777" w:rsidR="00983887" w:rsidRDefault="00E939E0" w:rsidP="00AD36B8">
      <w:pPr>
        <w:pStyle w:val="ListBullet"/>
      </w:pPr>
      <w:r>
        <w:t xml:space="preserve">the use of the coverage test as a gateway between Part 23 and full regulation </w:t>
      </w:r>
      <w:r w:rsidR="00794A05">
        <w:t>is</w:t>
      </w:r>
      <w:r>
        <w:t xml:space="preserve"> resulting </w:t>
      </w:r>
      <w:r w:rsidR="00983887">
        <w:t xml:space="preserve">under-regulation, although with the exception of Origin who had not formed a </w:t>
      </w:r>
      <w:r w:rsidR="00983887">
        <w:lastRenderedPageBreak/>
        <w:t>view</w:t>
      </w:r>
      <w:r w:rsidR="00794A05">
        <w:t xml:space="preserve"> on the issue</w:t>
      </w:r>
      <w:r w:rsidR="00983887">
        <w:t xml:space="preserve"> and the NCC, </w:t>
      </w:r>
      <w:r w:rsidR="00612394">
        <w:t xml:space="preserve">all the </w:t>
      </w:r>
      <w:r w:rsidR="00983887">
        <w:t xml:space="preserve">stakeholders </w:t>
      </w:r>
      <w:r w:rsidR="00612394">
        <w:t xml:space="preserve">that commented on this issue </w:t>
      </w:r>
      <w:r w:rsidR="00983887">
        <w:t xml:space="preserve">agreed </w:t>
      </w:r>
      <w:r w:rsidR="00D274A0">
        <w:t xml:space="preserve">that </w:t>
      </w:r>
      <w:r w:rsidR="00983887">
        <w:t xml:space="preserve">the coverage test should </w:t>
      </w:r>
      <w:r w:rsidR="00D274A0">
        <w:t>be removed</w:t>
      </w:r>
      <w:r w:rsidR="00983887">
        <w:t>; and</w:t>
      </w:r>
    </w:p>
    <w:p w14:paraId="58EFB5CD" w14:textId="77777777" w:rsidR="00BE15A1" w:rsidRDefault="00983887" w:rsidP="00AD36B8">
      <w:pPr>
        <w:pStyle w:val="ListBullet"/>
      </w:pPr>
      <w:r>
        <w:t xml:space="preserve">exercises of dynamic market power by service providers was a problem that needed to be addressed by the regulatory framework, with the ACCC, user associations, COPA and EnergyAustralia agreeing it is a problem, while a number of service providers stated there was no evidence this was a problem. </w:t>
      </w:r>
    </w:p>
    <w:p w14:paraId="002EE195" w14:textId="77777777" w:rsidR="00C16912" w:rsidRDefault="006D2089" w:rsidP="00AD36B8">
      <w:pPr>
        <w:pStyle w:val="ListBullet"/>
        <w:numPr>
          <w:ilvl w:val="0"/>
          <w:numId w:val="0"/>
        </w:numPr>
      </w:pPr>
      <w:r>
        <w:t xml:space="preserve">On the latter of these matters it is worth noting that while some service providers have suggested there is no evidence of a problem, it </w:t>
      </w:r>
      <w:r w:rsidR="00F70233">
        <w:t>is understood</w:t>
      </w:r>
      <w:r w:rsidR="009841DE">
        <w:t xml:space="preserve"> </w:t>
      </w:r>
      <w:r>
        <w:t>that some prospective service providers have experienced issues trying to interconnect with other pipelines in the past and that this has acted as a barrier to their entry.</w:t>
      </w:r>
      <w:r w:rsidR="002E1826">
        <w:t xml:space="preserve"> </w:t>
      </w:r>
      <w:r>
        <w:t xml:space="preserve">As to the potential cross-subsidisation of new capacity, it is difficult to know </w:t>
      </w:r>
      <w:r w:rsidR="00E85874">
        <w:t xml:space="preserve">how significant an issue this is </w:t>
      </w:r>
      <w:r>
        <w:t xml:space="preserve">because </w:t>
      </w:r>
      <w:r w:rsidR="00AA7553">
        <w:t>there is no transparency surrounding the prices that pipelines charge</w:t>
      </w:r>
      <w:r w:rsidR="0010236D">
        <w:t xml:space="preserve"> new and existing shippers</w:t>
      </w:r>
      <w:r w:rsidR="00AA7553">
        <w:t xml:space="preserve"> for </w:t>
      </w:r>
      <w:r>
        <w:t>new capacity.</w:t>
      </w:r>
      <w:r w:rsidR="00F8312C">
        <w:t xml:space="preserve"> </w:t>
      </w:r>
      <w:r w:rsidR="00BB664A">
        <w:t>That said, what is important in this context is whether service providers could engage in this be</w:t>
      </w:r>
      <w:r w:rsidR="00C76F60">
        <w:t>haviour</w:t>
      </w:r>
      <w:r w:rsidR="00CA2293">
        <w:t>,</w:t>
      </w:r>
      <w:r w:rsidR="00E96D95">
        <w:t xml:space="preserve"> or </w:t>
      </w:r>
      <w:r w:rsidR="002B0595">
        <w:t xml:space="preserve">if they are prevented from doing so because </w:t>
      </w:r>
      <w:r w:rsidR="00E96D95">
        <w:t xml:space="preserve">there are already effective constraints </w:t>
      </w:r>
      <w:r w:rsidR="002B0595">
        <w:t>in place</w:t>
      </w:r>
      <w:r w:rsidR="00E96D95">
        <w:t xml:space="preserve">. </w:t>
      </w:r>
    </w:p>
    <w:p w14:paraId="7F1E5B07" w14:textId="5AFF6608" w:rsidR="0079687C" w:rsidRDefault="00E96D95" w:rsidP="00AD36B8">
      <w:pPr>
        <w:pStyle w:val="ListBullet"/>
        <w:numPr>
          <w:ilvl w:val="0"/>
          <w:numId w:val="0"/>
        </w:numPr>
      </w:pPr>
      <w:r>
        <w:t xml:space="preserve">As the information in </w:t>
      </w:r>
      <w:r>
        <w:fldChar w:fldCharType="begin" w:fldLock="1"/>
      </w:r>
      <w:r>
        <w:instrText xml:space="preserve"> REF _Ref52270915 \h </w:instrText>
      </w:r>
      <w:r>
        <w:fldChar w:fldCharType="separate"/>
      </w:r>
      <w:r w:rsidR="00036405">
        <w:t xml:space="preserve">Box </w:t>
      </w:r>
      <w:r w:rsidR="00036405">
        <w:rPr>
          <w:noProof/>
        </w:rPr>
        <w:t>5</w:t>
      </w:r>
      <w:r w:rsidR="00036405">
        <w:t>.</w:t>
      </w:r>
      <w:r w:rsidR="00036405">
        <w:rPr>
          <w:noProof/>
        </w:rPr>
        <w:t>1</w:t>
      </w:r>
      <w:r>
        <w:fldChar w:fldCharType="end"/>
      </w:r>
      <w:r>
        <w:t xml:space="preserve"> </w:t>
      </w:r>
      <w:r w:rsidR="00CA2293">
        <w:t>reveals</w:t>
      </w:r>
      <w:r>
        <w:t xml:space="preserve">, </w:t>
      </w:r>
      <w:r w:rsidR="00CA2293">
        <w:t xml:space="preserve">while interconnections and the </w:t>
      </w:r>
      <w:r w:rsidR="009B5C34">
        <w:t xml:space="preserve">pricing of </w:t>
      </w:r>
      <w:r w:rsidR="00CA2293">
        <w:t>new capacity</w:t>
      </w:r>
      <w:r w:rsidR="009B5C34">
        <w:t xml:space="preserve"> are dealt with to some extent under the current regulatory framework</w:t>
      </w:r>
      <w:r w:rsidR="00CA2293">
        <w:t xml:space="preserve">, </w:t>
      </w:r>
      <w:r w:rsidR="00883ED5">
        <w:t xml:space="preserve">there are </w:t>
      </w:r>
      <w:r w:rsidR="00DA2324">
        <w:t xml:space="preserve">a number of </w:t>
      </w:r>
      <w:r w:rsidR="00883ED5">
        <w:t xml:space="preserve">inconsistencies </w:t>
      </w:r>
      <w:r w:rsidR="0079687C">
        <w:t>and gaps in the approaches employed across the forms of regulation</w:t>
      </w:r>
      <w:r w:rsidR="00D71010">
        <w:t xml:space="preserve">. The current framework does not therefore appear to be providing an effective constraint on the exercise of dynamic market power by </w:t>
      </w:r>
      <w:r w:rsidR="00E15B56">
        <w:t xml:space="preserve">service providers. </w:t>
      </w:r>
    </w:p>
    <w:p w14:paraId="4A97086A" w14:textId="77777777" w:rsidR="006D2089" w:rsidRDefault="006D2089" w:rsidP="00AD36B8">
      <w:pPr>
        <w:pStyle w:val="ListBullet"/>
        <w:numPr>
          <w:ilvl w:val="0"/>
          <w:numId w:val="0"/>
        </w:numPr>
      </w:pPr>
    </w:p>
    <w:p w14:paraId="1F2AA180" w14:textId="77777777" w:rsidR="006D2089" w:rsidRDefault="006D2089" w:rsidP="00AD36B8">
      <w:pPr>
        <w:pStyle w:val="ListBullet"/>
        <w:numPr>
          <w:ilvl w:val="0"/>
          <w:numId w:val="0"/>
        </w:numPr>
        <w:ind w:left="357"/>
      </w:pPr>
    </w:p>
    <w:p w14:paraId="418280EB" w14:textId="77777777" w:rsidR="00C5272B" w:rsidRDefault="00C5272B" w:rsidP="002949B4">
      <w:pPr>
        <w:pStyle w:val="BodyText"/>
        <w:sectPr w:rsidR="00C5272B" w:rsidSect="00795317">
          <w:headerReference w:type="default" r:id="rId38"/>
          <w:footerReference w:type="default" r:id="rId39"/>
          <w:pgSz w:w="11907" w:h="16839" w:code="9"/>
          <w:pgMar w:top="1361" w:right="1418" w:bottom="992" w:left="1701" w:header="567" w:footer="397" w:gutter="0"/>
          <w:cols w:space="708"/>
          <w:docGrid w:linePitch="360"/>
        </w:sectPr>
      </w:pPr>
    </w:p>
    <w:p w14:paraId="469893E8" w14:textId="1FC0FCBD" w:rsidR="00C5272B" w:rsidRDefault="00C5272B" w:rsidP="00C5272B">
      <w:pPr>
        <w:pStyle w:val="Caption"/>
        <w:spacing w:before="0" w:after="0"/>
      </w:pPr>
      <w:bookmarkStart w:id="115" w:name="_Ref52729753"/>
      <w:r>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5</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2</w:t>
      </w:r>
      <w:r w:rsidR="00F323B2">
        <w:rPr>
          <w:noProof/>
        </w:rPr>
        <w:fldChar w:fldCharType="end"/>
      </w:r>
      <w:bookmarkEnd w:id="115"/>
      <w:r>
        <w:t xml:space="preserve">: Potential problems identified in the </w:t>
      </w:r>
      <w:r w:rsidR="00C30FAF">
        <w:t>Consultation RIS</w:t>
      </w:r>
      <w:r>
        <w:t xml:space="preserve"> and stakeholder feedback on the problems</w:t>
      </w:r>
    </w:p>
    <w:tbl>
      <w:tblPr>
        <w:tblStyle w:val="TableGrid"/>
        <w:tblW w:w="5114" w:type="pct"/>
        <w:tblLayout w:type="fixed"/>
        <w:tblLook w:val="0420" w:firstRow="1" w:lastRow="0" w:firstColumn="0" w:lastColumn="0" w:noHBand="0" w:noVBand="1"/>
      </w:tblPr>
      <w:tblGrid>
        <w:gridCol w:w="567"/>
        <w:gridCol w:w="991"/>
        <w:gridCol w:w="12475"/>
      </w:tblGrid>
      <w:tr w:rsidR="00C5272B" w:rsidRPr="00763F69" w14:paraId="4E045256" w14:textId="77777777" w:rsidTr="00C30FAF">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3"/>
            <w:tcBorders>
              <w:bottom w:val="single" w:sz="4" w:space="0" w:color="auto"/>
            </w:tcBorders>
            <w:shd w:val="clear" w:color="auto" w:fill="002060"/>
          </w:tcPr>
          <w:p w14:paraId="666F11A2" w14:textId="77777777" w:rsidR="00C5272B" w:rsidRPr="00763F69" w:rsidRDefault="00C5272B" w:rsidP="00C16912">
            <w:pPr>
              <w:pStyle w:val="TableHeading"/>
              <w:spacing w:before="0" w:after="40"/>
              <w:rPr>
                <w:rFonts w:asciiTheme="majorHAnsi" w:hAnsiTheme="majorHAnsi" w:cstheme="majorHAnsi"/>
                <w:sz w:val="17"/>
                <w:szCs w:val="17"/>
                <w:lang w:eastAsia="fr-CA"/>
              </w:rPr>
            </w:pPr>
            <w:r w:rsidRPr="00763F69">
              <w:rPr>
                <w:rFonts w:asciiTheme="majorHAnsi" w:hAnsiTheme="majorHAnsi" w:cstheme="majorHAnsi"/>
                <w:sz w:val="17"/>
                <w:szCs w:val="17"/>
                <w:lang w:eastAsia="fr-CA"/>
              </w:rPr>
              <w:t>Detail</w:t>
            </w:r>
          </w:p>
        </w:tc>
      </w:tr>
      <w:tr w:rsidR="00C5272B" w:rsidRPr="00763F69" w14:paraId="65ADDF11" w14:textId="77777777" w:rsidTr="00CF688C">
        <w:trPr>
          <w:cantSplit/>
        </w:trPr>
        <w:tc>
          <w:tcPr>
            <w:tcW w:w="5000" w:type="pct"/>
            <w:gridSpan w:val="3"/>
            <w:shd w:val="clear" w:color="auto" w:fill="65697F" w:themeFill="background2" w:themeFillShade="80"/>
          </w:tcPr>
          <w:p w14:paraId="16D788F5" w14:textId="77777777" w:rsidR="00C5272B" w:rsidRPr="00763F69" w:rsidRDefault="00763F69" w:rsidP="00C16912">
            <w:pPr>
              <w:pStyle w:val="TableBodyText"/>
              <w:spacing w:before="0" w:after="40"/>
              <w:jc w:val="center"/>
              <w:rPr>
                <w:rFonts w:asciiTheme="majorHAnsi" w:hAnsiTheme="majorHAnsi" w:cstheme="majorHAnsi"/>
                <w:b/>
                <w:bCs/>
                <w:color w:val="FFFFFF" w:themeColor="background1"/>
                <w:sz w:val="17"/>
                <w:szCs w:val="17"/>
                <w:lang w:eastAsia="fr-CA"/>
              </w:rPr>
            </w:pPr>
            <w:r w:rsidRPr="00763F69">
              <w:rPr>
                <w:rFonts w:asciiTheme="majorHAnsi" w:hAnsiTheme="majorHAnsi" w:cstheme="majorHAnsi"/>
                <w:b/>
                <w:bCs/>
                <w:color w:val="FFFFFF" w:themeColor="background1"/>
                <w:sz w:val="17"/>
                <w:szCs w:val="17"/>
              </w:rPr>
              <w:t xml:space="preserve">Potentially inconsistent and complex set of regulatory options </w:t>
            </w:r>
          </w:p>
        </w:tc>
      </w:tr>
      <w:tr w:rsidR="00C5272B" w:rsidRPr="00763F69" w14:paraId="7855A034" w14:textId="77777777" w:rsidTr="00CF688C">
        <w:trPr>
          <w:cnfStyle w:val="000000010000" w:firstRow="0" w:lastRow="0" w:firstColumn="0" w:lastColumn="0" w:oddVBand="0" w:evenVBand="0" w:oddHBand="0" w:evenHBand="1" w:firstRowFirstColumn="0" w:firstRowLastColumn="0" w:lastRowFirstColumn="0" w:lastRowLastColumn="0"/>
          <w:cantSplit/>
        </w:trPr>
        <w:tc>
          <w:tcPr>
            <w:tcW w:w="555" w:type="pct"/>
            <w:gridSpan w:val="2"/>
            <w:shd w:val="clear" w:color="auto" w:fill="FFFFFF" w:themeFill="background1"/>
          </w:tcPr>
          <w:p w14:paraId="5A5374A1" w14:textId="77777777" w:rsidR="00C5272B" w:rsidRPr="00763F69" w:rsidRDefault="00C5272B" w:rsidP="00C16912">
            <w:pPr>
              <w:pStyle w:val="TableBodyText"/>
              <w:spacing w:before="0" w:after="40"/>
              <w:rPr>
                <w:rFonts w:asciiTheme="majorHAnsi" w:hAnsiTheme="majorHAnsi" w:cstheme="majorHAnsi"/>
                <w:sz w:val="17"/>
                <w:szCs w:val="17"/>
              </w:rPr>
            </w:pPr>
            <w:r w:rsidRPr="00763F69">
              <w:rPr>
                <w:rFonts w:asciiTheme="majorHAnsi" w:hAnsiTheme="majorHAnsi" w:cstheme="majorHAnsi"/>
                <w:sz w:val="17"/>
                <w:szCs w:val="17"/>
              </w:rPr>
              <w:t>Description of potential problem</w:t>
            </w:r>
          </w:p>
        </w:tc>
        <w:tc>
          <w:tcPr>
            <w:tcW w:w="4445" w:type="pct"/>
            <w:shd w:val="clear" w:color="auto" w:fill="FFFFFF" w:themeFill="background1"/>
          </w:tcPr>
          <w:p w14:paraId="4EAE1C14" w14:textId="72990441" w:rsidR="00763F69" w:rsidRPr="00763F69" w:rsidRDefault="00763F69" w:rsidP="00C16912">
            <w:pPr>
              <w:pStyle w:val="ListBullet"/>
              <w:numPr>
                <w:ilvl w:val="0"/>
                <w:numId w:val="0"/>
              </w:numPr>
              <w:spacing w:before="0" w:after="40"/>
              <w:ind w:left="85"/>
            </w:pPr>
            <w:r w:rsidRPr="00763F69">
              <w:t>This potential problem was identified by the GMRG, who noted that the presence of both Part 23 and light regulation in the regulatory framework could increase the complexity and administrative burden for regulators, shippers and service providers, for no material benefit.</w:t>
            </w:r>
            <w:r w:rsidR="00370905">
              <w:rPr>
                <w:rFonts w:ascii="ZWAdobeF" w:hAnsi="ZWAdobeF" w:cs="ZWAdobeF"/>
                <w:sz w:val="2"/>
                <w:szCs w:val="2"/>
              </w:rPr>
              <w:t>129F</w:t>
            </w:r>
            <w:r w:rsidRPr="00763F69">
              <w:rPr>
                <w:rStyle w:val="FootnoteReference"/>
                <w:rFonts w:asciiTheme="majorHAnsi" w:hAnsiTheme="majorHAnsi" w:cstheme="majorHAnsi"/>
                <w:sz w:val="17"/>
                <w:szCs w:val="17"/>
              </w:rPr>
              <w:footnoteReference w:id="131"/>
            </w:r>
            <w:r w:rsidRPr="00763F69">
              <w:t xml:space="preserve"> It also has the potential to: </w:t>
            </w:r>
          </w:p>
          <w:p w14:paraId="08781212" w14:textId="77777777" w:rsidR="00763F69" w:rsidRPr="00763F69" w:rsidRDefault="00763F69" w:rsidP="00C16912">
            <w:pPr>
              <w:pStyle w:val="TableBullet10"/>
              <w:spacing w:before="0" w:after="40"/>
              <w:rPr>
                <w:rFonts w:asciiTheme="majorHAnsi" w:hAnsiTheme="majorHAnsi" w:cstheme="majorHAnsi"/>
                <w:sz w:val="17"/>
                <w:szCs w:val="17"/>
              </w:rPr>
            </w:pPr>
            <w:r w:rsidRPr="00763F69">
              <w:rPr>
                <w:rFonts w:asciiTheme="majorHAnsi" w:hAnsiTheme="majorHAnsi" w:cstheme="majorHAnsi"/>
                <w:sz w:val="17"/>
                <w:szCs w:val="17"/>
              </w:rPr>
              <w:t>cause confusion amongst shippers, which could be exploited by service providers to the detriment of shippers; and</w:t>
            </w:r>
          </w:p>
          <w:p w14:paraId="0159F81C" w14:textId="77777777" w:rsidR="00763F69" w:rsidRPr="00763F69" w:rsidRDefault="00763F69" w:rsidP="00C16912">
            <w:pPr>
              <w:pStyle w:val="TableBullet10"/>
              <w:spacing w:before="0" w:after="40"/>
              <w:rPr>
                <w:rFonts w:asciiTheme="majorHAnsi" w:hAnsiTheme="majorHAnsi" w:cstheme="majorHAnsi"/>
                <w:sz w:val="17"/>
                <w:szCs w:val="17"/>
              </w:rPr>
            </w:pPr>
            <w:r w:rsidRPr="00763F69">
              <w:rPr>
                <w:rFonts w:asciiTheme="majorHAnsi" w:hAnsiTheme="majorHAnsi" w:cstheme="majorHAnsi"/>
                <w:sz w:val="17"/>
                <w:szCs w:val="17"/>
              </w:rPr>
              <w:t>increase the risk of forum shopping by the service provider, particularly if one regime is perceived to be less onerous than another.</w:t>
            </w:r>
          </w:p>
          <w:p w14:paraId="73900D28" w14:textId="73453556" w:rsidR="00C5272B" w:rsidRPr="00763F69" w:rsidRDefault="00763F69" w:rsidP="00C16912">
            <w:pPr>
              <w:pStyle w:val="ListBullet"/>
              <w:numPr>
                <w:ilvl w:val="0"/>
                <w:numId w:val="0"/>
              </w:numPr>
              <w:spacing w:before="0" w:after="40"/>
              <w:ind w:left="85"/>
            </w:pPr>
            <w:r w:rsidRPr="00763F69">
              <w:t xml:space="preserve">This is because while there are some differences between the arbitration mechanism and the safeguards available under the two forms of regulation (see section </w:t>
            </w:r>
            <w:r w:rsidRPr="00763F69">
              <w:fldChar w:fldCharType="begin" w:fldLock="1"/>
            </w:r>
            <w:r w:rsidRPr="00763F69">
              <w:instrText xml:space="preserve"> REF _Ref52334132 \r \h  \* MERGEFORMAT </w:instrText>
            </w:r>
            <w:r w:rsidRPr="00763F69">
              <w:fldChar w:fldCharType="separate"/>
            </w:r>
            <w:r w:rsidR="00036405">
              <w:t>5.1.1</w:t>
            </w:r>
            <w:r w:rsidRPr="00763F69">
              <w:fldChar w:fldCharType="end"/>
            </w:r>
            <w:r w:rsidRPr="00763F69">
              <w:t>), there is also a significant degree of overlap between the two and they appear to be targeting the same problem.</w:t>
            </w:r>
            <w:r w:rsidR="00370905">
              <w:rPr>
                <w:rFonts w:ascii="ZWAdobeF" w:hAnsi="ZWAdobeF" w:cs="ZWAdobeF"/>
                <w:sz w:val="2"/>
                <w:szCs w:val="2"/>
              </w:rPr>
              <w:t>130F</w:t>
            </w:r>
            <w:r w:rsidRPr="00763F69">
              <w:rPr>
                <w:rStyle w:val="FootnoteReference"/>
                <w:rFonts w:asciiTheme="majorHAnsi" w:hAnsiTheme="majorHAnsi" w:cstheme="majorHAnsi"/>
                <w:sz w:val="17"/>
                <w:szCs w:val="17"/>
              </w:rPr>
              <w:footnoteReference w:id="132"/>
            </w:r>
            <w:r w:rsidRPr="00763F69">
              <w:t xml:space="preserve"> The overlap between the two forms of regulation also means there is no clear linear progression in the strength of regulation when moving from a non-scheme to a scheme pipeline.</w:t>
            </w:r>
          </w:p>
        </w:tc>
      </w:tr>
      <w:tr w:rsidR="00763F69" w:rsidRPr="00763F69" w14:paraId="0EADC3D4" w14:textId="77777777" w:rsidTr="005C1F16">
        <w:trPr>
          <w:cantSplit/>
        </w:trPr>
        <w:tc>
          <w:tcPr>
            <w:tcW w:w="202" w:type="pct"/>
            <w:vMerge w:val="restart"/>
            <w:tcBorders>
              <w:top w:val="nil"/>
              <w:bottom w:val="nil"/>
              <w:right w:val="single" w:sz="4" w:space="0" w:color="auto"/>
            </w:tcBorders>
            <w:shd w:val="clear" w:color="auto" w:fill="FFFFFF" w:themeFill="background1"/>
            <w:textDirection w:val="btLr"/>
          </w:tcPr>
          <w:p w14:paraId="07EFED32" w14:textId="77777777" w:rsidR="00763F69" w:rsidRPr="00763F69" w:rsidRDefault="00763F69" w:rsidP="00C16912">
            <w:pPr>
              <w:pStyle w:val="TableBodyText"/>
              <w:spacing w:before="0" w:after="40"/>
              <w:jc w:val="center"/>
              <w:rPr>
                <w:rFonts w:asciiTheme="majorHAnsi" w:hAnsiTheme="majorHAnsi" w:cstheme="majorHAnsi"/>
                <w:sz w:val="17"/>
                <w:szCs w:val="17"/>
              </w:rPr>
            </w:pPr>
            <w:r w:rsidRPr="00763F69">
              <w:rPr>
                <w:rFonts w:asciiTheme="majorHAnsi" w:hAnsiTheme="majorHAnsi" w:cstheme="majorHAnsi"/>
                <w:sz w:val="17"/>
                <w:szCs w:val="17"/>
              </w:rPr>
              <w:t>Stakeholder feedback</w:t>
            </w:r>
          </w:p>
        </w:tc>
        <w:tc>
          <w:tcPr>
            <w:tcW w:w="353" w:type="pct"/>
            <w:tcBorders>
              <w:left w:val="single" w:sz="4" w:space="0" w:color="auto"/>
              <w:bottom w:val="single" w:sz="4" w:space="0" w:color="auto"/>
            </w:tcBorders>
            <w:shd w:val="clear" w:color="auto" w:fill="BFF9D6"/>
          </w:tcPr>
          <w:p w14:paraId="1A6B45D9" w14:textId="77777777" w:rsidR="00763F69" w:rsidRPr="00763F69" w:rsidRDefault="00763F69" w:rsidP="00C16912">
            <w:pPr>
              <w:pStyle w:val="TableBodyText"/>
              <w:spacing w:before="0" w:after="40"/>
              <w:rPr>
                <w:rFonts w:asciiTheme="majorHAnsi" w:hAnsiTheme="majorHAnsi" w:cstheme="majorHAnsi"/>
                <w:sz w:val="17"/>
                <w:szCs w:val="17"/>
              </w:rPr>
            </w:pPr>
            <w:r w:rsidRPr="00763F69">
              <w:rPr>
                <w:rFonts w:asciiTheme="majorHAnsi" w:hAnsiTheme="majorHAnsi" w:cstheme="majorHAnsi"/>
                <w:sz w:val="17"/>
                <w:szCs w:val="17"/>
              </w:rPr>
              <w:t>Agree</w:t>
            </w:r>
          </w:p>
        </w:tc>
        <w:tc>
          <w:tcPr>
            <w:tcW w:w="4445" w:type="pct"/>
            <w:tcBorders>
              <w:bottom w:val="single" w:sz="4" w:space="0" w:color="auto"/>
            </w:tcBorders>
            <w:shd w:val="clear" w:color="auto" w:fill="BFF9D6"/>
          </w:tcPr>
          <w:p w14:paraId="20634F87" w14:textId="77777777" w:rsidR="00763F69" w:rsidRPr="00763F69" w:rsidRDefault="00763F69" w:rsidP="00C16912">
            <w:pPr>
              <w:pStyle w:val="TableBullet10"/>
              <w:spacing w:before="0" w:after="40"/>
            </w:pPr>
            <w:r w:rsidRPr="00763F69">
              <w:t xml:space="preserve">The </w:t>
            </w:r>
            <w:r w:rsidRPr="00763F69">
              <w:rPr>
                <w:color w:val="FF0000"/>
              </w:rPr>
              <w:t>ACCC</w:t>
            </w:r>
            <w:r w:rsidRPr="00763F69">
              <w:t xml:space="preserve">, </w:t>
            </w:r>
            <w:r w:rsidRPr="00763F69">
              <w:rPr>
                <w:color w:val="FF0000"/>
              </w:rPr>
              <w:t xml:space="preserve">AER, </w:t>
            </w:r>
            <w:r w:rsidRPr="00763F69">
              <w:rPr>
                <w:color w:val="D60093"/>
              </w:rPr>
              <w:t>APLNG</w:t>
            </w:r>
            <w:r w:rsidRPr="00763F69">
              <w:t xml:space="preserve">, </w:t>
            </w:r>
            <w:r w:rsidRPr="00763F69">
              <w:rPr>
                <w:color w:val="D60093"/>
              </w:rPr>
              <w:t>COPA,</w:t>
            </w:r>
            <w:r w:rsidRPr="00763F69">
              <w:t xml:space="preserve"> </w:t>
            </w:r>
            <w:r w:rsidRPr="00763F69">
              <w:rPr>
                <w:color w:val="0000FF"/>
              </w:rPr>
              <w:t>Chemistry Australia, EUAA</w:t>
            </w:r>
            <w:r w:rsidRPr="00763F69">
              <w:t xml:space="preserve">, </w:t>
            </w:r>
            <w:r w:rsidRPr="00763F69">
              <w:rPr>
                <w:color w:val="0000FF"/>
              </w:rPr>
              <w:t>NSW Business Chamber, MEU</w:t>
            </w:r>
            <w:r w:rsidRPr="00763F69">
              <w:t xml:space="preserve">, </w:t>
            </w:r>
            <w:r w:rsidRPr="00763F69">
              <w:rPr>
                <w:color w:val="00B050"/>
              </w:rPr>
              <w:t>Energy Matrix</w:t>
            </w:r>
            <w:r w:rsidRPr="00763F69">
              <w:t xml:space="preserve">, </w:t>
            </w:r>
            <w:r w:rsidRPr="00763F69">
              <w:rPr>
                <w:color w:val="800080" w:themeColor="accent6"/>
              </w:rPr>
              <w:t xml:space="preserve">APGA, ATCO </w:t>
            </w:r>
            <w:r w:rsidRPr="00763F69">
              <w:t xml:space="preserve">and </w:t>
            </w:r>
            <w:r w:rsidRPr="00763F69">
              <w:rPr>
                <w:color w:val="800080" w:themeColor="accent6"/>
              </w:rPr>
              <w:t xml:space="preserve">EPIC </w:t>
            </w:r>
            <w:r w:rsidRPr="00763F69">
              <w:t xml:space="preserve">agreed the current set of regulatory options were inconsistent and complex due to the overlaps between light regulation and Part 23. </w:t>
            </w:r>
          </w:p>
          <w:p w14:paraId="1CEEC2A4" w14:textId="77777777" w:rsidR="00763F69" w:rsidRPr="00763F69" w:rsidRDefault="00763F69" w:rsidP="00C16912">
            <w:pPr>
              <w:pStyle w:val="TableBullet10"/>
              <w:spacing w:before="0" w:after="40"/>
            </w:pPr>
            <w:r w:rsidRPr="00763F69">
              <w:t xml:space="preserve">While not commenting explicitly on whether this was a problem, </w:t>
            </w:r>
            <w:r w:rsidRPr="00763F69">
              <w:rPr>
                <w:color w:val="00B0F0"/>
              </w:rPr>
              <w:t>AGL, EnergyAustralia</w:t>
            </w:r>
            <w:r w:rsidRPr="00763F69">
              <w:t xml:space="preserve">, </w:t>
            </w:r>
            <w:r w:rsidRPr="00763F69">
              <w:rPr>
                <w:color w:val="00B0F0"/>
              </w:rPr>
              <w:t xml:space="preserve">Origin, </w:t>
            </w:r>
            <w:r w:rsidRPr="00763F69">
              <w:rPr>
                <w:color w:val="800080" w:themeColor="accent6"/>
              </w:rPr>
              <w:t>AGIG</w:t>
            </w:r>
            <w:r w:rsidRPr="00763F69">
              <w:t xml:space="preserve">, </w:t>
            </w:r>
            <w:r w:rsidRPr="00763F69">
              <w:rPr>
                <w:color w:val="800080" w:themeColor="accent6"/>
              </w:rPr>
              <w:t xml:space="preserve">Allgas, APA </w:t>
            </w:r>
            <w:r w:rsidRPr="00763F69">
              <w:t xml:space="preserve">and </w:t>
            </w:r>
            <w:r w:rsidRPr="00763F69">
              <w:rPr>
                <w:color w:val="800080" w:themeColor="accent6"/>
              </w:rPr>
              <w:t xml:space="preserve">Jemena </w:t>
            </w:r>
            <w:r w:rsidRPr="00763F69">
              <w:t xml:space="preserve">agreed that the framework could be simplified if there were two forms of regulation. </w:t>
            </w:r>
          </w:p>
        </w:tc>
      </w:tr>
      <w:tr w:rsidR="00763F69" w:rsidRPr="00763F69" w14:paraId="72DAADC7" w14:textId="77777777" w:rsidTr="005C1F16">
        <w:trPr>
          <w:cnfStyle w:val="000000010000" w:firstRow="0" w:lastRow="0" w:firstColumn="0" w:lastColumn="0" w:oddVBand="0" w:evenVBand="0" w:oddHBand="0" w:evenHBand="1" w:firstRowFirstColumn="0" w:firstRowLastColumn="0" w:lastRowFirstColumn="0" w:lastRowLastColumn="0"/>
          <w:cantSplit/>
        </w:trPr>
        <w:tc>
          <w:tcPr>
            <w:tcW w:w="202" w:type="pct"/>
            <w:vMerge/>
            <w:tcBorders>
              <w:top w:val="nil"/>
              <w:bottom w:val="nil"/>
              <w:right w:val="single" w:sz="4" w:space="0" w:color="auto"/>
            </w:tcBorders>
            <w:shd w:val="clear" w:color="auto" w:fill="FFFFFF" w:themeFill="background1"/>
          </w:tcPr>
          <w:p w14:paraId="3B3E62F9" w14:textId="77777777" w:rsidR="00763F69" w:rsidRPr="00763F69" w:rsidRDefault="00763F69" w:rsidP="00C16912">
            <w:pPr>
              <w:pStyle w:val="TableBodyText"/>
              <w:spacing w:before="0" w:after="40"/>
              <w:rPr>
                <w:rFonts w:asciiTheme="majorHAnsi" w:hAnsiTheme="majorHAnsi" w:cstheme="majorHAnsi"/>
                <w:sz w:val="17"/>
                <w:szCs w:val="17"/>
              </w:rPr>
            </w:pPr>
          </w:p>
        </w:tc>
        <w:tc>
          <w:tcPr>
            <w:tcW w:w="353" w:type="pct"/>
            <w:tcBorders>
              <w:left w:val="single" w:sz="4" w:space="0" w:color="auto"/>
              <w:bottom w:val="single" w:sz="4" w:space="0" w:color="auto"/>
            </w:tcBorders>
            <w:shd w:val="clear" w:color="auto" w:fill="FFD9DC"/>
          </w:tcPr>
          <w:p w14:paraId="6367C4D2" w14:textId="77777777" w:rsidR="00763F69" w:rsidRPr="00763F69" w:rsidRDefault="00763F69" w:rsidP="00C16912">
            <w:pPr>
              <w:pStyle w:val="TableBodyText"/>
              <w:spacing w:before="0" w:after="40"/>
              <w:rPr>
                <w:rFonts w:asciiTheme="majorHAnsi" w:hAnsiTheme="majorHAnsi" w:cstheme="majorHAnsi"/>
                <w:sz w:val="17"/>
                <w:szCs w:val="17"/>
              </w:rPr>
            </w:pPr>
            <w:r w:rsidRPr="00763F69">
              <w:rPr>
                <w:rFonts w:asciiTheme="majorHAnsi" w:hAnsiTheme="majorHAnsi" w:cstheme="majorHAnsi"/>
                <w:sz w:val="17"/>
                <w:szCs w:val="17"/>
              </w:rPr>
              <w:t>Disagree</w:t>
            </w:r>
          </w:p>
        </w:tc>
        <w:tc>
          <w:tcPr>
            <w:tcW w:w="4445" w:type="pct"/>
            <w:tcBorders>
              <w:bottom w:val="single" w:sz="4" w:space="0" w:color="auto"/>
            </w:tcBorders>
            <w:shd w:val="clear" w:color="auto" w:fill="FFD9DC"/>
          </w:tcPr>
          <w:p w14:paraId="1EF68861" w14:textId="77777777" w:rsidR="00763F69" w:rsidRPr="00763F69" w:rsidRDefault="00763F69" w:rsidP="00C16912">
            <w:pPr>
              <w:pStyle w:val="Quote"/>
              <w:spacing w:before="0" w:after="40"/>
              <w:ind w:left="85" w:right="85"/>
              <w:rPr>
                <w:rFonts w:asciiTheme="majorHAnsi" w:eastAsia="Calibri" w:hAnsiTheme="majorHAnsi" w:cstheme="majorHAnsi"/>
                <w:i w:val="0"/>
                <w:iCs w:val="0"/>
                <w:sz w:val="17"/>
                <w:szCs w:val="17"/>
              </w:rPr>
            </w:pPr>
            <w:r w:rsidRPr="00763F69">
              <w:rPr>
                <w:rFonts w:asciiTheme="majorHAnsi" w:hAnsiTheme="majorHAnsi" w:cstheme="majorHAnsi"/>
                <w:bCs/>
                <w:i w:val="0"/>
                <w:iCs w:val="0"/>
                <w:sz w:val="17"/>
                <w:szCs w:val="17"/>
              </w:rPr>
              <w:t>Nil</w:t>
            </w:r>
          </w:p>
        </w:tc>
      </w:tr>
      <w:tr w:rsidR="00A22BA2" w:rsidRPr="00763F69" w14:paraId="05EC0868" w14:textId="77777777" w:rsidTr="00004D3B">
        <w:trPr>
          <w:cantSplit/>
        </w:trPr>
        <w:tc>
          <w:tcPr>
            <w:tcW w:w="5000" w:type="pct"/>
            <w:gridSpan w:val="3"/>
            <w:tcBorders>
              <w:bottom w:val="single" w:sz="4" w:space="0" w:color="auto"/>
            </w:tcBorders>
            <w:shd w:val="clear" w:color="auto" w:fill="65697F" w:themeFill="background2" w:themeFillShade="80"/>
          </w:tcPr>
          <w:p w14:paraId="4A49A281" w14:textId="77777777" w:rsidR="00A22BA2" w:rsidRPr="00763F69" w:rsidRDefault="00A22BA2" w:rsidP="00C16912">
            <w:pPr>
              <w:pStyle w:val="TableBodyText"/>
              <w:spacing w:before="0" w:after="40"/>
              <w:jc w:val="center"/>
              <w:rPr>
                <w:rFonts w:asciiTheme="majorHAnsi" w:hAnsiTheme="majorHAnsi" w:cstheme="majorHAnsi"/>
                <w:b/>
                <w:bCs/>
                <w:color w:val="FFFFFF" w:themeColor="background1"/>
                <w:sz w:val="17"/>
                <w:szCs w:val="17"/>
              </w:rPr>
            </w:pPr>
            <w:r w:rsidRPr="00763F69">
              <w:rPr>
                <w:rFonts w:asciiTheme="majorHAnsi" w:hAnsiTheme="majorHAnsi" w:cstheme="majorHAnsi"/>
                <w:b/>
                <w:bCs/>
                <w:color w:val="FFFFFF" w:themeColor="background1"/>
                <w:sz w:val="17"/>
                <w:szCs w:val="17"/>
              </w:rPr>
              <w:t xml:space="preserve">Potential risk of under-regulation </w:t>
            </w:r>
            <w:r>
              <w:rPr>
                <w:rFonts w:asciiTheme="majorHAnsi" w:hAnsiTheme="majorHAnsi" w:cstheme="majorHAnsi"/>
                <w:b/>
                <w:bCs/>
                <w:color w:val="FFFFFF" w:themeColor="background1"/>
                <w:sz w:val="17"/>
                <w:szCs w:val="17"/>
              </w:rPr>
              <w:t>caused by the coverage test acting as a gateway between Part 23 and full regulation</w:t>
            </w:r>
          </w:p>
        </w:tc>
      </w:tr>
      <w:tr w:rsidR="00A22BA2" w:rsidRPr="00763F69" w14:paraId="10232136" w14:textId="77777777" w:rsidTr="00004D3B">
        <w:trPr>
          <w:cnfStyle w:val="000000010000" w:firstRow="0" w:lastRow="0" w:firstColumn="0" w:lastColumn="0" w:oddVBand="0" w:evenVBand="0" w:oddHBand="0" w:evenHBand="1" w:firstRowFirstColumn="0" w:firstRowLastColumn="0" w:lastRowFirstColumn="0" w:lastRowLastColumn="0"/>
          <w:cantSplit/>
        </w:trPr>
        <w:tc>
          <w:tcPr>
            <w:tcW w:w="555" w:type="pct"/>
            <w:gridSpan w:val="2"/>
            <w:shd w:val="clear" w:color="auto" w:fill="FFFFFF" w:themeFill="background1"/>
          </w:tcPr>
          <w:p w14:paraId="4B0B3394" w14:textId="77777777" w:rsidR="00A22BA2" w:rsidRPr="00763F69" w:rsidRDefault="00A22BA2" w:rsidP="00C16912">
            <w:pPr>
              <w:pStyle w:val="TableBodyText"/>
              <w:spacing w:before="0" w:after="40"/>
              <w:rPr>
                <w:rFonts w:asciiTheme="majorHAnsi" w:hAnsiTheme="majorHAnsi" w:cstheme="majorHAnsi"/>
                <w:sz w:val="17"/>
                <w:szCs w:val="17"/>
              </w:rPr>
            </w:pPr>
            <w:r w:rsidRPr="00763F69">
              <w:rPr>
                <w:rFonts w:asciiTheme="majorHAnsi" w:hAnsiTheme="majorHAnsi" w:cstheme="majorHAnsi"/>
                <w:sz w:val="17"/>
                <w:szCs w:val="17"/>
              </w:rPr>
              <w:t>Description of potential problem</w:t>
            </w:r>
          </w:p>
        </w:tc>
        <w:tc>
          <w:tcPr>
            <w:tcW w:w="4445" w:type="pct"/>
            <w:shd w:val="clear" w:color="auto" w:fill="FFFFFF" w:themeFill="background1"/>
          </w:tcPr>
          <w:p w14:paraId="07C69EA5" w14:textId="411C0AAB" w:rsidR="00A22BA2" w:rsidRPr="00763F69" w:rsidRDefault="00A22BA2" w:rsidP="00C16912">
            <w:pPr>
              <w:pStyle w:val="ListBullet"/>
              <w:numPr>
                <w:ilvl w:val="0"/>
                <w:numId w:val="0"/>
              </w:numPr>
              <w:spacing w:before="0" w:after="40"/>
              <w:ind w:left="85"/>
            </w:pPr>
            <w:r w:rsidRPr="00763F69">
              <w:t xml:space="preserve">This potential problem was originally identified in the AEMC’s 2017-18 </w:t>
            </w:r>
            <w:r w:rsidR="00004D3B">
              <w:t>Economic regulation review</w:t>
            </w:r>
            <w:r w:rsidRPr="00763F69">
              <w:t>, with the AEMC noting that the use of the coverage test as a gateway from Part 23 to full regulation could result in under-regulation.</w:t>
            </w:r>
            <w:r w:rsidR="00370905">
              <w:rPr>
                <w:rFonts w:ascii="ZWAdobeF" w:hAnsi="ZWAdobeF" w:cs="ZWAdobeF"/>
                <w:sz w:val="2"/>
                <w:szCs w:val="2"/>
              </w:rPr>
              <w:t>131F</w:t>
            </w:r>
            <w:r w:rsidRPr="00763F69">
              <w:rPr>
                <w:rStyle w:val="FootnoteReference"/>
                <w:rFonts w:asciiTheme="majorHAnsi" w:hAnsiTheme="majorHAnsi" w:cstheme="majorHAnsi"/>
                <w:sz w:val="17"/>
                <w:szCs w:val="17"/>
              </w:rPr>
              <w:footnoteReference w:id="133"/>
            </w:r>
            <w:r w:rsidRPr="00763F69">
              <w:t xml:space="preserve"> This is because: </w:t>
            </w:r>
          </w:p>
          <w:p w14:paraId="69C0C64D" w14:textId="77777777" w:rsidR="00A22BA2" w:rsidRPr="00763F69" w:rsidRDefault="00A22BA2" w:rsidP="00C16912">
            <w:pPr>
              <w:pStyle w:val="TableBullet10"/>
              <w:spacing w:before="0" w:after="40"/>
              <w:rPr>
                <w:rFonts w:asciiTheme="majorHAnsi" w:hAnsiTheme="majorHAnsi" w:cstheme="majorHAnsi"/>
                <w:sz w:val="17"/>
                <w:szCs w:val="17"/>
              </w:rPr>
            </w:pPr>
            <w:r w:rsidRPr="00763F69">
              <w:rPr>
                <w:rFonts w:asciiTheme="majorHAnsi" w:hAnsiTheme="majorHAnsi" w:cstheme="majorHAnsi"/>
                <w:sz w:val="17"/>
                <w:szCs w:val="17"/>
              </w:rPr>
              <w:t>the coverage test is not designed to address the market failure that is most prevalent amongst service provider</w:t>
            </w:r>
            <w:r w:rsidR="008170C6">
              <w:rPr>
                <w:rFonts w:asciiTheme="majorHAnsi" w:hAnsiTheme="majorHAnsi" w:cstheme="majorHAnsi"/>
                <w:sz w:val="17"/>
                <w:szCs w:val="17"/>
              </w:rPr>
              <w:t>s that provide</w:t>
            </w:r>
            <w:r w:rsidRPr="00763F69">
              <w:rPr>
                <w:rFonts w:asciiTheme="majorHAnsi" w:hAnsiTheme="majorHAnsi" w:cstheme="majorHAnsi"/>
                <w:sz w:val="17"/>
                <w:szCs w:val="17"/>
              </w:rPr>
              <w:t xml:space="preserve"> third party access, which is monopoly pricing that gives rise to economic inefficiencies with little or no impact on competition in dependent markets;</w:t>
            </w:r>
          </w:p>
          <w:p w14:paraId="2384782D" w14:textId="77777777" w:rsidR="00A22BA2" w:rsidRPr="00763F69" w:rsidRDefault="00A22BA2" w:rsidP="00C16912">
            <w:pPr>
              <w:pStyle w:val="TableBullet10"/>
              <w:spacing w:before="0" w:after="40"/>
              <w:rPr>
                <w:rFonts w:asciiTheme="majorHAnsi" w:hAnsiTheme="majorHAnsi" w:cstheme="majorHAnsi"/>
                <w:sz w:val="17"/>
                <w:szCs w:val="17"/>
              </w:rPr>
            </w:pPr>
            <w:r w:rsidRPr="00763F69">
              <w:rPr>
                <w:rFonts w:asciiTheme="majorHAnsi" w:hAnsiTheme="majorHAnsi" w:cstheme="majorHAnsi"/>
                <w:sz w:val="17"/>
                <w:szCs w:val="17"/>
              </w:rPr>
              <w:t xml:space="preserve">the asymmetric nature of the coverage test means that it is easier to move from a stronger form of regulation to a lighter form of regulation than it is to move in the other direction (i.e. because to pass the coverage test and potentially be subject to the stronger form of regulation </w:t>
            </w:r>
            <w:r w:rsidRPr="00763F69">
              <w:rPr>
                <w:rFonts w:asciiTheme="majorHAnsi" w:hAnsiTheme="majorHAnsi" w:cstheme="majorHAnsi"/>
                <w:sz w:val="17"/>
                <w:szCs w:val="17"/>
                <w:u w:val="single"/>
              </w:rPr>
              <w:t>all</w:t>
            </w:r>
            <w:r w:rsidRPr="00763F69">
              <w:rPr>
                <w:rFonts w:asciiTheme="majorHAnsi" w:hAnsiTheme="majorHAnsi" w:cstheme="majorHAnsi"/>
                <w:sz w:val="17"/>
                <w:szCs w:val="17"/>
              </w:rPr>
              <w:t xml:space="preserve"> the coverage criteria must be satisfied, but if one or more criteria are not satisfied the lighter form of regulation will apply); and</w:t>
            </w:r>
          </w:p>
          <w:p w14:paraId="2C032805" w14:textId="77777777" w:rsidR="00A22BA2" w:rsidRPr="00763F69" w:rsidRDefault="00A22BA2" w:rsidP="00C16912">
            <w:pPr>
              <w:pStyle w:val="TableBullet10"/>
              <w:spacing w:before="0" w:after="40"/>
              <w:rPr>
                <w:rFonts w:asciiTheme="majorHAnsi" w:hAnsiTheme="majorHAnsi" w:cstheme="majorHAnsi"/>
                <w:sz w:val="17"/>
                <w:szCs w:val="17"/>
              </w:rPr>
            </w:pPr>
            <w:r w:rsidRPr="00763F69">
              <w:rPr>
                <w:rFonts w:asciiTheme="majorHAnsi" w:hAnsiTheme="majorHAnsi" w:cstheme="majorHAnsi"/>
                <w:sz w:val="17"/>
                <w:szCs w:val="17"/>
              </w:rPr>
              <w:t>the counterfactual used for the assessment of the coverage test is no longer no regulation, it is the information disclosure and arbitration framework applying under Part 23, which has made the coverage test more difficult to satisfy.</w:t>
            </w:r>
          </w:p>
        </w:tc>
      </w:tr>
      <w:tr w:rsidR="00A22BA2" w:rsidRPr="00763F69" w14:paraId="10C854A5" w14:textId="77777777" w:rsidTr="00004D3B">
        <w:trPr>
          <w:cantSplit/>
        </w:trPr>
        <w:tc>
          <w:tcPr>
            <w:tcW w:w="202" w:type="pct"/>
            <w:vMerge w:val="restart"/>
            <w:tcBorders>
              <w:top w:val="nil"/>
              <w:bottom w:val="nil"/>
              <w:right w:val="single" w:sz="4" w:space="0" w:color="auto"/>
            </w:tcBorders>
            <w:shd w:val="clear" w:color="auto" w:fill="FFFFFF" w:themeFill="background1"/>
            <w:textDirection w:val="btLr"/>
          </w:tcPr>
          <w:p w14:paraId="2EBDBC7B" w14:textId="77777777" w:rsidR="00A22BA2" w:rsidRPr="00763F69" w:rsidRDefault="00A22BA2" w:rsidP="00C16912">
            <w:pPr>
              <w:pStyle w:val="TableBodyText"/>
              <w:spacing w:before="0" w:after="40"/>
              <w:jc w:val="center"/>
              <w:rPr>
                <w:rFonts w:asciiTheme="majorHAnsi" w:hAnsiTheme="majorHAnsi" w:cstheme="majorHAnsi"/>
                <w:sz w:val="17"/>
                <w:szCs w:val="17"/>
              </w:rPr>
            </w:pPr>
            <w:r w:rsidRPr="00763F69">
              <w:rPr>
                <w:rFonts w:asciiTheme="majorHAnsi" w:hAnsiTheme="majorHAnsi" w:cstheme="majorHAnsi"/>
                <w:sz w:val="17"/>
                <w:szCs w:val="17"/>
              </w:rPr>
              <w:t>Stakeholder feedback</w:t>
            </w:r>
          </w:p>
        </w:tc>
        <w:tc>
          <w:tcPr>
            <w:tcW w:w="353" w:type="pct"/>
            <w:tcBorders>
              <w:left w:val="single" w:sz="4" w:space="0" w:color="auto"/>
              <w:bottom w:val="single" w:sz="4" w:space="0" w:color="auto"/>
            </w:tcBorders>
            <w:shd w:val="clear" w:color="auto" w:fill="BFF9D6"/>
          </w:tcPr>
          <w:p w14:paraId="3FF48670" w14:textId="77777777" w:rsidR="00A22BA2" w:rsidRPr="00763F69" w:rsidRDefault="00A22BA2" w:rsidP="00C16912">
            <w:pPr>
              <w:pStyle w:val="TableBodyText"/>
              <w:spacing w:before="0" w:after="40"/>
              <w:rPr>
                <w:rFonts w:asciiTheme="majorHAnsi" w:hAnsiTheme="majorHAnsi" w:cstheme="majorHAnsi"/>
                <w:sz w:val="17"/>
                <w:szCs w:val="17"/>
              </w:rPr>
            </w:pPr>
            <w:r w:rsidRPr="00763F69">
              <w:rPr>
                <w:rFonts w:asciiTheme="majorHAnsi" w:hAnsiTheme="majorHAnsi" w:cstheme="majorHAnsi"/>
                <w:sz w:val="17"/>
                <w:szCs w:val="17"/>
              </w:rPr>
              <w:t>Agree</w:t>
            </w:r>
          </w:p>
        </w:tc>
        <w:tc>
          <w:tcPr>
            <w:tcW w:w="4445" w:type="pct"/>
            <w:tcBorders>
              <w:bottom w:val="single" w:sz="4" w:space="0" w:color="auto"/>
            </w:tcBorders>
            <w:shd w:val="clear" w:color="auto" w:fill="BFF9D6"/>
          </w:tcPr>
          <w:p w14:paraId="22D642AB" w14:textId="77777777" w:rsidR="00A22BA2" w:rsidRPr="00763F69" w:rsidRDefault="00A22BA2" w:rsidP="00C16912">
            <w:pPr>
              <w:pStyle w:val="TableBullet10"/>
              <w:spacing w:before="0" w:after="40"/>
            </w:pPr>
            <w:r w:rsidRPr="00763F69">
              <w:t xml:space="preserve">The </w:t>
            </w:r>
            <w:r w:rsidRPr="00763F69">
              <w:rPr>
                <w:color w:val="FF0000"/>
              </w:rPr>
              <w:t>ACCC</w:t>
            </w:r>
            <w:r w:rsidRPr="00763F69">
              <w:t xml:space="preserve">, </w:t>
            </w:r>
            <w:r w:rsidRPr="00763F69">
              <w:rPr>
                <w:color w:val="FF0000"/>
              </w:rPr>
              <w:t>AER,</w:t>
            </w:r>
            <w:r w:rsidRPr="00763F69">
              <w:t xml:space="preserve"> </w:t>
            </w:r>
            <w:r w:rsidRPr="00763F69">
              <w:rPr>
                <w:color w:val="0000FF"/>
              </w:rPr>
              <w:t>Chemistry Australia</w:t>
            </w:r>
            <w:r w:rsidRPr="00763F69">
              <w:t xml:space="preserve">, </w:t>
            </w:r>
            <w:r w:rsidRPr="00763F69">
              <w:rPr>
                <w:color w:val="0000FF"/>
              </w:rPr>
              <w:t>EUAA, NSW Business Chamber,</w:t>
            </w:r>
            <w:r w:rsidRPr="00763F69">
              <w:t xml:space="preserve"> </w:t>
            </w:r>
            <w:r w:rsidRPr="00763F69">
              <w:rPr>
                <w:color w:val="0000FF"/>
              </w:rPr>
              <w:t xml:space="preserve">MEU </w:t>
            </w:r>
            <w:r w:rsidRPr="00763F69">
              <w:t xml:space="preserve">and </w:t>
            </w:r>
            <w:r w:rsidRPr="00763F69">
              <w:rPr>
                <w:color w:val="D60093"/>
              </w:rPr>
              <w:t xml:space="preserve">COPA </w:t>
            </w:r>
            <w:r w:rsidRPr="00763F69">
              <w:t xml:space="preserve">agreed there was a risk of under-regulation under the current framework due to the use of the coverage test as a gateway between Part 23 and full regulation. </w:t>
            </w:r>
          </w:p>
        </w:tc>
      </w:tr>
      <w:tr w:rsidR="00A22BA2" w:rsidRPr="00763F69" w14:paraId="31C62C2A" w14:textId="77777777" w:rsidTr="00004D3B">
        <w:trPr>
          <w:cnfStyle w:val="000000010000" w:firstRow="0" w:lastRow="0" w:firstColumn="0" w:lastColumn="0" w:oddVBand="0" w:evenVBand="0" w:oddHBand="0" w:evenHBand="1" w:firstRowFirstColumn="0" w:firstRowLastColumn="0" w:lastRowFirstColumn="0" w:lastRowLastColumn="0"/>
          <w:cantSplit/>
        </w:trPr>
        <w:tc>
          <w:tcPr>
            <w:tcW w:w="202" w:type="pct"/>
            <w:vMerge/>
            <w:tcBorders>
              <w:top w:val="nil"/>
              <w:bottom w:val="nil"/>
              <w:right w:val="single" w:sz="4" w:space="0" w:color="auto"/>
            </w:tcBorders>
            <w:shd w:val="clear" w:color="auto" w:fill="FFFFFF" w:themeFill="background1"/>
          </w:tcPr>
          <w:p w14:paraId="7063EC18" w14:textId="77777777" w:rsidR="00A22BA2" w:rsidRPr="00763F69" w:rsidRDefault="00A22BA2" w:rsidP="00C16912">
            <w:pPr>
              <w:pStyle w:val="TableBodyText"/>
              <w:spacing w:before="0" w:after="40"/>
              <w:rPr>
                <w:rFonts w:asciiTheme="majorHAnsi" w:hAnsiTheme="majorHAnsi" w:cstheme="majorHAnsi"/>
                <w:sz w:val="17"/>
                <w:szCs w:val="17"/>
              </w:rPr>
            </w:pPr>
          </w:p>
        </w:tc>
        <w:tc>
          <w:tcPr>
            <w:tcW w:w="353" w:type="pct"/>
            <w:tcBorders>
              <w:left w:val="single" w:sz="4" w:space="0" w:color="auto"/>
              <w:bottom w:val="single" w:sz="4" w:space="0" w:color="auto"/>
            </w:tcBorders>
            <w:shd w:val="clear" w:color="auto" w:fill="FFD9DC"/>
          </w:tcPr>
          <w:p w14:paraId="446550BA" w14:textId="77777777" w:rsidR="00A22BA2" w:rsidRPr="00763F69" w:rsidRDefault="00A22BA2" w:rsidP="00C16912">
            <w:pPr>
              <w:pStyle w:val="TableBodyText"/>
              <w:spacing w:before="0" w:after="40"/>
              <w:rPr>
                <w:rFonts w:asciiTheme="majorHAnsi" w:hAnsiTheme="majorHAnsi" w:cstheme="majorHAnsi"/>
                <w:sz w:val="17"/>
                <w:szCs w:val="17"/>
              </w:rPr>
            </w:pPr>
            <w:r w:rsidRPr="00763F69">
              <w:rPr>
                <w:rFonts w:asciiTheme="majorHAnsi" w:hAnsiTheme="majorHAnsi" w:cstheme="majorHAnsi"/>
                <w:sz w:val="17"/>
                <w:szCs w:val="17"/>
              </w:rPr>
              <w:t>Disagree</w:t>
            </w:r>
          </w:p>
        </w:tc>
        <w:tc>
          <w:tcPr>
            <w:tcW w:w="4445" w:type="pct"/>
            <w:tcBorders>
              <w:bottom w:val="single" w:sz="4" w:space="0" w:color="auto"/>
            </w:tcBorders>
            <w:shd w:val="clear" w:color="auto" w:fill="FFD9DC"/>
            <w:vAlign w:val="center"/>
          </w:tcPr>
          <w:p w14:paraId="7DD6BAB8" w14:textId="77777777" w:rsidR="00A22BA2" w:rsidRPr="00763F69" w:rsidRDefault="00A22BA2" w:rsidP="00C16912">
            <w:pPr>
              <w:pStyle w:val="TableBullet10"/>
              <w:spacing w:before="0" w:after="40"/>
            </w:pPr>
            <w:r w:rsidRPr="00763F69">
              <w:rPr>
                <w:color w:val="800080" w:themeColor="accent6"/>
              </w:rPr>
              <w:t>AGIG</w:t>
            </w:r>
            <w:r w:rsidRPr="00763F69">
              <w:t xml:space="preserve">, </w:t>
            </w:r>
            <w:r w:rsidRPr="00763F69">
              <w:rPr>
                <w:color w:val="800080" w:themeColor="accent6"/>
              </w:rPr>
              <w:t xml:space="preserve">APGA </w:t>
            </w:r>
            <w:r w:rsidRPr="00763F69">
              <w:t xml:space="preserve">and </w:t>
            </w:r>
            <w:r w:rsidRPr="00763F69">
              <w:rPr>
                <w:color w:val="800080" w:themeColor="accent6"/>
              </w:rPr>
              <w:t xml:space="preserve">Jemena </w:t>
            </w:r>
            <w:r w:rsidRPr="00763F69">
              <w:t xml:space="preserve">did not agree that there was an issue with under-regulation in the current regulatory framework, </w:t>
            </w:r>
            <w:r>
              <w:t>but</w:t>
            </w:r>
            <w:r w:rsidRPr="00763F69">
              <w:t xml:space="preserve"> they all supported the removal of the coverage test</w:t>
            </w:r>
            <w:r w:rsidR="002226A9">
              <w:t xml:space="preserve"> from form of regulation assessments</w:t>
            </w:r>
            <w:r w:rsidRPr="00763F69">
              <w:t xml:space="preserve">. </w:t>
            </w:r>
          </w:p>
        </w:tc>
      </w:tr>
      <w:tr w:rsidR="00A22BA2" w:rsidRPr="00763F69" w14:paraId="5AE6E798" w14:textId="77777777" w:rsidTr="00004D3B">
        <w:trPr>
          <w:cantSplit/>
        </w:trPr>
        <w:tc>
          <w:tcPr>
            <w:tcW w:w="202" w:type="pct"/>
            <w:vMerge/>
            <w:tcBorders>
              <w:top w:val="nil"/>
              <w:bottom w:val="nil"/>
              <w:right w:val="single" w:sz="4" w:space="0" w:color="auto"/>
            </w:tcBorders>
            <w:shd w:val="clear" w:color="auto" w:fill="FFFFFF" w:themeFill="background1"/>
          </w:tcPr>
          <w:p w14:paraId="1A9922E6" w14:textId="77777777" w:rsidR="00A22BA2" w:rsidRPr="00763F69" w:rsidRDefault="00A22BA2" w:rsidP="00C16912">
            <w:pPr>
              <w:pStyle w:val="TableBodyText"/>
              <w:spacing w:before="0" w:after="40"/>
              <w:rPr>
                <w:rFonts w:asciiTheme="majorHAnsi" w:hAnsiTheme="majorHAnsi" w:cstheme="majorHAnsi"/>
                <w:sz w:val="17"/>
                <w:szCs w:val="17"/>
              </w:rPr>
            </w:pPr>
          </w:p>
        </w:tc>
        <w:tc>
          <w:tcPr>
            <w:tcW w:w="353" w:type="pct"/>
            <w:tcBorders>
              <w:left w:val="single" w:sz="4" w:space="0" w:color="auto"/>
              <w:bottom w:val="single" w:sz="4" w:space="0" w:color="auto"/>
            </w:tcBorders>
            <w:shd w:val="clear" w:color="auto" w:fill="E1E2E7" w:themeFill="background2"/>
          </w:tcPr>
          <w:p w14:paraId="7FDC8AA5" w14:textId="77777777" w:rsidR="00A22BA2" w:rsidRPr="00763F69" w:rsidRDefault="00A22BA2" w:rsidP="00C16912">
            <w:pPr>
              <w:pStyle w:val="TableBodyText"/>
              <w:spacing w:before="0" w:after="40"/>
              <w:rPr>
                <w:rFonts w:asciiTheme="majorHAnsi" w:hAnsiTheme="majorHAnsi" w:cstheme="majorHAnsi"/>
                <w:sz w:val="17"/>
                <w:szCs w:val="17"/>
              </w:rPr>
            </w:pPr>
            <w:r w:rsidRPr="00763F69">
              <w:rPr>
                <w:rFonts w:asciiTheme="majorHAnsi" w:hAnsiTheme="majorHAnsi" w:cstheme="majorHAnsi"/>
                <w:sz w:val="17"/>
                <w:szCs w:val="17"/>
              </w:rPr>
              <w:t xml:space="preserve">Other </w:t>
            </w:r>
          </w:p>
        </w:tc>
        <w:tc>
          <w:tcPr>
            <w:tcW w:w="4445" w:type="pct"/>
            <w:tcBorders>
              <w:bottom w:val="single" w:sz="4" w:space="0" w:color="auto"/>
            </w:tcBorders>
            <w:shd w:val="clear" w:color="auto" w:fill="E1E2E7" w:themeFill="background2"/>
            <w:vAlign w:val="center"/>
          </w:tcPr>
          <w:p w14:paraId="4ABFEBE1" w14:textId="77777777" w:rsidR="00A22BA2" w:rsidRPr="00763F69" w:rsidRDefault="00A22BA2" w:rsidP="00C16912">
            <w:pPr>
              <w:pStyle w:val="TableBullet10"/>
              <w:spacing w:before="0" w:after="40"/>
            </w:pPr>
            <w:r w:rsidRPr="00763F69">
              <w:rPr>
                <w:color w:val="00B0F0"/>
              </w:rPr>
              <w:t xml:space="preserve">Origin </w:t>
            </w:r>
            <w:r w:rsidRPr="00763F69">
              <w:t>noted that it had not formed a view on the coverage test and the extent to which it may be leading to over</w:t>
            </w:r>
            <w:r w:rsidR="00B92129">
              <w:t>-</w:t>
            </w:r>
            <w:r w:rsidRPr="00763F69">
              <w:t xml:space="preserve"> or under-regulation. </w:t>
            </w:r>
          </w:p>
          <w:p w14:paraId="3FC8EE08" w14:textId="77777777" w:rsidR="00A22BA2" w:rsidRPr="00763F69" w:rsidRDefault="00A22BA2" w:rsidP="00C16912">
            <w:pPr>
              <w:pStyle w:val="TableBullet10"/>
              <w:spacing w:before="0" w:after="40"/>
            </w:pPr>
            <w:r w:rsidRPr="00763F69">
              <w:rPr>
                <w:color w:val="D60093"/>
              </w:rPr>
              <w:t xml:space="preserve">APLNG </w:t>
            </w:r>
            <w:r w:rsidRPr="00763F69">
              <w:t xml:space="preserve">stated </w:t>
            </w:r>
            <w:r>
              <w:t xml:space="preserve">that </w:t>
            </w:r>
            <w:r w:rsidRPr="00763F69">
              <w:t xml:space="preserve">it wasn’t clear if under-regulation was an issue, but agreed the coverage test was </w:t>
            </w:r>
            <w:r>
              <w:t xml:space="preserve">not </w:t>
            </w:r>
            <w:r w:rsidRPr="00763F69">
              <w:t xml:space="preserve">working as intended </w:t>
            </w:r>
            <w:r>
              <w:t xml:space="preserve">and </w:t>
            </w:r>
            <w:r w:rsidRPr="00763F69">
              <w:t xml:space="preserve">should be removed. </w:t>
            </w:r>
          </w:p>
          <w:p w14:paraId="1A6073D6" w14:textId="77777777" w:rsidR="00A22BA2" w:rsidRPr="00763F69" w:rsidRDefault="00A22BA2" w:rsidP="00C16912">
            <w:pPr>
              <w:pStyle w:val="TableBullet10"/>
              <w:spacing w:before="0" w:after="40"/>
            </w:pPr>
            <w:r w:rsidRPr="00763F69">
              <w:rPr>
                <w:color w:val="800080" w:themeColor="accent6"/>
              </w:rPr>
              <w:t xml:space="preserve">Epic, APA, Allgas </w:t>
            </w:r>
            <w:r w:rsidRPr="00763F69">
              <w:t xml:space="preserve">and </w:t>
            </w:r>
            <w:r w:rsidRPr="00763F69">
              <w:rPr>
                <w:color w:val="D60093"/>
              </w:rPr>
              <w:t xml:space="preserve">COPA </w:t>
            </w:r>
            <w:r w:rsidRPr="00763F69">
              <w:t xml:space="preserve">did not comment on whether this constituted a problem, but agreed the coverage test should be removed. </w:t>
            </w:r>
          </w:p>
          <w:p w14:paraId="0148A4CC" w14:textId="77777777" w:rsidR="00A22BA2" w:rsidRPr="00763F69" w:rsidRDefault="00A22BA2" w:rsidP="00C16912">
            <w:pPr>
              <w:pStyle w:val="TableBullet10"/>
              <w:spacing w:before="0" w:after="40"/>
            </w:pPr>
            <w:r w:rsidRPr="00763F69">
              <w:t xml:space="preserve">The </w:t>
            </w:r>
            <w:r w:rsidRPr="00763F69">
              <w:rPr>
                <w:color w:val="FF0000"/>
              </w:rPr>
              <w:t xml:space="preserve">NCC </w:t>
            </w:r>
            <w:r w:rsidRPr="00763F69">
              <w:t>did not comment on whether this constituted a problem but was of the view that the coverage test should continue to act as a gateway and should be based on the amended Part IIIA test in the CCA.</w:t>
            </w:r>
          </w:p>
        </w:tc>
      </w:tr>
      <w:tr w:rsidR="00C5272B" w:rsidRPr="00763F69" w14:paraId="761286AA" w14:textId="77777777" w:rsidTr="00CF688C">
        <w:trPr>
          <w:cnfStyle w:val="000000010000" w:firstRow="0" w:lastRow="0" w:firstColumn="0" w:lastColumn="0" w:oddVBand="0" w:evenVBand="0" w:oddHBand="0" w:evenHBand="1" w:firstRowFirstColumn="0" w:firstRowLastColumn="0" w:lastRowFirstColumn="0" w:lastRowLastColumn="0"/>
          <w:cantSplit/>
        </w:trPr>
        <w:tc>
          <w:tcPr>
            <w:tcW w:w="5000" w:type="pct"/>
            <w:gridSpan w:val="3"/>
            <w:shd w:val="clear" w:color="auto" w:fill="65697F" w:themeFill="background2" w:themeFillShade="80"/>
          </w:tcPr>
          <w:p w14:paraId="674FA8FB" w14:textId="77777777" w:rsidR="00C5272B" w:rsidRPr="00763F69" w:rsidRDefault="00701175" w:rsidP="00C16912">
            <w:pPr>
              <w:pStyle w:val="TableBodyText"/>
              <w:spacing w:before="0" w:after="40"/>
              <w:jc w:val="center"/>
              <w:rPr>
                <w:rFonts w:asciiTheme="majorHAnsi" w:hAnsiTheme="majorHAnsi" w:cstheme="majorHAnsi"/>
                <w:b/>
                <w:bCs/>
                <w:color w:val="FFFFFF" w:themeColor="background1"/>
                <w:sz w:val="17"/>
                <w:szCs w:val="17"/>
                <w:lang w:eastAsia="fr-CA"/>
              </w:rPr>
            </w:pPr>
            <w:r>
              <w:rPr>
                <w:rFonts w:asciiTheme="majorHAnsi" w:hAnsiTheme="majorHAnsi" w:cstheme="majorHAnsi"/>
                <w:b/>
                <w:bCs/>
                <w:color w:val="FFFFFF" w:themeColor="background1"/>
                <w:sz w:val="17"/>
                <w:szCs w:val="17"/>
                <w:lang w:eastAsia="fr-CA"/>
              </w:rPr>
              <w:t xml:space="preserve">Potential for dynamic market power to be exercised </w:t>
            </w:r>
          </w:p>
        </w:tc>
      </w:tr>
      <w:tr w:rsidR="00C5272B" w:rsidRPr="00763F69" w14:paraId="0B38DF97" w14:textId="77777777" w:rsidTr="00CF688C">
        <w:trPr>
          <w:cantSplit/>
        </w:trPr>
        <w:tc>
          <w:tcPr>
            <w:tcW w:w="555" w:type="pct"/>
            <w:gridSpan w:val="2"/>
            <w:shd w:val="clear" w:color="auto" w:fill="FFFFFF" w:themeFill="background1"/>
          </w:tcPr>
          <w:p w14:paraId="3FC50DA9" w14:textId="77777777" w:rsidR="00C5272B" w:rsidRPr="00763F69" w:rsidRDefault="00C5272B" w:rsidP="00C16912">
            <w:pPr>
              <w:pStyle w:val="TableBodyText"/>
              <w:spacing w:before="0" w:after="40"/>
              <w:rPr>
                <w:rFonts w:asciiTheme="majorHAnsi" w:hAnsiTheme="majorHAnsi" w:cstheme="majorHAnsi"/>
                <w:sz w:val="17"/>
                <w:szCs w:val="17"/>
              </w:rPr>
            </w:pPr>
            <w:r w:rsidRPr="00763F69">
              <w:rPr>
                <w:rFonts w:asciiTheme="majorHAnsi" w:hAnsiTheme="majorHAnsi" w:cstheme="majorHAnsi"/>
                <w:sz w:val="17"/>
                <w:szCs w:val="17"/>
              </w:rPr>
              <w:t>Description of potential problem</w:t>
            </w:r>
          </w:p>
        </w:tc>
        <w:tc>
          <w:tcPr>
            <w:tcW w:w="4445" w:type="pct"/>
            <w:shd w:val="clear" w:color="auto" w:fill="FFFFFF" w:themeFill="background1"/>
          </w:tcPr>
          <w:p w14:paraId="05A9E770" w14:textId="6BD227A6" w:rsidR="00701175" w:rsidRDefault="00701175" w:rsidP="00C16912">
            <w:pPr>
              <w:pStyle w:val="ListBullet"/>
              <w:numPr>
                <w:ilvl w:val="0"/>
                <w:numId w:val="0"/>
              </w:numPr>
              <w:spacing w:before="0" w:after="40"/>
              <w:ind w:left="85"/>
            </w:pPr>
            <w:r>
              <w:t xml:space="preserve">This potential problem was identified </w:t>
            </w:r>
            <w:r w:rsidR="006F7DEF">
              <w:t xml:space="preserve">as a result of NERA’s </w:t>
            </w:r>
            <w:r>
              <w:t>International Review of Pipeline Regulation</w:t>
            </w:r>
            <w:r w:rsidR="007C76EC">
              <w:t>, which highlighted the potential for t</w:t>
            </w:r>
            <w:r w:rsidRPr="006B4639">
              <w:t xml:space="preserve">he current forms of regulation </w:t>
            </w:r>
            <w:r w:rsidR="007C76EC">
              <w:t xml:space="preserve">to </w:t>
            </w:r>
            <w:r w:rsidR="00EE38BB">
              <w:t xml:space="preserve">enable incumbent </w:t>
            </w:r>
            <w:r>
              <w:t xml:space="preserve">service providers </w:t>
            </w:r>
            <w:r w:rsidR="00EE38BB">
              <w:t xml:space="preserve">to try and </w:t>
            </w:r>
            <w:r>
              <w:t xml:space="preserve">block competition from new pipelines where competition is viable (see </w:t>
            </w:r>
            <w:r>
              <w:fldChar w:fldCharType="begin" w:fldLock="1"/>
            </w:r>
            <w:r>
              <w:instrText xml:space="preserve"> REF _Ref52336398 \h </w:instrText>
            </w:r>
            <w:r>
              <w:fldChar w:fldCharType="separate"/>
            </w:r>
            <w:r w:rsidR="00036405">
              <w:t xml:space="preserve">Box </w:t>
            </w:r>
            <w:r w:rsidR="00036405">
              <w:rPr>
                <w:noProof/>
              </w:rPr>
              <w:t>2</w:t>
            </w:r>
            <w:r w:rsidR="00036405">
              <w:t>.</w:t>
            </w:r>
            <w:r w:rsidR="00036405">
              <w:rPr>
                <w:noProof/>
              </w:rPr>
              <w:t>3</w:t>
            </w:r>
            <w:r>
              <w:fldChar w:fldCharType="end"/>
            </w:r>
            <w:r>
              <w:t>) by:</w:t>
            </w:r>
            <w:r w:rsidR="00370905">
              <w:rPr>
                <w:rFonts w:ascii="ZWAdobeF" w:hAnsi="ZWAdobeF" w:cs="ZWAdobeF"/>
                <w:sz w:val="2"/>
                <w:szCs w:val="2"/>
              </w:rPr>
              <w:t>132F</w:t>
            </w:r>
            <w:r>
              <w:rPr>
                <w:rStyle w:val="FootnoteReference"/>
              </w:rPr>
              <w:footnoteReference w:id="134"/>
            </w:r>
          </w:p>
          <w:p w14:paraId="62205B66" w14:textId="7847E9DC" w:rsidR="00701175" w:rsidRDefault="00701175" w:rsidP="00C16912">
            <w:pPr>
              <w:pStyle w:val="TableBullet10"/>
              <w:spacing w:before="0" w:after="40"/>
              <w:rPr>
                <w:lang w:val="en-GB"/>
              </w:rPr>
            </w:pPr>
            <w:r>
              <w:rPr>
                <w:lang w:val="en-GB"/>
              </w:rPr>
              <w:t>preventing other service providers from interconnecting to the service provider’s pipeline, or by charging excessive prices for doing so;</w:t>
            </w:r>
            <w:r w:rsidRPr="000C2A3A">
              <w:rPr>
                <w:rStyle w:val="FootnoteReference"/>
              </w:rPr>
              <w:t xml:space="preserve"> </w:t>
            </w:r>
            <w:r w:rsidR="00370905">
              <w:rPr>
                <w:rFonts w:ascii="ZWAdobeF" w:hAnsi="ZWAdobeF" w:cs="ZWAdobeF"/>
                <w:sz w:val="2"/>
                <w:szCs w:val="2"/>
              </w:rPr>
              <w:t>133F</w:t>
            </w:r>
            <w:r w:rsidRPr="006B4639">
              <w:rPr>
                <w:rStyle w:val="FootnoteReference"/>
              </w:rPr>
              <w:footnoteReference w:id="135"/>
            </w:r>
            <w:r w:rsidRPr="006B4639">
              <w:t xml:space="preserve"> </w:t>
            </w:r>
            <w:r>
              <w:rPr>
                <w:lang w:val="en-GB"/>
              </w:rPr>
              <w:t xml:space="preserve"> and/or</w:t>
            </w:r>
          </w:p>
          <w:p w14:paraId="0E5F3C3D" w14:textId="77777777" w:rsidR="00701175" w:rsidRDefault="00701175" w:rsidP="00C16912">
            <w:pPr>
              <w:pStyle w:val="TableBullet10"/>
              <w:spacing w:before="0" w:after="40"/>
              <w:rPr>
                <w:lang w:val="en-GB"/>
              </w:rPr>
            </w:pPr>
            <w:r>
              <w:rPr>
                <w:lang w:val="en-GB"/>
              </w:rPr>
              <w:t xml:space="preserve">pricing new capacity on the existing pipeline below the incremental cost of providing the capacity and recouping the difference from existing users of its pipeline (i.e. cross-subsidising new capacity). </w:t>
            </w:r>
          </w:p>
          <w:p w14:paraId="76969E03" w14:textId="77777777" w:rsidR="00C5272B" w:rsidRPr="00A10A2B" w:rsidRDefault="00EE38BB" w:rsidP="00C16912">
            <w:pPr>
              <w:pStyle w:val="ListBullet"/>
              <w:numPr>
                <w:ilvl w:val="0"/>
                <w:numId w:val="0"/>
              </w:numPr>
              <w:spacing w:before="0" w:after="40"/>
              <w:ind w:left="85"/>
            </w:pPr>
            <w:r>
              <w:t>As noted in the Consultation RIS, t</w:t>
            </w:r>
            <w:r w:rsidR="00701175">
              <w:t xml:space="preserve">he exercise of dynamic market power could </w:t>
            </w:r>
            <w:r w:rsidR="00701175" w:rsidRPr="00611366">
              <w:t xml:space="preserve">further entrench incumbent service providers’ </w:t>
            </w:r>
            <w:r w:rsidR="00701175">
              <w:t xml:space="preserve">static </w:t>
            </w:r>
            <w:r w:rsidR="00701175" w:rsidRPr="00611366">
              <w:t>market power</w:t>
            </w:r>
            <w:r w:rsidR="00701175">
              <w:t xml:space="preserve"> and prevent the efficiency gains associated with competition from flowing through to the gas market, upstream and downstream markets and the broader economy.</w:t>
            </w:r>
          </w:p>
        </w:tc>
      </w:tr>
      <w:tr w:rsidR="00701175" w:rsidRPr="00763F69" w14:paraId="301DDD21" w14:textId="77777777" w:rsidTr="005C1F16">
        <w:trPr>
          <w:cnfStyle w:val="000000010000" w:firstRow="0" w:lastRow="0" w:firstColumn="0" w:lastColumn="0" w:oddVBand="0" w:evenVBand="0" w:oddHBand="0" w:evenHBand="1" w:firstRowFirstColumn="0" w:firstRowLastColumn="0" w:lastRowFirstColumn="0" w:lastRowLastColumn="0"/>
          <w:cantSplit/>
        </w:trPr>
        <w:tc>
          <w:tcPr>
            <w:tcW w:w="202" w:type="pct"/>
            <w:vMerge w:val="restart"/>
            <w:tcBorders>
              <w:top w:val="nil"/>
              <w:bottom w:val="nil"/>
              <w:right w:val="single" w:sz="4" w:space="0" w:color="auto"/>
            </w:tcBorders>
            <w:shd w:val="clear" w:color="auto" w:fill="FFFFFF" w:themeFill="background1"/>
            <w:textDirection w:val="btLr"/>
          </w:tcPr>
          <w:p w14:paraId="1FE65922" w14:textId="77777777" w:rsidR="00701175" w:rsidRPr="00763F69" w:rsidRDefault="00701175" w:rsidP="00C16912">
            <w:pPr>
              <w:pStyle w:val="TableBodyText"/>
              <w:spacing w:before="0" w:after="40"/>
              <w:jc w:val="center"/>
              <w:rPr>
                <w:rFonts w:asciiTheme="majorHAnsi" w:hAnsiTheme="majorHAnsi" w:cstheme="majorHAnsi"/>
                <w:sz w:val="17"/>
                <w:szCs w:val="17"/>
              </w:rPr>
            </w:pPr>
            <w:r w:rsidRPr="00763F69">
              <w:rPr>
                <w:rFonts w:asciiTheme="majorHAnsi" w:hAnsiTheme="majorHAnsi" w:cstheme="majorHAnsi"/>
                <w:sz w:val="17"/>
                <w:szCs w:val="17"/>
              </w:rPr>
              <w:t>Stakeholder feedback</w:t>
            </w:r>
          </w:p>
        </w:tc>
        <w:tc>
          <w:tcPr>
            <w:tcW w:w="353" w:type="pct"/>
            <w:tcBorders>
              <w:left w:val="single" w:sz="4" w:space="0" w:color="auto"/>
              <w:bottom w:val="single" w:sz="4" w:space="0" w:color="auto"/>
            </w:tcBorders>
            <w:shd w:val="clear" w:color="auto" w:fill="BFF9D6"/>
          </w:tcPr>
          <w:p w14:paraId="62F62672" w14:textId="77777777" w:rsidR="00701175" w:rsidRPr="00763F69" w:rsidRDefault="00701175" w:rsidP="00C16912">
            <w:pPr>
              <w:pStyle w:val="TableBodyText"/>
              <w:spacing w:before="0" w:after="40"/>
              <w:rPr>
                <w:rFonts w:asciiTheme="majorHAnsi" w:hAnsiTheme="majorHAnsi" w:cstheme="majorHAnsi"/>
                <w:sz w:val="17"/>
                <w:szCs w:val="17"/>
              </w:rPr>
            </w:pPr>
            <w:r w:rsidRPr="00763F69">
              <w:rPr>
                <w:rFonts w:asciiTheme="majorHAnsi" w:hAnsiTheme="majorHAnsi" w:cstheme="majorHAnsi"/>
                <w:sz w:val="17"/>
                <w:szCs w:val="17"/>
              </w:rPr>
              <w:t>Agree</w:t>
            </w:r>
          </w:p>
        </w:tc>
        <w:tc>
          <w:tcPr>
            <w:tcW w:w="4445" w:type="pct"/>
            <w:tcBorders>
              <w:bottom w:val="single" w:sz="4" w:space="0" w:color="auto"/>
            </w:tcBorders>
            <w:shd w:val="clear" w:color="auto" w:fill="BFF9D6"/>
          </w:tcPr>
          <w:p w14:paraId="182DCCFE" w14:textId="77777777" w:rsidR="00701175" w:rsidRPr="00763F69" w:rsidRDefault="00701175" w:rsidP="00C16912">
            <w:pPr>
              <w:pStyle w:val="TableBullet10"/>
              <w:spacing w:before="0" w:after="40"/>
              <w:rPr>
                <w:rFonts w:asciiTheme="majorHAnsi" w:hAnsiTheme="majorHAnsi" w:cstheme="majorHAnsi"/>
                <w:sz w:val="17"/>
                <w:szCs w:val="17"/>
              </w:rPr>
            </w:pPr>
            <w:r w:rsidRPr="00864381">
              <w:t xml:space="preserve">The </w:t>
            </w:r>
            <w:r w:rsidRPr="00864381">
              <w:rPr>
                <w:color w:val="FF0000"/>
              </w:rPr>
              <w:t>ACCC</w:t>
            </w:r>
            <w:r w:rsidRPr="00864381">
              <w:t xml:space="preserve">, </w:t>
            </w:r>
            <w:r w:rsidRPr="00864381">
              <w:rPr>
                <w:color w:val="0000FF"/>
              </w:rPr>
              <w:t>Chemistry Australia, EUAA</w:t>
            </w:r>
            <w:r w:rsidRPr="00864381">
              <w:t xml:space="preserve">, </w:t>
            </w:r>
            <w:r w:rsidRPr="00864381">
              <w:rPr>
                <w:rFonts w:asciiTheme="majorHAnsi" w:hAnsiTheme="majorHAnsi" w:cstheme="majorHAnsi"/>
                <w:color w:val="0000FF"/>
              </w:rPr>
              <w:t xml:space="preserve">NSW Business Chamber, </w:t>
            </w:r>
            <w:r w:rsidRPr="00864381">
              <w:rPr>
                <w:color w:val="0000FF"/>
              </w:rPr>
              <w:t>MEU</w:t>
            </w:r>
            <w:r w:rsidRPr="00864381">
              <w:t xml:space="preserve">, </w:t>
            </w:r>
            <w:r w:rsidRPr="00F3796C">
              <w:rPr>
                <w:color w:val="D60093"/>
              </w:rPr>
              <w:t>COP</w:t>
            </w:r>
            <w:r w:rsidRPr="00864381">
              <w:rPr>
                <w:color w:val="D60093"/>
              </w:rPr>
              <w:t>A</w:t>
            </w:r>
            <w:r>
              <w:t xml:space="preserve"> and</w:t>
            </w:r>
            <w:r w:rsidRPr="00864381">
              <w:t xml:space="preserve"> </w:t>
            </w:r>
            <w:r w:rsidRPr="00864381">
              <w:rPr>
                <w:color w:val="00B0F0"/>
              </w:rPr>
              <w:t xml:space="preserve">EnergyAustralia </w:t>
            </w:r>
            <w:r w:rsidRPr="00864381">
              <w:t xml:space="preserve">agreed the existing forms of regulation may not be adequately addressing concerns around dynamic market power. </w:t>
            </w:r>
          </w:p>
        </w:tc>
      </w:tr>
      <w:tr w:rsidR="00701175" w:rsidRPr="00763F69" w14:paraId="47D9F407" w14:textId="77777777" w:rsidTr="005C1F16">
        <w:trPr>
          <w:cantSplit/>
        </w:trPr>
        <w:tc>
          <w:tcPr>
            <w:tcW w:w="202" w:type="pct"/>
            <w:vMerge/>
            <w:tcBorders>
              <w:top w:val="nil"/>
              <w:bottom w:val="nil"/>
              <w:right w:val="single" w:sz="4" w:space="0" w:color="auto"/>
            </w:tcBorders>
            <w:shd w:val="clear" w:color="auto" w:fill="FFFFFF" w:themeFill="background1"/>
          </w:tcPr>
          <w:p w14:paraId="04B8FEF4" w14:textId="77777777" w:rsidR="00701175" w:rsidRPr="00763F69" w:rsidRDefault="00701175" w:rsidP="00C16912">
            <w:pPr>
              <w:pStyle w:val="TableBodyText"/>
              <w:spacing w:before="0" w:after="40"/>
              <w:rPr>
                <w:rFonts w:asciiTheme="majorHAnsi" w:hAnsiTheme="majorHAnsi" w:cstheme="majorHAnsi"/>
                <w:sz w:val="17"/>
                <w:szCs w:val="17"/>
              </w:rPr>
            </w:pPr>
          </w:p>
        </w:tc>
        <w:tc>
          <w:tcPr>
            <w:tcW w:w="353" w:type="pct"/>
            <w:tcBorders>
              <w:left w:val="single" w:sz="4" w:space="0" w:color="auto"/>
              <w:bottom w:val="single" w:sz="4" w:space="0" w:color="auto"/>
            </w:tcBorders>
            <w:shd w:val="clear" w:color="auto" w:fill="FFD9DC"/>
          </w:tcPr>
          <w:p w14:paraId="48198073" w14:textId="77777777" w:rsidR="00701175" w:rsidRPr="00763F69" w:rsidRDefault="00701175" w:rsidP="00C16912">
            <w:pPr>
              <w:pStyle w:val="TableBodyText"/>
              <w:spacing w:before="0" w:after="40"/>
              <w:rPr>
                <w:rFonts w:asciiTheme="majorHAnsi" w:hAnsiTheme="majorHAnsi" w:cstheme="majorHAnsi"/>
                <w:sz w:val="17"/>
                <w:szCs w:val="17"/>
              </w:rPr>
            </w:pPr>
            <w:r w:rsidRPr="00763F69">
              <w:rPr>
                <w:rFonts w:asciiTheme="majorHAnsi" w:hAnsiTheme="majorHAnsi" w:cstheme="majorHAnsi"/>
                <w:sz w:val="17"/>
                <w:szCs w:val="17"/>
              </w:rPr>
              <w:t>Disagree</w:t>
            </w:r>
          </w:p>
        </w:tc>
        <w:tc>
          <w:tcPr>
            <w:tcW w:w="4445" w:type="pct"/>
            <w:tcBorders>
              <w:bottom w:val="single" w:sz="4" w:space="0" w:color="auto"/>
            </w:tcBorders>
            <w:shd w:val="clear" w:color="auto" w:fill="FFD9DC"/>
          </w:tcPr>
          <w:p w14:paraId="1561A342" w14:textId="77777777" w:rsidR="00701175" w:rsidRPr="00864381" w:rsidRDefault="00701175" w:rsidP="00C16912">
            <w:pPr>
              <w:pStyle w:val="TableBullet10"/>
              <w:spacing w:before="0" w:after="40"/>
            </w:pPr>
            <w:r w:rsidRPr="00864381">
              <w:rPr>
                <w:color w:val="800080" w:themeColor="accent6"/>
              </w:rPr>
              <w:t>AGIG, APA, APGA</w:t>
            </w:r>
            <w:r>
              <w:rPr>
                <w:color w:val="800080" w:themeColor="accent6"/>
              </w:rPr>
              <w:t>, ATCO</w:t>
            </w:r>
            <w:r w:rsidRPr="00864381">
              <w:t xml:space="preserve"> and </w:t>
            </w:r>
            <w:r w:rsidRPr="00864381">
              <w:rPr>
                <w:color w:val="800080" w:themeColor="accent6"/>
              </w:rPr>
              <w:t>Jemena</w:t>
            </w:r>
            <w:r w:rsidRPr="00864381">
              <w:t xml:space="preserve"> disagreed that dynamic market power </w:t>
            </w:r>
            <w:r>
              <w:t>was an issue</w:t>
            </w:r>
            <w:r w:rsidRPr="00864381">
              <w:t xml:space="preserve">, with Jemena stating that the case </w:t>
            </w:r>
            <w:r>
              <w:t xml:space="preserve">had not been made </w:t>
            </w:r>
            <w:r w:rsidRPr="00864381">
              <w:t xml:space="preserve">that </w:t>
            </w:r>
            <w:r>
              <w:t xml:space="preserve">dynamic market power was a problem that required </w:t>
            </w:r>
            <w:r w:rsidRPr="00864381">
              <w:t xml:space="preserve">a solution. </w:t>
            </w:r>
          </w:p>
          <w:p w14:paraId="5DC0C888" w14:textId="77777777" w:rsidR="00701175" w:rsidRPr="00763F69" w:rsidRDefault="00701175" w:rsidP="00C16912">
            <w:pPr>
              <w:pStyle w:val="TableBullet10"/>
              <w:spacing w:before="0" w:after="40"/>
              <w:rPr>
                <w:rFonts w:asciiTheme="majorHAnsi" w:hAnsiTheme="majorHAnsi" w:cstheme="majorHAnsi"/>
                <w:sz w:val="17"/>
                <w:szCs w:val="17"/>
              </w:rPr>
            </w:pPr>
            <w:r w:rsidRPr="00864381">
              <w:rPr>
                <w:color w:val="00B050"/>
              </w:rPr>
              <w:t>Energy Matrix</w:t>
            </w:r>
            <w:r w:rsidRPr="00864381">
              <w:t xml:space="preserve"> also disagreed </w:t>
            </w:r>
            <w:r>
              <w:t xml:space="preserve">that this constituted a problem, but agreed that an explicit right to interconnection and pricing principles for interconnections should be included in the regulatory framework. </w:t>
            </w:r>
          </w:p>
        </w:tc>
      </w:tr>
      <w:tr w:rsidR="00701175" w:rsidRPr="00763F69" w14:paraId="2FC1A0CA" w14:textId="77777777" w:rsidTr="00CF688C">
        <w:trPr>
          <w:cnfStyle w:val="000000010000" w:firstRow="0" w:lastRow="0" w:firstColumn="0" w:lastColumn="0" w:oddVBand="0" w:evenVBand="0" w:oddHBand="0" w:evenHBand="1" w:firstRowFirstColumn="0" w:firstRowLastColumn="0" w:lastRowFirstColumn="0" w:lastRowLastColumn="0"/>
          <w:cantSplit/>
        </w:trPr>
        <w:tc>
          <w:tcPr>
            <w:tcW w:w="202" w:type="pct"/>
            <w:vMerge/>
            <w:tcBorders>
              <w:top w:val="nil"/>
              <w:bottom w:val="nil"/>
              <w:right w:val="single" w:sz="4" w:space="0" w:color="auto"/>
            </w:tcBorders>
            <w:shd w:val="clear" w:color="auto" w:fill="FFFFFF" w:themeFill="background1"/>
          </w:tcPr>
          <w:p w14:paraId="0F739C98" w14:textId="77777777" w:rsidR="00701175" w:rsidRPr="00763F69" w:rsidRDefault="00701175" w:rsidP="00C16912">
            <w:pPr>
              <w:pStyle w:val="TableBodyText"/>
              <w:spacing w:before="0" w:after="40"/>
              <w:rPr>
                <w:rFonts w:asciiTheme="majorHAnsi" w:hAnsiTheme="majorHAnsi" w:cstheme="majorHAnsi"/>
                <w:sz w:val="17"/>
                <w:szCs w:val="17"/>
              </w:rPr>
            </w:pPr>
          </w:p>
        </w:tc>
        <w:tc>
          <w:tcPr>
            <w:tcW w:w="353" w:type="pct"/>
            <w:tcBorders>
              <w:left w:val="single" w:sz="4" w:space="0" w:color="auto"/>
              <w:bottom w:val="single" w:sz="4" w:space="0" w:color="auto"/>
            </w:tcBorders>
          </w:tcPr>
          <w:p w14:paraId="614B23D8" w14:textId="77777777" w:rsidR="00701175" w:rsidRPr="00763F69" w:rsidRDefault="00701175" w:rsidP="00C16912">
            <w:pPr>
              <w:pStyle w:val="TableBodyText"/>
              <w:spacing w:before="0" w:after="40"/>
              <w:rPr>
                <w:rFonts w:asciiTheme="majorHAnsi" w:hAnsiTheme="majorHAnsi" w:cstheme="majorHAnsi"/>
                <w:sz w:val="17"/>
                <w:szCs w:val="17"/>
              </w:rPr>
            </w:pPr>
            <w:r w:rsidRPr="00763F69">
              <w:rPr>
                <w:rFonts w:asciiTheme="majorHAnsi" w:hAnsiTheme="majorHAnsi" w:cstheme="majorHAnsi"/>
                <w:sz w:val="17"/>
                <w:szCs w:val="17"/>
              </w:rPr>
              <w:t xml:space="preserve">Other </w:t>
            </w:r>
          </w:p>
        </w:tc>
        <w:tc>
          <w:tcPr>
            <w:tcW w:w="4445" w:type="pct"/>
            <w:tcBorders>
              <w:bottom w:val="single" w:sz="4" w:space="0" w:color="auto"/>
            </w:tcBorders>
          </w:tcPr>
          <w:p w14:paraId="1AAB1141" w14:textId="77777777" w:rsidR="00701175" w:rsidRPr="00763F69" w:rsidRDefault="00701175" w:rsidP="00C16912">
            <w:pPr>
              <w:pStyle w:val="TableBullet10"/>
              <w:spacing w:before="0" w:after="40"/>
              <w:rPr>
                <w:rFonts w:asciiTheme="majorHAnsi" w:hAnsiTheme="majorHAnsi" w:cstheme="majorHAnsi"/>
                <w:sz w:val="17"/>
                <w:szCs w:val="17"/>
              </w:rPr>
            </w:pPr>
            <w:r w:rsidRPr="00F3796C">
              <w:rPr>
                <w:color w:val="D60093"/>
              </w:rPr>
              <w:t xml:space="preserve">APLNG </w:t>
            </w:r>
            <w:r>
              <w:t xml:space="preserve">did not express a view on whether this constituted a problem but agreed that measures should be included in the regulatory framework to constrain the exercise of dynamic market power. </w:t>
            </w:r>
          </w:p>
        </w:tc>
      </w:tr>
    </w:tbl>
    <w:p w14:paraId="3242255F" w14:textId="77777777" w:rsidR="00C5272B" w:rsidRDefault="00C5272B" w:rsidP="002949B4">
      <w:pPr>
        <w:pStyle w:val="BodyText"/>
      </w:pPr>
    </w:p>
    <w:p w14:paraId="2EA08BFF" w14:textId="77777777" w:rsidR="00C5272B" w:rsidRDefault="00C5272B" w:rsidP="002949B4">
      <w:pPr>
        <w:pStyle w:val="BodyText"/>
      </w:pPr>
    </w:p>
    <w:p w14:paraId="60279159" w14:textId="77777777" w:rsidR="00C5272B" w:rsidRDefault="00C5272B" w:rsidP="002949B4">
      <w:pPr>
        <w:pStyle w:val="BodyText"/>
        <w:sectPr w:rsidR="00C5272B" w:rsidSect="00C5272B">
          <w:pgSz w:w="16839" w:h="11907" w:orient="landscape" w:code="9"/>
          <w:pgMar w:top="1361" w:right="1418" w:bottom="992" w:left="1701" w:header="567" w:footer="397" w:gutter="0"/>
          <w:cols w:space="708"/>
          <w:docGrid w:linePitch="360"/>
        </w:sectPr>
      </w:pPr>
    </w:p>
    <w:p w14:paraId="68FFE9C2" w14:textId="25804504" w:rsidR="003C4C01" w:rsidRPr="00164E2A" w:rsidRDefault="003C4C01" w:rsidP="00234929">
      <w:pPr>
        <w:pStyle w:val="Caption"/>
        <w:spacing w:after="0"/>
      </w:pPr>
      <w:bookmarkStart w:id="116" w:name="_Ref53126893"/>
      <w:r>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5</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3</w:t>
      </w:r>
      <w:r w:rsidR="00F323B2">
        <w:rPr>
          <w:noProof/>
        </w:rPr>
        <w:fldChar w:fldCharType="end"/>
      </w:r>
      <w:bookmarkEnd w:id="116"/>
      <w:r>
        <w:t xml:space="preserve">: </w:t>
      </w:r>
      <w:r w:rsidR="00E36826">
        <w:t>Stakeholder f</w:t>
      </w:r>
      <w:r>
        <w:t>eedback on the effectiveness of Part 23</w:t>
      </w:r>
    </w:p>
    <w:tbl>
      <w:tblPr>
        <w:tblStyle w:val="TableGrid"/>
        <w:tblW w:w="5000" w:type="pct"/>
        <w:tblBorders>
          <w:left w:val="single" w:sz="4" w:space="0" w:color="auto"/>
          <w:right w:val="single" w:sz="4" w:space="0" w:color="auto"/>
        </w:tblBorders>
        <w:tblLook w:val="04A0" w:firstRow="1" w:lastRow="0" w:firstColumn="1" w:lastColumn="0" w:noHBand="0" w:noVBand="1"/>
      </w:tblPr>
      <w:tblGrid>
        <w:gridCol w:w="1211"/>
        <w:gridCol w:w="7567"/>
      </w:tblGrid>
      <w:tr w:rsidR="005473CC" w:rsidRPr="00864381" w14:paraId="4D4F8F86" w14:textId="77777777" w:rsidTr="00A507A6">
        <w:trPr>
          <w:cnfStyle w:val="100000000000" w:firstRow="1" w:lastRow="0" w:firstColumn="0" w:lastColumn="0" w:oddVBand="0" w:evenVBand="0" w:oddHBand="0" w:evenHBand="0" w:firstRowFirstColumn="0" w:firstRowLastColumn="0" w:lastRowFirstColumn="0" w:lastRowLastColumn="0"/>
          <w:trHeight w:val="54"/>
          <w:tblHeader/>
        </w:trPr>
        <w:tc>
          <w:tcPr>
            <w:tcW w:w="0" w:type="auto"/>
            <w:shd w:val="clear" w:color="auto" w:fill="002060"/>
          </w:tcPr>
          <w:p w14:paraId="3CB79CEE" w14:textId="77777777" w:rsidR="005473CC" w:rsidRPr="0067016B" w:rsidRDefault="005473CC" w:rsidP="00C16912">
            <w:pPr>
              <w:pStyle w:val="BodyText"/>
              <w:spacing w:before="0" w:after="40"/>
            </w:pPr>
            <w:r w:rsidRPr="0067016B">
              <w:t>Stakeholder</w:t>
            </w:r>
          </w:p>
        </w:tc>
        <w:tc>
          <w:tcPr>
            <w:tcW w:w="7757" w:type="dxa"/>
            <w:shd w:val="clear" w:color="auto" w:fill="002060"/>
          </w:tcPr>
          <w:p w14:paraId="6B0C2E0D" w14:textId="77777777" w:rsidR="005473CC" w:rsidRPr="0067016B" w:rsidRDefault="0067016B" w:rsidP="00C16912">
            <w:pPr>
              <w:pStyle w:val="BodyText"/>
              <w:spacing w:before="0" w:after="40"/>
            </w:pPr>
            <w:r>
              <w:t xml:space="preserve">Feedback </w:t>
            </w:r>
          </w:p>
        </w:tc>
      </w:tr>
      <w:tr w:rsidR="005473CC" w:rsidRPr="00864381" w14:paraId="0DFD7B7F" w14:textId="77777777" w:rsidTr="00A507A6">
        <w:tc>
          <w:tcPr>
            <w:tcW w:w="0" w:type="auto"/>
            <w:shd w:val="clear" w:color="auto" w:fill="FFFFFF" w:themeFill="background1"/>
          </w:tcPr>
          <w:p w14:paraId="0041E99D" w14:textId="77777777" w:rsidR="005473CC" w:rsidRPr="00864381" w:rsidRDefault="005473CC" w:rsidP="00C16912">
            <w:pPr>
              <w:pStyle w:val="ListBullet"/>
              <w:numPr>
                <w:ilvl w:val="0"/>
                <w:numId w:val="0"/>
              </w:numPr>
              <w:spacing w:before="0" w:after="40"/>
              <w:ind w:left="85"/>
            </w:pPr>
            <w:r w:rsidRPr="00FE7D58">
              <w:t xml:space="preserve">ACCC </w:t>
            </w:r>
            <w:r w:rsidRPr="00864381">
              <w:t xml:space="preserve">and </w:t>
            </w:r>
            <w:r w:rsidRPr="00FE7D58">
              <w:t>AER</w:t>
            </w:r>
          </w:p>
        </w:tc>
        <w:tc>
          <w:tcPr>
            <w:tcW w:w="7757" w:type="dxa"/>
            <w:shd w:val="clear" w:color="auto" w:fill="FFFFFF" w:themeFill="background1"/>
          </w:tcPr>
          <w:p w14:paraId="7BABEF05" w14:textId="77777777" w:rsidR="005473CC" w:rsidRPr="00864381" w:rsidRDefault="005473CC" w:rsidP="00C16912">
            <w:pPr>
              <w:pStyle w:val="ListBullet"/>
              <w:numPr>
                <w:ilvl w:val="0"/>
                <w:numId w:val="0"/>
              </w:numPr>
              <w:spacing w:before="0" w:after="40"/>
              <w:ind w:left="85"/>
            </w:pPr>
            <w:r>
              <w:t xml:space="preserve">The </w:t>
            </w:r>
            <w:r w:rsidRPr="00705A9F">
              <w:rPr>
                <w:color w:val="FF0000"/>
              </w:rPr>
              <w:t xml:space="preserve">ACCC </w:t>
            </w:r>
            <w:r>
              <w:t xml:space="preserve">and </w:t>
            </w:r>
            <w:r w:rsidRPr="00705A9F">
              <w:rPr>
                <w:color w:val="FF0000"/>
              </w:rPr>
              <w:t xml:space="preserve">AER </w:t>
            </w:r>
            <w:r>
              <w:t>agreed that Part 23 has been an effective form of regulation, with the ACCC noting that it has p</w:t>
            </w:r>
            <w:r w:rsidRPr="00864381">
              <w:t>rovide</w:t>
            </w:r>
            <w:r>
              <w:t>d a</w:t>
            </w:r>
            <w:r w:rsidRPr="00864381">
              <w:t xml:space="preserve"> more effective constraint on </w:t>
            </w:r>
            <w:r>
              <w:t xml:space="preserve">the </w:t>
            </w:r>
            <w:r w:rsidRPr="00864381">
              <w:t xml:space="preserve">behaviour of </w:t>
            </w:r>
            <w:r>
              <w:t>service providers and f</w:t>
            </w:r>
            <w:r w:rsidRPr="00864381">
              <w:t>acilitate</w:t>
            </w:r>
            <w:r>
              <w:t>d</w:t>
            </w:r>
            <w:r w:rsidRPr="00864381">
              <w:t xml:space="preserve"> more effective negotiations than light regulation.</w:t>
            </w:r>
            <w:r>
              <w:t xml:space="preserve"> The ACCC noted, however, that some improvements would be required to address the issues it had identified with Part 23 and the issues raised in the OGW survey and Brattle work.</w:t>
            </w:r>
          </w:p>
        </w:tc>
      </w:tr>
      <w:tr w:rsidR="005473CC" w:rsidRPr="00864381" w14:paraId="379777EE" w14:textId="77777777" w:rsidTr="00A507A6">
        <w:trPr>
          <w:cnfStyle w:val="000000010000" w:firstRow="0" w:lastRow="0" w:firstColumn="0" w:lastColumn="0" w:oddVBand="0" w:evenVBand="0" w:oddHBand="0" w:evenHBand="1" w:firstRowFirstColumn="0" w:firstRowLastColumn="0" w:lastRowFirstColumn="0" w:lastRowLastColumn="0"/>
          <w:trHeight w:val="960"/>
        </w:trPr>
        <w:tc>
          <w:tcPr>
            <w:tcW w:w="0" w:type="auto"/>
            <w:vMerge w:val="restart"/>
          </w:tcPr>
          <w:p w14:paraId="50776F8F" w14:textId="77777777" w:rsidR="005473CC" w:rsidRPr="00FE7D58" w:rsidRDefault="005473CC" w:rsidP="00C16912">
            <w:pPr>
              <w:pStyle w:val="ListBullet"/>
              <w:numPr>
                <w:ilvl w:val="0"/>
                <w:numId w:val="0"/>
              </w:numPr>
              <w:spacing w:before="0" w:after="40"/>
              <w:ind w:left="85"/>
            </w:pPr>
            <w:r w:rsidRPr="00FE7D58">
              <w:t>Users groups</w:t>
            </w:r>
          </w:p>
        </w:tc>
        <w:tc>
          <w:tcPr>
            <w:tcW w:w="7757" w:type="dxa"/>
          </w:tcPr>
          <w:p w14:paraId="10FF922D" w14:textId="77777777" w:rsidR="005473CC" w:rsidRPr="00F01CC7" w:rsidRDefault="005473CC" w:rsidP="00C16912">
            <w:pPr>
              <w:pStyle w:val="ListBullet"/>
              <w:numPr>
                <w:ilvl w:val="0"/>
                <w:numId w:val="0"/>
              </w:numPr>
              <w:spacing w:before="0" w:after="40"/>
              <w:ind w:left="85"/>
              <w:rPr>
                <w:rFonts w:asciiTheme="majorHAnsi" w:hAnsiTheme="majorHAnsi" w:cstheme="majorHAnsi"/>
                <w:szCs w:val="18"/>
              </w:rPr>
            </w:pPr>
            <w:r w:rsidRPr="00864381">
              <w:t xml:space="preserve">The </w:t>
            </w:r>
            <w:r w:rsidRPr="007D0818">
              <w:rPr>
                <w:color w:val="0000FF"/>
              </w:rPr>
              <w:t xml:space="preserve">EUAA </w:t>
            </w:r>
            <w:r>
              <w:t xml:space="preserve">stated </w:t>
            </w:r>
            <w:r w:rsidRPr="00864381">
              <w:t xml:space="preserve">that: </w:t>
            </w:r>
            <w:r w:rsidRPr="00F01CC7">
              <w:t>“Despite the disappointing experience highlighted in the recent ACCC audit, the EUAA continues to be a strong supporter of the Part 23 reforms and the negotiate arbitrate model in general. At this time, we do not support other models e.g. direct price control.”</w:t>
            </w:r>
            <w:r w:rsidRPr="00F01CC7">
              <w:rPr>
                <w:rFonts w:asciiTheme="majorHAnsi" w:hAnsiTheme="majorHAnsi" w:cstheme="majorHAnsi"/>
                <w:szCs w:val="18"/>
              </w:rPr>
              <w:t xml:space="preserve"> </w:t>
            </w:r>
            <w:r>
              <w:rPr>
                <w:rFonts w:asciiTheme="majorHAnsi" w:hAnsiTheme="majorHAnsi" w:cstheme="majorHAnsi"/>
                <w:szCs w:val="18"/>
              </w:rPr>
              <w:t xml:space="preserve"> The EUAA added that some improvements should be made to address the issues raised in recent reviews undertaken as part of the OGW survey and by the ACCC and Brattle.</w:t>
            </w:r>
          </w:p>
        </w:tc>
      </w:tr>
      <w:tr w:rsidR="005473CC" w:rsidRPr="00864381" w14:paraId="0C48342E" w14:textId="77777777" w:rsidTr="00A507A6">
        <w:trPr>
          <w:trHeight w:val="450"/>
        </w:trPr>
        <w:tc>
          <w:tcPr>
            <w:tcW w:w="0" w:type="auto"/>
            <w:vMerge/>
            <w:shd w:val="clear" w:color="auto" w:fill="E1E2E7" w:themeFill="background2"/>
          </w:tcPr>
          <w:p w14:paraId="48E0A60D" w14:textId="77777777" w:rsidR="005473CC" w:rsidRPr="00FE7D58" w:rsidRDefault="005473CC" w:rsidP="00C16912">
            <w:pPr>
              <w:pStyle w:val="ListBullet"/>
              <w:numPr>
                <w:ilvl w:val="0"/>
                <w:numId w:val="0"/>
              </w:numPr>
              <w:spacing w:before="0" w:after="40"/>
              <w:ind w:left="85"/>
            </w:pPr>
          </w:p>
        </w:tc>
        <w:tc>
          <w:tcPr>
            <w:tcW w:w="7757" w:type="dxa"/>
            <w:shd w:val="clear" w:color="auto" w:fill="FFFFFF" w:themeFill="background1"/>
          </w:tcPr>
          <w:p w14:paraId="6D4F0A3A" w14:textId="77777777" w:rsidR="005473CC" w:rsidRPr="00864381" w:rsidRDefault="005473CC" w:rsidP="00C16912">
            <w:pPr>
              <w:pStyle w:val="ListBullet"/>
              <w:numPr>
                <w:ilvl w:val="0"/>
                <w:numId w:val="0"/>
              </w:numPr>
              <w:spacing w:before="0" w:after="40"/>
              <w:ind w:left="85"/>
            </w:pPr>
            <w:r w:rsidRPr="0015043E">
              <w:rPr>
                <w:color w:val="0000FF"/>
              </w:rPr>
              <w:t xml:space="preserve">Chemistry Australia </w:t>
            </w:r>
            <w:r>
              <w:t>also agreed that Part 23 has been effective, but noted there were opportunities for further improvement to address the issues raised in the OGW survey and by the ACCC and Brattle.</w:t>
            </w:r>
          </w:p>
        </w:tc>
      </w:tr>
      <w:tr w:rsidR="005473CC" w:rsidRPr="00864381" w14:paraId="274689FC" w14:textId="77777777" w:rsidTr="00A507A6">
        <w:trPr>
          <w:cnfStyle w:val="000000010000" w:firstRow="0" w:lastRow="0" w:firstColumn="0" w:lastColumn="0" w:oddVBand="0" w:evenVBand="0" w:oddHBand="0" w:evenHBand="1" w:firstRowFirstColumn="0" w:firstRowLastColumn="0" w:lastRowFirstColumn="0" w:lastRowLastColumn="0"/>
        </w:trPr>
        <w:tc>
          <w:tcPr>
            <w:tcW w:w="0" w:type="auto"/>
            <w:vMerge/>
          </w:tcPr>
          <w:p w14:paraId="49068BC6" w14:textId="77777777" w:rsidR="005473CC" w:rsidRPr="00864381" w:rsidRDefault="005473CC" w:rsidP="00C16912">
            <w:pPr>
              <w:pStyle w:val="ListBullet"/>
              <w:numPr>
                <w:ilvl w:val="0"/>
                <w:numId w:val="0"/>
              </w:numPr>
              <w:spacing w:before="0" w:after="40"/>
              <w:ind w:left="85"/>
            </w:pPr>
          </w:p>
        </w:tc>
        <w:tc>
          <w:tcPr>
            <w:tcW w:w="7757" w:type="dxa"/>
          </w:tcPr>
          <w:p w14:paraId="1B2CF436" w14:textId="77777777" w:rsidR="005473CC" w:rsidRDefault="005473CC" w:rsidP="00C16912">
            <w:pPr>
              <w:pStyle w:val="ListBullet"/>
              <w:numPr>
                <w:ilvl w:val="0"/>
                <w:numId w:val="0"/>
              </w:numPr>
              <w:spacing w:before="0" w:after="40"/>
              <w:ind w:left="85"/>
            </w:pPr>
            <w:r>
              <w:t xml:space="preserve">The </w:t>
            </w:r>
            <w:r w:rsidRPr="007D0818">
              <w:rPr>
                <w:color w:val="0000FF"/>
              </w:rPr>
              <w:t xml:space="preserve">MEU </w:t>
            </w:r>
            <w:r>
              <w:t>stated that Part 23 has:</w:t>
            </w:r>
          </w:p>
          <w:p w14:paraId="26A187D2" w14:textId="77777777" w:rsidR="005473CC" w:rsidRPr="00864381" w:rsidRDefault="005473CC" w:rsidP="00C16912">
            <w:pPr>
              <w:pStyle w:val="TableBullet10"/>
              <w:spacing w:before="0" w:after="40"/>
            </w:pPr>
            <w:r>
              <w:t xml:space="preserve">assisted large shippers get better outcomes and that improved information and the availability of arbitration has </w:t>
            </w:r>
            <w:r w:rsidRPr="00864381">
              <w:t xml:space="preserve">helped to reduce </w:t>
            </w:r>
            <w:r>
              <w:t>some of the imbalance in bargaining power and information asymmetry, but “not to the extent needed to fully inform end users with sufficient data to debate issues on an equal footing” and not to the extent that would be achieved under full regulation</w:t>
            </w:r>
            <w:r w:rsidR="000F1895">
              <w:t>; and</w:t>
            </w:r>
          </w:p>
          <w:p w14:paraId="1DE452B7" w14:textId="77777777" w:rsidR="005473CC" w:rsidRDefault="005473CC" w:rsidP="00C16912">
            <w:pPr>
              <w:pStyle w:val="TableBullet10"/>
              <w:spacing w:before="0" w:after="40"/>
            </w:pPr>
            <w:r>
              <w:t>not benefited s</w:t>
            </w:r>
            <w:r w:rsidRPr="00864381">
              <w:t>mall</w:t>
            </w:r>
            <w:r>
              <w:t xml:space="preserve"> shippers, because “they first have to know Part 23 exists but even if they do know, it has not provided much benefit at all, mainly due to cost barriers”. </w:t>
            </w:r>
          </w:p>
          <w:p w14:paraId="5B45FEA3" w14:textId="77777777" w:rsidR="005473CC" w:rsidRPr="00864381" w:rsidRDefault="005473CC" w:rsidP="00676696">
            <w:pPr>
              <w:pStyle w:val="ListBullet"/>
              <w:numPr>
                <w:ilvl w:val="0"/>
                <w:numId w:val="0"/>
              </w:numPr>
              <w:spacing w:before="0" w:after="40"/>
              <w:ind w:left="85"/>
            </w:pPr>
            <w:r w:rsidRPr="00864381">
              <w:t xml:space="preserve">The MEU </w:t>
            </w:r>
            <w:r>
              <w:t xml:space="preserve">also stated that it did not think the outcomes were cost effective for end users, because they “still face </w:t>
            </w:r>
            <w:r w:rsidRPr="00864381">
              <w:t>considerable costs just to get an equitable outcome</w:t>
            </w:r>
            <w:r>
              <w:t xml:space="preserve">”.  </w:t>
            </w:r>
          </w:p>
        </w:tc>
      </w:tr>
      <w:tr w:rsidR="005473CC" w:rsidRPr="00864381" w14:paraId="1C121490" w14:textId="77777777" w:rsidTr="00A507A6">
        <w:tc>
          <w:tcPr>
            <w:tcW w:w="0" w:type="auto"/>
            <w:vMerge/>
          </w:tcPr>
          <w:p w14:paraId="5828490F" w14:textId="77777777" w:rsidR="005473CC" w:rsidRPr="00864381" w:rsidRDefault="005473CC" w:rsidP="00C16912">
            <w:pPr>
              <w:pStyle w:val="ListBullet"/>
              <w:numPr>
                <w:ilvl w:val="0"/>
                <w:numId w:val="0"/>
              </w:numPr>
              <w:spacing w:before="0" w:after="40"/>
              <w:ind w:left="85"/>
            </w:pPr>
          </w:p>
        </w:tc>
        <w:tc>
          <w:tcPr>
            <w:tcW w:w="7757" w:type="dxa"/>
          </w:tcPr>
          <w:p w14:paraId="1C87AD5A" w14:textId="77777777" w:rsidR="005473CC" w:rsidRPr="00864381" w:rsidRDefault="005473CC" w:rsidP="00C16912">
            <w:pPr>
              <w:pStyle w:val="ListBullet"/>
              <w:numPr>
                <w:ilvl w:val="0"/>
                <w:numId w:val="0"/>
              </w:numPr>
              <w:spacing w:before="0" w:after="40"/>
              <w:ind w:left="85"/>
            </w:pPr>
            <w:r w:rsidRPr="00864381">
              <w:t xml:space="preserve">The </w:t>
            </w:r>
            <w:r w:rsidRPr="007D0818">
              <w:rPr>
                <w:color w:val="0000FF"/>
              </w:rPr>
              <w:t xml:space="preserve">ECA </w:t>
            </w:r>
            <w:r>
              <w:t xml:space="preserve">noted that “the framework created under Part 23 of the NGR for non-scheme pipelines would appear to be the most </w:t>
            </w:r>
            <w:r w:rsidRPr="00864381">
              <w:t>appropriate framework</w:t>
            </w:r>
            <w:r>
              <w:t>”.</w:t>
            </w:r>
          </w:p>
        </w:tc>
      </w:tr>
      <w:tr w:rsidR="005473CC" w:rsidRPr="00864381" w14:paraId="0E45685C" w14:textId="77777777" w:rsidTr="00A507A6">
        <w:trPr>
          <w:cnfStyle w:val="000000010000" w:firstRow="0" w:lastRow="0" w:firstColumn="0" w:lastColumn="0" w:oddVBand="0" w:evenVBand="0" w:oddHBand="0" w:evenHBand="1" w:firstRowFirstColumn="0" w:firstRowLastColumn="0" w:lastRowFirstColumn="0" w:lastRowLastColumn="0"/>
        </w:trPr>
        <w:tc>
          <w:tcPr>
            <w:tcW w:w="0" w:type="auto"/>
            <w:vMerge w:val="restart"/>
            <w:shd w:val="clear" w:color="auto" w:fill="FFFFFF" w:themeFill="background1"/>
          </w:tcPr>
          <w:p w14:paraId="7CAB9AFF" w14:textId="77777777" w:rsidR="005473CC" w:rsidRPr="00FE7D58" w:rsidRDefault="005473CC" w:rsidP="00C16912">
            <w:pPr>
              <w:pStyle w:val="ListBullet"/>
              <w:numPr>
                <w:ilvl w:val="0"/>
                <w:numId w:val="0"/>
              </w:numPr>
              <w:spacing w:before="0" w:after="40"/>
              <w:ind w:left="85"/>
              <w:rPr>
                <w:color w:val="800080"/>
              </w:rPr>
            </w:pPr>
            <w:r w:rsidRPr="00FE7D58">
              <w:t>Producers</w:t>
            </w:r>
          </w:p>
        </w:tc>
        <w:tc>
          <w:tcPr>
            <w:tcW w:w="7757" w:type="dxa"/>
          </w:tcPr>
          <w:p w14:paraId="5E661BCD" w14:textId="77777777" w:rsidR="005473CC" w:rsidRPr="00864381" w:rsidRDefault="005473CC" w:rsidP="00C16912">
            <w:pPr>
              <w:pStyle w:val="ListBullet"/>
              <w:numPr>
                <w:ilvl w:val="0"/>
                <w:numId w:val="0"/>
              </w:numPr>
              <w:spacing w:before="0" w:after="40"/>
              <w:ind w:left="85"/>
            </w:pPr>
            <w:r w:rsidRPr="007D0818">
              <w:rPr>
                <w:color w:val="D60093"/>
              </w:rPr>
              <w:t xml:space="preserve">APPEA </w:t>
            </w:r>
            <w:r>
              <w:t xml:space="preserve">stated that </w:t>
            </w:r>
            <w:r w:rsidRPr="00864381">
              <w:t xml:space="preserve">Part 23 </w:t>
            </w:r>
            <w:r>
              <w:t>has “</w:t>
            </w:r>
            <w:r w:rsidRPr="00864381">
              <w:t>brought substantially more disclosure and led</w:t>
            </w:r>
            <w:r>
              <w:t xml:space="preserve"> to</w:t>
            </w:r>
            <w:r w:rsidRPr="00864381">
              <w:t xml:space="preserve"> great market transparency</w:t>
            </w:r>
            <w:r>
              <w:t>”, but noted there is opportunity for further improvement.</w:t>
            </w:r>
          </w:p>
        </w:tc>
      </w:tr>
      <w:tr w:rsidR="005473CC" w:rsidRPr="00864381" w14:paraId="7C841538" w14:textId="77777777" w:rsidTr="00A507A6">
        <w:tc>
          <w:tcPr>
            <w:tcW w:w="0" w:type="auto"/>
            <w:vMerge/>
            <w:shd w:val="clear" w:color="auto" w:fill="FFFFFF" w:themeFill="background1"/>
          </w:tcPr>
          <w:p w14:paraId="17C13F95" w14:textId="77777777" w:rsidR="005473CC" w:rsidRPr="00864381" w:rsidRDefault="005473CC" w:rsidP="00C16912">
            <w:pPr>
              <w:pStyle w:val="ListBullet"/>
              <w:numPr>
                <w:ilvl w:val="0"/>
                <w:numId w:val="0"/>
              </w:numPr>
              <w:spacing w:before="0" w:after="40"/>
              <w:ind w:left="85"/>
            </w:pPr>
          </w:p>
        </w:tc>
        <w:tc>
          <w:tcPr>
            <w:tcW w:w="7757" w:type="dxa"/>
          </w:tcPr>
          <w:p w14:paraId="6BB0E668" w14:textId="77777777" w:rsidR="005473CC" w:rsidRPr="00864381" w:rsidRDefault="005473CC" w:rsidP="00C16912">
            <w:pPr>
              <w:pStyle w:val="ListBullet"/>
              <w:numPr>
                <w:ilvl w:val="0"/>
                <w:numId w:val="0"/>
              </w:numPr>
              <w:spacing w:before="0" w:after="40"/>
              <w:ind w:left="85"/>
            </w:pPr>
            <w:r w:rsidRPr="00705A9F">
              <w:rPr>
                <w:color w:val="D60093"/>
              </w:rPr>
              <w:t xml:space="preserve">APLNG </w:t>
            </w:r>
            <w:r>
              <w:t>stated that Part 23 “has been g</w:t>
            </w:r>
            <w:r w:rsidRPr="00864381">
              <w:t>enerally effective</w:t>
            </w:r>
            <w:r>
              <w:t xml:space="preserve"> since it was introduced” but it supported making improvements to “further enhance the regime”</w:t>
            </w:r>
            <w:r w:rsidRPr="00864381">
              <w:t>.</w:t>
            </w:r>
            <w:r>
              <w:t xml:space="preserve"> </w:t>
            </w:r>
          </w:p>
        </w:tc>
      </w:tr>
      <w:tr w:rsidR="005473CC" w:rsidRPr="00864381" w14:paraId="4C68CB4E" w14:textId="77777777" w:rsidTr="00A507A6">
        <w:trPr>
          <w:cnfStyle w:val="000000010000" w:firstRow="0" w:lastRow="0" w:firstColumn="0" w:lastColumn="0" w:oddVBand="0" w:evenVBand="0" w:oddHBand="0" w:evenHBand="1" w:firstRowFirstColumn="0" w:firstRowLastColumn="0" w:lastRowFirstColumn="0" w:lastRowLastColumn="0"/>
        </w:trPr>
        <w:tc>
          <w:tcPr>
            <w:tcW w:w="0" w:type="auto"/>
            <w:vMerge/>
            <w:tcBorders>
              <w:bottom w:val="single" w:sz="4" w:space="0" w:color="auto"/>
            </w:tcBorders>
            <w:shd w:val="clear" w:color="auto" w:fill="FFFFFF" w:themeFill="background1"/>
          </w:tcPr>
          <w:p w14:paraId="722F05D8" w14:textId="77777777" w:rsidR="005473CC" w:rsidRPr="00864381" w:rsidRDefault="005473CC" w:rsidP="00C16912">
            <w:pPr>
              <w:pStyle w:val="ListBullet"/>
              <w:numPr>
                <w:ilvl w:val="0"/>
                <w:numId w:val="0"/>
              </w:numPr>
              <w:spacing w:before="0" w:after="40"/>
              <w:ind w:left="85"/>
            </w:pPr>
          </w:p>
        </w:tc>
        <w:tc>
          <w:tcPr>
            <w:tcW w:w="7757" w:type="dxa"/>
          </w:tcPr>
          <w:p w14:paraId="11001D18" w14:textId="34E954BD" w:rsidR="005473CC" w:rsidRPr="00864381" w:rsidRDefault="005473CC" w:rsidP="00C16912">
            <w:pPr>
              <w:pStyle w:val="ListBullet"/>
              <w:numPr>
                <w:ilvl w:val="0"/>
                <w:numId w:val="0"/>
              </w:numPr>
              <w:spacing w:before="0" w:after="40"/>
              <w:ind w:left="85"/>
              <w:rPr>
                <w:rFonts w:asciiTheme="majorHAnsi" w:hAnsiTheme="majorHAnsi" w:cstheme="majorHAnsi"/>
              </w:rPr>
            </w:pPr>
            <w:r w:rsidRPr="00F84BC3">
              <w:rPr>
                <w:color w:val="D60093"/>
              </w:rPr>
              <w:t xml:space="preserve">Shell </w:t>
            </w:r>
            <w:r>
              <w:t xml:space="preserve">stated it </w:t>
            </w:r>
            <w:r w:rsidRPr="00864381">
              <w:t>has not used Part 23 to date</w:t>
            </w:r>
            <w:r>
              <w:t xml:space="preserve">, so was </w:t>
            </w:r>
            <w:r w:rsidRPr="00864381">
              <w:t>unable to comment on its effectiveness</w:t>
            </w:r>
            <w:r>
              <w:t>.</w:t>
            </w:r>
          </w:p>
        </w:tc>
      </w:tr>
      <w:tr w:rsidR="005473CC" w:rsidRPr="00864381" w14:paraId="17A51AE4" w14:textId="77777777" w:rsidTr="00A507A6">
        <w:trPr>
          <w:trHeight w:val="471"/>
        </w:trPr>
        <w:tc>
          <w:tcPr>
            <w:tcW w:w="0" w:type="auto"/>
            <w:shd w:val="clear" w:color="auto" w:fill="E1E2E7" w:themeFill="background2"/>
          </w:tcPr>
          <w:p w14:paraId="6B4C41E8" w14:textId="77777777" w:rsidR="005473CC" w:rsidRPr="00864381" w:rsidRDefault="005473CC" w:rsidP="00C16912">
            <w:pPr>
              <w:pStyle w:val="ListBullet"/>
              <w:numPr>
                <w:ilvl w:val="0"/>
                <w:numId w:val="0"/>
              </w:numPr>
              <w:spacing w:before="0" w:after="40"/>
              <w:ind w:left="85"/>
            </w:pPr>
            <w:r w:rsidRPr="00FE7D58">
              <w:t xml:space="preserve">Retailers </w:t>
            </w:r>
          </w:p>
        </w:tc>
        <w:tc>
          <w:tcPr>
            <w:tcW w:w="7757" w:type="dxa"/>
          </w:tcPr>
          <w:p w14:paraId="67894190" w14:textId="77777777" w:rsidR="005473CC" w:rsidRPr="00864381" w:rsidRDefault="005473CC" w:rsidP="00C16912">
            <w:pPr>
              <w:pStyle w:val="ListBullet"/>
              <w:numPr>
                <w:ilvl w:val="0"/>
                <w:numId w:val="0"/>
              </w:numPr>
              <w:spacing w:before="0" w:after="40"/>
              <w:ind w:left="85"/>
            </w:pPr>
            <w:r w:rsidRPr="002C1481">
              <w:rPr>
                <w:color w:val="00B0F0"/>
              </w:rPr>
              <w:t xml:space="preserve">Origin </w:t>
            </w:r>
            <w:r>
              <w:t xml:space="preserve">stated that it was “generally satisfied with the application of </w:t>
            </w:r>
            <w:r w:rsidRPr="00864381">
              <w:t>Part 23</w:t>
            </w:r>
            <w:r>
              <w:t>, which has improved the level of information transparency related to non-scheme pipelines and established a credible threat of regulation for the benefit of shippers”.</w:t>
            </w:r>
            <w:r w:rsidRPr="00864381">
              <w:t xml:space="preserve"> </w:t>
            </w:r>
          </w:p>
        </w:tc>
      </w:tr>
      <w:tr w:rsidR="005473CC" w:rsidRPr="00864381" w14:paraId="76DBB5F1" w14:textId="77777777" w:rsidTr="00A507A6">
        <w:trPr>
          <w:cnfStyle w:val="000000010000" w:firstRow="0" w:lastRow="0" w:firstColumn="0" w:lastColumn="0" w:oddVBand="0" w:evenVBand="0" w:oddHBand="0" w:evenHBand="1" w:firstRowFirstColumn="0" w:firstRowLastColumn="0" w:lastRowFirstColumn="0" w:lastRowLastColumn="0"/>
          <w:trHeight w:val="471"/>
        </w:trPr>
        <w:tc>
          <w:tcPr>
            <w:tcW w:w="0" w:type="auto"/>
            <w:vMerge w:val="restart"/>
            <w:shd w:val="clear" w:color="auto" w:fill="FFFFFF" w:themeFill="background1"/>
          </w:tcPr>
          <w:p w14:paraId="34054DAF" w14:textId="77777777" w:rsidR="005473CC" w:rsidRPr="00FE7D58" w:rsidRDefault="005473CC" w:rsidP="00C16912">
            <w:pPr>
              <w:pStyle w:val="ListBullet"/>
              <w:numPr>
                <w:ilvl w:val="0"/>
                <w:numId w:val="0"/>
              </w:numPr>
              <w:spacing w:before="0" w:after="40"/>
              <w:ind w:left="85"/>
            </w:pPr>
            <w:r w:rsidRPr="004F3116">
              <w:t>Service providers</w:t>
            </w:r>
          </w:p>
        </w:tc>
        <w:tc>
          <w:tcPr>
            <w:tcW w:w="7757" w:type="dxa"/>
          </w:tcPr>
          <w:p w14:paraId="4A81F689" w14:textId="77777777" w:rsidR="005473CC" w:rsidRPr="00864381" w:rsidRDefault="005473CC" w:rsidP="00C16912">
            <w:pPr>
              <w:pStyle w:val="ListBullet"/>
              <w:numPr>
                <w:ilvl w:val="0"/>
                <w:numId w:val="0"/>
              </w:numPr>
              <w:spacing w:before="0" w:after="40"/>
              <w:ind w:left="85"/>
              <w:rPr>
                <w:rFonts w:asciiTheme="majorHAnsi" w:hAnsiTheme="majorHAnsi" w:cstheme="majorHAnsi"/>
                <w:szCs w:val="18"/>
              </w:rPr>
            </w:pPr>
            <w:r w:rsidRPr="00612A58">
              <w:rPr>
                <w:color w:val="800080"/>
              </w:rPr>
              <w:t xml:space="preserve">AGIG </w:t>
            </w:r>
            <w:r>
              <w:t>stated that it was t</w:t>
            </w:r>
            <w:r w:rsidRPr="00864381">
              <w:t xml:space="preserve">oo early to </w:t>
            </w:r>
            <w:r>
              <w:t xml:space="preserve">test </w:t>
            </w:r>
            <w:r w:rsidRPr="00864381">
              <w:t>if Part 23 is addressing market power</w:t>
            </w:r>
            <w:r>
              <w:t xml:space="preserve">, but noted that the early stage of implementation suggests reforms should look to improve its operation rather than re-write its overarching intent. </w:t>
            </w:r>
          </w:p>
        </w:tc>
      </w:tr>
      <w:tr w:rsidR="005473CC" w:rsidRPr="00864381" w14:paraId="6A4C4F5C" w14:textId="77777777" w:rsidTr="00A507A6">
        <w:trPr>
          <w:trHeight w:val="70"/>
        </w:trPr>
        <w:tc>
          <w:tcPr>
            <w:tcW w:w="0" w:type="auto"/>
            <w:vMerge/>
            <w:shd w:val="clear" w:color="auto" w:fill="FFFFFF" w:themeFill="background1"/>
          </w:tcPr>
          <w:p w14:paraId="65DFC606" w14:textId="77777777" w:rsidR="005473CC" w:rsidRPr="00FE7D58" w:rsidRDefault="005473CC" w:rsidP="00C16912">
            <w:pPr>
              <w:pStyle w:val="ListBullet"/>
              <w:spacing w:before="0" w:after="40"/>
            </w:pPr>
          </w:p>
        </w:tc>
        <w:tc>
          <w:tcPr>
            <w:tcW w:w="7757" w:type="dxa"/>
          </w:tcPr>
          <w:p w14:paraId="54BCCE89" w14:textId="77777777" w:rsidR="005473CC" w:rsidRPr="00612A58" w:rsidRDefault="005473CC" w:rsidP="00C16912">
            <w:pPr>
              <w:pStyle w:val="ListBullet"/>
              <w:numPr>
                <w:ilvl w:val="0"/>
                <w:numId w:val="0"/>
              </w:numPr>
              <w:spacing w:before="0" w:after="40"/>
              <w:ind w:left="85"/>
              <w:rPr>
                <w:color w:val="800080"/>
              </w:rPr>
            </w:pPr>
            <w:r w:rsidRPr="000D33B5">
              <w:rPr>
                <w:color w:val="800080"/>
              </w:rPr>
              <w:t xml:space="preserve">APA </w:t>
            </w:r>
            <w:r>
              <w:t xml:space="preserve">stated that “Part 23 is working well and as intended”. </w:t>
            </w:r>
          </w:p>
        </w:tc>
      </w:tr>
      <w:tr w:rsidR="00D21913" w:rsidRPr="00864381" w14:paraId="302F81ED" w14:textId="77777777" w:rsidTr="00A507A6">
        <w:trPr>
          <w:cnfStyle w:val="000000010000" w:firstRow="0" w:lastRow="0" w:firstColumn="0" w:lastColumn="0" w:oddVBand="0" w:evenVBand="0" w:oddHBand="0" w:evenHBand="1" w:firstRowFirstColumn="0" w:firstRowLastColumn="0" w:lastRowFirstColumn="0" w:lastRowLastColumn="0"/>
          <w:trHeight w:val="70"/>
        </w:trPr>
        <w:tc>
          <w:tcPr>
            <w:tcW w:w="0" w:type="auto"/>
            <w:vMerge/>
            <w:shd w:val="clear" w:color="auto" w:fill="FFFFFF" w:themeFill="background1"/>
          </w:tcPr>
          <w:p w14:paraId="0C8D645A" w14:textId="77777777" w:rsidR="00D21913" w:rsidRPr="00FE7D58" w:rsidRDefault="00D21913" w:rsidP="00C16912">
            <w:pPr>
              <w:pStyle w:val="ListBullet"/>
              <w:spacing w:before="0" w:after="40"/>
            </w:pPr>
          </w:p>
        </w:tc>
        <w:tc>
          <w:tcPr>
            <w:tcW w:w="7757" w:type="dxa"/>
          </w:tcPr>
          <w:p w14:paraId="274F81B3" w14:textId="77777777" w:rsidR="00D21913" w:rsidRPr="000D33B5" w:rsidRDefault="00D21913" w:rsidP="00C16912">
            <w:pPr>
              <w:pStyle w:val="ListBullet"/>
              <w:numPr>
                <w:ilvl w:val="0"/>
                <w:numId w:val="0"/>
              </w:numPr>
              <w:spacing w:before="0" w:after="40"/>
              <w:ind w:left="85"/>
              <w:rPr>
                <w:rFonts w:asciiTheme="majorHAnsi" w:hAnsiTheme="majorHAnsi" w:cstheme="majorHAnsi"/>
                <w:bCs/>
                <w:color w:val="800080"/>
              </w:rPr>
            </w:pPr>
            <w:r w:rsidRPr="00C43C91">
              <w:rPr>
                <w:rFonts w:asciiTheme="majorHAnsi" w:hAnsiTheme="majorHAnsi" w:cstheme="majorHAnsi"/>
                <w:bCs/>
                <w:color w:val="800080"/>
              </w:rPr>
              <w:t xml:space="preserve">APGA </w:t>
            </w:r>
            <w:r>
              <w:rPr>
                <w:rFonts w:asciiTheme="majorHAnsi" w:hAnsiTheme="majorHAnsi" w:cstheme="majorHAnsi"/>
                <w:bCs/>
              </w:rPr>
              <w:t>stated</w:t>
            </w:r>
            <w:r w:rsidRPr="004F3116">
              <w:rPr>
                <w:rFonts w:asciiTheme="majorHAnsi" w:hAnsiTheme="majorHAnsi" w:cstheme="majorHAnsi"/>
                <w:bCs/>
              </w:rPr>
              <w:t xml:space="preserve"> that Part 23 “has been </w:t>
            </w:r>
            <w:r w:rsidRPr="004F3116">
              <w:t xml:space="preserve">a good news story, resulting in excellent progress improving the market experience for pipeline customers. The commercially-oriented negotiate-arbitrate framework under Part 23 is working well, with plenty of progress still to come.” APGA </w:t>
            </w:r>
            <w:r>
              <w:t>noted</w:t>
            </w:r>
            <w:r w:rsidRPr="004F3116">
              <w:t xml:space="preserve">, however, that </w:t>
            </w:r>
            <w:r w:rsidRPr="004F3116">
              <w:rPr>
                <w:rFonts w:asciiTheme="majorHAnsi" w:hAnsiTheme="majorHAnsi" w:cstheme="majorHAnsi"/>
                <w:bCs/>
              </w:rPr>
              <w:t>improvements</w:t>
            </w:r>
            <w:r>
              <w:rPr>
                <w:rFonts w:asciiTheme="majorHAnsi" w:hAnsiTheme="majorHAnsi" w:cstheme="majorHAnsi"/>
                <w:bCs/>
              </w:rPr>
              <w:t xml:space="preserve"> to information </w:t>
            </w:r>
            <w:r w:rsidRPr="004F3116">
              <w:rPr>
                <w:rFonts w:asciiTheme="majorHAnsi" w:hAnsiTheme="majorHAnsi" w:cstheme="majorHAnsi"/>
                <w:bCs/>
              </w:rPr>
              <w:t>disclosures</w:t>
            </w:r>
            <w:r>
              <w:rPr>
                <w:rFonts w:asciiTheme="majorHAnsi" w:hAnsiTheme="majorHAnsi" w:cstheme="majorHAnsi"/>
                <w:bCs/>
              </w:rPr>
              <w:t xml:space="preserve"> were required.</w:t>
            </w:r>
          </w:p>
        </w:tc>
      </w:tr>
      <w:tr w:rsidR="005473CC" w:rsidRPr="00864381" w14:paraId="17312772" w14:textId="77777777" w:rsidTr="00A507A6">
        <w:trPr>
          <w:trHeight w:val="70"/>
        </w:trPr>
        <w:tc>
          <w:tcPr>
            <w:tcW w:w="0" w:type="auto"/>
            <w:vMerge/>
            <w:shd w:val="clear" w:color="auto" w:fill="FFFFFF" w:themeFill="background1"/>
          </w:tcPr>
          <w:p w14:paraId="29982908" w14:textId="77777777" w:rsidR="005473CC" w:rsidRPr="00FE7D58" w:rsidRDefault="005473CC" w:rsidP="00C16912">
            <w:pPr>
              <w:pStyle w:val="ListBullet"/>
              <w:spacing w:before="0" w:after="40"/>
            </w:pPr>
          </w:p>
        </w:tc>
        <w:tc>
          <w:tcPr>
            <w:tcW w:w="7757" w:type="dxa"/>
          </w:tcPr>
          <w:p w14:paraId="4D6AD9C5" w14:textId="77777777" w:rsidR="005473CC" w:rsidRPr="000D33B5" w:rsidRDefault="005473CC" w:rsidP="00C16912">
            <w:pPr>
              <w:pStyle w:val="ListBullet"/>
              <w:numPr>
                <w:ilvl w:val="0"/>
                <w:numId w:val="0"/>
              </w:numPr>
              <w:spacing w:before="0" w:after="40"/>
              <w:ind w:left="85"/>
              <w:rPr>
                <w:color w:val="800080"/>
              </w:rPr>
            </w:pPr>
            <w:r>
              <w:rPr>
                <w:color w:val="800080"/>
              </w:rPr>
              <w:t xml:space="preserve">ATCO </w:t>
            </w:r>
            <w:r w:rsidRPr="00B27DFD">
              <w:t xml:space="preserve">noted that while it was generally supportive of the application of Part 23 to transmission pipelines, it has concerns that the “legislation is unintentionally too wide in its scope and…that the inclusion of distribution pipelines is unnecessary and does not support efficient outcomes for consumers and market participants”. </w:t>
            </w:r>
          </w:p>
        </w:tc>
      </w:tr>
      <w:tr w:rsidR="005473CC" w:rsidRPr="00864381" w14:paraId="123A4E8E" w14:textId="77777777" w:rsidTr="00A507A6">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tcPr>
          <w:p w14:paraId="53C301D3" w14:textId="77777777" w:rsidR="005473CC" w:rsidRPr="00864381" w:rsidRDefault="005473CC" w:rsidP="00C16912">
            <w:pPr>
              <w:pStyle w:val="ListBullet"/>
              <w:numPr>
                <w:ilvl w:val="0"/>
                <w:numId w:val="0"/>
              </w:numPr>
              <w:spacing w:before="0" w:after="40"/>
              <w:ind w:left="85"/>
            </w:pPr>
          </w:p>
        </w:tc>
        <w:tc>
          <w:tcPr>
            <w:tcW w:w="7757" w:type="dxa"/>
          </w:tcPr>
          <w:p w14:paraId="7B29EB71" w14:textId="77777777" w:rsidR="005473CC" w:rsidRPr="00864381" w:rsidRDefault="005473CC" w:rsidP="00C16912">
            <w:pPr>
              <w:pStyle w:val="ListBullet"/>
              <w:numPr>
                <w:ilvl w:val="0"/>
                <w:numId w:val="0"/>
              </w:numPr>
              <w:spacing w:before="0" w:after="40"/>
              <w:ind w:left="85"/>
            </w:pPr>
            <w:r w:rsidRPr="00DB13D0">
              <w:rPr>
                <w:color w:val="800080"/>
              </w:rPr>
              <w:t xml:space="preserve">Epic </w:t>
            </w:r>
            <w:r>
              <w:t xml:space="preserve">stated that Part 23 has been an effective measure, noting that “service providers and shippers agree that Part 23 has been positive”.  Epic also noted that some improvements could be made to address the issues identified in recent reviews. </w:t>
            </w:r>
          </w:p>
        </w:tc>
      </w:tr>
      <w:tr w:rsidR="005473CC" w:rsidRPr="00864381" w14:paraId="457E3592" w14:textId="77777777" w:rsidTr="00A507A6">
        <w:tc>
          <w:tcPr>
            <w:tcW w:w="0" w:type="auto"/>
            <w:vMerge/>
            <w:shd w:val="clear" w:color="auto" w:fill="FFFFFF" w:themeFill="background1"/>
          </w:tcPr>
          <w:p w14:paraId="61E464D7" w14:textId="77777777" w:rsidR="005473CC" w:rsidRPr="00864381" w:rsidRDefault="005473CC" w:rsidP="00C16912">
            <w:pPr>
              <w:pStyle w:val="ListBullet"/>
              <w:numPr>
                <w:ilvl w:val="0"/>
                <w:numId w:val="0"/>
              </w:numPr>
              <w:spacing w:before="0" w:after="40"/>
              <w:ind w:left="85"/>
            </w:pPr>
          </w:p>
        </w:tc>
        <w:tc>
          <w:tcPr>
            <w:tcW w:w="7757" w:type="dxa"/>
          </w:tcPr>
          <w:p w14:paraId="11FD8258" w14:textId="77777777" w:rsidR="005473CC" w:rsidRPr="00864381" w:rsidRDefault="005473CC" w:rsidP="00C16912">
            <w:pPr>
              <w:pStyle w:val="ListBullet"/>
              <w:numPr>
                <w:ilvl w:val="0"/>
                <w:numId w:val="0"/>
              </w:numPr>
              <w:spacing w:before="0" w:after="40"/>
              <w:ind w:left="85"/>
            </w:pPr>
            <w:r w:rsidRPr="00C43C91">
              <w:rPr>
                <w:color w:val="800080"/>
              </w:rPr>
              <w:t xml:space="preserve">Jemena </w:t>
            </w:r>
            <w:r>
              <w:t xml:space="preserve">noted that the introduction of Part 23 has “gone a long way to addressing the concerns raised” but noted it was still being ‘bedded down’. </w:t>
            </w:r>
          </w:p>
        </w:tc>
      </w:tr>
      <w:tr w:rsidR="005473CC" w:rsidRPr="00864381" w14:paraId="7B97C01D" w14:textId="77777777" w:rsidTr="00A507A6">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tcPr>
          <w:p w14:paraId="15DA0672" w14:textId="77777777" w:rsidR="005473CC" w:rsidRPr="00864381" w:rsidRDefault="005473CC" w:rsidP="00C16912">
            <w:pPr>
              <w:pStyle w:val="ListBullet"/>
              <w:numPr>
                <w:ilvl w:val="0"/>
                <w:numId w:val="0"/>
              </w:numPr>
              <w:spacing w:before="0" w:after="40"/>
              <w:ind w:left="85"/>
            </w:pPr>
          </w:p>
        </w:tc>
        <w:tc>
          <w:tcPr>
            <w:tcW w:w="7757" w:type="dxa"/>
          </w:tcPr>
          <w:p w14:paraId="6836062C" w14:textId="77777777" w:rsidR="005473CC" w:rsidRPr="003C1612" w:rsidRDefault="005473CC" w:rsidP="00C16912">
            <w:pPr>
              <w:pStyle w:val="ListBullet"/>
              <w:numPr>
                <w:ilvl w:val="0"/>
                <w:numId w:val="0"/>
              </w:numPr>
              <w:spacing w:before="0" w:after="40"/>
              <w:ind w:left="85"/>
            </w:pPr>
            <w:r w:rsidRPr="00C43C91">
              <w:rPr>
                <w:color w:val="800080"/>
              </w:rPr>
              <w:t>TGP</w:t>
            </w:r>
            <w:r>
              <w:rPr>
                <w:color w:val="800080"/>
              </w:rPr>
              <w:t xml:space="preserve"> </w:t>
            </w:r>
            <w:r w:rsidRPr="005473CC">
              <w:t xml:space="preserve">did not express a view on the effectiveness of Part 23, but expressed some concerns about the potential for the framework to favour shippers, noting that “shippers are encouraged to negotiate the pipeline down and then “roll the dice” at arbitration in the expectation that they can continue to negotiate post arbitration if the arbitrator’s outcome does not meet the shipper’s expectations.” </w:t>
            </w:r>
          </w:p>
        </w:tc>
      </w:tr>
    </w:tbl>
    <w:p w14:paraId="56D9177E" w14:textId="77777777" w:rsidR="009D604C" w:rsidRDefault="009D604C" w:rsidP="00E25827">
      <w:pPr>
        <w:pStyle w:val="Heading3"/>
      </w:pPr>
      <w:bookmarkStart w:id="117" w:name="_Ref60387298"/>
      <w:r>
        <w:lastRenderedPageBreak/>
        <w:t>Conclusion on problems with this aspect of the regulatory framework</w:t>
      </w:r>
      <w:bookmarkEnd w:id="117"/>
    </w:p>
    <w:p w14:paraId="616719FC" w14:textId="77777777" w:rsidR="0033540A" w:rsidRDefault="000D3444" w:rsidP="00EB301E">
      <w:pPr>
        <w:pStyle w:val="BodyText"/>
        <w:spacing w:before="120"/>
      </w:pPr>
      <w:r>
        <w:t xml:space="preserve">Having regard </w:t>
      </w:r>
      <w:r w:rsidR="000B2F1C">
        <w:t xml:space="preserve">to the results of </w:t>
      </w:r>
      <w:r>
        <w:t>prior reviews</w:t>
      </w:r>
      <w:r w:rsidR="004B7626">
        <w:t xml:space="preserve"> and the feedback provided by stakeholders, </w:t>
      </w:r>
      <w:r w:rsidR="00A2030B">
        <w:t>it would appear that</w:t>
      </w:r>
      <w:r w:rsidR="00751B6B">
        <w:t xml:space="preserve"> the three potential problems identified in the Consultation RIS are in fact problems with the current regulatory framework</w:t>
      </w:r>
      <w:r w:rsidR="0033540A">
        <w:t xml:space="preserve">. </w:t>
      </w:r>
    </w:p>
    <w:p w14:paraId="4B5CB0E3" w14:textId="77777777" w:rsidR="00EB301E" w:rsidRDefault="00B60E2B" w:rsidP="00EF556C">
      <w:pPr>
        <w:pStyle w:val="BodyText"/>
        <w:spacing w:before="120"/>
      </w:pPr>
      <w:r>
        <w:t xml:space="preserve">While it has not been possible to quantify the effect of these problems, they can be expected to have a </w:t>
      </w:r>
      <w:r w:rsidR="008066A7">
        <w:t>detrimental effect on economic efficiency</w:t>
      </w:r>
      <w:r w:rsidR="00613FD8">
        <w:t>,</w:t>
      </w:r>
      <w:r w:rsidR="008066A7">
        <w:t xml:space="preserve"> consumers </w:t>
      </w:r>
      <w:r w:rsidR="00613FD8">
        <w:t>and the broader economy</w:t>
      </w:r>
      <w:r w:rsidR="00EB301E">
        <w:t xml:space="preserve"> because they are:</w:t>
      </w:r>
    </w:p>
    <w:p w14:paraId="3DFAD439" w14:textId="77777777" w:rsidR="00EB301E" w:rsidRDefault="00EB301E" w:rsidP="00AD36B8">
      <w:pPr>
        <w:pStyle w:val="ListBullet"/>
      </w:pPr>
      <w:r>
        <w:t>leaving shippers exposed to exercises of market power by service providers, which can result in lower than efficient levels of consumption, production and investment across the gas market, upstream and downstream markets, and the broader economy;</w:t>
      </w:r>
    </w:p>
    <w:p w14:paraId="5AAC6DCA" w14:textId="77777777" w:rsidR="00EB301E" w:rsidRDefault="00EB301E" w:rsidP="00AD36B8">
      <w:pPr>
        <w:pStyle w:val="ListBullet"/>
      </w:pPr>
      <w:r>
        <w:t>imposing unnecessary costs on shippers, service providers and regulators; and</w:t>
      </w:r>
    </w:p>
    <w:p w14:paraId="23FCCB7B" w14:textId="77777777" w:rsidR="00EB301E" w:rsidRDefault="00EB301E" w:rsidP="00AD36B8">
      <w:pPr>
        <w:pStyle w:val="ListBullet"/>
      </w:pPr>
      <w:r>
        <w:t>inhibiting competition from new pipelines and, in so doing, preventing the efficiency gains associated with competition from flowing through to the gas market, upstream and downstream markets and the broader economy</w:t>
      </w:r>
    </w:p>
    <w:p w14:paraId="3416F325" w14:textId="6E157D6A" w:rsidR="00E86CB0" w:rsidRDefault="00017909" w:rsidP="00EF556C">
      <w:pPr>
        <w:pStyle w:val="BodyText"/>
        <w:spacing w:before="120"/>
        <w:rPr>
          <w:rFonts w:asciiTheme="majorHAnsi" w:hAnsiTheme="majorHAnsi" w:cstheme="majorHAnsi"/>
        </w:rPr>
      </w:pPr>
      <w:r>
        <w:t xml:space="preserve">They </w:t>
      </w:r>
      <w:r w:rsidR="00E86CB0">
        <w:t xml:space="preserve">can therefore be viewed as </w:t>
      </w:r>
      <w:r w:rsidR="00055A96">
        <w:t xml:space="preserve">both a </w:t>
      </w:r>
      <w:r w:rsidR="00E86CB0" w:rsidRPr="006B4639">
        <w:t xml:space="preserve">market </w:t>
      </w:r>
      <w:r w:rsidR="00055A96">
        <w:t xml:space="preserve">failure </w:t>
      </w:r>
      <w:r w:rsidR="0072037A">
        <w:t xml:space="preserve">and </w:t>
      </w:r>
      <w:r w:rsidR="00055A96">
        <w:t xml:space="preserve">a </w:t>
      </w:r>
      <w:r w:rsidR="0072037A">
        <w:t xml:space="preserve">regulatory </w:t>
      </w:r>
      <w:r w:rsidR="00055A96">
        <w:t xml:space="preserve">issue </w:t>
      </w:r>
      <w:r w:rsidR="00E86CB0">
        <w:t xml:space="preserve">that warrant </w:t>
      </w:r>
      <w:r w:rsidR="00E86CB0">
        <w:rPr>
          <w:rFonts w:asciiTheme="majorHAnsi" w:hAnsiTheme="majorHAnsi" w:cstheme="majorHAnsi"/>
        </w:rPr>
        <w:t xml:space="preserve">further action by the </w:t>
      </w:r>
      <w:r w:rsidR="00E86CB0" w:rsidRPr="00807EA1">
        <w:t>Energy National Cabinet Reform Committee</w:t>
      </w:r>
      <w:r w:rsidR="00E86CB0" w:rsidRPr="006B4639">
        <w:rPr>
          <w:rFonts w:asciiTheme="majorHAnsi" w:hAnsiTheme="majorHAnsi" w:cstheme="majorHAnsi"/>
        </w:rPr>
        <w:t>.</w:t>
      </w:r>
    </w:p>
    <w:p w14:paraId="6F7A9487" w14:textId="77777777" w:rsidR="008E5360" w:rsidRDefault="008E5360" w:rsidP="008E5360">
      <w:pPr>
        <w:pStyle w:val="Heading2"/>
      </w:pPr>
      <w:bookmarkStart w:id="118" w:name="_Toc62219411"/>
      <w:bookmarkEnd w:id="114"/>
      <w:r>
        <w:t>What options were identified in the Consultation RIS to address the problems and what feedback was provided</w:t>
      </w:r>
      <w:r w:rsidRPr="006B4639">
        <w:t>?</w:t>
      </w:r>
      <w:bookmarkEnd w:id="118"/>
    </w:p>
    <w:p w14:paraId="4CA0E0D3" w14:textId="77777777" w:rsidR="001900B2" w:rsidRDefault="001900B2" w:rsidP="001900B2">
      <w:pPr>
        <w:pStyle w:val="Heading3"/>
      </w:pPr>
      <w:r>
        <w:t xml:space="preserve">Options identified in the Consultation RIS </w:t>
      </w:r>
    </w:p>
    <w:p w14:paraId="52DDDA24" w14:textId="127FF483" w:rsidR="00D34BF6" w:rsidRPr="006B4639" w:rsidRDefault="009600BF" w:rsidP="00D34BF6">
      <w:pPr>
        <w:pStyle w:val="BodyText"/>
      </w:pPr>
      <w:r>
        <w:fldChar w:fldCharType="begin" w:fldLock="1"/>
      </w:r>
      <w:r>
        <w:instrText xml:space="preserve"> REF _Ref52271744 \h </w:instrText>
      </w:r>
      <w:r>
        <w:fldChar w:fldCharType="separate"/>
      </w:r>
      <w:r w:rsidR="00036405" w:rsidRPr="006B4639">
        <w:t xml:space="preserve">Table </w:t>
      </w:r>
      <w:r w:rsidR="00036405">
        <w:rPr>
          <w:noProof/>
        </w:rPr>
        <w:t>5</w:t>
      </w:r>
      <w:r w:rsidR="00036405">
        <w:t>.</w:t>
      </w:r>
      <w:r w:rsidR="00036405">
        <w:rPr>
          <w:noProof/>
        </w:rPr>
        <w:t>4</w:t>
      </w:r>
      <w:r>
        <w:fldChar w:fldCharType="end"/>
      </w:r>
      <w:r w:rsidR="00D34BF6" w:rsidRPr="006B4639">
        <w:t xml:space="preserve"> </w:t>
      </w:r>
      <w:r w:rsidR="00C30FAF" w:rsidRPr="006B4639">
        <w:t xml:space="preserve">provides a summary of the options that </w:t>
      </w:r>
      <w:r w:rsidR="00C30FAF">
        <w:t>were identified in the Consultation RIS</w:t>
      </w:r>
      <w:r w:rsidR="001900B2">
        <w:t xml:space="preserve"> to address the problems outlined above</w:t>
      </w:r>
      <w:r w:rsidR="00C30FAF">
        <w:t>.</w:t>
      </w:r>
    </w:p>
    <w:p w14:paraId="2406689A" w14:textId="0BAF5D0E" w:rsidR="004A793A" w:rsidRPr="006B4639" w:rsidDel="00E200E0" w:rsidRDefault="004A793A" w:rsidP="003F5EDF">
      <w:pPr>
        <w:pStyle w:val="Caption"/>
        <w:spacing w:after="0"/>
      </w:pPr>
      <w:bookmarkStart w:id="119" w:name="_Ref52271744"/>
      <w:r w:rsidRPr="006B4639">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5</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4</w:t>
      </w:r>
      <w:r w:rsidR="00F323B2">
        <w:rPr>
          <w:noProof/>
        </w:rPr>
        <w:fldChar w:fldCharType="end"/>
      </w:r>
      <w:bookmarkEnd w:id="119"/>
      <w:r w:rsidRPr="006B4639">
        <w:t xml:space="preserve">: </w:t>
      </w:r>
      <w:r w:rsidR="00A83230">
        <w:t>O</w:t>
      </w:r>
      <w:r w:rsidRPr="006B4639">
        <w:t>ptions</w:t>
      </w:r>
      <w:r w:rsidR="00A83230">
        <w:t xml:space="preserve"> identified in the Consultation RIS </w:t>
      </w:r>
    </w:p>
    <w:tbl>
      <w:tblPr>
        <w:tblStyle w:val="TableGrid"/>
        <w:tblW w:w="5162" w:type="pct"/>
        <w:tblLook w:val="04A0" w:firstRow="1" w:lastRow="0" w:firstColumn="1" w:lastColumn="0" w:noHBand="0" w:noVBand="1"/>
      </w:tblPr>
      <w:tblGrid>
        <w:gridCol w:w="2127"/>
        <w:gridCol w:w="6946"/>
      </w:tblGrid>
      <w:tr w:rsidR="004A793A" w:rsidRPr="006B4639" w14:paraId="3A1F41AF" w14:textId="77777777" w:rsidTr="00527534">
        <w:trPr>
          <w:cnfStyle w:val="100000000000" w:firstRow="1" w:lastRow="0" w:firstColumn="0" w:lastColumn="0" w:oddVBand="0" w:evenVBand="0" w:oddHBand="0" w:evenHBand="0" w:firstRowFirstColumn="0" w:firstRowLastColumn="0" w:lastRowFirstColumn="0" w:lastRowLastColumn="0"/>
          <w:tblHeader/>
        </w:trPr>
        <w:tc>
          <w:tcPr>
            <w:tcW w:w="1172" w:type="pct"/>
            <w:shd w:val="clear" w:color="auto" w:fill="002060"/>
          </w:tcPr>
          <w:p w14:paraId="24E7A766" w14:textId="77777777" w:rsidR="004A793A" w:rsidRPr="006B4639" w:rsidRDefault="00D35D13" w:rsidP="001533BD">
            <w:pPr>
              <w:pStyle w:val="TableHeading"/>
              <w:keepNext/>
              <w:spacing w:before="40" w:after="40" w:line="252" w:lineRule="auto"/>
            </w:pPr>
            <w:r>
              <w:t>Potential p</w:t>
            </w:r>
            <w:r w:rsidR="00D34BF6" w:rsidRPr="006B4639">
              <w:t>roblem</w:t>
            </w:r>
          </w:p>
        </w:tc>
        <w:tc>
          <w:tcPr>
            <w:tcW w:w="3828" w:type="pct"/>
            <w:shd w:val="clear" w:color="auto" w:fill="002060"/>
          </w:tcPr>
          <w:p w14:paraId="660DCA85" w14:textId="77777777" w:rsidR="004A793A" w:rsidRPr="006B4639" w:rsidRDefault="004A793A" w:rsidP="001533BD">
            <w:pPr>
              <w:pStyle w:val="TableHeading"/>
              <w:keepNext/>
              <w:spacing w:before="40" w:after="40" w:line="252" w:lineRule="auto"/>
            </w:pPr>
            <w:r w:rsidRPr="006B4639">
              <w:t>Policy options</w:t>
            </w:r>
          </w:p>
        </w:tc>
      </w:tr>
      <w:tr w:rsidR="00ED24B1" w:rsidRPr="006B4639" w14:paraId="1AA8864C" w14:textId="77777777" w:rsidTr="00313430">
        <w:tc>
          <w:tcPr>
            <w:tcW w:w="1172" w:type="pct"/>
          </w:tcPr>
          <w:p w14:paraId="5C27A998" w14:textId="77777777" w:rsidR="00ED24B1" w:rsidRPr="006B4639" w:rsidRDefault="00ED24B1" w:rsidP="001533BD">
            <w:pPr>
              <w:pStyle w:val="TableBodyText"/>
              <w:keepNext/>
              <w:spacing w:before="40" w:after="40" w:line="252" w:lineRule="auto"/>
            </w:pPr>
            <w:r w:rsidRPr="00864381">
              <w:rPr>
                <w:bCs/>
              </w:rPr>
              <w:t xml:space="preserve">Inconsistencies and overlap between Part 23 and light regulation increase </w:t>
            </w:r>
            <w:r w:rsidR="00313430">
              <w:rPr>
                <w:bCs/>
              </w:rPr>
              <w:t xml:space="preserve">regulatory </w:t>
            </w:r>
            <w:r w:rsidRPr="00864381">
              <w:rPr>
                <w:bCs/>
              </w:rPr>
              <w:t>complexity and administrative burden and impose unnecessary costs on parties</w:t>
            </w:r>
          </w:p>
        </w:tc>
        <w:tc>
          <w:tcPr>
            <w:tcW w:w="3828" w:type="pct"/>
          </w:tcPr>
          <w:p w14:paraId="78A20FF2" w14:textId="77777777" w:rsidR="00ED24B1" w:rsidRPr="006B4639" w:rsidRDefault="00ED24B1" w:rsidP="000A3668">
            <w:pPr>
              <w:pStyle w:val="TableBodyText"/>
              <w:keepNext/>
              <w:numPr>
                <w:ilvl w:val="0"/>
                <w:numId w:val="119"/>
              </w:numPr>
              <w:ind w:left="442" w:hanging="357"/>
            </w:pPr>
            <w:r w:rsidRPr="006B4639">
              <w:t>Maintain the existing forms of regulation (status quo)</w:t>
            </w:r>
            <w:r>
              <w:t>; or</w:t>
            </w:r>
          </w:p>
          <w:p w14:paraId="7C4AAE0C" w14:textId="77777777" w:rsidR="00ED24B1" w:rsidRPr="006B4639" w:rsidRDefault="00ED24B1" w:rsidP="000A3668">
            <w:pPr>
              <w:pStyle w:val="TableBodyText"/>
              <w:keepNext/>
              <w:numPr>
                <w:ilvl w:val="0"/>
                <w:numId w:val="119"/>
              </w:numPr>
              <w:ind w:left="442" w:hanging="357"/>
            </w:pPr>
            <w:r>
              <w:t>Simplify the regulatory framework by a</w:t>
            </w:r>
            <w:r w:rsidRPr="006B4639">
              <w:t>dopt</w:t>
            </w:r>
            <w:r>
              <w:t>ing</w:t>
            </w:r>
            <w:r w:rsidRPr="006B4639">
              <w:t xml:space="preserve"> two forms of regulation, with:</w:t>
            </w:r>
          </w:p>
          <w:p w14:paraId="5803FB5E" w14:textId="77777777" w:rsidR="00ED24B1" w:rsidRPr="006B4639" w:rsidRDefault="00ED24B1" w:rsidP="000A3668">
            <w:pPr>
              <w:pStyle w:val="TableListNumber"/>
              <w:keepNext/>
              <w:numPr>
                <w:ilvl w:val="0"/>
                <w:numId w:val="99"/>
              </w:numPr>
              <w:spacing w:before="40" w:after="40" w:line="252" w:lineRule="auto"/>
            </w:pPr>
            <w:r>
              <w:t>t</w:t>
            </w:r>
            <w:r w:rsidRPr="006B4639">
              <w:t xml:space="preserve">he </w:t>
            </w:r>
            <w:r>
              <w:t>stronger</w:t>
            </w:r>
            <w:r w:rsidRPr="006B4639">
              <w:t xml:space="preserve"> form of regulation based on either: </w:t>
            </w:r>
          </w:p>
          <w:p w14:paraId="2BCF2C7A" w14:textId="77777777" w:rsidR="00ED24B1" w:rsidRPr="006B4639" w:rsidRDefault="00ED24B1" w:rsidP="000A3668">
            <w:pPr>
              <w:pStyle w:val="TableListNumber"/>
              <w:keepNext/>
              <w:numPr>
                <w:ilvl w:val="0"/>
                <w:numId w:val="72"/>
              </w:numPr>
              <w:spacing w:before="40" w:after="40" w:line="252" w:lineRule="auto"/>
              <w:ind w:left="1156" w:hanging="357"/>
            </w:pPr>
            <w:r w:rsidRPr="006B4639">
              <w:t xml:space="preserve">full regulation (i.e. negotiate-arbitrate with reference tariffs); or </w:t>
            </w:r>
          </w:p>
          <w:p w14:paraId="45EA0A4E" w14:textId="77777777" w:rsidR="00ED24B1" w:rsidRPr="006B4639" w:rsidRDefault="00ED24B1" w:rsidP="000A3668">
            <w:pPr>
              <w:pStyle w:val="TableListNumber"/>
              <w:keepNext/>
              <w:numPr>
                <w:ilvl w:val="0"/>
                <w:numId w:val="72"/>
              </w:numPr>
              <w:spacing w:before="40" w:after="40" w:line="252" w:lineRule="auto"/>
              <w:ind w:left="1156" w:hanging="357"/>
            </w:pPr>
            <w:r w:rsidRPr="006B4639">
              <w:t>direct price (revenue) control;</w:t>
            </w:r>
          </w:p>
          <w:p w14:paraId="3E9A1ED7" w14:textId="77777777" w:rsidR="00ED24B1" w:rsidRDefault="00ED24B1" w:rsidP="000A3668">
            <w:pPr>
              <w:pStyle w:val="TableListNumber"/>
              <w:keepNext/>
              <w:numPr>
                <w:ilvl w:val="0"/>
                <w:numId w:val="99"/>
              </w:numPr>
              <w:spacing w:before="40" w:after="40" w:line="252" w:lineRule="auto"/>
            </w:pPr>
            <w:r>
              <w:t>t</w:t>
            </w:r>
            <w:r w:rsidRPr="006B4639">
              <w:t xml:space="preserve">he </w:t>
            </w:r>
            <w:r w:rsidR="00531979">
              <w:t>lighter</w:t>
            </w:r>
            <w:r w:rsidRPr="006B4639">
              <w:t xml:space="preserve"> form of regulation based on</w:t>
            </w:r>
            <w:r>
              <w:t xml:space="preserve"> either</w:t>
            </w:r>
            <w:r w:rsidRPr="006B4639">
              <w:t>:</w:t>
            </w:r>
          </w:p>
          <w:p w14:paraId="399DE30A" w14:textId="77777777" w:rsidR="00ED24B1" w:rsidRDefault="00B439DA" w:rsidP="000A3668">
            <w:pPr>
              <w:pStyle w:val="TableListNumber"/>
              <w:keepNext/>
              <w:numPr>
                <w:ilvl w:val="0"/>
                <w:numId w:val="73"/>
              </w:numPr>
              <w:spacing w:before="40" w:after="40" w:line="252" w:lineRule="auto"/>
              <w:ind w:left="1156" w:hanging="357"/>
            </w:pPr>
            <w:r>
              <w:t>t</w:t>
            </w:r>
            <w:r w:rsidR="00ED24B1">
              <w:t xml:space="preserve">he application of the </w:t>
            </w:r>
            <w:r w:rsidR="00ED24B1" w:rsidRPr="008A2706">
              <w:rPr>
                <w:b/>
                <w:bCs/>
              </w:rPr>
              <w:t>same approach</w:t>
            </w:r>
            <w:r w:rsidR="00ED24B1">
              <w:t xml:space="preserve"> for transmission and distribution pipelines, with the options including:</w:t>
            </w:r>
          </w:p>
          <w:p w14:paraId="791BD4AA" w14:textId="77777777" w:rsidR="00ED24B1" w:rsidRDefault="00ED24B1" w:rsidP="000A3668">
            <w:pPr>
              <w:pStyle w:val="TableListNumber"/>
              <w:keepNext/>
              <w:numPr>
                <w:ilvl w:val="1"/>
                <w:numId w:val="97"/>
              </w:numPr>
              <w:spacing w:before="40" w:after="40" w:line="252" w:lineRule="auto"/>
              <w:ind w:hanging="303"/>
            </w:pPr>
            <w:r w:rsidRPr="006B4639">
              <w:t>light regulation;</w:t>
            </w:r>
          </w:p>
          <w:p w14:paraId="3BBA7C63" w14:textId="77777777" w:rsidR="00ED24B1" w:rsidRDefault="00ED24B1" w:rsidP="000A3668">
            <w:pPr>
              <w:pStyle w:val="TableListNumber"/>
              <w:keepNext/>
              <w:numPr>
                <w:ilvl w:val="1"/>
                <w:numId w:val="97"/>
              </w:numPr>
              <w:spacing w:before="40" w:after="40" w:line="252" w:lineRule="auto"/>
              <w:ind w:hanging="303"/>
            </w:pPr>
            <w:r w:rsidRPr="006B4639">
              <w:t>Part 23; or</w:t>
            </w:r>
          </w:p>
          <w:p w14:paraId="7C42BAE7" w14:textId="77777777" w:rsidR="005407D0" w:rsidRDefault="00ED24B1" w:rsidP="000A3668">
            <w:pPr>
              <w:pStyle w:val="TableListNumber"/>
              <w:keepNext/>
              <w:numPr>
                <w:ilvl w:val="1"/>
                <w:numId w:val="97"/>
              </w:numPr>
              <w:spacing w:line="252" w:lineRule="auto"/>
              <w:ind w:hanging="303"/>
            </w:pPr>
            <w:r>
              <w:t>a</w:t>
            </w:r>
            <w:r w:rsidRPr="006B4639">
              <w:t xml:space="preserve"> strengthened Part 23 </w:t>
            </w:r>
            <w:r w:rsidR="00F05453">
              <w:t xml:space="preserve">– that is </w:t>
            </w:r>
            <w:r w:rsidRPr="006B4639">
              <w:t>the existing Part 23 plus</w:t>
            </w:r>
            <w:r w:rsidR="00F05453">
              <w:t xml:space="preserve"> the following</w:t>
            </w:r>
            <w:r w:rsidRPr="006B4639">
              <w:t xml:space="preserve"> safeguards available under light regulation</w:t>
            </w:r>
            <w:r w:rsidR="00F05453">
              <w:t>:</w:t>
            </w:r>
            <w:r w:rsidR="00246B49">
              <w:t xml:space="preserve"> </w:t>
            </w:r>
          </w:p>
          <w:p w14:paraId="27092110" w14:textId="77777777" w:rsidR="005407D0" w:rsidRDefault="005407D0" w:rsidP="005407D0">
            <w:pPr>
              <w:pStyle w:val="TableListNumber"/>
              <w:keepNext/>
              <w:numPr>
                <w:ilvl w:val="0"/>
                <w:numId w:val="0"/>
              </w:numPr>
              <w:spacing w:line="252" w:lineRule="auto"/>
              <w:ind w:left="1440"/>
            </w:pPr>
            <w:r>
              <w:t>i.</w:t>
            </w:r>
            <w:r w:rsidR="00246B49">
              <w:t xml:space="preserve"> </w:t>
            </w:r>
            <w:r w:rsidR="00F05453" w:rsidRPr="00246B49">
              <w:t>the prohibition on preventing or hindering access;</w:t>
            </w:r>
            <w:r w:rsidR="00246B49">
              <w:t xml:space="preserve"> </w:t>
            </w:r>
          </w:p>
          <w:p w14:paraId="24462114" w14:textId="77777777" w:rsidR="005407D0" w:rsidRDefault="005407D0" w:rsidP="005407D0">
            <w:pPr>
              <w:pStyle w:val="TableListNumber"/>
              <w:keepNext/>
              <w:numPr>
                <w:ilvl w:val="0"/>
                <w:numId w:val="0"/>
              </w:numPr>
              <w:spacing w:line="252" w:lineRule="auto"/>
              <w:ind w:left="1440"/>
            </w:pPr>
            <w:r>
              <w:t>ii.</w:t>
            </w:r>
            <w:r w:rsidR="00246B49">
              <w:t xml:space="preserve"> </w:t>
            </w:r>
            <w:r w:rsidR="00F05453" w:rsidRPr="00246B49">
              <w:t xml:space="preserve">the prohibition on bundling services unless reasonably necessary; </w:t>
            </w:r>
          </w:p>
          <w:p w14:paraId="316FD3EF" w14:textId="77777777" w:rsidR="005407D0" w:rsidRDefault="005407D0" w:rsidP="005407D0">
            <w:pPr>
              <w:pStyle w:val="TableListNumber"/>
              <w:keepNext/>
              <w:numPr>
                <w:ilvl w:val="0"/>
                <w:numId w:val="0"/>
              </w:numPr>
              <w:spacing w:line="252" w:lineRule="auto"/>
              <w:ind w:left="1440"/>
            </w:pPr>
            <w:r>
              <w:t xml:space="preserve">iii. </w:t>
            </w:r>
            <w:r w:rsidR="00F05453" w:rsidRPr="00246B49">
              <w:t>the prohibition on inefficient price discrimination;</w:t>
            </w:r>
            <w:r w:rsidR="00124864">
              <w:t xml:space="preserve"> </w:t>
            </w:r>
          </w:p>
          <w:p w14:paraId="2A223F3C" w14:textId="77777777" w:rsidR="005407D0" w:rsidRDefault="005407D0" w:rsidP="005407D0">
            <w:pPr>
              <w:pStyle w:val="TableListNumber"/>
              <w:keepNext/>
              <w:numPr>
                <w:ilvl w:val="0"/>
                <w:numId w:val="0"/>
              </w:numPr>
              <w:spacing w:line="252" w:lineRule="auto"/>
              <w:ind w:left="1440"/>
            </w:pPr>
            <w:r>
              <w:t xml:space="preserve">iv. </w:t>
            </w:r>
            <w:r w:rsidR="00F05453" w:rsidRPr="00124864">
              <w:t>the ring fencing and associate contract provisions; and</w:t>
            </w:r>
            <w:r w:rsidR="00124864">
              <w:t xml:space="preserve"> </w:t>
            </w:r>
          </w:p>
          <w:p w14:paraId="7EE0983E" w14:textId="77777777" w:rsidR="00ED24B1" w:rsidRPr="00527534" w:rsidRDefault="005407D0" w:rsidP="005407D0">
            <w:pPr>
              <w:pStyle w:val="TableListNumber"/>
              <w:keepNext/>
              <w:numPr>
                <w:ilvl w:val="0"/>
                <w:numId w:val="0"/>
              </w:numPr>
              <w:spacing w:line="252" w:lineRule="auto"/>
              <w:ind w:left="1440"/>
            </w:pPr>
            <w:r>
              <w:t xml:space="preserve">v. </w:t>
            </w:r>
            <w:r w:rsidR="00124864" w:rsidRPr="0036115E">
              <w:t xml:space="preserve">other </w:t>
            </w:r>
            <w:r w:rsidR="00124864">
              <w:t xml:space="preserve">measures </w:t>
            </w:r>
            <w:r w:rsidR="00124864" w:rsidRPr="0036115E">
              <w:t>in the NGL and NGR</w:t>
            </w:r>
            <w:r w:rsidR="00124864">
              <w:t xml:space="preserve">, including those </w:t>
            </w:r>
            <w:r w:rsidR="00124864" w:rsidRPr="0036115E">
              <w:t xml:space="preserve">relating to queuing, extensions and expansions, capacity trading, </w:t>
            </w:r>
            <w:r w:rsidR="00124864">
              <w:t xml:space="preserve">and </w:t>
            </w:r>
            <w:r w:rsidR="00124864" w:rsidRPr="0036115E">
              <w:t>changes to receipt and delivery points</w:t>
            </w:r>
            <w:r w:rsidR="00527534">
              <w:t xml:space="preserve">; </w:t>
            </w:r>
            <w:r w:rsidR="00963B49" w:rsidRPr="00527534">
              <w:t>or</w:t>
            </w:r>
          </w:p>
          <w:p w14:paraId="093D6C40" w14:textId="77777777" w:rsidR="00ED24B1" w:rsidRDefault="00B439DA" w:rsidP="000A3668">
            <w:pPr>
              <w:pStyle w:val="TableListNumber"/>
              <w:keepNext/>
              <w:numPr>
                <w:ilvl w:val="0"/>
                <w:numId w:val="73"/>
              </w:numPr>
              <w:spacing w:before="40" w:after="40" w:line="252" w:lineRule="auto"/>
              <w:ind w:left="1156" w:hanging="357"/>
            </w:pPr>
            <w:r>
              <w:t>t</w:t>
            </w:r>
            <w:r w:rsidR="00ED24B1">
              <w:t xml:space="preserve">he application of a </w:t>
            </w:r>
            <w:r w:rsidR="00ED24B1" w:rsidRPr="008A2706">
              <w:rPr>
                <w:b/>
                <w:bCs/>
              </w:rPr>
              <w:t>different</w:t>
            </w:r>
            <w:r w:rsidR="00ED24B1">
              <w:t xml:space="preserve"> form of light regulation to distribution pipelines, with the options including:</w:t>
            </w:r>
          </w:p>
          <w:p w14:paraId="146E921E" w14:textId="77777777" w:rsidR="00ED24B1" w:rsidRDefault="00ED24B1" w:rsidP="000A3668">
            <w:pPr>
              <w:pStyle w:val="TableListNumber"/>
              <w:keepNext/>
              <w:numPr>
                <w:ilvl w:val="0"/>
                <w:numId w:val="98"/>
              </w:numPr>
              <w:spacing w:before="40" w:after="40" w:line="252" w:lineRule="auto"/>
              <w:ind w:left="1441" w:hanging="301"/>
            </w:pPr>
            <w:r>
              <w:t xml:space="preserve">the default price path used in NZ; or </w:t>
            </w:r>
          </w:p>
          <w:p w14:paraId="70E84B95" w14:textId="77777777" w:rsidR="00E9242C" w:rsidRPr="00963B49" w:rsidRDefault="00ED24B1" w:rsidP="000A3668">
            <w:pPr>
              <w:pStyle w:val="TableListNumber"/>
              <w:keepNext/>
              <w:numPr>
                <w:ilvl w:val="0"/>
                <w:numId w:val="98"/>
              </w:numPr>
              <w:spacing w:before="40" w:after="40" w:line="252" w:lineRule="auto"/>
              <w:ind w:left="1441" w:hanging="301"/>
            </w:pPr>
            <w:r>
              <w:t xml:space="preserve">the negotiated settlements approach used in the US and Canada. </w:t>
            </w:r>
          </w:p>
        </w:tc>
      </w:tr>
      <w:tr w:rsidR="006C736D" w:rsidRPr="006B4639" w14:paraId="4D28B5EA" w14:textId="77777777" w:rsidTr="00313430">
        <w:trPr>
          <w:cnfStyle w:val="000000010000" w:firstRow="0" w:lastRow="0" w:firstColumn="0" w:lastColumn="0" w:oddVBand="0" w:evenVBand="0" w:oddHBand="0" w:evenHBand="1" w:firstRowFirstColumn="0" w:firstRowLastColumn="0" w:lastRowFirstColumn="0" w:lastRowLastColumn="0"/>
        </w:trPr>
        <w:tc>
          <w:tcPr>
            <w:tcW w:w="1172" w:type="pct"/>
          </w:tcPr>
          <w:p w14:paraId="4E34CC21" w14:textId="77777777" w:rsidR="006C736D" w:rsidRPr="00864381" w:rsidRDefault="006C736D" w:rsidP="001533BD">
            <w:pPr>
              <w:keepNext/>
              <w:spacing w:before="40" w:after="40" w:line="252" w:lineRule="auto"/>
              <w:rPr>
                <w:rFonts w:cs="Arial"/>
                <w:bCs/>
              </w:rPr>
            </w:pPr>
            <w:r>
              <w:rPr>
                <w:rFonts w:cs="Arial"/>
                <w:bCs/>
              </w:rPr>
              <w:t>Under-regulation</w:t>
            </w:r>
            <w:r w:rsidRPr="00864381">
              <w:rPr>
                <w:rFonts w:cs="Arial"/>
                <w:bCs/>
              </w:rPr>
              <w:t xml:space="preserve"> as a result of the coverage test being used as a gateway between Part 23 and full regulation</w:t>
            </w:r>
          </w:p>
          <w:p w14:paraId="5A87E282" w14:textId="77777777" w:rsidR="006C736D" w:rsidRPr="006B4639" w:rsidRDefault="006C736D" w:rsidP="001533BD">
            <w:pPr>
              <w:pStyle w:val="TableBodyText"/>
              <w:keepNext/>
              <w:spacing w:before="40" w:after="40" w:line="252" w:lineRule="auto"/>
              <w:rPr>
                <w:szCs w:val="18"/>
              </w:rPr>
            </w:pPr>
          </w:p>
        </w:tc>
        <w:tc>
          <w:tcPr>
            <w:tcW w:w="3828" w:type="pct"/>
          </w:tcPr>
          <w:p w14:paraId="2A096ADF" w14:textId="77777777" w:rsidR="006C736D" w:rsidRPr="006B4639" w:rsidRDefault="006C736D" w:rsidP="000A3668">
            <w:pPr>
              <w:pStyle w:val="TableBodyText"/>
              <w:keepNext/>
              <w:numPr>
                <w:ilvl w:val="0"/>
                <w:numId w:val="118"/>
              </w:numPr>
              <w:ind w:left="442" w:hanging="357"/>
            </w:pPr>
            <w:r w:rsidRPr="006B4639">
              <w:t>Maintain the existing approach, with the coverage test acting as a gateway to stronger forms of regulation (status quo)</w:t>
            </w:r>
            <w:r>
              <w:t>;</w:t>
            </w:r>
            <w:r w:rsidRPr="006B4639">
              <w:t xml:space="preserve"> </w:t>
            </w:r>
            <w:r>
              <w:t>or</w:t>
            </w:r>
          </w:p>
          <w:p w14:paraId="4655B817" w14:textId="77777777" w:rsidR="006C736D" w:rsidRDefault="006C736D" w:rsidP="000A3668">
            <w:pPr>
              <w:pStyle w:val="TableBodyText"/>
              <w:keepNext/>
              <w:numPr>
                <w:ilvl w:val="0"/>
                <w:numId w:val="118"/>
              </w:numPr>
              <w:ind w:left="442" w:hanging="357"/>
            </w:pPr>
            <w:r>
              <w:t>Address the risk of under-regulation by:</w:t>
            </w:r>
          </w:p>
          <w:p w14:paraId="61842458" w14:textId="77777777" w:rsidR="006C736D" w:rsidRDefault="006C736D" w:rsidP="000A3668">
            <w:pPr>
              <w:pStyle w:val="TableListNumber"/>
              <w:keepNext/>
              <w:numPr>
                <w:ilvl w:val="0"/>
                <w:numId w:val="71"/>
              </w:numPr>
              <w:spacing w:before="40" w:after="40" w:line="252" w:lineRule="auto"/>
              <w:rPr>
                <w:szCs w:val="18"/>
              </w:rPr>
            </w:pPr>
            <w:r>
              <w:rPr>
                <w:szCs w:val="18"/>
              </w:rPr>
              <w:t>r</w:t>
            </w:r>
            <w:r w:rsidRPr="006B4639">
              <w:rPr>
                <w:szCs w:val="18"/>
              </w:rPr>
              <w:t>emov</w:t>
            </w:r>
            <w:r>
              <w:rPr>
                <w:szCs w:val="18"/>
              </w:rPr>
              <w:t>ing</w:t>
            </w:r>
            <w:r w:rsidRPr="006B4639">
              <w:rPr>
                <w:szCs w:val="18"/>
              </w:rPr>
              <w:t xml:space="preserve"> the coverage test from form of regulation assessments and </w:t>
            </w:r>
            <w:r w:rsidRPr="00A54F6D">
              <w:t>use</w:t>
            </w:r>
            <w:r w:rsidRPr="006B4639">
              <w:rPr>
                <w:szCs w:val="18"/>
              </w:rPr>
              <w:t xml:space="preserve"> a single test for form of regulation decisions based on</w:t>
            </w:r>
            <w:r>
              <w:rPr>
                <w:szCs w:val="18"/>
              </w:rPr>
              <w:t xml:space="preserve"> </w:t>
            </w:r>
            <w:r w:rsidRPr="003F5EDF">
              <w:rPr>
                <w:szCs w:val="18"/>
              </w:rPr>
              <w:t>the form of regulation test in s. 122 of the NGL</w:t>
            </w:r>
            <w:r>
              <w:rPr>
                <w:szCs w:val="18"/>
              </w:rPr>
              <w:t>; and/or</w:t>
            </w:r>
          </w:p>
          <w:p w14:paraId="25732394" w14:textId="77777777" w:rsidR="006C736D" w:rsidRPr="00A54F6D" w:rsidRDefault="006C736D" w:rsidP="000A3668">
            <w:pPr>
              <w:pStyle w:val="TableListNumber"/>
              <w:keepNext/>
              <w:numPr>
                <w:ilvl w:val="0"/>
                <w:numId w:val="71"/>
              </w:numPr>
              <w:spacing w:before="40" w:after="40" w:line="252" w:lineRule="auto"/>
              <w:rPr>
                <w:szCs w:val="18"/>
              </w:rPr>
            </w:pPr>
            <w:r w:rsidRPr="00A54F6D">
              <w:rPr>
                <w:szCs w:val="18"/>
              </w:rPr>
              <w:t xml:space="preserve">according the relevant regulator an explicit monitoring role and ability to refer pipelines to the relevant </w:t>
            </w:r>
            <w:r>
              <w:rPr>
                <w:szCs w:val="18"/>
              </w:rPr>
              <w:t>decision-maker</w:t>
            </w:r>
            <w:r w:rsidRPr="00A54F6D">
              <w:rPr>
                <w:szCs w:val="18"/>
              </w:rPr>
              <w:t xml:space="preserve"> for a form of regulation assessment.</w:t>
            </w:r>
          </w:p>
        </w:tc>
      </w:tr>
      <w:tr w:rsidR="00ED24B1" w:rsidRPr="006B4639" w14:paraId="14CB8378" w14:textId="77777777" w:rsidTr="00313430">
        <w:tc>
          <w:tcPr>
            <w:tcW w:w="1172" w:type="pct"/>
          </w:tcPr>
          <w:p w14:paraId="2DD7A0FC" w14:textId="77777777" w:rsidR="00ED24B1" w:rsidRPr="006B4639" w:rsidRDefault="00ED24B1" w:rsidP="001533BD">
            <w:pPr>
              <w:pStyle w:val="TableBodyText"/>
              <w:keepNext/>
              <w:spacing w:before="40" w:after="40" w:line="252" w:lineRule="auto"/>
            </w:pPr>
            <w:r w:rsidRPr="00864381">
              <w:rPr>
                <w:bCs/>
              </w:rPr>
              <w:t xml:space="preserve">Exercises of dynamic market power </w:t>
            </w:r>
            <w:r w:rsidR="00866FDA">
              <w:rPr>
                <w:bCs/>
              </w:rPr>
              <w:t>are</w:t>
            </w:r>
            <w:r w:rsidRPr="00864381">
              <w:rPr>
                <w:bCs/>
              </w:rPr>
              <w:t xml:space="preserve"> not effectively dealt with under the current forms of regulation</w:t>
            </w:r>
          </w:p>
        </w:tc>
        <w:tc>
          <w:tcPr>
            <w:tcW w:w="3828" w:type="pct"/>
          </w:tcPr>
          <w:p w14:paraId="4447A842" w14:textId="77777777" w:rsidR="00ED24B1" w:rsidRDefault="00ED24B1" w:rsidP="000A3668">
            <w:pPr>
              <w:pStyle w:val="TableBodyText"/>
              <w:keepNext/>
              <w:numPr>
                <w:ilvl w:val="0"/>
                <w:numId w:val="120"/>
              </w:numPr>
              <w:ind w:left="442" w:hanging="357"/>
            </w:pPr>
            <w:r>
              <w:t>M</w:t>
            </w:r>
            <w:r w:rsidRPr="006B4639">
              <w:t>aintain the existing approach to interconnections and pricing of new capacity (status quo)</w:t>
            </w:r>
            <w:r>
              <w:t>; or</w:t>
            </w:r>
          </w:p>
          <w:p w14:paraId="0C0EB51C" w14:textId="77777777" w:rsidR="00ED24B1" w:rsidRPr="006B4639" w:rsidRDefault="00ED24B1" w:rsidP="000A3668">
            <w:pPr>
              <w:pStyle w:val="TableBodyText"/>
              <w:keepNext/>
              <w:numPr>
                <w:ilvl w:val="0"/>
                <w:numId w:val="120"/>
              </w:numPr>
              <w:ind w:left="442" w:hanging="357"/>
            </w:pPr>
            <w:r>
              <w:t>Address the concerns about dynamic market power by</w:t>
            </w:r>
            <w:r w:rsidR="00682954">
              <w:t xml:space="preserve"> amending the regulatory framework to</w:t>
            </w:r>
            <w:r>
              <w:t>:</w:t>
            </w:r>
          </w:p>
          <w:p w14:paraId="2B46B170" w14:textId="77777777" w:rsidR="00ED24B1" w:rsidRPr="006B4639" w:rsidRDefault="00682954" w:rsidP="000A3668">
            <w:pPr>
              <w:pStyle w:val="TableListNumber"/>
              <w:keepNext/>
              <w:numPr>
                <w:ilvl w:val="0"/>
                <w:numId w:val="96"/>
              </w:numPr>
              <w:spacing w:before="40" w:after="40" w:line="252" w:lineRule="auto"/>
            </w:pPr>
            <w:r>
              <w:t xml:space="preserve">include </w:t>
            </w:r>
            <w:r w:rsidR="00ED24B1">
              <w:t xml:space="preserve">a proactive right to interconnect </w:t>
            </w:r>
            <w:r w:rsidR="00ED24B1" w:rsidRPr="006B4639">
              <w:t>and pricing principles for interconnections</w:t>
            </w:r>
            <w:r w:rsidR="00ED24B1">
              <w:t>; and/or</w:t>
            </w:r>
          </w:p>
          <w:p w14:paraId="5211ED5A" w14:textId="77777777" w:rsidR="00ED24B1" w:rsidRPr="006B4639" w:rsidRDefault="00ED24B1" w:rsidP="000A3668">
            <w:pPr>
              <w:pStyle w:val="TableListNumber"/>
              <w:keepNext/>
              <w:numPr>
                <w:ilvl w:val="0"/>
                <w:numId w:val="96"/>
              </w:numPr>
              <w:spacing w:before="40" w:after="40" w:line="252" w:lineRule="auto"/>
            </w:pPr>
            <w:r>
              <w:t>p</w:t>
            </w:r>
            <w:r w:rsidRPr="006B4639">
              <w:t>rohibit existing pipelines from cross-subsidising new capacity by requiring incremental pricing to be used where the cost of an expansion or extension would otherwise result in the price of existing capacity increasing.</w:t>
            </w:r>
          </w:p>
        </w:tc>
      </w:tr>
    </w:tbl>
    <w:p w14:paraId="5E7F4A0A" w14:textId="77777777" w:rsidR="00527534" w:rsidRDefault="00527534" w:rsidP="000D0CA9">
      <w:pPr>
        <w:pStyle w:val="BodyText"/>
        <w:spacing w:before="60" w:after="60"/>
      </w:pPr>
    </w:p>
    <w:p w14:paraId="54484B5B" w14:textId="77777777" w:rsidR="001900B2" w:rsidRDefault="001900B2" w:rsidP="001900B2">
      <w:pPr>
        <w:pStyle w:val="Heading3"/>
      </w:pPr>
      <w:r>
        <w:t xml:space="preserve">Stakeholder feedback on the options </w:t>
      </w:r>
    </w:p>
    <w:p w14:paraId="747FC735" w14:textId="0061ACA7" w:rsidR="001533BD" w:rsidRDefault="00F10B73" w:rsidP="000D0CA9">
      <w:pPr>
        <w:pStyle w:val="BodyText"/>
        <w:spacing w:before="60" w:after="60"/>
      </w:pPr>
      <w:r>
        <w:fldChar w:fldCharType="begin" w:fldLock="1"/>
      </w:r>
      <w:r>
        <w:instrText xml:space="preserve"> REF _Ref59972767 \h </w:instrText>
      </w:r>
      <w:r>
        <w:fldChar w:fldCharType="separate"/>
      </w:r>
      <w:r w:rsidR="00036405">
        <w:t xml:space="preserve">Table </w:t>
      </w:r>
      <w:r w:rsidR="00036405">
        <w:rPr>
          <w:noProof/>
        </w:rPr>
        <w:t>5</w:t>
      </w:r>
      <w:r w:rsidR="00036405">
        <w:t>.</w:t>
      </w:r>
      <w:r w:rsidR="00036405">
        <w:rPr>
          <w:noProof/>
        </w:rPr>
        <w:t>5</w:t>
      </w:r>
      <w:r>
        <w:fldChar w:fldCharType="end"/>
      </w:r>
      <w:r>
        <w:t xml:space="preserve"> </w:t>
      </w:r>
      <w:r w:rsidR="004D75E1" w:rsidRPr="00563085">
        <w:t xml:space="preserve">provides a summary of the </w:t>
      </w:r>
      <w:r w:rsidR="00026392" w:rsidRPr="00563085">
        <w:t xml:space="preserve">feedback </w:t>
      </w:r>
      <w:r w:rsidR="0033301C">
        <w:t xml:space="preserve">that </w:t>
      </w:r>
      <w:r w:rsidR="00026392" w:rsidRPr="00563085">
        <w:t>stakeholders</w:t>
      </w:r>
      <w:r w:rsidR="004D75E1" w:rsidRPr="00563085">
        <w:t xml:space="preserve"> provided on </w:t>
      </w:r>
      <w:r w:rsidR="001900B2">
        <w:t xml:space="preserve">the </w:t>
      </w:r>
      <w:r w:rsidR="004D75E1" w:rsidRPr="00563085">
        <w:t>options</w:t>
      </w:r>
      <w:r w:rsidR="001900B2">
        <w:t xml:space="preserve"> listed above</w:t>
      </w:r>
      <w:r w:rsidR="00313430">
        <w:t xml:space="preserve">. </w:t>
      </w:r>
    </w:p>
    <w:p w14:paraId="650A44B2" w14:textId="77777777" w:rsidR="00D7163E" w:rsidRDefault="000D0CA9" w:rsidP="00026392">
      <w:pPr>
        <w:pStyle w:val="BodyText"/>
      </w:pPr>
      <w:r>
        <w:t xml:space="preserve"> </w:t>
      </w:r>
    </w:p>
    <w:p w14:paraId="55FA5806" w14:textId="77777777" w:rsidR="00D7163E" w:rsidRDefault="00D7163E" w:rsidP="00026392">
      <w:pPr>
        <w:pStyle w:val="BodyText"/>
        <w:sectPr w:rsidR="00D7163E" w:rsidSect="00795317">
          <w:headerReference w:type="default" r:id="rId40"/>
          <w:footerReference w:type="default" r:id="rId41"/>
          <w:pgSz w:w="11907" w:h="16839" w:code="9"/>
          <w:pgMar w:top="1361" w:right="1418" w:bottom="992" w:left="1701" w:header="567" w:footer="397" w:gutter="0"/>
          <w:cols w:space="708"/>
          <w:docGrid w:linePitch="360"/>
        </w:sectPr>
      </w:pPr>
    </w:p>
    <w:p w14:paraId="000FC596" w14:textId="52B4E18F" w:rsidR="00F36EA7" w:rsidRDefault="00122043" w:rsidP="00A8451B">
      <w:pPr>
        <w:pStyle w:val="Caption"/>
        <w:spacing w:before="0" w:after="0"/>
      </w:pPr>
      <w:bookmarkStart w:id="120" w:name="_Ref59972767"/>
      <w:r>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5</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5</w:t>
      </w:r>
      <w:r w:rsidR="00F323B2">
        <w:rPr>
          <w:noProof/>
        </w:rPr>
        <w:fldChar w:fldCharType="end"/>
      </w:r>
      <w:bookmarkEnd w:id="120"/>
      <w:r>
        <w:t xml:space="preserve">: </w:t>
      </w:r>
      <w:r w:rsidR="00EF039D">
        <w:t>F</w:t>
      </w:r>
      <w:r>
        <w:t>eedback on the options identified in the Consultation RIS</w:t>
      </w:r>
      <w:r w:rsidR="00EF039D">
        <w:t xml:space="preserve"> </w:t>
      </w:r>
    </w:p>
    <w:tbl>
      <w:tblPr>
        <w:tblStyle w:val="TableGrid"/>
        <w:tblW w:w="5000" w:type="pct"/>
        <w:tblLayout w:type="fixed"/>
        <w:tblLook w:val="0420" w:firstRow="1" w:lastRow="0" w:firstColumn="0" w:lastColumn="0" w:noHBand="0" w:noVBand="1"/>
      </w:tblPr>
      <w:tblGrid>
        <w:gridCol w:w="686"/>
        <w:gridCol w:w="549"/>
        <w:gridCol w:w="1509"/>
        <w:gridCol w:w="10976"/>
      </w:tblGrid>
      <w:tr w:rsidR="001900B2" w:rsidRPr="0057285B" w14:paraId="5B537E2F" w14:textId="77777777" w:rsidTr="00A507A6">
        <w:trPr>
          <w:cnfStyle w:val="100000000000" w:firstRow="1" w:lastRow="0" w:firstColumn="0" w:lastColumn="0" w:oddVBand="0" w:evenVBand="0" w:oddHBand="0" w:evenHBand="0" w:firstRowFirstColumn="0" w:firstRowLastColumn="0" w:lastRowFirstColumn="0" w:lastRowLastColumn="0"/>
          <w:cantSplit/>
          <w:tblHeader/>
        </w:trPr>
        <w:tc>
          <w:tcPr>
            <w:tcW w:w="1000" w:type="pct"/>
            <w:gridSpan w:val="3"/>
            <w:shd w:val="clear" w:color="auto" w:fill="002060"/>
          </w:tcPr>
          <w:p w14:paraId="781BB214" w14:textId="77777777" w:rsidR="001900B2" w:rsidRPr="0057285B" w:rsidRDefault="001900B2" w:rsidP="009C0ADB">
            <w:pPr>
              <w:pStyle w:val="TableHeading"/>
              <w:spacing w:before="40" w:after="20" w:line="252" w:lineRule="auto"/>
              <w:rPr>
                <w:rFonts w:asciiTheme="majorHAnsi" w:hAnsiTheme="majorHAnsi" w:cstheme="majorHAnsi"/>
                <w:szCs w:val="18"/>
                <w:lang w:eastAsia="fr-CA"/>
              </w:rPr>
            </w:pPr>
            <w:r w:rsidRPr="0057285B">
              <w:rPr>
                <w:rFonts w:asciiTheme="majorHAnsi" w:hAnsiTheme="majorHAnsi" w:cstheme="majorHAnsi"/>
                <w:szCs w:val="18"/>
                <w:lang w:eastAsia="fr-CA"/>
              </w:rPr>
              <w:t>Issues</w:t>
            </w:r>
          </w:p>
        </w:tc>
        <w:tc>
          <w:tcPr>
            <w:tcW w:w="4000" w:type="pct"/>
            <w:shd w:val="clear" w:color="auto" w:fill="002060"/>
          </w:tcPr>
          <w:p w14:paraId="598B9803" w14:textId="77777777" w:rsidR="001900B2" w:rsidRPr="0057285B" w:rsidRDefault="001900B2" w:rsidP="009C0ADB">
            <w:pPr>
              <w:pStyle w:val="TableHeading"/>
              <w:spacing w:before="40" w:after="20" w:line="252" w:lineRule="auto"/>
              <w:rPr>
                <w:rFonts w:asciiTheme="majorHAnsi" w:hAnsiTheme="majorHAnsi" w:cstheme="majorHAnsi"/>
                <w:szCs w:val="18"/>
                <w:lang w:eastAsia="fr-CA"/>
              </w:rPr>
            </w:pPr>
            <w:r w:rsidRPr="0057285B">
              <w:rPr>
                <w:rFonts w:asciiTheme="majorHAnsi" w:hAnsiTheme="majorHAnsi" w:cstheme="majorHAnsi"/>
                <w:szCs w:val="18"/>
                <w:lang w:eastAsia="fr-CA"/>
              </w:rPr>
              <w:t>Stakeholder feedback</w:t>
            </w:r>
          </w:p>
        </w:tc>
      </w:tr>
      <w:tr w:rsidR="001900B2" w:rsidRPr="0057285B" w14:paraId="5A33DFCB" w14:textId="77777777" w:rsidTr="00A507A6">
        <w:trPr>
          <w:cantSplit/>
          <w:trHeight w:val="279"/>
        </w:trPr>
        <w:tc>
          <w:tcPr>
            <w:tcW w:w="250" w:type="pct"/>
            <w:vMerge w:val="restart"/>
            <w:textDirection w:val="btLr"/>
          </w:tcPr>
          <w:p w14:paraId="2D1CBBC6" w14:textId="77777777" w:rsidR="001900B2" w:rsidRPr="0057285B" w:rsidRDefault="001900B2" w:rsidP="00043E52">
            <w:pPr>
              <w:spacing w:before="40" w:after="20" w:line="252" w:lineRule="auto"/>
              <w:jc w:val="center"/>
              <w:rPr>
                <w:rFonts w:cs="Arial"/>
                <w:bCs/>
                <w:szCs w:val="18"/>
              </w:rPr>
            </w:pPr>
            <w:r w:rsidRPr="0057285B">
              <w:rPr>
                <w:bCs/>
                <w:szCs w:val="18"/>
              </w:rPr>
              <w:t>I</w:t>
            </w:r>
            <w:r w:rsidRPr="0057285B">
              <w:rPr>
                <w:b/>
                <w:szCs w:val="18"/>
              </w:rPr>
              <w:t>nconsistencies and overlap between Part 23 and light regulation</w:t>
            </w:r>
          </w:p>
        </w:tc>
        <w:tc>
          <w:tcPr>
            <w:tcW w:w="750" w:type="pct"/>
            <w:gridSpan w:val="2"/>
            <w:tcBorders>
              <w:bottom w:val="single" w:sz="4" w:space="0" w:color="auto"/>
            </w:tcBorders>
          </w:tcPr>
          <w:p w14:paraId="425C6795" w14:textId="77777777" w:rsidR="001900B2" w:rsidRPr="0057285B" w:rsidRDefault="001900B2" w:rsidP="00043E52">
            <w:pPr>
              <w:pStyle w:val="TableBodyText"/>
              <w:spacing w:before="20" w:after="20" w:line="252" w:lineRule="auto"/>
              <w:rPr>
                <w:rFonts w:asciiTheme="majorHAnsi" w:hAnsiTheme="majorHAnsi" w:cstheme="majorHAnsi"/>
                <w:b/>
                <w:bCs/>
                <w:szCs w:val="18"/>
                <w:lang w:eastAsia="fr-CA"/>
              </w:rPr>
            </w:pPr>
            <w:r w:rsidRPr="0057285B">
              <w:rPr>
                <w:rFonts w:asciiTheme="majorHAnsi" w:hAnsiTheme="majorHAnsi" w:cstheme="majorHAnsi"/>
                <w:b/>
                <w:bCs/>
                <w:szCs w:val="18"/>
                <w:lang w:eastAsia="fr-CA"/>
              </w:rPr>
              <w:t xml:space="preserve">Option A: </w:t>
            </w:r>
            <w:r w:rsidR="0057285B" w:rsidRPr="0057285B">
              <w:rPr>
                <w:rFonts w:asciiTheme="majorHAnsi" w:hAnsiTheme="majorHAnsi" w:cstheme="majorHAnsi"/>
                <w:b/>
                <w:bCs/>
                <w:szCs w:val="18"/>
                <w:lang w:eastAsia="fr-CA"/>
              </w:rPr>
              <w:t>S</w:t>
            </w:r>
            <w:r w:rsidRPr="0057285B">
              <w:rPr>
                <w:rFonts w:asciiTheme="majorHAnsi" w:hAnsiTheme="majorHAnsi" w:cstheme="majorHAnsi"/>
                <w:b/>
                <w:bCs/>
                <w:szCs w:val="18"/>
                <w:lang w:eastAsia="fr-CA"/>
              </w:rPr>
              <w:t>tatus quo</w:t>
            </w:r>
          </w:p>
        </w:tc>
        <w:tc>
          <w:tcPr>
            <w:tcW w:w="4000" w:type="pct"/>
            <w:tcBorders>
              <w:bottom w:val="single" w:sz="4" w:space="0" w:color="auto"/>
            </w:tcBorders>
          </w:tcPr>
          <w:p w14:paraId="6DFE91FF" w14:textId="77777777" w:rsidR="001900B2" w:rsidRPr="0057285B" w:rsidRDefault="001900B2" w:rsidP="00043E52">
            <w:pPr>
              <w:pStyle w:val="TableBullet10"/>
              <w:spacing w:before="20" w:after="20"/>
              <w:rPr>
                <w:szCs w:val="18"/>
                <w:lang w:eastAsia="fr-CA"/>
              </w:rPr>
            </w:pPr>
            <w:r w:rsidRPr="0057285B">
              <w:rPr>
                <w:rFonts w:asciiTheme="majorHAnsi" w:hAnsiTheme="majorHAnsi" w:cstheme="majorHAnsi"/>
                <w:iCs/>
                <w:szCs w:val="18"/>
              </w:rPr>
              <w:t xml:space="preserve">No stakeholders supported the maintenance of the status quo. </w:t>
            </w:r>
          </w:p>
        </w:tc>
      </w:tr>
      <w:tr w:rsidR="001900B2" w:rsidRPr="0057285B" w14:paraId="43C77D59" w14:textId="77777777" w:rsidTr="00A507A6">
        <w:trPr>
          <w:cnfStyle w:val="000000010000" w:firstRow="0" w:lastRow="0" w:firstColumn="0" w:lastColumn="0" w:oddVBand="0" w:evenVBand="0" w:oddHBand="0" w:evenHBand="1" w:firstRowFirstColumn="0" w:firstRowLastColumn="0" w:lastRowFirstColumn="0" w:lastRowLastColumn="0"/>
          <w:cantSplit/>
          <w:trHeight w:val="279"/>
        </w:trPr>
        <w:tc>
          <w:tcPr>
            <w:tcW w:w="250" w:type="pct"/>
            <w:vMerge/>
            <w:textDirection w:val="btLr"/>
          </w:tcPr>
          <w:p w14:paraId="131D47D7" w14:textId="77777777" w:rsidR="001900B2" w:rsidRPr="0057285B" w:rsidRDefault="001900B2" w:rsidP="00043E52">
            <w:pPr>
              <w:spacing w:before="40" w:after="20" w:line="252" w:lineRule="auto"/>
              <w:jc w:val="center"/>
              <w:rPr>
                <w:rFonts w:cs="Arial"/>
                <w:bCs/>
                <w:szCs w:val="18"/>
              </w:rPr>
            </w:pPr>
          </w:p>
        </w:tc>
        <w:tc>
          <w:tcPr>
            <w:tcW w:w="750" w:type="pct"/>
            <w:gridSpan w:val="2"/>
            <w:vMerge w:val="restart"/>
            <w:shd w:val="clear" w:color="auto" w:fill="F2F2F2" w:themeFill="background1" w:themeFillShade="F2"/>
          </w:tcPr>
          <w:p w14:paraId="6559B575" w14:textId="77777777" w:rsidR="001900B2" w:rsidRPr="0057285B" w:rsidRDefault="001900B2" w:rsidP="0057285B">
            <w:pPr>
              <w:pStyle w:val="TableBodyText"/>
              <w:spacing w:before="20" w:after="20" w:line="252" w:lineRule="auto"/>
              <w:rPr>
                <w:rFonts w:asciiTheme="majorHAnsi" w:hAnsiTheme="majorHAnsi" w:cstheme="majorHAnsi"/>
                <w:b/>
                <w:bCs/>
                <w:szCs w:val="18"/>
                <w:lang w:eastAsia="fr-CA"/>
              </w:rPr>
            </w:pPr>
            <w:r w:rsidRPr="0057285B">
              <w:rPr>
                <w:rFonts w:asciiTheme="majorHAnsi" w:hAnsiTheme="majorHAnsi" w:cstheme="majorHAnsi"/>
                <w:b/>
                <w:bCs/>
                <w:szCs w:val="18"/>
                <w:lang w:eastAsia="fr-CA"/>
              </w:rPr>
              <w:t>Option B: Adopt two forms of regulation</w:t>
            </w:r>
          </w:p>
        </w:tc>
        <w:tc>
          <w:tcPr>
            <w:tcW w:w="4000" w:type="pct"/>
            <w:tcBorders>
              <w:bottom w:val="single" w:sz="4" w:space="0" w:color="auto"/>
            </w:tcBorders>
            <w:shd w:val="clear" w:color="auto" w:fill="F2F2F2" w:themeFill="background1" w:themeFillShade="F2"/>
          </w:tcPr>
          <w:p w14:paraId="3D9325BE" w14:textId="77777777" w:rsidR="001900B2" w:rsidRPr="0057285B" w:rsidRDefault="001900B2" w:rsidP="001F0660">
            <w:pPr>
              <w:pStyle w:val="TableBullet10"/>
              <w:numPr>
                <w:ilvl w:val="0"/>
                <w:numId w:val="0"/>
              </w:numPr>
              <w:spacing w:before="20" w:after="20"/>
              <w:ind w:left="312" w:hanging="227"/>
              <w:rPr>
                <w:b/>
                <w:bCs/>
                <w:szCs w:val="18"/>
                <w:lang w:eastAsia="fr-CA"/>
              </w:rPr>
            </w:pPr>
            <w:r w:rsidRPr="0057285B">
              <w:rPr>
                <w:b/>
                <w:bCs/>
                <w:szCs w:val="18"/>
                <w:lang w:eastAsia="fr-CA"/>
              </w:rPr>
              <w:t xml:space="preserve">Number of forms of regulation </w:t>
            </w:r>
          </w:p>
          <w:p w14:paraId="511BB480" w14:textId="77777777" w:rsidR="001900B2" w:rsidRPr="0057285B" w:rsidRDefault="001900B2" w:rsidP="00043E52">
            <w:pPr>
              <w:pStyle w:val="TableBullet10"/>
              <w:spacing w:before="20" w:after="20"/>
              <w:rPr>
                <w:szCs w:val="18"/>
                <w:lang w:eastAsia="fr-CA"/>
              </w:rPr>
            </w:pPr>
            <w:r w:rsidRPr="0057285B">
              <w:rPr>
                <w:iCs/>
                <w:szCs w:val="18"/>
              </w:rPr>
              <w:t xml:space="preserve">The </w:t>
            </w:r>
            <w:r w:rsidRPr="0057285B">
              <w:rPr>
                <w:iCs/>
                <w:color w:val="FF0000"/>
                <w:szCs w:val="18"/>
              </w:rPr>
              <w:t>ACCC, AER, NCC</w:t>
            </w:r>
            <w:r w:rsidRPr="0057285B">
              <w:rPr>
                <w:iCs/>
                <w:szCs w:val="18"/>
              </w:rPr>
              <w:t xml:space="preserve">, </w:t>
            </w:r>
            <w:r w:rsidRPr="0057285B">
              <w:rPr>
                <w:iCs/>
                <w:color w:val="00B0F0"/>
                <w:szCs w:val="18"/>
              </w:rPr>
              <w:t>AGL, Origin, EnergyAustralia</w:t>
            </w:r>
            <w:r w:rsidRPr="0057285B">
              <w:rPr>
                <w:iCs/>
                <w:szCs w:val="18"/>
              </w:rPr>
              <w:t xml:space="preserve">, </w:t>
            </w:r>
            <w:r w:rsidRPr="0057285B">
              <w:rPr>
                <w:color w:val="0000FF"/>
                <w:szCs w:val="18"/>
                <w:lang w:eastAsia="fr-CA"/>
              </w:rPr>
              <w:t xml:space="preserve">EUAA, Chemistry Australia, NSW BC, ECA, </w:t>
            </w:r>
            <w:r w:rsidRPr="0057285B">
              <w:rPr>
                <w:color w:val="D60093"/>
                <w:szCs w:val="18"/>
                <w:lang w:eastAsia="fr-CA"/>
              </w:rPr>
              <w:t xml:space="preserve">APPEA, APLNG, </w:t>
            </w:r>
            <w:r w:rsidRPr="0057285B">
              <w:rPr>
                <w:color w:val="800080"/>
                <w:szCs w:val="18"/>
                <w:lang w:eastAsia="fr-CA"/>
              </w:rPr>
              <w:t xml:space="preserve">AGIG, Allgas, APA, APGA, Epic </w:t>
            </w:r>
            <w:r w:rsidRPr="0057285B">
              <w:rPr>
                <w:szCs w:val="18"/>
              </w:rPr>
              <w:t xml:space="preserve">and </w:t>
            </w:r>
            <w:r w:rsidRPr="0057285B">
              <w:rPr>
                <w:color w:val="800080"/>
                <w:szCs w:val="18"/>
              </w:rPr>
              <w:t>Jemena</w:t>
            </w:r>
            <w:r w:rsidRPr="0057285B">
              <w:rPr>
                <w:szCs w:val="18"/>
              </w:rPr>
              <w:t xml:space="preserve"> supported the proposal to simplify the regulatory framework by having two forms of regulation. </w:t>
            </w:r>
          </w:p>
          <w:p w14:paraId="2EE88178" w14:textId="77777777" w:rsidR="001900B2" w:rsidRPr="0057285B" w:rsidRDefault="001900B2" w:rsidP="001F0660">
            <w:pPr>
              <w:pStyle w:val="TableBullet10"/>
              <w:spacing w:before="20" w:after="20"/>
              <w:rPr>
                <w:szCs w:val="18"/>
                <w:lang w:eastAsia="fr-CA"/>
              </w:rPr>
            </w:pPr>
            <w:r w:rsidRPr="0057285B">
              <w:rPr>
                <w:szCs w:val="18"/>
              </w:rPr>
              <w:t xml:space="preserve">The </w:t>
            </w:r>
            <w:r w:rsidRPr="0057285B">
              <w:rPr>
                <w:color w:val="0000FF"/>
                <w:szCs w:val="18"/>
              </w:rPr>
              <w:t>MEU</w:t>
            </w:r>
            <w:r w:rsidRPr="0057285B">
              <w:rPr>
                <w:szCs w:val="18"/>
              </w:rPr>
              <w:t>, on the other hand, was of the view that there should only be one form of regulation, with all pipelines providing a monopoly service to be subject to the stronger form of regulation</w:t>
            </w:r>
            <w:r w:rsidRPr="0057285B">
              <w:rPr>
                <w:szCs w:val="18"/>
                <w:lang w:eastAsia="fr-CA"/>
              </w:rPr>
              <w:t xml:space="preserve">. </w:t>
            </w:r>
            <w:r w:rsidRPr="0057285B">
              <w:rPr>
                <w:color w:val="D60093"/>
                <w:szCs w:val="18"/>
                <w:lang w:eastAsia="fr-CA"/>
              </w:rPr>
              <w:t xml:space="preserve">COPA </w:t>
            </w:r>
            <w:r w:rsidRPr="0057285B">
              <w:rPr>
                <w:szCs w:val="18"/>
                <w:lang w:eastAsia="fr-CA"/>
              </w:rPr>
              <w:t xml:space="preserve">also thought there should just be one form of regulation, based on the strengthened Part 23 but noted that if two forms were to be retained they should be ‘aligned as much as possible’. </w:t>
            </w:r>
          </w:p>
          <w:p w14:paraId="28BBB2CF" w14:textId="77777777" w:rsidR="001900B2" w:rsidRPr="0057285B" w:rsidRDefault="001900B2" w:rsidP="001F0660">
            <w:pPr>
              <w:pStyle w:val="TableBullet10"/>
              <w:spacing w:before="20" w:after="20"/>
              <w:rPr>
                <w:szCs w:val="18"/>
                <w:lang w:eastAsia="fr-CA"/>
              </w:rPr>
            </w:pPr>
            <w:r w:rsidRPr="0057285B">
              <w:rPr>
                <w:color w:val="800080"/>
                <w:szCs w:val="18"/>
              </w:rPr>
              <w:t xml:space="preserve">ATCO </w:t>
            </w:r>
            <w:r w:rsidRPr="0057285B">
              <w:rPr>
                <w:szCs w:val="18"/>
              </w:rPr>
              <w:t>advocated the application of a different approach to regulating distribution pipelines (i.e. the lighter form based on information disclosure or price monitoring and the stronger form based on negotiated settlements or negotiate-arbitrate) because in its view distribution pipelines are subject to greater competitive pressures than transmission pipelines. No other service providers supported this proposal.</w:t>
            </w:r>
          </w:p>
        </w:tc>
      </w:tr>
      <w:tr w:rsidR="001900B2" w:rsidRPr="0057285B" w14:paraId="13375200" w14:textId="77777777" w:rsidTr="00A507A6">
        <w:trPr>
          <w:cantSplit/>
          <w:trHeight w:val="1622"/>
        </w:trPr>
        <w:tc>
          <w:tcPr>
            <w:tcW w:w="250" w:type="pct"/>
            <w:vMerge/>
            <w:textDirection w:val="btLr"/>
          </w:tcPr>
          <w:p w14:paraId="5720AA7A" w14:textId="77777777" w:rsidR="001900B2" w:rsidRPr="0057285B" w:rsidRDefault="001900B2" w:rsidP="009C0ADB">
            <w:pPr>
              <w:spacing w:before="40" w:after="20" w:line="252" w:lineRule="auto"/>
              <w:jc w:val="center"/>
              <w:rPr>
                <w:rFonts w:cs="Arial"/>
                <w:bCs/>
                <w:szCs w:val="18"/>
              </w:rPr>
            </w:pPr>
          </w:p>
        </w:tc>
        <w:tc>
          <w:tcPr>
            <w:tcW w:w="750" w:type="pct"/>
            <w:gridSpan w:val="2"/>
            <w:vMerge/>
            <w:shd w:val="clear" w:color="auto" w:fill="F2F2F2" w:themeFill="background1" w:themeFillShade="F2"/>
          </w:tcPr>
          <w:p w14:paraId="1B3900C9" w14:textId="77777777" w:rsidR="001900B2" w:rsidRPr="0057285B" w:rsidRDefault="001900B2" w:rsidP="009A2162">
            <w:pPr>
              <w:pStyle w:val="TableBodyText"/>
              <w:spacing w:before="20" w:after="20" w:line="252" w:lineRule="auto"/>
              <w:rPr>
                <w:rFonts w:asciiTheme="majorHAnsi" w:hAnsiTheme="majorHAnsi" w:cstheme="majorHAnsi"/>
                <w:szCs w:val="18"/>
                <w:lang w:eastAsia="fr-CA"/>
              </w:rPr>
            </w:pPr>
          </w:p>
        </w:tc>
        <w:tc>
          <w:tcPr>
            <w:tcW w:w="4000" w:type="pct"/>
            <w:tcBorders>
              <w:bottom w:val="single" w:sz="4" w:space="0" w:color="auto"/>
            </w:tcBorders>
            <w:shd w:val="clear" w:color="auto" w:fill="F2F2F2" w:themeFill="background1" w:themeFillShade="F2"/>
          </w:tcPr>
          <w:p w14:paraId="74DFD929" w14:textId="77777777" w:rsidR="001900B2" w:rsidRPr="0057285B" w:rsidRDefault="001900B2" w:rsidP="00043E52">
            <w:pPr>
              <w:pStyle w:val="TableBodyText"/>
              <w:spacing w:before="20" w:after="20" w:line="252" w:lineRule="auto"/>
              <w:rPr>
                <w:rFonts w:asciiTheme="majorHAnsi" w:hAnsiTheme="majorHAnsi" w:cstheme="majorHAnsi"/>
                <w:iCs/>
                <w:szCs w:val="18"/>
              </w:rPr>
            </w:pPr>
            <w:r w:rsidRPr="0057285B">
              <w:rPr>
                <w:rFonts w:asciiTheme="majorHAnsi" w:hAnsiTheme="majorHAnsi" w:cstheme="majorHAnsi"/>
                <w:b/>
                <w:bCs/>
                <w:iCs/>
                <w:szCs w:val="18"/>
              </w:rPr>
              <w:t>Forms of regulation</w:t>
            </w:r>
            <w:r w:rsidRPr="0057285B">
              <w:rPr>
                <w:rFonts w:asciiTheme="majorHAnsi" w:hAnsiTheme="majorHAnsi" w:cstheme="majorHAnsi"/>
                <w:iCs/>
                <w:szCs w:val="18"/>
              </w:rPr>
              <w:t>:</w:t>
            </w:r>
          </w:p>
          <w:p w14:paraId="4A9AF84C" w14:textId="77777777" w:rsidR="001900B2" w:rsidRPr="0057285B" w:rsidRDefault="001900B2" w:rsidP="00043E52">
            <w:pPr>
              <w:pStyle w:val="TableBullet10"/>
              <w:spacing w:before="20" w:after="20" w:line="252" w:lineRule="auto"/>
              <w:rPr>
                <w:iCs/>
                <w:szCs w:val="18"/>
              </w:rPr>
            </w:pPr>
            <w:r w:rsidRPr="0057285B">
              <w:rPr>
                <w:b/>
                <w:bCs/>
                <w:iCs/>
                <w:szCs w:val="18"/>
              </w:rPr>
              <w:t>Stronger form of regulation:</w:t>
            </w:r>
            <w:r w:rsidRPr="0057285B">
              <w:rPr>
                <w:iCs/>
                <w:szCs w:val="18"/>
              </w:rPr>
              <w:t xml:space="preserve"> All the stakeholders that responded to this question agreed that the stronger form of regulation should be based on full regulation, albeit with some potential refinements (</w:t>
            </w:r>
            <w:r w:rsidRPr="0057285B">
              <w:rPr>
                <w:iCs/>
                <w:color w:val="FF0000"/>
                <w:szCs w:val="18"/>
              </w:rPr>
              <w:t>ACCC</w:t>
            </w:r>
            <w:r w:rsidRPr="0057285B">
              <w:rPr>
                <w:iCs/>
                <w:szCs w:val="18"/>
              </w:rPr>
              <w:t xml:space="preserve">, </w:t>
            </w:r>
            <w:r w:rsidRPr="0057285B">
              <w:rPr>
                <w:iCs/>
                <w:color w:val="00B0F0"/>
                <w:szCs w:val="18"/>
              </w:rPr>
              <w:t xml:space="preserve">AGL, EnergyAustralia, </w:t>
            </w:r>
            <w:r w:rsidRPr="0057285B">
              <w:rPr>
                <w:color w:val="0000FF"/>
                <w:szCs w:val="18"/>
                <w:lang w:eastAsia="fr-CA"/>
              </w:rPr>
              <w:t>EUAA, Chemistry Australia, NSW BC, MEU,</w:t>
            </w:r>
            <w:r w:rsidRPr="0057285B">
              <w:rPr>
                <w:szCs w:val="18"/>
                <w:lang w:eastAsia="fr-CA"/>
              </w:rPr>
              <w:t xml:space="preserve"> </w:t>
            </w:r>
            <w:r w:rsidRPr="0057285B">
              <w:rPr>
                <w:color w:val="D60093"/>
                <w:szCs w:val="18"/>
                <w:lang w:eastAsia="fr-CA"/>
              </w:rPr>
              <w:t xml:space="preserve">APLNG, </w:t>
            </w:r>
            <w:r w:rsidRPr="0057285B">
              <w:rPr>
                <w:color w:val="800080"/>
                <w:szCs w:val="18"/>
                <w:lang w:eastAsia="fr-CA"/>
              </w:rPr>
              <w:t xml:space="preserve">AGIG, Allgas, APA, APGA, ATCO, Epic </w:t>
            </w:r>
            <w:r w:rsidRPr="0057285B">
              <w:rPr>
                <w:szCs w:val="18"/>
                <w:lang w:eastAsia="fr-CA"/>
              </w:rPr>
              <w:t xml:space="preserve">and </w:t>
            </w:r>
            <w:r w:rsidRPr="0057285B">
              <w:rPr>
                <w:color w:val="800080"/>
                <w:szCs w:val="18"/>
                <w:lang w:eastAsia="fr-CA"/>
              </w:rPr>
              <w:t>Jemena</w:t>
            </w:r>
            <w:r w:rsidRPr="0057285B">
              <w:rPr>
                <w:szCs w:val="18"/>
                <w:lang w:eastAsia="fr-CA"/>
              </w:rPr>
              <w:t xml:space="preserve">). In doing so, a number of stakeholders expressed concerns about a potential movement to direct price control. </w:t>
            </w:r>
            <w:r w:rsidRPr="0057285B">
              <w:rPr>
                <w:color w:val="00B0F0"/>
                <w:szCs w:val="18"/>
                <w:lang w:eastAsia="fr-CA"/>
              </w:rPr>
              <w:t xml:space="preserve">AGL </w:t>
            </w:r>
            <w:r w:rsidRPr="0057285B">
              <w:rPr>
                <w:szCs w:val="18"/>
                <w:lang w:eastAsia="fr-CA"/>
              </w:rPr>
              <w:t>and</w:t>
            </w:r>
            <w:r w:rsidRPr="0057285B">
              <w:rPr>
                <w:color w:val="00B0F0"/>
                <w:szCs w:val="18"/>
                <w:lang w:eastAsia="fr-CA"/>
              </w:rPr>
              <w:t xml:space="preserve"> EnergyAustralia</w:t>
            </w:r>
            <w:r w:rsidRPr="0057285B">
              <w:rPr>
                <w:szCs w:val="18"/>
                <w:lang w:eastAsia="fr-CA"/>
              </w:rPr>
              <w:t xml:space="preserve">, for example, noted that this form of regulation </w:t>
            </w:r>
            <w:r w:rsidRPr="0057285B">
              <w:rPr>
                <w:iCs/>
                <w:szCs w:val="18"/>
              </w:rPr>
              <w:t xml:space="preserve">could lead to greater standardisation in services and less flexibility for shippers, while the </w:t>
            </w:r>
            <w:r w:rsidRPr="0057285B">
              <w:rPr>
                <w:iCs/>
                <w:color w:val="0000FF"/>
                <w:szCs w:val="18"/>
              </w:rPr>
              <w:t xml:space="preserve">EUAA </w:t>
            </w:r>
            <w:r w:rsidRPr="0057285B">
              <w:rPr>
                <w:iCs/>
                <w:szCs w:val="18"/>
              </w:rPr>
              <w:t xml:space="preserve">stated that it did not support such a movement at this time. The </w:t>
            </w:r>
            <w:r w:rsidRPr="0057285B">
              <w:rPr>
                <w:iCs/>
                <w:color w:val="FF0000"/>
                <w:szCs w:val="18"/>
              </w:rPr>
              <w:t xml:space="preserve">ACCC </w:t>
            </w:r>
            <w:r w:rsidRPr="0057285B">
              <w:rPr>
                <w:iCs/>
                <w:szCs w:val="18"/>
              </w:rPr>
              <w:t xml:space="preserve">and </w:t>
            </w:r>
            <w:r w:rsidRPr="0057285B">
              <w:rPr>
                <w:iCs/>
                <w:color w:val="800080"/>
                <w:szCs w:val="18"/>
              </w:rPr>
              <w:t xml:space="preserve">AGIG </w:t>
            </w:r>
            <w:r w:rsidRPr="0057285B">
              <w:rPr>
                <w:iCs/>
                <w:szCs w:val="18"/>
              </w:rPr>
              <w:t xml:space="preserve">also noted recent changes to reference service requirements meant that full regulation was closer to direct price control. </w:t>
            </w:r>
          </w:p>
          <w:p w14:paraId="363465EF" w14:textId="77777777" w:rsidR="001900B2" w:rsidRPr="0057285B" w:rsidRDefault="001900B2" w:rsidP="004C1067">
            <w:pPr>
              <w:pStyle w:val="TableBullet10"/>
              <w:rPr>
                <w:rFonts w:eastAsia="ArialMT"/>
                <w:szCs w:val="18"/>
              </w:rPr>
            </w:pPr>
            <w:r w:rsidRPr="0057285B">
              <w:rPr>
                <w:b/>
                <w:bCs/>
                <w:szCs w:val="18"/>
                <w:lang w:eastAsia="fr-CA"/>
              </w:rPr>
              <w:t xml:space="preserve">Lighter form of regulation: </w:t>
            </w:r>
            <w:r w:rsidRPr="0057285B">
              <w:rPr>
                <w:szCs w:val="18"/>
                <w:lang w:eastAsia="fr-CA"/>
              </w:rPr>
              <w:t>The</w:t>
            </w:r>
            <w:r w:rsidRPr="0057285B">
              <w:rPr>
                <w:b/>
                <w:bCs/>
                <w:szCs w:val="18"/>
                <w:lang w:eastAsia="fr-CA"/>
              </w:rPr>
              <w:t xml:space="preserve"> </w:t>
            </w:r>
            <w:r w:rsidRPr="0057285B">
              <w:rPr>
                <w:szCs w:val="18"/>
                <w:lang w:eastAsia="fr-CA"/>
              </w:rPr>
              <w:t xml:space="preserve">majority of stakeholders agreed the lighter form of regulation should be based on a strengthened Part 23. </w:t>
            </w:r>
            <w:r w:rsidRPr="0057285B">
              <w:rPr>
                <w:color w:val="D60093"/>
                <w:szCs w:val="18"/>
              </w:rPr>
              <w:t>COPA</w:t>
            </w:r>
            <w:r w:rsidRPr="0057285B">
              <w:rPr>
                <w:szCs w:val="18"/>
              </w:rPr>
              <w:t xml:space="preserve">, on the other hand, </w:t>
            </w:r>
            <w:r w:rsidRPr="0057285B">
              <w:rPr>
                <w:color w:val="000000" w:themeColor="text1"/>
                <w:szCs w:val="18"/>
              </w:rPr>
              <w:t xml:space="preserve">suggested consideration be given to the </w:t>
            </w:r>
            <w:r w:rsidRPr="0057285B">
              <w:rPr>
                <w:rFonts w:eastAsia="ArialMT"/>
                <w:szCs w:val="18"/>
              </w:rPr>
              <w:t>negotiated settlements approach used in the US.</w:t>
            </w:r>
          </w:p>
        </w:tc>
      </w:tr>
      <w:tr w:rsidR="001900B2" w:rsidRPr="0057285B" w14:paraId="06D8B1F7" w14:textId="77777777" w:rsidTr="00A507A6">
        <w:trPr>
          <w:cnfStyle w:val="000000010000" w:firstRow="0" w:lastRow="0" w:firstColumn="0" w:lastColumn="0" w:oddVBand="0" w:evenVBand="0" w:oddHBand="0" w:evenHBand="1" w:firstRowFirstColumn="0" w:firstRowLastColumn="0" w:lastRowFirstColumn="0" w:lastRowLastColumn="0"/>
          <w:cantSplit/>
          <w:trHeight w:val="1635"/>
        </w:trPr>
        <w:tc>
          <w:tcPr>
            <w:tcW w:w="250" w:type="pct"/>
            <w:vMerge/>
            <w:textDirection w:val="btLr"/>
          </w:tcPr>
          <w:p w14:paraId="4C518B1D" w14:textId="77777777" w:rsidR="001900B2" w:rsidRPr="0057285B" w:rsidRDefault="001900B2" w:rsidP="009C0ADB">
            <w:pPr>
              <w:spacing w:before="40" w:after="20" w:line="252" w:lineRule="auto"/>
              <w:jc w:val="center"/>
              <w:rPr>
                <w:rFonts w:cs="Arial"/>
                <w:bCs/>
                <w:szCs w:val="18"/>
              </w:rPr>
            </w:pPr>
          </w:p>
        </w:tc>
        <w:tc>
          <w:tcPr>
            <w:tcW w:w="750" w:type="pct"/>
            <w:gridSpan w:val="2"/>
            <w:vMerge/>
            <w:shd w:val="clear" w:color="auto" w:fill="F2F2F2" w:themeFill="background1" w:themeFillShade="F2"/>
          </w:tcPr>
          <w:p w14:paraId="6F52AB74" w14:textId="77777777" w:rsidR="001900B2" w:rsidRPr="0057285B" w:rsidRDefault="001900B2" w:rsidP="009A2162">
            <w:pPr>
              <w:pStyle w:val="TableBodyText"/>
              <w:spacing w:before="20" w:after="20" w:line="252" w:lineRule="auto"/>
              <w:rPr>
                <w:rFonts w:asciiTheme="majorHAnsi" w:hAnsiTheme="majorHAnsi" w:cstheme="majorHAnsi"/>
                <w:szCs w:val="18"/>
                <w:lang w:eastAsia="fr-CA"/>
              </w:rPr>
            </w:pPr>
          </w:p>
        </w:tc>
        <w:tc>
          <w:tcPr>
            <w:tcW w:w="4000" w:type="pct"/>
            <w:tcBorders>
              <w:bottom w:val="single" w:sz="4" w:space="0" w:color="auto"/>
            </w:tcBorders>
            <w:shd w:val="clear" w:color="auto" w:fill="F2F2F2" w:themeFill="background1" w:themeFillShade="F2"/>
          </w:tcPr>
          <w:p w14:paraId="51886BC3" w14:textId="77777777" w:rsidR="001900B2" w:rsidRPr="0057285B" w:rsidRDefault="001900B2" w:rsidP="004C1067">
            <w:pPr>
              <w:pStyle w:val="TableBullet10"/>
              <w:numPr>
                <w:ilvl w:val="0"/>
                <w:numId w:val="0"/>
              </w:numPr>
              <w:spacing w:before="20" w:after="20" w:line="252" w:lineRule="auto"/>
              <w:ind w:left="312" w:hanging="227"/>
              <w:rPr>
                <w:rFonts w:eastAsia="ArialMT"/>
                <w:b/>
                <w:bCs/>
                <w:szCs w:val="18"/>
              </w:rPr>
            </w:pPr>
            <w:r w:rsidRPr="0057285B">
              <w:rPr>
                <w:rFonts w:eastAsia="ArialMT"/>
                <w:b/>
                <w:bCs/>
                <w:szCs w:val="18"/>
              </w:rPr>
              <w:t xml:space="preserve">Safeguards to be applied under the new lighter form of regulation </w:t>
            </w:r>
          </w:p>
          <w:p w14:paraId="799B03F5" w14:textId="77777777" w:rsidR="001900B2" w:rsidRPr="0057285B" w:rsidRDefault="001900B2" w:rsidP="00040EBD">
            <w:pPr>
              <w:pStyle w:val="TableBullet10"/>
              <w:rPr>
                <w:rFonts w:eastAsia="ArialMT"/>
                <w:i/>
                <w:iCs/>
                <w:szCs w:val="18"/>
              </w:rPr>
            </w:pPr>
            <w:r w:rsidRPr="0057285B">
              <w:rPr>
                <w:szCs w:val="18"/>
                <w:lang w:eastAsia="fr-CA"/>
              </w:rPr>
              <w:t xml:space="preserve">The </w:t>
            </w:r>
            <w:r w:rsidRPr="0057285B">
              <w:rPr>
                <w:iCs/>
                <w:color w:val="FF0000"/>
                <w:szCs w:val="18"/>
              </w:rPr>
              <w:t>ACCC</w:t>
            </w:r>
            <w:r w:rsidRPr="0057285B">
              <w:rPr>
                <w:iCs/>
                <w:szCs w:val="18"/>
              </w:rPr>
              <w:t xml:space="preserve">, </w:t>
            </w:r>
            <w:r w:rsidRPr="0057285B">
              <w:rPr>
                <w:iCs/>
                <w:color w:val="00B0F0"/>
                <w:szCs w:val="18"/>
              </w:rPr>
              <w:t>Origin, EnergyAustralia</w:t>
            </w:r>
            <w:r w:rsidRPr="0057285B">
              <w:rPr>
                <w:iCs/>
                <w:szCs w:val="18"/>
              </w:rPr>
              <w:t xml:space="preserve">, </w:t>
            </w:r>
            <w:r w:rsidRPr="0057285B">
              <w:rPr>
                <w:color w:val="0000FF"/>
                <w:szCs w:val="18"/>
              </w:rPr>
              <w:t xml:space="preserve">EUAA, Chemistry Australia, NSW BC, </w:t>
            </w:r>
            <w:r w:rsidRPr="0057285B">
              <w:rPr>
                <w:color w:val="D60093"/>
                <w:szCs w:val="18"/>
              </w:rPr>
              <w:t>APPEA, APLNG, COPA</w:t>
            </w:r>
            <w:r w:rsidRPr="0057285B">
              <w:rPr>
                <w:szCs w:val="18"/>
              </w:rPr>
              <w:t xml:space="preserve">, </w:t>
            </w:r>
            <w:r w:rsidRPr="0057285B">
              <w:rPr>
                <w:color w:val="800080"/>
                <w:szCs w:val="18"/>
              </w:rPr>
              <w:t xml:space="preserve">AGIG, Allgas </w:t>
            </w:r>
            <w:r w:rsidRPr="0057285B">
              <w:rPr>
                <w:szCs w:val="18"/>
              </w:rPr>
              <w:t xml:space="preserve">and </w:t>
            </w:r>
            <w:r w:rsidRPr="0057285B">
              <w:rPr>
                <w:color w:val="800080"/>
                <w:szCs w:val="18"/>
              </w:rPr>
              <w:t xml:space="preserve">ATCO </w:t>
            </w:r>
            <w:r w:rsidRPr="0057285B">
              <w:rPr>
                <w:szCs w:val="18"/>
              </w:rPr>
              <w:t>(for transmission pipelines only) supported the application of all the safeguards that currently apply under light regulation to Part 23.</w:t>
            </w:r>
          </w:p>
          <w:p w14:paraId="4AF3D254" w14:textId="77777777" w:rsidR="001900B2" w:rsidRPr="0057285B" w:rsidRDefault="001900B2" w:rsidP="00040EBD">
            <w:pPr>
              <w:pStyle w:val="TableBullet10"/>
              <w:rPr>
                <w:rFonts w:eastAsia="ArialMT"/>
                <w:i/>
                <w:iCs/>
                <w:szCs w:val="18"/>
              </w:rPr>
            </w:pPr>
            <w:r w:rsidRPr="0057285B">
              <w:rPr>
                <w:color w:val="800080"/>
                <w:szCs w:val="18"/>
              </w:rPr>
              <w:t xml:space="preserve">APA, Epic </w:t>
            </w:r>
            <w:r w:rsidRPr="0057285B">
              <w:rPr>
                <w:szCs w:val="18"/>
              </w:rPr>
              <w:t xml:space="preserve">and </w:t>
            </w:r>
            <w:r w:rsidRPr="0057285B">
              <w:rPr>
                <w:color w:val="800080"/>
                <w:szCs w:val="18"/>
              </w:rPr>
              <w:t>Jemena</w:t>
            </w:r>
            <w:r w:rsidRPr="0057285B">
              <w:rPr>
                <w:szCs w:val="18"/>
              </w:rPr>
              <w:t>, on the other hand,</w:t>
            </w:r>
            <w:r w:rsidRPr="0057285B">
              <w:rPr>
                <w:color w:val="800080"/>
                <w:szCs w:val="18"/>
              </w:rPr>
              <w:t xml:space="preserve"> </w:t>
            </w:r>
            <w:r w:rsidRPr="0057285B">
              <w:rPr>
                <w:szCs w:val="18"/>
              </w:rPr>
              <w:t xml:space="preserve">did not support the application of the prohibition on inefficient price discrimination, because they claimed this could restrict the ability to provide the service flexibility required by shippers. </w:t>
            </w:r>
            <w:r w:rsidRPr="0057285B">
              <w:rPr>
                <w:iCs/>
                <w:color w:val="800080"/>
                <w:szCs w:val="18"/>
              </w:rPr>
              <w:t>Epic</w:t>
            </w:r>
            <w:r w:rsidRPr="0057285B">
              <w:rPr>
                <w:iCs/>
                <w:szCs w:val="18"/>
              </w:rPr>
              <w:t xml:space="preserve">, for example, claimed the application of this prohibition could reduce “the scope for bespoke arrangements”, while </w:t>
            </w:r>
            <w:r w:rsidRPr="0057285B">
              <w:rPr>
                <w:iCs/>
                <w:color w:val="800080"/>
                <w:szCs w:val="18"/>
              </w:rPr>
              <w:t xml:space="preserve">Jemena </w:t>
            </w:r>
            <w:r w:rsidRPr="0057285B">
              <w:rPr>
                <w:iCs/>
                <w:szCs w:val="18"/>
              </w:rPr>
              <w:t xml:space="preserve">claimed it would “have a chilling impact on the willingness of service providers to offer discounts and undermine commercial negotiations”. </w:t>
            </w:r>
          </w:p>
        </w:tc>
      </w:tr>
      <w:tr w:rsidR="001900B2" w:rsidRPr="0057285B" w14:paraId="7BDD4FC0" w14:textId="77777777" w:rsidTr="00A507A6">
        <w:trPr>
          <w:cantSplit/>
          <w:trHeight w:val="279"/>
        </w:trPr>
        <w:tc>
          <w:tcPr>
            <w:tcW w:w="250" w:type="pct"/>
            <w:vMerge/>
            <w:textDirection w:val="btLr"/>
          </w:tcPr>
          <w:p w14:paraId="42301537" w14:textId="77777777" w:rsidR="001900B2" w:rsidRPr="0057285B" w:rsidRDefault="001900B2" w:rsidP="009C0ADB">
            <w:pPr>
              <w:spacing w:before="40" w:after="20" w:line="252" w:lineRule="auto"/>
              <w:jc w:val="center"/>
              <w:rPr>
                <w:rFonts w:cs="Arial"/>
                <w:bCs/>
                <w:szCs w:val="18"/>
              </w:rPr>
            </w:pPr>
          </w:p>
        </w:tc>
        <w:tc>
          <w:tcPr>
            <w:tcW w:w="750" w:type="pct"/>
            <w:gridSpan w:val="2"/>
            <w:vMerge/>
            <w:tcBorders>
              <w:bottom w:val="single" w:sz="4" w:space="0" w:color="auto"/>
            </w:tcBorders>
            <w:shd w:val="clear" w:color="auto" w:fill="F2F2F2" w:themeFill="background1" w:themeFillShade="F2"/>
          </w:tcPr>
          <w:p w14:paraId="49AAB992" w14:textId="77777777" w:rsidR="001900B2" w:rsidRPr="0057285B" w:rsidRDefault="001900B2" w:rsidP="009A2162">
            <w:pPr>
              <w:pStyle w:val="TableBodyText"/>
              <w:spacing w:before="20" w:after="20" w:line="252" w:lineRule="auto"/>
              <w:rPr>
                <w:rFonts w:asciiTheme="majorHAnsi" w:hAnsiTheme="majorHAnsi" w:cstheme="majorHAnsi"/>
                <w:szCs w:val="18"/>
                <w:lang w:eastAsia="fr-CA"/>
              </w:rPr>
            </w:pPr>
          </w:p>
        </w:tc>
        <w:tc>
          <w:tcPr>
            <w:tcW w:w="4000" w:type="pct"/>
            <w:tcBorders>
              <w:bottom w:val="single" w:sz="4" w:space="0" w:color="auto"/>
            </w:tcBorders>
            <w:shd w:val="clear" w:color="auto" w:fill="F2F2F2" w:themeFill="background1" w:themeFillShade="F2"/>
          </w:tcPr>
          <w:p w14:paraId="359DE0AB" w14:textId="77777777" w:rsidR="001900B2" w:rsidRPr="0057285B" w:rsidRDefault="001900B2" w:rsidP="0000626F">
            <w:pPr>
              <w:pStyle w:val="TableBullet2"/>
              <w:keepNext/>
              <w:numPr>
                <w:ilvl w:val="0"/>
                <w:numId w:val="0"/>
              </w:numPr>
              <w:spacing w:before="40" w:after="40" w:line="252" w:lineRule="auto"/>
              <w:ind w:left="85"/>
              <w:rPr>
                <w:b/>
                <w:bCs/>
                <w:color w:val="000000" w:themeColor="text1"/>
                <w:szCs w:val="18"/>
              </w:rPr>
            </w:pPr>
            <w:r w:rsidRPr="0057285B">
              <w:rPr>
                <w:b/>
                <w:bCs/>
                <w:color w:val="000000" w:themeColor="text1"/>
                <w:szCs w:val="18"/>
              </w:rPr>
              <w:t>Transitional arrangements for the 5.5 light regulation pipelines</w:t>
            </w:r>
          </w:p>
          <w:p w14:paraId="04C0D6AB" w14:textId="77777777" w:rsidR="001900B2" w:rsidRPr="0057285B" w:rsidRDefault="001900B2" w:rsidP="0000626F">
            <w:pPr>
              <w:pStyle w:val="TableBullet10"/>
              <w:spacing w:before="40" w:after="40"/>
              <w:rPr>
                <w:szCs w:val="18"/>
              </w:rPr>
            </w:pPr>
            <w:r w:rsidRPr="0057285B">
              <w:rPr>
                <w:szCs w:val="18"/>
              </w:rPr>
              <w:t>The majority of stakeholders (</w:t>
            </w:r>
            <w:r w:rsidRPr="0057285B">
              <w:rPr>
                <w:color w:val="FF0000"/>
                <w:szCs w:val="18"/>
              </w:rPr>
              <w:t>ACCC</w:t>
            </w:r>
            <w:r w:rsidRPr="0057285B">
              <w:rPr>
                <w:szCs w:val="18"/>
              </w:rPr>
              <w:t xml:space="preserve">, </w:t>
            </w:r>
            <w:r w:rsidRPr="0057285B">
              <w:rPr>
                <w:color w:val="0000FF"/>
                <w:szCs w:val="18"/>
              </w:rPr>
              <w:t>EUAA</w:t>
            </w:r>
            <w:r w:rsidRPr="0057285B">
              <w:rPr>
                <w:szCs w:val="18"/>
              </w:rPr>
              <w:t xml:space="preserve">, </w:t>
            </w:r>
            <w:r w:rsidRPr="0057285B">
              <w:rPr>
                <w:color w:val="0000FF"/>
                <w:szCs w:val="18"/>
              </w:rPr>
              <w:t xml:space="preserve">NSW BC, Chemistry Australia, </w:t>
            </w:r>
            <w:r w:rsidRPr="0057285B">
              <w:rPr>
                <w:color w:val="D60093"/>
                <w:szCs w:val="18"/>
              </w:rPr>
              <w:t>COPA, APLNG</w:t>
            </w:r>
            <w:r w:rsidRPr="0057285B">
              <w:rPr>
                <w:szCs w:val="18"/>
              </w:rPr>
              <w:t xml:space="preserve">, </w:t>
            </w:r>
            <w:r w:rsidRPr="0057285B">
              <w:rPr>
                <w:color w:val="800080" w:themeColor="accent6"/>
                <w:szCs w:val="18"/>
              </w:rPr>
              <w:t xml:space="preserve">Allgas, APA </w:t>
            </w:r>
            <w:r w:rsidRPr="0057285B">
              <w:rPr>
                <w:szCs w:val="18"/>
              </w:rPr>
              <w:t>and</w:t>
            </w:r>
            <w:r w:rsidRPr="0057285B">
              <w:rPr>
                <w:color w:val="800080" w:themeColor="accent6"/>
                <w:szCs w:val="18"/>
              </w:rPr>
              <w:t xml:space="preserve"> Epic</w:t>
            </w:r>
            <w:r w:rsidRPr="0057285B">
              <w:rPr>
                <w:szCs w:val="18"/>
              </w:rPr>
              <w:t xml:space="preserve">) suggested deeming the 5.5 pipelines to the strengthened Part 23. </w:t>
            </w:r>
            <w:r w:rsidRPr="0057285B">
              <w:rPr>
                <w:color w:val="800080" w:themeColor="accent6"/>
                <w:szCs w:val="18"/>
              </w:rPr>
              <w:t xml:space="preserve">APGA </w:t>
            </w:r>
            <w:r w:rsidRPr="0057285B">
              <w:rPr>
                <w:szCs w:val="18"/>
              </w:rPr>
              <w:t xml:space="preserve">also supported this option, but suggested pipeline operators have the option to be subject to the stronger form of regulation if they choose. </w:t>
            </w:r>
          </w:p>
          <w:p w14:paraId="74F809BA" w14:textId="77777777" w:rsidR="0057285B" w:rsidRPr="0057285B" w:rsidRDefault="0057285B" w:rsidP="0057285B">
            <w:pPr>
              <w:pStyle w:val="TableBullet10"/>
              <w:spacing w:before="40" w:after="40"/>
              <w:rPr>
                <w:szCs w:val="18"/>
              </w:rPr>
            </w:pPr>
            <w:r w:rsidRPr="0057285B">
              <w:rPr>
                <w:szCs w:val="18"/>
              </w:rPr>
              <w:t xml:space="preserve">In contrast to these stakeholders: </w:t>
            </w:r>
          </w:p>
          <w:p w14:paraId="6A9A19D5" w14:textId="77777777" w:rsidR="0057285B" w:rsidRPr="0057285B" w:rsidRDefault="0057285B" w:rsidP="0057285B">
            <w:pPr>
              <w:pStyle w:val="TableBullet2"/>
              <w:spacing w:before="40" w:after="40"/>
              <w:rPr>
                <w:szCs w:val="18"/>
              </w:rPr>
            </w:pPr>
            <w:r w:rsidRPr="0057285B">
              <w:rPr>
                <w:color w:val="00B050"/>
                <w:szCs w:val="18"/>
              </w:rPr>
              <w:t xml:space="preserve">Energy Matrix </w:t>
            </w:r>
            <w:r w:rsidRPr="0057285B">
              <w:rPr>
                <w:szCs w:val="18"/>
              </w:rPr>
              <w:t xml:space="preserve">and the </w:t>
            </w:r>
            <w:r w:rsidRPr="0057285B">
              <w:rPr>
                <w:color w:val="0000FF"/>
                <w:szCs w:val="18"/>
              </w:rPr>
              <w:t xml:space="preserve">MEU </w:t>
            </w:r>
            <w:r w:rsidRPr="0057285B">
              <w:rPr>
                <w:szCs w:val="18"/>
              </w:rPr>
              <w:t>thought the pipelines should be deemed to be subject to full regulation; and</w:t>
            </w:r>
          </w:p>
          <w:p w14:paraId="34DDE48F" w14:textId="77777777" w:rsidR="0057285B" w:rsidRPr="0057285B" w:rsidRDefault="0057285B" w:rsidP="0057285B">
            <w:pPr>
              <w:pStyle w:val="TableBullet2"/>
              <w:spacing w:before="40" w:after="40"/>
              <w:rPr>
                <w:szCs w:val="18"/>
              </w:rPr>
            </w:pPr>
            <w:r w:rsidRPr="0057285B">
              <w:rPr>
                <w:color w:val="800080" w:themeColor="accent6"/>
                <w:szCs w:val="18"/>
              </w:rPr>
              <w:t xml:space="preserve">AGIG’s </w:t>
            </w:r>
            <w:r w:rsidRPr="0057285B">
              <w:rPr>
                <w:szCs w:val="18"/>
              </w:rPr>
              <w:t>first preference was for light regulation to be grandfathered until an application was made for a form of regulation review, while its second preference was for the pipelines to be deemed subject to the strengthened Part 23.</w:t>
            </w:r>
          </w:p>
          <w:p w14:paraId="3F96162B" w14:textId="77777777" w:rsidR="0057285B" w:rsidRPr="00FC3E32" w:rsidRDefault="0057285B" w:rsidP="00A507A6">
            <w:pPr>
              <w:pStyle w:val="TableBullet10"/>
              <w:numPr>
                <w:ilvl w:val="0"/>
                <w:numId w:val="0"/>
              </w:numPr>
              <w:spacing w:before="40" w:after="40"/>
              <w:rPr>
                <w:rFonts w:asciiTheme="majorHAnsi" w:hAnsiTheme="majorHAnsi" w:cstheme="majorHAnsi"/>
                <w:b/>
                <w:bCs/>
                <w:iCs/>
                <w:szCs w:val="18"/>
              </w:rPr>
            </w:pPr>
          </w:p>
        </w:tc>
      </w:tr>
      <w:tr w:rsidR="001900B2" w:rsidRPr="0057285B" w14:paraId="4BA220AE" w14:textId="77777777" w:rsidTr="00A507A6">
        <w:trPr>
          <w:cnfStyle w:val="000000010000" w:firstRow="0" w:lastRow="0" w:firstColumn="0" w:lastColumn="0" w:oddVBand="0" w:evenVBand="0" w:oddHBand="0" w:evenHBand="1" w:firstRowFirstColumn="0" w:firstRowLastColumn="0" w:lastRowFirstColumn="0" w:lastRowLastColumn="0"/>
          <w:cantSplit/>
          <w:trHeight w:val="279"/>
        </w:trPr>
        <w:tc>
          <w:tcPr>
            <w:tcW w:w="250" w:type="pct"/>
            <w:vMerge w:val="restart"/>
            <w:textDirection w:val="btLr"/>
          </w:tcPr>
          <w:p w14:paraId="74497AAC" w14:textId="77777777" w:rsidR="001900B2" w:rsidRPr="0057285B" w:rsidRDefault="001900B2" w:rsidP="009C0ADB">
            <w:pPr>
              <w:spacing w:before="40" w:after="20" w:line="252" w:lineRule="auto"/>
              <w:jc w:val="center"/>
              <w:rPr>
                <w:rFonts w:asciiTheme="majorHAnsi" w:hAnsiTheme="majorHAnsi" w:cstheme="majorHAnsi"/>
                <w:szCs w:val="18"/>
                <w:lang w:eastAsia="fr-CA"/>
              </w:rPr>
            </w:pPr>
            <w:r w:rsidRPr="0057285B">
              <w:rPr>
                <w:rFonts w:cs="Arial"/>
                <w:b/>
                <w:szCs w:val="18"/>
              </w:rPr>
              <w:lastRenderedPageBreak/>
              <w:t>Under-regulation as a result of the coverage test acting as a gateway between Part 23 and full regulation</w:t>
            </w:r>
          </w:p>
        </w:tc>
        <w:tc>
          <w:tcPr>
            <w:tcW w:w="750" w:type="pct"/>
            <w:gridSpan w:val="2"/>
            <w:tcBorders>
              <w:bottom w:val="single" w:sz="4" w:space="0" w:color="auto"/>
            </w:tcBorders>
            <w:shd w:val="clear" w:color="auto" w:fill="FFFFFF" w:themeFill="background1"/>
          </w:tcPr>
          <w:p w14:paraId="41F4177D" w14:textId="77777777" w:rsidR="001900B2" w:rsidRPr="0057285B" w:rsidRDefault="001900B2" w:rsidP="009A2162">
            <w:pPr>
              <w:pStyle w:val="TableBodyText"/>
              <w:spacing w:before="20" w:after="20" w:line="252" w:lineRule="auto"/>
              <w:rPr>
                <w:rFonts w:asciiTheme="majorHAnsi" w:hAnsiTheme="majorHAnsi" w:cstheme="majorHAnsi"/>
                <w:b/>
                <w:bCs/>
                <w:szCs w:val="18"/>
                <w:lang w:eastAsia="fr-CA"/>
              </w:rPr>
            </w:pPr>
            <w:r w:rsidRPr="0057285B">
              <w:rPr>
                <w:rFonts w:asciiTheme="majorHAnsi" w:hAnsiTheme="majorHAnsi" w:cstheme="majorHAnsi"/>
                <w:b/>
                <w:bCs/>
                <w:szCs w:val="18"/>
                <w:lang w:eastAsia="fr-CA"/>
              </w:rPr>
              <w:t xml:space="preserve">Option A: </w:t>
            </w:r>
            <w:r w:rsidR="0057285B">
              <w:rPr>
                <w:rFonts w:asciiTheme="majorHAnsi" w:hAnsiTheme="majorHAnsi" w:cstheme="majorHAnsi"/>
                <w:b/>
                <w:bCs/>
                <w:szCs w:val="18"/>
                <w:lang w:eastAsia="fr-CA"/>
              </w:rPr>
              <w:t>S</w:t>
            </w:r>
            <w:r w:rsidRPr="0057285B">
              <w:rPr>
                <w:rFonts w:asciiTheme="majorHAnsi" w:hAnsiTheme="majorHAnsi" w:cstheme="majorHAnsi"/>
                <w:b/>
                <w:bCs/>
                <w:szCs w:val="18"/>
                <w:lang w:eastAsia="fr-CA"/>
              </w:rPr>
              <w:t>tatus quo</w:t>
            </w:r>
          </w:p>
        </w:tc>
        <w:tc>
          <w:tcPr>
            <w:tcW w:w="4000" w:type="pct"/>
            <w:tcBorders>
              <w:bottom w:val="single" w:sz="4" w:space="0" w:color="auto"/>
            </w:tcBorders>
            <w:shd w:val="clear" w:color="auto" w:fill="FFFFFF" w:themeFill="background1"/>
          </w:tcPr>
          <w:p w14:paraId="4C35EBC1" w14:textId="77777777" w:rsidR="001900B2" w:rsidRPr="0057285B" w:rsidRDefault="001900B2" w:rsidP="002B7911">
            <w:pPr>
              <w:pStyle w:val="TableBullet10"/>
              <w:spacing w:before="20" w:after="20" w:line="252" w:lineRule="auto"/>
              <w:rPr>
                <w:szCs w:val="18"/>
                <w:lang w:eastAsia="fr-CA"/>
              </w:rPr>
            </w:pPr>
            <w:r w:rsidRPr="0057285B">
              <w:rPr>
                <w:szCs w:val="18"/>
                <w:lang w:eastAsia="fr-CA"/>
              </w:rPr>
              <w:t xml:space="preserve">The </w:t>
            </w:r>
            <w:r w:rsidRPr="0057285B">
              <w:rPr>
                <w:color w:val="FF0000"/>
                <w:szCs w:val="18"/>
                <w:lang w:eastAsia="fr-CA"/>
              </w:rPr>
              <w:t xml:space="preserve">NCC </w:t>
            </w:r>
            <w:r w:rsidRPr="0057285B">
              <w:rPr>
                <w:szCs w:val="18"/>
                <w:lang w:eastAsia="fr-CA"/>
              </w:rPr>
              <w:t xml:space="preserve">supported the retention of an amended form of the coverage test (based on the revised Part IIIA test in the CCA) as a gateway between Part 23 and full regulation. </w:t>
            </w:r>
          </w:p>
        </w:tc>
      </w:tr>
      <w:tr w:rsidR="001900B2" w:rsidRPr="0057285B" w14:paraId="6DAEFD4E" w14:textId="77777777" w:rsidTr="00A507A6">
        <w:trPr>
          <w:cantSplit/>
          <w:trHeight w:val="3472"/>
        </w:trPr>
        <w:tc>
          <w:tcPr>
            <w:tcW w:w="250" w:type="pct"/>
            <w:vMerge/>
          </w:tcPr>
          <w:p w14:paraId="25CC9DB0" w14:textId="77777777" w:rsidR="001900B2" w:rsidRPr="0057285B" w:rsidRDefault="001900B2" w:rsidP="009C0ADB">
            <w:pPr>
              <w:spacing w:before="40" w:after="20" w:line="252" w:lineRule="auto"/>
              <w:rPr>
                <w:rFonts w:cs="Arial"/>
                <w:bCs/>
                <w:szCs w:val="18"/>
              </w:rPr>
            </w:pPr>
          </w:p>
        </w:tc>
        <w:tc>
          <w:tcPr>
            <w:tcW w:w="200" w:type="pct"/>
            <w:vMerge w:val="restart"/>
            <w:shd w:val="clear" w:color="auto" w:fill="F2F2F2" w:themeFill="background1" w:themeFillShade="F2"/>
            <w:textDirection w:val="btLr"/>
          </w:tcPr>
          <w:p w14:paraId="35CA20AF" w14:textId="77777777" w:rsidR="001900B2" w:rsidRPr="0057285B" w:rsidRDefault="001900B2" w:rsidP="009814F3">
            <w:pPr>
              <w:pStyle w:val="TableBodyText"/>
              <w:spacing w:before="20" w:after="20" w:line="252" w:lineRule="auto"/>
              <w:jc w:val="center"/>
              <w:rPr>
                <w:rFonts w:asciiTheme="majorHAnsi" w:hAnsiTheme="majorHAnsi" w:cstheme="majorHAnsi"/>
                <w:b/>
                <w:bCs/>
                <w:szCs w:val="18"/>
                <w:lang w:eastAsia="fr-CA"/>
              </w:rPr>
            </w:pPr>
            <w:r w:rsidRPr="0057285B">
              <w:rPr>
                <w:rFonts w:asciiTheme="majorHAnsi" w:hAnsiTheme="majorHAnsi" w:cstheme="majorHAnsi"/>
                <w:b/>
                <w:bCs/>
                <w:szCs w:val="18"/>
                <w:lang w:eastAsia="fr-CA"/>
              </w:rPr>
              <w:t>Option B</w:t>
            </w:r>
          </w:p>
        </w:tc>
        <w:tc>
          <w:tcPr>
            <w:tcW w:w="550" w:type="pct"/>
            <w:shd w:val="clear" w:color="auto" w:fill="F2F2F2" w:themeFill="background1" w:themeFillShade="F2"/>
          </w:tcPr>
          <w:p w14:paraId="2654B8CF" w14:textId="77777777" w:rsidR="001900B2" w:rsidRPr="0057285B" w:rsidRDefault="001900B2" w:rsidP="009A2162">
            <w:pPr>
              <w:pStyle w:val="TableBodyText"/>
              <w:spacing w:before="20" w:after="20" w:line="252" w:lineRule="auto"/>
              <w:rPr>
                <w:rFonts w:asciiTheme="majorHAnsi" w:hAnsiTheme="majorHAnsi" w:cstheme="majorHAnsi"/>
                <w:szCs w:val="18"/>
                <w:lang w:eastAsia="fr-CA"/>
              </w:rPr>
            </w:pPr>
            <w:r w:rsidRPr="0057285B">
              <w:rPr>
                <w:rFonts w:asciiTheme="majorHAnsi" w:hAnsiTheme="majorHAnsi" w:cstheme="majorHAnsi"/>
                <w:szCs w:val="18"/>
                <w:lang w:eastAsia="fr-CA"/>
              </w:rPr>
              <w:t xml:space="preserve">(a) Remove coverage test and use form of regulation test in s. 122 of the NGL for form of regulation decisions </w:t>
            </w:r>
          </w:p>
        </w:tc>
        <w:tc>
          <w:tcPr>
            <w:tcW w:w="4000" w:type="pct"/>
            <w:shd w:val="clear" w:color="auto" w:fill="F2F2F2" w:themeFill="background1" w:themeFillShade="F2"/>
          </w:tcPr>
          <w:p w14:paraId="1B42B1DF" w14:textId="77777777" w:rsidR="001900B2" w:rsidRPr="0057285B" w:rsidRDefault="001900B2" w:rsidP="002B7911">
            <w:pPr>
              <w:pStyle w:val="TableBullet10"/>
              <w:spacing w:before="20" w:after="20" w:line="252" w:lineRule="auto"/>
              <w:rPr>
                <w:szCs w:val="18"/>
                <w:lang w:eastAsia="fr-CA"/>
              </w:rPr>
            </w:pPr>
            <w:r w:rsidRPr="0057285B">
              <w:rPr>
                <w:szCs w:val="18"/>
                <w:lang w:eastAsia="fr-CA"/>
              </w:rPr>
              <w:t xml:space="preserve">The </w:t>
            </w:r>
            <w:r w:rsidRPr="0057285B">
              <w:rPr>
                <w:color w:val="FF0000"/>
                <w:szCs w:val="18"/>
                <w:lang w:eastAsia="fr-CA"/>
              </w:rPr>
              <w:t>ACCC</w:t>
            </w:r>
            <w:r w:rsidRPr="0057285B">
              <w:rPr>
                <w:szCs w:val="18"/>
                <w:lang w:eastAsia="fr-CA"/>
              </w:rPr>
              <w:t xml:space="preserve">, </w:t>
            </w:r>
            <w:r w:rsidRPr="0057285B">
              <w:rPr>
                <w:color w:val="FF0000"/>
                <w:szCs w:val="18"/>
                <w:lang w:eastAsia="fr-CA"/>
              </w:rPr>
              <w:t xml:space="preserve">AER, </w:t>
            </w:r>
            <w:r w:rsidRPr="0057285B">
              <w:rPr>
                <w:color w:val="00B0F0"/>
                <w:szCs w:val="18"/>
                <w:lang w:eastAsia="fr-CA"/>
              </w:rPr>
              <w:t xml:space="preserve">EnergyAustralia, </w:t>
            </w:r>
            <w:r w:rsidRPr="0057285B">
              <w:rPr>
                <w:color w:val="0000FF"/>
                <w:szCs w:val="18"/>
                <w:lang w:eastAsia="fr-CA"/>
              </w:rPr>
              <w:t>EUAA</w:t>
            </w:r>
            <w:r w:rsidRPr="0057285B">
              <w:rPr>
                <w:szCs w:val="18"/>
                <w:lang w:eastAsia="fr-CA"/>
              </w:rPr>
              <w:t xml:space="preserve">, </w:t>
            </w:r>
            <w:r w:rsidRPr="0057285B">
              <w:rPr>
                <w:color w:val="0000FF"/>
                <w:szCs w:val="18"/>
                <w:lang w:eastAsia="fr-CA"/>
              </w:rPr>
              <w:t>Chemistry Australia, NSW BC, MEU</w:t>
            </w:r>
            <w:r w:rsidRPr="0057285B">
              <w:rPr>
                <w:szCs w:val="18"/>
                <w:lang w:eastAsia="fr-CA"/>
              </w:rPr>
              <w:t xml:space="preserve">, </w:t>
            </w:r>
            <w:r w:rsidRPr="0057285B">
              <w:rPr>
                <w:color w:val="D60093"/>
                <w:szCs w:val="18"/>
                <w:lang w:eastAsia="fr-CA"/>
              </w:rPr>
              <w:t xml:space="preserve">APPEA, APLNG, COPA, </w:t>
            </w:r>
            <w:r w:rsidRPr="0057285B">
              <w:rPr>
                <w:color w:val="800080"/>
                <w:szCs w:val="18"/>
                <w:lang w:eastAsia="fr-CA"/>
              </w:rPr>
              <w:t xml:space="preserve">AGIG, Allgas, APA, APGA, Epic </w:t>
            </w:r>
            <w:r w:rsidRPr="0057285B">
              <w:rPr>
                <w:szCs w:val="18"/>
                <w:lang w:eastAsia="fr-CA"/>
              </w:rPr>
              <w:t xml:space="preserve">and </w:t>
            </w:r>
            <w:r w:rsidRPr="0057285B">
              <w:rPr>
                <w:color w:val="800080"/>
                <w:szCs w:val="18"/>
                <w:lang w:eastAsia="fr-CA"/>
              </w:rPr>
              <w:t>Jemena</w:t>
            </w:r>
            <w:r w:rsidRPr="0057285B">
              <w:rPr>
                <w:szCs w:val="18"/>
                <w:lang w:eastAsia="fr-CA"/>
              </w:rPr>
              <w:t xml:space="preserve"> supported the removal of the coverage test from form of regulation assessments. </w:t>
            </w:r>
          </w:p>
          <w:p w14:paraId="68AE753A" w14:textId="77777777" w:rsidR="001900B2" w:rsidRPr="0057285B" w:rsidRDefault="001900B2" w:rsidP="002B7911">
            <w:pPr>
              <w:pStyle w:val="TableBullet10"/>
              <w:spacing w:before="20" w:after="20" w:line="252" w:lineRule="auto"/>
              <w:rPr>
                <w:szCs w:val="18"/>
                <w:lang w:eastAsia="fr-CA"/>
              </w:rPr>
            </w:pPr>
            <w:r w:rsidRPr="0057285B">
              <w:rPr>
                <w:szCs w:val="18"/>
                <w:lang w:eastAsia="fr-CA"/>
              </w:rPr>
              <w:t xml:space="preserve">With the exception of </w:t>
            </w:r>
            <w:r w:rsidRPr="0057285B">
              <w:rPr>
                <w:color w:val="D60093"/>
                <w:szCs w:val="18"/>
                <w:lang w:eastAsia="fr-CA"/>
              </w:rPr>
              <w:t xml:space="preserve">COPA </w:t>
            </w:r>
            <w:r w:rsidRPr="0057285B">
              <w:rPr>
                <w:szCs w:val="18"/>
                <w:lang w:eastAsia="fr-CA"/>
              </w:rPr>
              <w:t xml:space="preserve">(who proposed the use of a specific, definitive and objective test to remove the discretion from the determination), </w:t>
            </w:r>
            <w:r w:rsidRPr="0057285B">
              <w:rPr>
                <w:color w:val="800080"/>
                <w:szCs w:val="18"/>
                <w:lang w:eastAsia="fr-CA"/>
              </w:rPr>
              <w:t xml:space="preserve">Epic </w:t>
            </w:r>
            <w:r w:rsidRPr="0057285B">
              <w:rPr>
                <w:szCs w:val="18"/>
                <w:lang w:eastAsia="fr-CA"/>
              </w:rPr>
              <w:t xml:space="preserve">(who proposed the use of the market power-NGO test), most stakeholders supported the use of the existing form of regulation test in s.122 of the NGL. The following stakeholders did, however, suggest that the hurdle into the stronger form of regulation be raised: </w:t>
            </w:r>
          </w:p>
          <w:p w14:paraId="07D41B46" w14:textId="77777777" w:rsidR="001900B2" w:rsidRPr="0057285B" w:rsidRDefault="001900B2" w:rsidP="002B7911">
            <w:pPr>
              <w:pStyle w:val="TableBullet2"/>
              <w:spacing w:before="20" w:after="20" w:line="252" w:lineRule="auto"/>
              <w:rPr>
                <w:rFonts w:cstheme="majorHAnsi"/>
                <w:szCs w:val="18"/>
                <w:lang w:eastAsia="fr-CA"/>
              </w:rPr>
            </w:pPr>
            <w:r w:rsidRPr="0057285B">
              <w:rPr>
                <w:color w:val="D60093"/>
                <w:szCs w:val="18"/>
              </w:rPr>
              <w:t xml:space="preserve">APLNG </w:t>
            </w:r>
            <w:r w:rsidRPr="0057285B">
              <w:rPr>
                <w:szCs w:val="18"/>
              </w:rPr>
              <w:t xml:space="preserve">though the </w:t>
            </w:r>
            <w:r w:rsidRPr="0057285B">
              <w:rPr>
                <w:rFonts w:asciiTheme="majorHAnsi" w:hAnsiTheme="majorHAnsi" w:cstheme="majorHAnsi"/>
                <w:szCs w:val="18"/>
              </w:rPr>
              <w:t xml:space="preserve">hurdle should be “high enough to ensure investment in the pipeline sector is not deterred and the gas transportation sector can achieve commercial, market-led outcomes”. </w:t>
            </w:r>
            <w:r w:rsidRPr="0057285B">
              <w:rPr>
                <w:rFonts w:asciiTheme="majorHAnsi" w:hAnsiTheme="majorHAnsi" w:cstheme="majorHAnsi"/>
                <w:color w:val="00B0F0"/>
                <w:szCs w:val="18"/>
              </w:rPr>
              <w:t xml:space="preserve">Origin </w:t>
            </w:r>
            <w:r w:rsidRPr="0057285B">
              <w:rPr>
                <w:rFonts w:asciiTheme="majorHAnsi" w:hAnsiTheme="majorHAnsi" w:cstheme="majorHAnsi"/>
                <w:szCs w:val="18"/>
              </w:rPr>
              <w:t xml:space="preserve">expressed a similar view, stating that the lighter form of regulation should apply as a </w:t>
            </w:r>
            <w:r w:rsidRPr="0057285B">
              <w:rPr>
                <w:szCs w:val="18"/>
              </w:rPr>
              <w:t>first step unless circumstances warrant the application of full regulation.</w:t>
            </w:r>
          </w:p>
          <w:p w14:paraId="6F2700CD" w14:textId="77777777" w:rsidR="001900B2" w:rsidRPr="0057285B" w:rsidRDefault="001900B2" w:rsidP="002B7911">
            <w:pPr>
              <w:pStyle w:val="TableBullet2"/>
              <w:spacing w:before="20" w:after="20" w:line="252" w:lineRule="auto"/>
              <w:rPr>
                <w:rFonts w:asciiTheme="majorHAnsi" w:hAnsiTheme="majorHAnsi" w:cstheme="majorHAnsi"/>
                <w:szCs w:val="18"/>
                <w:lang w:eastAsia="fr-CA"/>
              </w:rPr>
            </w:pPr>
            <w:r w:rsidRPr="0057285B">
              <w:rPr>
                <w:color w:val="800080"/>
                <w:szCs w:val="18"/>
                <w:lang w:eastAsia="fr-CA"/>
              </w:rPr>
              <w:t xml:space="preserve">Jemena </w:t>
            </w:r>
            <w:r w:rsidRPr="0057285B">
              <w:rPr>
                <w:szCs w:val="18"/>
                <w:lang w:eastAsia="fr-CA"/>
              </w:rPr>
              <w:t xml:space="preserve">suggested that the form of regulation test require the decision-maker to be satisfied that the pipeline faces little or no competition and is able to exercise sustained and substantial market power, and that the quantified benefits of the stronger form materially exceed the costs. </w:t>
            </w:r>
          </w:p>
          <w:p w14:paraId="4656B767" w14:textId="77777777" w:rsidR="001900B2" w:rsidRPr="0057285B" w:rsidRDefault="001900B2" w:rsidP="002B7911">
            <w:pPr>
              <w:pStyle w:val="TableBullet2"/>
              <w:spacing w:before="20" w:after="20" w:line="252" w:lineRule="auto"/>
              <w:rPr>
                <w:rFonts w:asciiTheme="majorHAnsi" w:hAnsiTheme="majorHAnsi" w:cstheme="majorHAnsi"/>
                <w:szCs w:val="18"/>
                <w:lang w:eastAsia="fr-CA"/>
              </w:rPr>
            </w:pPr>
            <w:r w:rsidRPr="0057285B">
              <w:rPr>
                <w:color w:val="800080"/>
                <w:szCs w:val="18"/>
                <w:lang w:eastAsia="fr-CA"/>
              </w:rPr>
              <w:t xml:space="preserve">AGIG </w:t>
            </w:r>
            <w:r w:rsidRPr="0057285B">
              <w:rPr>
                <w:szCs w:val="18"/>
                <w:lang w:eastAsia="fr-CA"/>
              </w:rPr>
              <w:t xml:space="preserve">and </w:t>
            </w:r>
            <w:r w:rsidRPr="0057285B">
              <w:rPr>
                <w:color w:val="800080"/>
                <w:szCs w:val="18"/>
                <w:lang w:eastAsia="fr-CA"/>
              </w:rPr>
              <w:t xml:space="preserve">APGA </w:t>
            </w:r>
            <w:r w:rsidRPr="0057285B">
              <w:rPr>
                <w:szCs w:val="18"/>
                <w:lang w:eastAsia="fr-CA"/>
              </w:rPr>
              <w:t xml:space="preserve">similarly suggested the test be amended to require the decision-maker to be satisfied that moving to the stronger form of regulation would result in a net benefit. </w:t>
            </w:r>
          </w:p>
          <w:p w14:paraId="07C6B8DF" w14:textId="77777777" w:rsidR="001900B2" w:rsidRPr="0057285B" w:rsidRDefault="001900B2" w:rsidP="002B7911">
            <w:pPr>
              <w:pStyle w:val="TableBullet10"/>
              <w:spacing w:before="20" w:after="20" w:line="252" w:lineRule="auto"/>
              <w:rPr>
                <w:rFonts w:asciiTheme="majorHAnsi" w:hAnsiTheme="majorHAnsi" w:cstheme="majorHAnsi"/>
                <w:szCs w:val="18"/>
                <w:lang w:eastAsia="fr-CA"/>
              </w:rPr>
            </w:pPr>
            <w:r w:rsidRPr="0057285B">
              <w:rPr>
                <w:szCs w:val="18"/>
                <w:lang w:eastAsia="fr-CA"/>
              </w:rPr>
              <w:t xml:space="preserve">To overcome the information asymmetries that the decision-maker may face when applying the form of regulation test, the </w:t>
            </w:r>
            <w:r w:rsidRPr="0057285B">
              <w:rPr>
                <w:color w:val="FF0000"/>
                <w:szCs w:val="18"/>
                <w:lang w:eastAsia="fr-CA"/>
              </w:rPr>
              <w:t xml:space="preserve">ACCC </w:t>
            </w:r>
            <w:r w:rsidRPr="0057285B">
              <w:rPr>
                <w:szCs w:val="18"/>
                <w:lang w:eastAsia="fr-CA"/>
              </w:rPr>
              <w:t xml:space="preserve">suggested that the decision-maker: </w:t>
            </w:r>
            <w:r w:rsidRPr="0057285B">
              <w:rPr>
                <w:szCs w:val="18"/>
              </w:rPr>
              <w:t xml:space="preserve">be accorded compulsory information gathering powers so that it can obtain the information it requires to make a form of regulation decision; and </w:t>
            </w:r>
            <w:r w:rsidRPr="0057285B">
              <w:rPr>
                <w:szCs w:val="18"/>
                <w:lang w:eastAsia="fr-CA"/>
              </w:rPr>
              <w:t>be allowed to find that full regulation should apply if the service provider doesn’t provide the information it requires.</w:t>
            </w:r>
          </w:p>
        </w:tc>
      </w:tr>
      <w:tr w:rsidR="001900B2" w:rsidRPr="0057285B" w14:paraId="7F6D2014" w14:textId="77777777" w:rsidTr="00A507A6">
        <w:trPr>
          <w:cnfStyle w:val="000000010000" w:firstRow="0" w:lastRow="0" w:firstColumn="0" w:lastColumn="0" w:oddVBand="0" w:evenVBand="0" w:oddHBand="0" w:evenHBand="1" w:firstRowFirstColumn="0" w:firstRowLastColumn="0" w:lastRowFirstColumn="0" w:lastRowLastColumn="0"/>
          <w:cantSplit/>
          <w:trHeight w:val="985"/>
        </w:trPr>
        <w:tc>
          <w:tcPr>
            <w:tcW w:w="250" w:type="pct"/>
            <w:vMerge/>
          </w:tcPr>
          <w:p w14:paraId="6D387F50" w14:textId="77777777" w:rsidR="001900B2" w:rsidRPr="0057285B" w:rsidRDefault="001900B2" w:rsidP="009C0ADB">
            <w:pPr>
              <w:spacing w:before="40" w:after="20" w:line="252" w:lineRule="auto"/>
              <w:rPr>
                <w:rFonts w:cs="Arial"/>
                <w:bCs/>
                <w:szCs w:val="18"/>
              </w:rPr>
            </w:pPr>
          </w:p>
        </w:tc>
        <w:tc>
          <w:tcPr>
            <w:tcW w:w="200" w:type="pct"/>
            <w:vMerge/>
            <w:tcBorders>
              <w:bottom w:val="single" w:sz="4" w:space="0" w:color="auto"/>
            </w:tcBorders>
            <w:shd w:val="clear" w:color="auto" w:fill="F2F2F2" w:themeFill="background1" w:themeFillShade="F2"/>
          </w:tcPr>
          <w:p w14:paraId="2B790225" w14:textId="77777777" w:rsidR="001900B2" w:rsidRPr="0057285B" w:rsidRDefault="001900B2" w:rsidP="009A2162">
            <w:pPr>
              <w:pStyle w:val="TableBodyText"/>
              <w:spacing w:before="20" w:after="20" w:line="252" w:lineRule="auto"/>
              <w:rPr>
                <w:rFonts w:asciiTheme="majorHAnsi" w:hAnsiTheme="majorHAnsi" w:cstheme="majorHAnsi"/>
                <w:szCs w:val="18"/>
                <w:lang w:eastAsia="fr-CA"/>
              </w:rPr>
            </w:pPr>
          </w:p>
        </w:tc>
        <w:tc>
          <w:tcPr>
            <w:tcW w:w="550" w:type="pct"/>
            <w:tcBorders>
              <w:bottom w:val="single" w:sz="4" w:space="0" w:color="auto"/>
            </w:tcBorders>
            <w:shd w:val="clear" w:color="auto" w:fill="F2F2F2" w:themeFill="background1" w:themeFillShade="F2"/>
          </w:tcPr>
          <w:p w14:paraId="5C541670" w14:textId="77777777" w:rsidR="001900B2" w:rsidRPr="0057285B" w:rsidRDefault="001900B2" w:rsidP="009A2162">
            <w:pPr>
              <w:pStyle w:val="TableBodyText"/>
              <w:spacing w:before="20" w:after="20" w:line="252" w:lineRule="auto"/>
              <w:rPr>
                <w:rFonts w:asciiTheme="majorHAnsi" w:hAnsiTheme="majorHAnsi" w:cstheme="majorHAnsi"/>
                <w:szCs w:val="18"/>
                <w:lang w:eastAsia="fr-CA"/>
              </w:rPr>
            </w:pPr>
            <w:r w:rsidRPr="0057285B">
              <w:rPr>
                <w:szCs w:val="18"/>
              </w:rPr>
              <w:t>(b) Accord the relevant regulator a monitoring and referral role</w:t>
            </w:r>
          </w:p>
        </w:tc>
        <w:tc>
          <w:tcPr>
            <w:tcW w:w="4000" w:type="pct"/>
            <w:tcBorders>
              <w:bottom w:val="single" w:sz="4" w:space="0" w:color="auto"/>
            </w:tcBorders>
            <w:shd w:val="clear" w:color="auto" w:fill="F2F2F2" w:themeFill="background1" w:themeFillShade="F2"/>
          </w:tcPr>
          <w:p w14:paraId="20EDAE17" w14:textId="77777777" w:rsidR="001900B2" w:rsidRPr="0057285B" w:rsidRDefault="001900B2" w:rsidP="009A2162">
            <w:pPr>
              <w:pStyle w:val="TableBullet10"/>
              <w:spacing w:before="20" w:after="20"/>
              <w:rPr>
                <w:szCs w:val="18"/>
                <w:lang w:eastAsia="fr-CA"/>
              </w:rPr>
            </w:pPr>
            <w:r w:rsidRPr="0057285B">
              <w:rPr>
                <w:szCs w:val="18"/>
                <w:lang w:eastAsia="fr-CA"/>
              </w:rPr>
              <w:t xml:space="preserve">The </w:t>
            </w:r>
            <w:r w:rsidRPr="0057285B">
              <w:rPr>
                <w:color w:val="FF0000"/>
                <w:szCs w:val="18"/>
                <w:lang w:eastAsia="fr-CA"/>
              </w:rPr>
              <w:t>ACCC</w:t>
            </w:r>
            <w:r w:rsidRPr="0057285B">
              <w:rPr>
                <w:szCs w:val="18"/>
                <w:lang w:eastAsia="fr-CA"/>
              </w:rPr>
              <w:t xml:space="preserve">, </w:t>
            </w:r>
            <w:r w:rsidRPr="0057285B">
              <w:rPr>
                <w:color w:val="0000FF"/>
                <w:szCs w:val="18"/>
                <w:lang w:eastAsia="fr-CA"/>
              </w:rPr>
              <w:t>EUAA, Chemistry Australia, NSW BC, MEU</w:t>
            </w:r>
            <w:r w:rsidRPr="0057285B">
              <w:rPr>
                <w:szCs w:val="18"/>
                <w:lang w:eastAsia="fr-CA"/>
              </w:rPr>
              <w:t xml:space="preserve">, </w:t>
            </w:r>
            <w:r w:rsidRPr="0057285B">
              <w:rPr>
                <w:color w:val="D60093"/>
                <w:szCs w:val="18"/>
                <w:lang w:eastAsia="fr-CA"/>
              </w:rPr>
              <w:t xml:space="preserve">APLNG, </w:t>
            </w:r>
            <w:r w:rsidRPr="0057285B">
              <w:rPr>
                <w:color w:val="00B0F0"/>
                <w:szCs w:val="18"/>
                <w:lang w:eastAsia="fr-CA"/>
              </w:rPr>
              <w:t xml:space="preserve">Origin </w:t>
            </w:r>
            <w:r w:rsidRPr="0057285B">
              <w:rPr>
                <w:szCs w:val="18"/>
                <w:lang w:eastAsia="fr-CA"/>
              </w:rPr>
              <w:t xml:space="preserve">and </w:t>
            </w:r>
            <w:r w:rsidRPr="0057285B">
              <w:rPr>
                <w:color w:val="800080"/>
                <w:szCs w:val="18"/>
                <w:lang w:eastAsia="fr-CA"/>
              </w:rPr>
              <w:t xml:space="preserve">Epic </w:t>
            </w:r>
            <w:r w:rsidRPr="0057285B">
              <w:rPr>
                <w:szCs w:val="18"/>
                <w:lang w:eastAsia="fr-CA"/>
              </w:rPr>
              <w:t xml:space="preserve">supported the proposal for the relevant regulator to take on a more active </w:t>
            </w:r>
            <w:r w:rsidRPr="0057285B">
              <w:rPr>
                <w:szCs w:val="18"/>
              </w:rPr>
              <w:t>monitoring role and to be able to refer pipelines for a form of regulation assessment</w:t>
            </w:r>
            <w:r w:rsidRPr="0057285B">
              <w:rPr>
                <w:szCs w:val="18"/>
                <w:lang w:eastAsia="fr-CA"/>
              </w:rPr>
              <w:t xml:space="preserve"> if they have concerns that market power is being exercised. </w:t>
            </w:r>
            <w:r w:rsidRPr="0057285B">
              <w:rPr>
                <w:color w:val="800080"/>
                <w:szCs w:val="18"/>
                <w:lang w:eastAsia="fr-CA"/>
              </w:rPr>
              <w:t xml:space="preserve">Jemena </w:t>
            </w:r>
            <w:r w:rsidRPr="0057285B">
              <w:rPr>
                <w:szCs w:val="18"/>
                <w:lang w:eastAsia="fr-CA"/>
              </w:rPr>
              <w:t xml:space="preserve">also supported this, but stated that taking on this role would be incompatible with the regulator making being the decision-maker for form of regulation decisions. </w:t>
            </w:r>
            <w:r w:rsidRPr="0057285B">
              <w:rPr>
                <w:color w:val="D60093"/>
                <w:szCs w:val="18"/>
                <w:lang w:eastAsia="fr-CA"/>
              </w:rPr>
              <w:t>APLNG</w:t>
            </w:r>
            <w:r w:rsidRPr="0057285B">
              <w:rPr>
                <w:szCs w:val="18"/>
                <w:lang w:eastAsia="fr-CA"/>
              </w:rPr>
              <w:t xml:space="preserve"> expressed a similar view. </w:t>
            </w:r>
            <w:r w:rsidRPr="0057285B">
              <w:rPr>
                <w:color w:val="D60093"/>
                <w:szCs w:val="18"/>
                <w:lang w:eastAsia="fr-CA"/>
              </w:rPr>
              <w:t>COPA</w:t>
            </w:r>
            <w:r w:rsidRPr="0057285B">
              <w:rPr>
                <w:szCs w:val="18"/>
                <w:lang w:eastAsia="fr-CA"/>
              </w:rPr>
              <w:t xml:space="preserve"> suggested the regulator be able, at the request of a shipper, to undertake a review if there is a suspected use of market power or wrongful conduct. </w:t>
            </w:r>
          </w:p>
          <w:p w14:paraId="593C754E" w14:textId="77777777" w:rsidR="001900B2" w:rsidRPr="0057285B" w:rsidRDefault="001900B2" w:rsidP="009A2162">
            <w:pPr>
              <w:pStyle w:val="TableBullet10"/>
              <w:spacing w:before="20" w:after="20"/>
              <w:rPr>
                <w:b/>
                <w:bCs/>
                <w:szCs w:val="18"/>
                <w:lang w:eastAsia="fr-CA"/>
              </w:rPr>
            </w:pPr>
            <w:r w:rsidRPr="0057285B">
              <w:rPr>
                <w:szCs w:val="18"/>
                <w:lang w:eastAsia="fr-CA"/>
              </w:rPr>
              <w:t xml:space="preserve">In contrast to these stakeholders, </w:t>
            </w:r>
            <w:r w:rsidRPr="0057285B">
              <w:rPr>
                <w:color w:val="D60093"/>
                <w:szCs w:val="18"/>
                <w:lang w:eastAsia="fr-CA"/>
              </w:rPr>
              <w:t>APPEA</w:t>
            </w:r>
            <w:r w:rsidRPr="0057285B">
              <w:rPr>
                <w:szCs w:val="18"/>
                <w:lang w:eastAsia="fr-CA"/>
              </w:rPr>
              <w:t xml:space="preserve">, </w:t>
            </w:r>
            <w:r w:rsidRPr="0057285B">
              <w:rPr>
                <w:color w:val="800080"/>
                <w:szCs w:val="18"/>
                <w:lang w:eastAsia="fr-CA"/>
              </w:rPr>
              <w:t xml:space="preserve">AGIG </w:t>
            </w:r>
            <w:r w:rsidRPr="0057285B">
              <w:rPr>
                <w:szCs w:val="18"/>
                <w:lang w:eastAsia="fr-CA"/>
              </w:rPr>
              <w:t>and</w:t>
            </w:r>
            <w:r w:rsidRPr="0057285B">
              <w:rPr>
                <w:color w:val="800080"/>
                <w:szCs w:val="18"/>
                <w:lang w:eastAsia="fr-CA"/>
              </w:rPr>
              <w:t xml:space="preserve"> ATCO </w:t>
            </w:r>
            <w:r w:rsidRPr="0057285B">
              <w:rPr>
                <w:szCs w:val="18"/>
                <w:lang w:eastAsia="fr-CA"/>
              </w:rPr>
              <w:t xml:space="preserve">did not think any additional monitoring was required. </w:t>
            </w:r>
          </w:p>
        </w:tc>
      </w:tr>
      <w:tr w:rsidR="001900B2" w:rsidRPr="0057285B" w14:paraId="638AAB46" w14:textId="77777777" w:rsidTr="00A507A6">
        <w:trPr>
          <w:cantSplit/>
          <w:trHeight w:val="521"/>
        </w:trPr>
        <w:tc>
          <w:tcPr>
            <w:tcW w:w="250" w:type="pct"/>
            <w:vMerge w:val="restart"/>
            <w:shd w:val="clear" w:color="auto" w:fill="FFFFFF" w:themeFill="background1"/>
            <w:textDirection w:val="btLr"/>
          </w:tcPr>
          <w:p w14:paraId="18748AF1" w14:textId="77777777" w:rsidR="001900B2" w:rsidRPr="0057285B" w:rsidRDefault="001900B2" w:rsidP="0033301C">
            <w:pPr>
              <w:pStyle w:val="TableBodyText"/>
              <w:keepNext/>
              <w:spacing w:before="40" w:after="20" w:line="252" w:lineRule="auto"/>
              <w:jc w:val="center"/>
              <w:rPr>
                <w:b/>
                <w:szCs w:val="18"/>
              </w:rPr>
            </w:pPr>
            <w:r w:rsidRPr="0057285B">
              <w:rPr>
                <w:b/>
                <w:szCs w:val="18"/>
              </w:rPr>
              <w:t>Exercises of dynamic market power may not be effectively dealt with under the current framework</w:t>
            </w:r>
          </w:p>
        </w:tc>
        <w:tc>
          <w:tcPr>
            <w:tcW w:w="750" w:type="pct"/>
            <w:gridSpan w:val="2"/>
            <w:tcBorders>
              <w:bottom w:val="single" w:sz="4" w:space="0" w:color="auto"/>
            </w:tcBorders>
            <w:shd w:val="clear" w:color="auto" w:fill="FFFFFF" w:themeFill="background1"/>
          </w:tcPr>
          <w:p w14:paraId="4A02F3C7" w14:textId="77777777" w:rsidR="001900B2" w:rsidRPr="0057285B" w:rsidRDefault="001900B2" w:rsidP="0033301C">
            <w:pPr>
              <w:pStyle w:val="TableBodyText"/>
              <w:keepNext/>
              <w:spacing w:before="40" w:after="20" w:line="252" w:lineRule="auto"/>
              <w:rPr>
                <w:rFonts w:asciiTheme="majorHAnsi" w:hAnsiTheme="majorHAnsi" w:cstheme="majorHAnsi"/>
                <w:b/>
                <w:szCs w:val="18"/>
                <w:lang w:eastAsia="fr-CA"/>
              </w:rPr>
            </w:pPr>
            <w:r w:rsidRPr="0057285B">
              <w:rPr>
                <w:rFonts w:asciiTheme="majorHAnsi" w:hAnsiTheme="majorHAnsi" w:cstheme="majorHAnsi"/>
                <w:b/>
                <w:szCs w:val="18"/>
                <w:lang w:eastAsia="fr-CA"/>
              </w:rPr>
              <w:t xml:space="preserve">Option A: </w:t>
            </w:r>
            <w:r w:rsidR="00B1059C">
              <w:rPr>
                <w:rFonts w:asciiTheme="majorHAnsi" w:hAnsiTheme="majorHAnsi" w:cstheme="majorHAnsi"/>
                <w:b/>
                <w:szCs w:val="18"/>
                <w:lang w:eastAsia="fr-CA"/>
              </w:rPr>
              <w:t>S</w:t>
            </w:r>
            <w:r w:rsidRPr="0057285B">
              <w:rPr>
                <w:rFonts w:asciiTheme="majorHAnsi" w:hAnsiTheme="majorHAnsi" w:cstheme="majorHAnsi"/>
                <w:b/>
                <w:szCs w:val="18"/>
                <w:lang w:eastAsia="fr-CA"/>
              </w:rPr>
              <w:t>tatus quo</w:t>
            </w:r>
          </w:p>
        </w:tc>
        <w:tc>
          <w:tcPr>
            <w:tcW w:w="4000" w:type="pct"/>
            <w:tcBorders>
              <w:bottom w:val="single" w:sz="4" w:space="0" w:color="auto"/>
            </w:tcBorders>
            <w:shd w:val="clear" w:color="auto" w:fill="FFFFFF" w:themeFill="background1"/>
          </w:tcPr>
          <w:p w14:paraId="6E4EE3EB" w14:textId="77777777" w:rsidR="001900B2" w:rsidRPr="0057285B" w:rsidRDefault="001900B2" w:rsidP="0033301C">
            <w:pPr>
              <w:pStyle w:val="TableBullet10"/>
              <w:keepNext/>
              <w:spacing w:before="20" w:after="20"/>
              <w:rPr>
                <w:szCs w:val="18"/>
              </w:rPr>
            </w:pPr>
            <w:r w:rsidRPr="0057285B">
              <w:rPr>
                <w:color w:val="800080"/>
                <w:szCs w:val="18"/>
              </w:rPr>
              <w:t xml:space="preserve">AGIG, APA, APGA, ATCO </w:t>
            </w:r>
            <w:r w:rsidRPr="0057285B">
              <w:rPr>
                <w:szCs w:val="18"/>
              </w:rPr>
              <w:t xml:space="preserve">and </w:t>
            </w:r>
            <w:r w:rsidRPr="0057285B">
              <w:rPr>
                <w:color w:val="800080"/>
                <w:szCs w:val="18"/>
              </w:rPr>
              <w:t xml:space="preserve">Jemena </w:t>
            </w:r>
            <w:r w:rsidRPr="0057285B">
              <w:rPr>
                <w:szCs w:val="18"/>
              </w:rPr>
              <w:t xml:space="preserve">supported the retention of the status quo. In doing so, </w:t>
            </w:r>
            <w:r w:rsidRPr="0057285B">
              <w:rPr>
                <w:color w:val="800080"/>
                <w:szCs w:val="18"/>
              </w:rPr>
              <w:t xml:space="preserve">Jemena </w:t>
            </w:r>
            <w:r w:rsidRPr="0057285B">
              <w:rPr>
                <w:szCs w:val="18"/>
              </w:rPr>
              <w:t xml:space="preserve">and </w:t>
            </w:r>
            <w:r w:rsidRPr="0057285B">
              <w:rPr>
                <w:color w:val="800080"/>
                <w:szCs w:val="18"/>
              </w:rPr>
              <w:t xml:space="preserve">AGIG </w:t>
            </w:r>
            <w:r w:rsidRPr="0057285B">
              <w:rPr>
                <w:szCs w:val="18"/>
              </w:rPr>
              <w:t xml:space="preserve">stated there was no evidence of a problem, particularly in relation to the cross-subsidisation of new capacity. </w:t>
            </w:r>
            <w:r w:rsidRPr="0057285B">
              <w:rPr>
                <w:color w:val="800080"/>
                <w:szCs w:val="18"/>
              </w:rPr>
              <w:t xml:space="preserve">APGA </w:t>
            </w:r>
            <w:r w:rsidRPr="0057285B">
              <w:rPr>
                <w:szCs w:val="18"/>
              </w:rPr>
              <w:t xml:space="preserve">and </w:t>
            </w:r>
            <w:r w:rsidRPr="0057285B">
              <w:rPr>
                <w:color w:val="800080"/>
                <w:szCs w:val="18"/>
              </w:rPr>
              <w:t xml:space="preserve">AGIG </w:t>
            </w:r>
            <w:r w:rsidRPr="0057285B">
              <w:rPr>
                <w:szCs w:val="18"/>
              </w:rPr>
              <w:t xml:space="preserve">also thought the existing rules were sufficient to deal with dynamic market power. </w:t>
            </w:r>
          </w:p>
        </w:tc>
      </w:tr>
      <w:tr w:rsidR="001900B2" w:rsidRPr="0057285B" w14:paraId="6CEADE94" w14:textId="77777777" w:rsidTr="00A507A6">
        <w:trPr>
          <w:cnfStyle w:val="000000010000" w:firstRow="0" w:lastRow="0" w:firstColumn="0" w:lastColumn="0" w:oddVBand="0" w:evenVBand="0" w:oddHBand="0" w:evenHBand="1" w:firstRowFirstColumn="0" w:firstRowLastColumn="0" w:lastRowFirstColumn="0" w:lastRowLastColumn="0"/>
          <w:cantSplit/>
          <w:trHeight w:val="521"/>
        </w:trPr>
        <w:tc>
          <w:tcPr>
            <w:tcW w:w="250" w:type="pct"/>
            <w:vMerge/>
            <w:shd w:val="clear" w:color="auto" w:fill="FFFFFF" w:themeFill="background1"/>
          </w:tcPr>
          <w:p w14:paraId="59D994D7" w14:textId="77777777" w:rsidR="001900B2" w:rsidRPr="0057285B" w:rsidDel="003D0E8B" w:rsidRDefault="001900B2" w:rsidP="0033301C">
            <w:pPr>
              <w:pStyle w:val="TableBodyText"/>
              <w:keepNext/>
              <w:spacing w:before="40" w:after="20" w:line="252" w:lineRule="auto"/>
              <w:rPr>
                <w:rFonts w:asciiTheme="majorHAnsi" w:hAnsiTheme="majorHAnsi" w:cstheme="majorHAnsi"/>
                <w:b/>
                <w:szCs w:val="18"/>
                <w:lang w:eastAsia="fr-CA"/>
              </w:rPr>
            </w:pPr>
          </w:p>
        </w:tc>
        <w:tc>
          <w:tcPr>
            <w:tcW w:w="200" w:type="pct"/>
            <w:vMerge w:val="restart"/>
            <w:shd w:val="clear" w:color="auto" w:fill="F2F2F2" w:themeFill="background1" w:themeFillShade="F2"/>
            <w:textDirection w:val="btLr"/>
          </w:tcPr>
          <w:p w14:paraId="0B2FD1FA" w14:textId="77777777" w:rsidR="001900B2" w:rsidRPr="0057285B" w:rsidDel="003D0E8B" w:rsidRDefault="001900B2" w:rsidP="0033301C">
            <w:pPr>
              <w:pStyle w:val="TableBodyText"/>
              <w:keepNext/>
              <w:spacing w:before="40" w:after="20" w:line="252" w:lineRule="auto"/>
              <w:jc w:val="center"/>
              <w:rPr>
                <w:rFonts w:asciiTheme="majorHAnsi" w:hAnsiTheme="majorHAnsi" w:cstheme="majorHAnsi"/>
                <w:b/>
                <w:szCs w:val="18"/>
                <w:lang w:eastAsia="fr-CA"/>
              </w:rPr>
            </w:pPr>
            <w:r w:rsidRPr="0057285B">
              <w:rPr>
                <w:rFonts w:asciiTheme="majorHAnsi" w:hAnsiTheme="majorHAnsi" w:cstheme="majorHAnsi"/>
                <w:b/>
                <w:szCs w:val="18"/>
                <w:lang w:eastAsia="fr-CA"/>
              </w:rPr>
              <w:t xml:space="preserve">Option B: </w:t>
            </w:r>
            <w:r w:rsidRPr="0057285B">
              <w:rPr>
                <w:b/>
                <w:szCs w:val="18"/>
              </w:rPr>
              <w:t>Address dynamic market power by:</w:t>
            </w:r>
          </w:p>
        </w:tc>
        <w:tc>
          <w:tcPr>
            <w:tcW w:w="550" w:type="pct"/>
            <w:shd w:val="clear" w:color="auto" w:fill="F2F2F2" w:themeFill="background1" w:themeFillShade="F2"/>
          </w:tcPr>
          <w:p w14:paraId="44971D71" w14:textId="77777777" w:rsidR="001900B2" w:rsidRPr="0057285B" w:rsidDel="003D0E8B" w:rsidRDefault="001900B2" w:rsidP="0033301C">
            <w:pPr>
              <w:pStyle w:val="TableBodyText"/>
              <w:keepNext/>
              <w:spacing w:before="40" w:after="20" w:line="252" w:lineRule="auto"/>
              <w:rPr>
                <w:rFonts w:asciiTheme="majorHAnsi" w:hAnsiTheme="majorHAnsi" w:cstheme="majorHAnsi"/>
                <w:szCs w:val="18"/>
                <w:lang w:eastAsia="fr-CA"/>
              </w:rPr>
            </w:pPr>
            <w:r w:rsidRPr="0057285B">
              <w:rPr>
                <w:rFonts w:asciiTheme="majorHAnsi" w:hAnsiTheme="majorHAnsi" w:cstheme="majorHAnsi"/>
                <w:szCs w:val="18"/>
                <w:lang w:eastAsia="fr-CA"/>
              </w:rPr>
              <w:t xml:space="preserve">(a) </w:t>
            </w:r>
            <w:r w:rsidRPr="0057285B">
              <w:rPr>
                <w:szCs w:val="18"/>
              </w:rPr>
              <w:t>Including interconnection principles in the NGR</w:t>
            </w:r>
          </w:p>
        </w:tc>
        <w:tc>
          <w:tcPr>
            <w:tcW w:w="4000" w:type="pct"/>
            <w:shd w:val="clear" w:color="auto" w:fill="F2F2F2" w:themeFill="background1" w:themeFillShade="F2"/>
          </w:tcPr>
          <w:p w14:paraId="745145AC" w14:textId="77777777" w:rsidR="001900B2" w:rsidRPr="0057285B" w:rsidRDefault="001900B2" w:rsidP="0033301C">
            <w:pPr>
              <w:pStyle w:val="TableBullet10"/>
              <w:keepNext/>
              <w:spacing w:before="20" w:after="20"/>
              <w:rPr>
                <w:bCs/>
                <w:szCs w:val="18"/>
                <w:lang w:eastAsia="fr-CA"/>
              </w:rPr>
            </w:pPr>
            <w:r w:rsidRPr="0057285B">
              <w:rPr>
                <w:szCs w:val="18"/>
                <w:lang w:eastAsia="fr-CA"/>
              </w:rPr>
              <w:t xml:space="preserve">The </w:t>
            </w:r>
            <w:r w:rsidRPr="0057285B">
              <w:rPr>
                <w:color w:val="FF0000"/>
                <w:szCs w:val="18"/>
                <w:lang w:eastAsia="fr-CA"/>
              </w:rPr>
              <w:t>ACCC</w:t>
            </w:r>
            <w:r w:rsidRPr="0057285B">
              <w:rPr>
                <w:szCs w:val="18"/>
                <w:lang w:eastAsia="fr-CA"/>
              </w:rPr>
              <w:t>,</w:t>
            </w:r>
            <w:r w:rsidRPr="0057285B">
              <w:rPr>
                <w:b/>
                <w:bCs/>
                <w:szCs w:val="18"/>
                <w:lang w:eastAsia="fr-CA"/>
              </w:rPr>
              <w:t xml:space="preserve"> </w:t>
            </w:r>
            <w:r w:rsidRPr="0057285B">
              <w:rPr>
                <w:bCs/>
                <w:color w:val="00B0F0"/>
                <w:szCs w:val="18"/>
                <w:lang w:eastAsia="fr-CA"/>
              </w:rPr>
              <w:t xml:space="preserve">EnergyAustralia, </w:t>
            </w:r>
            <w:r w:rsidRPr="0057285B">
              <w:rPr>
                <w:color w:val="0000FF"/>
                <w:szCs w:val="18"/>
                <w:lang w:eastAsia="fr-CA"/>
              </w:rPr>
              <w:t xml:space="preserve">EUAA, Chemistry Australia, NSW BC, MEU, </w:t>
            </w:r>
            <w:r w:rsidRPr="0057285B">
              <w:rPr>
                <w:color w:val="D60093"/>
                <w:szCs w:val="18"/>
                <w:lang w:eastAsia="fr-CA"/>
              </w:rPr>
              <w:t xml:space="preserve">APLNG </w:t>
            </w:r>
            <w:r w:rsidRPr="0057285B">
              <w:rPr>
                <w:szCs w:val="18"/>
                <w:lang w:eastAsia="fr-CA"/>
              </w:rPr>
              <w:t xml:space="preserve">and </w:t>
            </w:r>
            <w:r w:rsidRPr="0057285B">
              <w:rPr>
                <w:color w:val="D60093"/>
                <w:szCs w:val="18"/>
                <w:lang w:eastAsia="fr-CA"/>
              </w:rPr>
              <w:t xml:space="preserve">COPA </w:t>
            </w:r>
            <w:r w:rsidRPr="0057285B">
              <w:rPr>
                <w:szCs w:val="18"/>
                <w:lang w:eastAsia="fr-CA"/>
              </w:rPr>
              <w:t xml:space="preserve">supported the proposed inclusion of a right to interconnect in the regulatory framework and, in the case of the </w:t>
            </w:r>
            <w:r w:rsidRPr="0057285B">
              <w:rPr>
                <w:color w:val="FF0000"/>
                <w:szCs w:val="18"/>
                <w:lang w:eastAsia="fr-CA"/>
              </w:rPr>
              <w:t>ACCC</w:t>
            </w:r>
            <w:r w:rsidRPr="0057285B">
              <w:rPr>
                <w:szCs w:val="18"/>
                <w:lang w:eastAsia="fr-CA"/>
              </w:rPr>
              <w:t xml:space="preserve">, </w:t>
            </w:r>
            <w:r w:rsidRPr="0057285B">
              <w:rPr>
                <w:color w:val="0000FF"/>
                <w:szCs w:val="18"/>
                <w:lang w:eastAsia="fr-CA"/>
              </w:rPr>
              <w:t>MEU</w:t>
            </w:r>
            <w:r w:rsidRPr="0057285B">
              <w:rPr>
                <w:szCs w:val="18"/>
                <w:lang w:eastAsia="fr-CA"/>
              </w:rPr>
              <w:t xml:space="preserve">, </w:t>
            </w:r>
            <w:r w:rsidRPr="0057285B">
              <w:rPr>
                <w:color w:val="D60093"/>
                <w:szCs w:val="18"/>
                <w:lang w:eastAsia="fr-CA"/>
              </w:rPr>
              <w:t xml:space="preserve">APLNG </w:t>
            </w:r>
            <w:r w:rsidRPr="0057285B">
              <w:rPr>
                <w:szCs w:val="18"/>
                <w:lang w:eastAsia="fr-CA"/>
              </w:rPr>
              <w:t xml:space="preserve">and </w:t>
            </w:r>
            <w:r w:rsidRPr="0057285B">
              <w:rPr>
                <w:color w:val="D60093"/>
                <w:szCs w:val="18"/>
                <w:lang w:eastAsia="fr-CA"/>
              </w:rPr>
              <w:t xml:space="preserve">COPA, </w:t>
            </w:r>
            <w:r w:rsidRPr="0057285B">
              <w:rPr>
                <w:szCs w:val="18"/>
                <w:lang w:eastAsia="fr-CA"/>
              </w:rPr>
              <w:t xml:space="preserve">also supported the inclusion of pricing principles. </w:t>
            </w:r>
          </w:p>
        </w:tc>
      </w:tr>
      <w:tr w:rsidR="001900B2" w:rsidRPr="0057285B" w14:paraId="76ED40EA" w14:textId="77777777" w:rsidTr="00A507A6">
        <w:trPr>
          <w:cantSplit/>
          <w:trHeight w:val="520"/>
        </w:trPr>
        <w:tc>
          <w:tcPr>
            <w:tcW w:w="250" w:type="pct"/>
            <w:vMerge/>
            <w:shd w:val="clear" w:color="auto" w:fill="FFFFFF" w:themeFill="background1"/>
          </w:tcPr>
          <w:p w14:paraId="0969C0CA" w14:textId="77777777" w:rsidR="001900B2" w:rsidRPr="0057285B" w:rsidRDefault="001900B2" w:rsidP="009C0ADB">
            <w:pPr>
              <w:pStyle w:val="TableBodyText"/>
              <w:spacing w:before="40" w:after="20" w:line="252" w:lineRule="auto"/>
              <w:rPr>
                <w:rFonts w:asciiTheme="majorHAnsi" w:hAnsiTheme="majorHAnsi" w:cstheme="majorHAnsi"/>
                <w:szCs w:val="18"/>
                <w:lang w:eastAsia="fr-CA"/>
              </w:rPr>
            </w:pPr>
          </w:p>
        </w:tc>
        <w:tc>
          <w:tcPr>
            <w:tcW w:w="200" w:type="pct"/>
            <w:vMerge/>
            <w:shd w:val="clear" w:color="auto" w:fill="F2F2F2" w:themeFill="background1" w:themeFillShade="F2"/>
          </w:tcPr>
          <w:p w14:paraId="3915C3F3" w14:textId="77777777" w:rsidR="001900B2" w:rsidRPr="0057285B" w:rsidRDefault="001900B2" w:rsidP="009C0ADB">
            <w:pPr>
              <w:pStyle w:val="TableBodyText"/>
              <w:spacing w:before="40" w:after="20" w:line="252" w:lineRule="auto"/>
              <w:rPr>
                <w:rFonts w:asciiTheme="majorHAnsi" w:hAnsiTheme="majorHAnsi" w:cstheme="majorHAnsi"/>
                <w:szCs w:val="18"/>
                <w:lang w:eastAsia="fr-CA"/>
              </w:rPr>
            </w:pPr>
          </w:p>
        </w:tc>
        <w:tc>
          <w:tcPr>
            <w:tcW w:w="550" w:type="pct"/>
            <w:shd w:val="clear" w:color="auto" w:fill="F2F2F2" w:themeFill="background1" w:themeFillShade="F2"/>
          </w:tcPr>
          <w:p w14:paraId="130B0E75" w14:textId="77777777" w:rsidR="00891F28" w:rsidRPr="00891F28" w:rsidRDefault="001900B2" w:rsidP="00891F28">
            <w:pPr>
              <w:pStyle w:val="TableBullet10"/>
              <w:numPr>
                <w:ilvl w:val="0"/>
                <w:numId w:val="0"/>
              </w:numPr>
              <w:spacing w:before="20" w:after="20"/>
              <w:ind w:left="85"/>
              <w:rPr>
                <w:bCs/>
                <w:szCs w:val="18"/>
                <w:lang w:eastAsia="fr-CA"/>
              </w:rPr>
            </w:pPr>
            <w:r w:rsidRPr="0057285B">
              <w:rPr>
                <w:szCs w:val="18"/>
              </w:rPr>
              <w:t xml:space="preserve">(b) Prohibiting cross-subsidisation of new capacity </w:t>
            </w:r>
            <w:r w:rsidR="00FC3E32">
              <w:t xml:space="preserve">if </w:t>
            </w:r>
            <w:r w:rsidR="00891F28">
              <w:t xml:space="preserve">cost </w:t>
            </w:r>
            <w:r w:rsidR="00891F28" w:rsidRPr="006B4639">
              <w:t xml:space="preserve">would result in </w:t>
            </w:r>
            <w:r w:rsidR="00FC3E32">
              <w:t xml:space="preserve">price of </w:t>
            </w:r>
            <w:r w:rsidR="00891F28" w:rsidRPr="006B4639">
              <w:t xml:space="preserve">existing capacity </w:t>
            </w:r>
            <w:r w:rsidR="00FC3E32">
              <w:t>rising</w:t>
            </w:r>
            <w:r w:rsidR="00891F28" w:rsidRPr="006B4639">
              <w:t>.</w:t>
            </w:r>
          </w:p>
        </w:tc>
        <w:tc>
          <w:tcPr>
            <w:tcW w:w="4000" w:type="pct"/>
            <w:tcBorders>
              <w:bottom w:val="single" w:sz="4" w:space="0" w:color="auto"/>
            </w:tcBorders>
            <w:shd w:val="clear" w:color="auto" w:fill="F2F2F2" w:themeFill="background1" w:themeFillShade="F2"/>
          </w:tcPr>
          <w:p w14:paraId="2A36556E" w14:textId="77777777" w:rsidR="001900B2" w:rsidRDefault="001900B2" w:rsidP="00E9110B">
            <w:pPr>
              <w:pStyle w:val="TableBullet10"/>
              <w:spacing w:before="20" w:after="20"/>
              <w:rPr>
                <w:bCs/>
                <w:szCs w:val="18"/>
                <w:lang w:eastAsia="fr-CA"/>
              </w:rPr>
            </w:pPr>
            <w:r w:rsidRPr="0057285B">
              <w:rPr>
                <w:color w:val="00B0F0"/>
                <w:szCs w:val="18"/>
                <w:lang w:eastAsia="fr-CA"/>
              </w:rPr>
              <w:t xml:space="preserve">EnergyAustralia, </w:t>
            </w:r>
            <w:r w:rsidRPr="0057285B">
              <w:rPr>
                <w:color w:val="0000FF"/>
                <w:szCs w:val="18"/>
                <w:lang w:eastAsia="fr-CA"/>
              </w:rPr>
              <w:t xml:space="preserve">EUAA, Chemistry Australia, NSW Business Chamber, ECA, </w:t>
            </w:r>
            <w:r w:rsidRPr="0057285B">
              <w:rPr>
                <w:color w:val="D60093"/>
                <w:szCs w:val="18"/>
                <w:lang w:eastAsia="fr-CA"/>
              </w:rPr>
              <w:t xml:space="preserve">APLNG </w:t>
            </w:r>
            <w:r w:rsidRPr="0057285B">
              <w:rPr>
                <w:szCs w:val="18"/>
                <w:lang w:eastAsia="fr-CA"/>
              </w:rPr>
              <w:t xml:space="preserve">and </w:t>
            </w:r>
            <w:r w:rsidRPr="0057285B">
              <w:rPr>
                <w:color w:val="D60093"/>
                <w:szCs w:val="18"/>
                <w:lang w:eastAsia="fr-CA"/>
              </w:rPr>
              <w:t xml:space="preserve">COPA </w:t>
            </w:r>
            <w:r w:rsidRPr="0057285B">
              <w:rPr>
                <w:szCs w:val="18"/>
                <w:lang w:eastAsia="fr-CA"/>
              </w:rPr>
              <w:t xml:space="preserve">supported the proposal to prohibit existing pipelines from cross-subsidising new capacity. The </w:t>
            </w:r>
            <w:r w:rsidRPr="0057285B">
              <w:rPr>
                <w:color w:val="0000FF"/>
                <w:szCs w:val="18"/>
                <w:lang w:eastAsia="fr-CA"/>
              </w:rPr>
              <w:t xml:space="preserve">MEU </w:t>
            </w:r>
            <w:r w:rsidRPr="0057285B">
              <w:rPr>
                <w:szCs w:val="18"/>
                <w:lang w:eastAsia="fr-CA"/>
              </w:rPr>
              <w:t>also supported this proposal and noted that new capacity should only be added to the regulatory asset base where it can be shown the new capacity increases the utilisation of the existing pipelines (thereby reducing costs for existing consumers) so that existing customers are no worse off.</w:t>
            </w:r>
            <w:r w:rsidRPr="0057285B">
              <w:rPr>
                <w:bCs/>
                <w:szCs w:val="18"/>
                <w:lang w:eastAsia="fr-CA"/>
              </w:rPr>
              <w:t xml:space="preserve"> </w:t>
            </w:r>
          </w:p>
          <w:p w14:paraId="017815E9" w14:textId="77777777" w:rsidR="001900B2" w:rsidRPr="0057285B" w:rsidRDefault="001900B2" w:rsidP="00891F28">
            <w:pPr>
              <w:pStyle w:val="TableBullet10"/>
              <w:numPr>
                <w:ilvl w:val="0"/>
                <w:numId w:val="0"/>
              </w:numPr>
              <w:spacing w:before="20" w:after="20"/>
              <w:ind w:left="312" w:hanging="227"/>
              <w:rPr>
                <w:bCs/>
                <w:szCs w:val="18"/>
                <w:lang w:eastAsia="fr-CA"/>
              </w:rPr>
            </w:pPr>
          </w:p>
        </w:tc>
      </w:tr>
    </w:tbl>
    <w:p w14:paraId="06E056D6" w14:textId="77777777" w:rsidR="00F36EA7" w:rsidRDefault="00F36EA7" w:rsidP="00026392">
      <w:pPr>
        <w:pStyle w:val="BodyText"/>
        <w:sectPr w:rsidR="00F36EA7" w:rsidSect="008921BE">
          <w:pgSz w:w="16839" w:h="11907" w:orient="landscape" w:code="9"/>
          <w:pgMar w:top="1135" w:right="1418" w:bottom="709" w:left="1701" w:header="567" w:footer="397" w:gutter="0"/>
          <w:cols w:space="708"/>
          <w:docGrid w:linePitch="360"/>
        </w:sectPr>
      </w:pPr>
    </w:p>
    <w:p w14:paraId="676FF820" w14:textId="77777777" w:rsidR="00C85117" w:rsidRDefault="00C85117" w:rsidP="00C85117">
      <w:pPr>
        <w:pStyle w:val="Heading3"/>
        <w:spacing w:after="120"/>
      </w:pPr>
      <w:r>
        <w:lastRenderedPageBreak/>
        <w:t>Assessment of the feedback and how it has been accounted for in the reform options</w:t>
      </w:r>
    </w:p>
    <w:p w14:paraId="4D8EE028" w14:textId="79E3A61D" w:rsidR="001533BD" w:rsidRDefault="001533BD" w:rsidP="001533BD">
      <w:pPr>
        <w:pStyle w:val="BodyText"/>
        <w:spacing w:before="60" w:after="60"/>
      </w:pPr>
      <w:r>
        <w:t xml:space="preserve">As </w:t>
      </w:r>
      <w:r w:rsidR="00FC3E32">
        <w:fldChar w:fldCharType="begin" w:fldLock="1"/>
      </w:r>
      <w:r w:rsidR="00FC3E32">
        <w:instrText xml:space="preserve"> REF _Ref59972767 \h </w:instrText>
      </w:r>
      <w:r w:rsidR="00FC3E32">
        <w:fldChar w:fldCharType="separate"/>
      </w:r>
      <w:r w:rsidR="00036405">
        <w:t xml:space="preserve">Table </w:t>
      </w:r>
      <w:r w:rsidR="00036405">
        <w:rPr>
          <w:noProof/>
        </w:rPr>
        <w:t>5</w:t>
      </w:r>
      <w:r w:rsidR="00036405">
        <w:t>.</w:t>
      </w:r>
      <w:r w:rsidR="00036405">
        <w:rPr>
          <w:noProof/>
        </w:rPr>
        <w:t>5</w:t>
      </w:r>
      <w:r w:rsidR="00FC3E32">
        <w:fldChar w:fldCharType="end"/>
      </w:r>
      <w:r w:rsidR="00FC3E32">
        <w:t xml:space="preserve"> </w:t>
      </w:r>
      <w:r>
        <w:t>shows t</w:t>
      </w:r>
      <w:r w:rsidRPr="005B1445">
        <w:t xml:space="preserve">here was broad </w:t>
      </w:r>
      <w:r>
        <w:t>support for the proposal to simplify the regulatory framework by reducing the number of forms of regulation, with the majority of stakeholders</w:t>
      </w:r>
      <w:r w:rsidR="00370905">
        <w:rPr>
          <w:rFonts w:ascii="ZWAdobeF" w:hAnsi="ZWAdobeF" w:cs="ZWAdobeF"/>
          <w:sz w:val="2"/>
          <w:szCs w:val="2"/>
        </w:rPr>
        <w:t>134F</w:t>
      </w:r>
      <w:r w:rsidR="00837951">
        <w:rPr>
          <w:rStyle w:val="FootnoteReference"/>
        </w:rPr>
        <w:footnoteReference w:id="136"/>
      </w:r>
      <w:r>
        <w:t xml:space="preserve"> supporting the proposed movement to two forms of regulation, with: </w:t>
      </w:r>
    </w:p>
    <w:p w14:paraId="7D3A3405" w14:textId="77777777" w:rsidR="001533BD" w:rsidRDefault="001533BD" w:rsidP="00AD36B8">
      <w:pPr>
        <w:pStyle w:val="ListBullet"/>
      </w:pPr>
      <w:r>
        <w:t>the stronger form of regulation based on full regulation; and</w:t>
      </w:r>
    </w:p>
    <w:p w14:paraId="3CEAADAF" w14:textId="77777777" w:rsidR="001533BD" w:rsidRDefault="001533BD" w:rsidP="00AD36B8">
      <w:pPr>
        <w:pStyle w:val="ListBullet"/>
      </w:pPr>
      <w:r>
        <w:t xml:space="preserve">the lighter form of regulation based on Part 23, with most stakeholders supporting the proposal to strengthen Part 23 by </w:t>
      </w:r>
      <w:r w:rsidR="00AC25D9">
        <w:t>extending the application of</w:t>
      </w:r>
      <w:r>
        <w:t xml:space="preserve"> the safeguards that currently apply under light regulation</w:t>
      </w:r>
      <w:r w:rsidR="006B1EF2">
        <w:t xml:space="preserve"> to Part 23</w:t>
      </w:r>
      <w:r>
        <w:t>, while a number of service providers suggested this should not extend to the prohibition on inefficient price discrimination.</w:t>
      </w:r>
    </w:p>
    <w:p w14:paraId="1215F4CF" w14:textId="77777777" w:rsidR="001533BD" w:rsidRDefault="001533BD" w:rsidP="001533BD">
      <w:pPr>
        <w:pStyle w:val="BodyText"/>
      </w:pPr>
      <w:r>
        <w:t xml:space="preserve">There was also broad </w:t>
      </w:r>
      <w:r w:rsidRPr="005B1445">
        <w:t>support for</w:t>
      </w:r>
      <w:r>
        <w:t xml:space="preserve"> addressing the risk of under-regulation by: </w:t>
      </w:r>
    </w:p>
    <w:p w14:paraId="6F5D61B1" w14:textId="77777777" w:rsidR="001533BD" w:rsidRDefault="001533BD" w:rsidP="00AD36B8">
      <w:pPr>
        <w:pStyle w:val="ListBullet"/>
      </w:pPr>
      <w:r>
        <w:t>r</w:t>
      </w:r>
      <w:r w:rsidRPr="005B1445">
        <w:t xml:space="preserve">emoving the coverage test as the gateway between </w:t>
      </w:r>
      <w:r>
        <w:t xml:space="preserve">the forms of </w:t>
      </w:r>
      <w:r w:rsidRPr="005B1445">
        <w:t xml:space="preserve">regulation and using the form of regulation test </w:t>
      </w:r>
      <w:r>
        <w:t xml:space="preserve">in </w:t>
      </w:r>
      <w:r w:rsidR="004C6F4C">
        <w:t xml:space="preserve">s. </w:t>
      </w:r>
      <w:r>
        <w:t xml:space="preserve">122 of the NGL </w:t>
      </w:r>
      <w:r w:rsidRPr="005B1445">
        <w:t>for this purpose</w:t>
      </w:r>
      <w:r>
        <w:t>; and</w:t>
      </w:r>
    </w:p>
    <w:p w14:paraId="6C79C1DA" w14:textId="77777777" w:rsidR="001533BD" w:rsidRPr="005B1445" w:rsidRDefault="001533BD" w:rsidP="00AD36B8">
      <w:pPr>
        <w:pStyle w:val="ListBullet"/>
      </w:pPr>
      <w:r>
        <w:t>requiring the relevant regulator to play a more active monitoring role and to be able to refer a pipeline for a form of regulation assessment</w:t>
      </w:r>
      <w:r w:rsidR="00CC199B">
        <w:t xml:space="preserve"> if it suspects market power is being exercised</w:t>
      </w:r>
      <w:r>
        <w:t xml:space="preserve">. </w:t>
      </w:r>
    </w:p>
    <w:p w14:paraId="160EC075" w14:textId="77777777" w:rsidR="001533BD" w:rsidRDefault="001533BD" w:rsidP="001533BD">
      <w:pPr>
        <w:pStyle w:val="BodyText"/>
      </w:pPr>
      <w:r>
        <w:t xml:space="preserve">A small number of </w:t>
      </w:r>
      <w:r w:rsidR="00280DA2">
        <w:t xml:space="preserve">stakeholders </w:t>
      </w:r>
      <w:r>
        <w:t xml:space="preserve">did, however, </w:t>
      </w:r>
      <w:r w:rsidRPr="005B1445">
        <w:t>suggest</w:t>
      </w:r>
      <w:r>
        <w:t xml:space="preserve"> that the hurdle into full regulation </w:t>
      </w:r>
      <w:r w:rsidRPr="005B1445">
        <w:t xml:space="preserve">be </w:t>
      </w:r>
      <w:r>
        <w:t xml:space="preserve">raised, while the ACCC noted </w:t>
      </w:r>
      <w:r w:rsidR="000748D4">
        <w:t xml:space="preserve">that </w:t>
      </w:r>
      <w:r>
        <w:t>additional measures may be required to address the information asymmetries the decision-maker is likely to face when deciding on what form of regulation should apply</w:t>
      </w:r>
      <w:r w:rsidR="00393602">
        <w:t xml:space="preserve"> to a pipeline</w:t>
      </w:r>
      <w:r>
        <w:t xml:space="preserve">. </w:t>
      </w:r>
    </w:p>
    <w:p w14:paraId="4EFA1082" w14:textId="77777777" w:rsidR="001533BD" w:rsidRDefault="001533BD" w:rsidP="001533BD">
      <w:pPr>
        <w:pStyle w:val="BodyText"/>
      </w:pPr>
      <w:r>
        <w:t xml:space="preserve">In contrast to these measures, mixed views were expressed about the proposed inclusion of constraints on dynamic market power in the regulatory framework, with most service providers opposed to </w:t>
      </w:r>
      <w:r w:rsidR="00072B54">
        <w:t xml:space="preserve">their </w:t>
      </w:r>
      <w:r>
        <w:t xml:space="preserve">inclusion, while other stakeholders supported </w:t>
      </w:r>
      <w:r w:rsidR="00AB6B89">
        <w:t xml:space="preserve">their </w:t>
      </w:r>
      <w:r>
        <w:t xml:space="preserve">inclusion. </w:t>
      </w:r>
      <w:r w:rsidR="00EA7556">
        <w:t xml:space="preserve">Mixed views were also expressed </w:t>
      </w:r>
      <w:r w:rsidR="00F041F0">
        <w:t xml:space="preserve">about the transitional arrangements that should be adopted for the 5.5 pipelines currently subject to light regulation. </w:t>
      </w:r>
    </w:p>
    <w:p w14:paraId="6A583A6B" w14:textId="77777777" w:rsidR="00BD0569" w:rsidRDefault="00BD0569" w:rsidP="00BD0569">
      <w:pPr>
        <w:pStyle w:val="BodyText"/>
      </w:pPr>
      <w:r>
        <w:t xml:space="preserve">Given the diversity of views expressed </w:t>
      </w:r>
      <w:r w:rsidR="00AB6B89">
        <w:t xml:space="preserve">on some of these issues, </w:t>
      </w:r>
      <w:r>
        <w:t xml:space="preserve">further consideration has been given to the issues raised by stakeholders and the extent to which they should be reflected in two alternative reform options that have been developed to reflect the outcomes of stakeholder feedback: Option 3A and Option 3B. In doing so, consideration has been given to: </w:t>
      </w:r>
    </w:p>
    <w:p w14:paraId="55C609FD" w14:textId="1B5C398C" w:rsidR="00FB597F" w:rsidRDefault="00FB597F" w:rsidP="00AD36B8">
      <w:pPr>
        <w:pStyle w:val="ListBullet"/>
      </w:pPr>
      <w:r>
        <w:t xml:space="preserve">the problems that have been identified with this aspect of the regulatory framework (see section </w:t>
      </w:r>
      <w:r>
        <w:fldChar w:fldCharType="begin" w:fldLock="1"/>
      </w:r>
      <w:r>
        <w:instrText xml:space="preserve"> REF _Ref60387298 \r \h </w:instrText>
      </w:r>
      <w:r>
        <w:fldChar w:fldCharType="separate"/>
      </w:r>
      <w:r w:rsidR="00036405">
        <w:t>5.2.3</w:t>
      </w:r>
      <w:r>
        <w:fldChar w:fldCharType="end"/>
      </w:r>
      <w:r>
        <w:t>); and</w:t>
      </w:r>
    </w:p>
    <w:p w14:paraId="297A1710" w14:textId="77777777" w:rsidR="00FB597F" w:rsidRDefault="00FB597F" w:rsidP="00AD36B8">
      <w:pPr>
        <w:pStyle w:val="ListBullet"/>
      </w:pPr>
      <w:r>
        <w:t xml:space="preserve">the objectives of Energy National Cabinet Reform Committee action (see section 3.2). </w:t>
      </w:r>
    </w:p>
    <w:p w14:paraId="4BD386B8" w14:textId="56F58841" w:rsidR="00A331DA" w:rsidRDefault="00B2065E" w:rsidP="008E52C2">
      <w:pPr>
        <w:pStyle w:val="BodyText"/>
        <w:spacing w:before="60" w:after="0"/>
      </w:pPr>
      <w:r w:rsidRPr="008F1132">
        <w:t xml:space="preserve">The results of this consideration </w:t>
      </w:r>
      <w:r w:rsidR="00202FB5">
        <w:t xml:space="preserve">are set out in </w:t>
      </w:r>
      <w:r w:rsidR="000B42EC">
        <w:fldChar w:fldCharType="begin" w:fldLock="1"/>
      </w:r>
      <w:r w:rsidR="000B42EC">
        <w:instrText xml:space="preserve"> REF _Ref60122533 \h </w:instrText>
      </w:r>
      <w:r w:rsidR="000B42EC">
        <w:fldChar w:fldCharType="separate"/>
      </w:r>
      <w:r w:rsidR="00036405" w:rsidRPr="006B4639">
        <w:t xml:space="preserve">Table </w:t>
      </w:r>
      <w:r w:rsidR="00036405">
        <w:rPr>
          <w:noProof/>
        </w:rPr>
        <w:t>5</w:t>
      </w:r>
      <w:r w:rsidR="00036405">
        <w:t>.</w:t>
      </w:r>
      <w:r w:rsidR="00036405">
        <w:rPr>
          <w:noProof/>
        </w:rPr>
        <w:t>6</w:t>
      </w:r>
      <w:r w:rsidR="000B42EC">
        <w:fldChar w:fldCharType="end"/>
      </w:r>
      <w:r w:rsidR="00202FB5">
        <w:t>, which also sets out how the feedback has been taken into account in options 3A and 3B</w:t>
      </w:r>
      <w:r w:rsidR="00327578">
        <w:t xml:space="preserve">. </w:t>
      </w:r>
    </w:p>
    <w:p w14:paraId="0CE42CBE" w14:textId="77777777" w:rsidR="00BE4410" w:rsidRDefault="00BE4410" w:rsidP="008E52C2">
      <w:pPr>
        <w:pStyle w:val="BodyText"/>
        <w:spacing w:before="60" w:after="0"/>
        <w:sectPr w:rsidR="00BE4410" w:rsidSect="00795317">
          <w:headerReference w:type="default" r:id="rId42"/>
          <w:footerReference w:type="default" r:id="rId43"/>
          <w:pgSz w:w="11907" w:h="16839" w:code="9"/>
          <w:pgMar w:top="1361" w:right="1418" w:bottom="992" w:left="1701" w:header="567" w:footer="397" w:gutter="0"/>
          <w:cols w:space="708"/>
          <w:docGrid w:linePitch="360"/>
        </w:sectPr>
      </w:pPr>
    </w:p>
    <w:p w14:paraId="28953E15" w14:textId="6F5392D0" w:rsidR="00D46F77" w:rsidRPr="006B4639" w:rsidDel="00E200E0" w:rsidRDefault="00D46F77" w:rsidP="002E7522">
      <w:pPr>
        <w:pStyle w:val="Caption"/>
        <w:spacing w:before="0" w:after="0"/>
      </w:pPr>
      <w:bookmarkStart w:id="121" w:name="_Ref60122533"/>
      <w:r w:rsidRPr="006B4639">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5</w:t>
      </w:r>
      <w:r w:rsidR="00F323B2">
        <w:rPr>
          <w:noProof/>
        </w:rPr>
        <w:fldChar w:fldCharType="end"/>
      </w:r>
      <w:r>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6</w:t>
      </w:r>
      <w:r w:rsidR="00F323B2">
        <w:rPr>
          <w:noProof/>
        </w:rPr>
        <w:fldChar w:fldCharType="end"/>
      </w:r>
      <w:bookmarkEnd w:id="121"/>
      <w:r w:rsidRPr="006B4639">
        <w:t xml:space="preserve">: </w:t>
      </w:r>
      <w:r>
        <w:t xml:space="preserve">Assessment of the feedback </w:t>
      </w:r>
      <w:r w:rsidR="00E411C5">
        <w:t>and how it has been accounted for in options 3A and 3B</w:t>
      </w:r>
    </w:p>
    <w:tbl>
      <w:tblPr>
        <w:tblStyle w:val="TableGrid"/>
        <w:tblW w:w="5000" w:type="pct"/>
        <w:tblLook w:val="04A0" w:firstRow="1" w:lastRow="0" w:firstColumn="1" w:lastColumn="0" w:noHBand="0" w:noVBand="1"/>
      </w:tblPr>
      <w:tblGrid>
        <w:gridCol w:w="1224"/>
        <w:gridCol w:w="7953"/>
        <w:gridCol w:w="4543"/>
      </w:tblGrid>
      <w:tr w:rsidR="00D46F77" w:rsidRPr="00B3710B" w14:paraId="0A5834F9" w14:textId="77777777" w:rsidTr="00A507A6">
        <w:trPr>
          <w:cnfStyle w:val="100000000000" w:firstRow="1" w:lastRow="0" w:firstColumn="0" w:lastColumn="0" w:oddVBand="0" w:evenVBand="0" w:oddHBand="0" w:evenHBand="0" w:firstRowFirstColumn="0" w:firstRowLastColumn="0" w:lastRowFirstColumn="0" w:lastRowLastColumn="0"/>
          <w:tblHeader/>
        </w:trPr>
        <w:tc>
          <w:tcPr>
            <w:tcW w:w="437" w:type="pct"/>
            <w:shd w:val="clear" w:color="auto" w:fill="002060"/>
          </w:tcPr>
          <w:p w14:paraId="007B62EE" w14:textId="77777777" w:rsidR="00D46F77" w:rsidRPr="00B3710B" w:rsidRDefault="00D46F77" w:rsidP="00857981">
            <w:pPr>
              <w:pStyle w:val="TableHeading"/>
              <w:spacing w:before="40" w:after="40" w:line="252" w:lineRule="auto"/>
              <w:rPr>
                <w:sz w:val="17"/>
                <w:szCs w:val="17"/>
              </w:rPr>
            </w:pPr>
            <w:r w:rsidRPr="00B3710B">
              <w:rPr>
                <w:sz w:val="17"/>
                <w:szCs w:val="17"/>
              </w:rPr>
              <w:t>Issue</w:t>
            </w:r>
          </w:p>
        </w:tc>
        <w:tc>
          <w:tcPr>
            <w:tcW w:w="2903" w:type="pct"/>
            <w:shd w:val="clear" w:color="auto" w:fill="002060"/>
          </w:tcPr>
          <w:p w14:paraId="188EF9E3" w14:textId="77777777" w:rsidR="00D46F77" w:rsidRPr="00B3710B" w:rsidRDefault="00D46F77" w:rsidP="00857981">
            <w:pPr>
              <w:pStyle w:val="TableHeading"/>
              <w:spacing w:before="40" w:after="40" w:line="252" w:lineRule="auto"/>
              <w:rPr>
                <w:sz w:val="17"/>
                <w:szCs w:val="17"/>
              </w:rPr>
            </w:pPr>
            <w:r w:rsidRPr="00B3710B">
              <w:rPr>
                <w:sz w:val="17"/>
                <w:szCs w:val="17"/>
              </w:rPr>
              <w:t>Assessment of the feedback</w:t>
            </w:r>
          </w:p>
        </w:tc>
        <w:tc>
          <w:tcPr>
            <w:tcW w:w="1660" w:type="pct"/>
            <w:shd w:val="clear" w:color="auto" w:fill="002060"/>
          </w:tcPr>
          <w:p w14:paraId="40154080" w14:textId="77777777" w:rsidR="00D46F77" w:rsidRPr="00B3710B" w:rsidRDefault="00D46F77" w:rsidP="00857981">
            <w:pPr>
              <w:pStyle w:val="TableHeading"/>
              <w:spacing w:before="40" w:after="40" w:line="252" w:lineRule="auto"/>
              <w:rPr>
                <w:sz w:val="17"/>
                <w:szCs w:val="17"/>
              </w:rPr>
            </w:pPr>
            <w:r w:rsidRPr="00B3710B">
              <w:rPr>
                <w:sz w:val="17"/>
                <w:szCs w:val="17"/>
              </w:rPr>
              <w:t xml:space="preserve">How feedback accounted for </w:t>
            </w:r>
            <w:r w:rsidR="00CE34A4" w:rsidRPr="00B3710B">
              <w:rPr>
                <w:sz w:val="17"/>
                <w:szCs w:val="17"/>
              </w:rPr>
              <w:t>in options 3A and 3B</w:t>
            </w:r>
          </w:p>
        </w:tc>
      </w:tr>
      <w:tr w:rsidR="00D46F77" w:rsidRPr="00B3710B" w14:paraId="0525EAC1" w14:textId="77777777" w:rsidTr="00A507A6">
        <w:tc>
          <w:tcPr>
            <w:tcW w:w="437" w:type="pct"/>
          </w:tcPr>
          <w:p w14:paraId="74F4F4BE" w14:textId="77777777" w:rsidR="00D46F77" w:rsidRPr="00B3710B" w:rsidRDefault="00D46F77" w:rsidP="00857981">
            <w:pPr>
              <w:pStyle w:val="TableBodyText"/>
              <w:keepNext/>
              <w:spacing w:before="40" w:after="40" w:line="252" w:lineRule="auto"/>
              <w:rPr>
                <w:sz w:val="17"/>
                <w:szCs w:val="17"/>
              </w:rPr>
            </w:pPr>
            <w:r w:rsidRPr="00B3710B">
              <w:rPr>
                <w:sz w:val="17"/>
                <w:szCs w:val="17"/>
              </w:rPr>
              <w:t xml:space="preserve">Forms of regulation and safeguards to apply under the lighter form of regulation </w:t>
            </w:r>
          </w:p>
        </w:tc>
        <w:tc>
          <w:tcPr>
            <w:tcW w:w="2903" w:type="pct"/>
          </w:tcPr>
          <w:p w14:paraId="745E1761" w14:textId="77777777" w:rsidR="000866D4" w:rsidRPr="00B3710B" w:rsidRDefault="00E411C5" w:rsidP="00B3710B">
            <w:pPr>
              <w:pStyle w:val="BodyText"/>
              <w:spacing w:before="60"/>
              <w:rPr>
                <w:rFonts w:cs="Arial"/>
                <w:sz w:val="17"/>
                <w:szCs w:val="17"/>
              </w:rPr>
            </w:pPr>
            <w:r w:rsidRPr="00B3710B">
              <w:rPr>
                <w:sz w:val="17"/>
                <w:szCs w:val="17"/>
                <w:lang w:eastAsia="en-US"/>
              </w:rPr>
              <w:t xml:space="preserve">As outlined above the majority of stakeholders agreed </w:t>
            </w:r>
            <w:r w:rsidR="00EF0A3B" w:rsidRPr="00B3710B">
              <w:rPr>
                <w:sz w:val="17"/>
                <w:szCs w:val="17"/>
                <w:lang w:eastAsia="en-US"/>
              </w:rPr>
              <w:t xml:space="preserve">that the </w:t>
            </w:r>
            <w:r w:rsidRPr="00B3710B">
              <w:rPr>
                <w:sz w:val="17"/>
                <w:szCs w:val="17"/>
              </w:rPr>
              <w:t xml:space="preserve">regulatory framework </w:t>
            </w:r>
            <w:r w:rsidR="00EF0A3B" w:rsidRPr="00B3710B">
              <w:rPr>
                <w:sz w:val="17"/>
                <w:szCs w:val="17"/>
              </w:rPr>
              <w:t xml:space="preserve">should be simplified </w:t>
            </w:r>
            <w:r w:rsidRPr="00B3710B">
              <w:rPr>
                <w:sz w:val="17"/>
                <w:szCs w:val="17"/>
              </w:rPr>
              <w:t xml:space="preserve">by </w:t>
            </w:r>
            <w:r w:rsidR="00175A82" w:rsidRPr="00B3710B">
              <w:rPr>
                <w:sz w:val="17"/>
                <w:szCs w:val="17"/>
              </w:rPr>
              <w:t xml:space="preserve">moving </w:t>
            </w:r>
            <w:r w:rsidRPr="00B3710B">
              <w:rPr>
                <w:sz w:val="17"/>
                <w:szCs w:val="17"/>
              </w:rPr>
              <w:t>to two forms of regulation, with</w:t>
            </w:r>
            <w:r w:rsidR="00EF0A3B" w:rsidRPr="00B3710B">
              <w:rPr>
                <w:sz w:val="17"/>
                <w:szCs w:val="17"/>
              </w:rPr>
              <w:t xml:space="preserve"> </w:t>
            </w:r>
            <w:r w:rsidRPr="00B3710B">
              <w:rPr>
                <w:sz w:val="17"/>
                <w:szCs w:val="17"/>
              </w:rPr>
              <w:t>the stronger form of regulation based on full regulation and</w:t>
            </w:r>
            <w:r w:rsidR="00EF0A3B" w:rsidRPr="00B3710B">
              <w:rPr>
                <w:sz w:val="17"/>
                <w:szCs w:val="17"/>
              </w:rPr>
              <w:t xml:space="preserve"> </w:t>
            </w:r>
            <w:r w:rsidRPr="00B3710B">
              <w:rPr>
                <w:sz w:val="17"/>
                <w:szCs w:val="17"/>
              </w:rPr>
              <w:t>the lighter form of regulation based on Part 23</w:t>
            </w:r>
            <w:r w:rsidR="00EF0A3B" w:rsidRPr="00B3710B">
              <w:rPr>
                <w:sz w:val="17"/>
                <w:szCs w:val="17"/>
              </w:rPr>
              <w:t xml:space="preserve">. </w:t>
            </w:r>
            <w:r w:rsidR="000866D4" w:rsidRPr="00B3710B">
              <w:rPr>
                <w:sz w:val="17"/>
                <w:szCs w:val="17"/>
                <w:lang w:eastAsia="en-US"/>
              </w:rPr>
              <w:t>M</w:t>
            </w:r>
            <w:r w:rsidR="00D46F77" w:rsidRPr="00B3710B">
              <w:rPr>
                <w:sz w:val="17"/>
                <w:szCs w:val="17"/>
                <w:lang w:eastAsia="en-US"/>
              </w:rPr>
              <w:t xml:space="preserve">ost stakeholders </w:t>
            </w:r>
            <w:r w:rsidR="000866D4" w:rsidRPr="00B3710B">
              <w:rPr>
                <w:sz w:val="17"/>
                <w:szCs w:val="17"/>
                <w:lang w:eastAsia="en-US"/>
              </w:rPr>
              <w:t xml:space="preserve">also </w:t>
            </w:r>
            <w:r w:rsidR="00D46F77" w:rsidRPr="00B3710B">
              <w:rPr>
                <w:sz w:val="17"/>
                <w:szCs w:val="17"/>
                <w:lang w:eastAsia="en-US"/>
              </w:rPr>
              <w:t xml:space="preserve">supported the </w:t>
            </w:r>
            <w:r w:rsidR="000866D4" w:rsidRPr="00B3710B">
              <w:rPr>
                <w:sz w:val="17"/>
                <w:szCs w:val="17"/>
                <w:lang w:eastAsia="en-US"/>
              </w:rPr>
              <w:t xml:space="preserve">proposal to strengthen Part 23 by extending </w:t>
            </w:r>
            <w:r w:rsidR="00D46F77" w:rsidRPr="00B3710B">
              <w:rPr>
                <w:sz w:val="17"/>
                <w:szCs w:val="17"/>
                <w:lang w:eastAsia="en-US"/>
              </w:rPr>
              <w:t xml:space="preserve">all </w:t>
            </w:r>
            <w:r w:rsidR="000866D4" w:rsidRPr="00B3710B">
              <w:rPr>
                <w:sz w:val="17"/>
                <w:szCs w:val="17"/>
                <w:lang w:eastAsia="en-US"/>
              </w:rPr>
              <w:t xml:space="preserve">of </w:t>
            </w:r>
            <w:r w:rsidR="00D46F77" w:rsidRPr="00B3710B">
              <w:rPr>
                <w:sz w:val="17"/>
                <w:szCs w:val="17"/>
                <w:lang w:eastAsia="en-US"/>
              </w:rPr>
              <w:t xml:space="preserve">the safeguards that currently apply under light regulation to the new lighter form of regulation. Concerns were, however, raised by </w:t>
            </w:r>
            <w:r w:rsidR="00841B8A" w:rsidRPr="00B3710B">
              <w:rPr>
                <w:sz w:val="17"/>
                <w:szCs w:val="17"/>
                <w:lang w:eastAsia="en-US"/>
              </w:rPr>
              <w:t xml:space="preserve">some </w:t>
            </w:r>
            <w:r w:rsidR="00D46F77" w:rsidRPr="00B3710B">
              <w:rPr>
                <w:sz w:val="17"/>
                <w:szCs w:val="17"/>
                <w:lang w:eastAsia="en-US"/>
              </w:rPr>
              <w:t xml:space="preserve">service providers about the potential for a prohibition on inefficient price discrimination to </w:t>
            </w:r>
            <w:r w:rsidR="00D46F77" w:rsidRPr="00B3710B">
              <w:rPr>
                <w:rFonts w:cs="Arial"/>
                <w:sz w:val="17"/>
                <w:szCs w:val="17"/>
              </w:rPr>
              <w:t xml:space="preserve">limit their ability to offer flexible and bespoke services. </w:t>
            </w:r>
            <w:r w:rsidR="000866D4" w:rsidRPr="00B3710B">
              <w:rPr>
                <w:rFonts w:cs="Arial"/>
                <w:sz w:val="17"/>
                <w:szCs w:val="17"/>
              </w:rPr>
              <w:t xml:space="preserve">Further consideration </w:t>
            </w:r>
            <w:r w:rsidR="00F672A1" w:rsidRPr="00B3710B">
              <w:rPr>
                <w:rFonts w:cs="Arial"/>
                <w:sz w:val="17"/>
                <w:szCs w:val="17"/>
              </w:rPr>
              <w:t>has</w:t>
            </w:r>
            <w:r w:rsidR="000866D4" w:rsidRPr="00B3710B">
              <w:rPr>
                <w:rFonts w:cs="Arial"/>
                <w:sz w:val="17"/>
                <w:szCs w:val="17"/>
              </w:rPr>
              <w:t xml:space="preserve"> therefore </w:t>
            </w:r>
            <w:r w:rsidR="00F672A1" w:rsidRPr="00B3710B">
              <w:rPr>
                <w:rFonts w:cs="Arial"/>
                <w:sz w:val="17"/>
                <w:szCs w:val="17"/>
              </w:rPr>
              <w:t xml:space="preserve">been </w:t>
            </w:r>
            <w:r w:rsidR="000866D4" w:rsidRPr="00B3710B">
              <w:rPr>
                <w:rFonts w:cs="Arial"/>
                <w:sz w:val="17"/>
                <w:szCs w:val="17"/>
              </w:rPr>
              <w:t>given to this issue.</w:t>
            </w:r>
          </w:p>
          <w:p w14:paraId="58B3D5E7" w14:textId="77777777" w:rsidR="00D46F77" w:rsidRPr="00B3710B" w:rsidRDefault="000866D4" w:rsidP="00B3710B">
            <w:pPr>
              <w:pStyle w:val="BodyText"/>
              <w:spacing w:before="60"/>
              <w:rPr>
                <w:rFonts w:eastAsia="Calibri"/>
                <w:sz w:val="17"/>
                <w:szCs w:val="17"/>
              </w:rPr>
            </w:pPr>
            <w:r w:rsidRPr="00B3710B">
              <w:rPr>
                <w:rFonts w:eastAsia="Calibri" w:cs="Arial"/>
                <w:sz w:val="17"/>
                <w:szCs w:val="17"/>
              </w:rPr>
              <w:t xml:space="preserve">To </w:t>
            </w:r>
            <w:r w:rsidR="00E320BC" w:rsidRPr="00B3710B">
              <w:rPr>
                <w:rFonts w:eastAsia="Calibri" w:cs="Arial"/>
                <w:sz w:val="17"/>
                <w:szCs w:val="17"/>
              </w:rPr>
              <w:t xml:space="preserve">inform this consideration, </w:t>
            </w:r>
            <w:r w:rsidR="00E320BC" w:rsidRPr="00B3710B">
              <w:rPr>
                <w:rFonts w:eastAsia="Calibri"/>
                <w:sz w:val="17"/>
                <w:szCs w:val="17"/>
              </w:rPr>
              <w:t>a</w:t>
            </w:r>
            <w:r w:rsidR="00D46F77" w:rsidRPr="00B3710B">
              <w:rPr>
                <w:rFonts w:eastAsia="Calibri"/>
                <w:sz w:val="17"/>
                <w:szCs w:val="17"/>
              </w:rPr>
              <w:t>dditional advice was obtained from Brattle on price discrimination and the circumstances in which it may be considered inefficient. In short, Brattle advised that price discrimination will in most cases be efficiency enhancing</w:t>
            </w:r>
            <w:r w:rsidR="00D527C3">
              <w:rPr>
                <w:rFonts w:eastAsia="Calibri"/>
                <w:sz w:val="17"/>
                <w:szCs w:val="17"/>
              </w:rPr>
              <w:t xml:space="preserve"> (i.e. </w:t>
            </w:r>
            <w:r w:rsidR="00D46F77" w:rsidRPr="00B3710B">
              <w:rPr>
                <w:rFonts w:eastAsia="Calibri"/>
                <w:sz w:val="17"/>
                <w:szCs w:val="17"/>
              </w:rPr>
              <w:t>because it will generally result in more gas being transported than would be the case if all shippers paid the same price</w:t>
            </w:r>
            <w:r w:rsidR="00D527C3">
              <w:rPr>
                <w:rFonts w:eastAsia="Calibri"/>
                <w:sz w:val="17"/>
                <w:szCs w:val="17"/>
              </w:rPr>
              <w:t>)</w:t>
            </w:r>
            <w:r w:rsidR="00AD2EC2">
              <w:rPr>
                <w:rFonts w:eastAsia="Calibri"/>
                <w:sz w:val="17"/>
                <w:szCs w:val="17"/>
              </w:rPr>
              <w:t xml:space="preserve">, but noted that it could have an adverse effect if it </w:t>
            </w:r>
            <w:r w:rsidR="00D46F77" w:rsidRPr="00B3710B">
              <w:rPr>
                <w:rFonts w:eastAsia="Calibri"/>
                <w:sz w:val="17"/>
                <w:szCs w:val="17"/>
              </w:rPr>
              <w:t xml:space="preserve">is used by a vertically integrated service provider to favour an associate that competes with other shippers in upstream or downstream markets. </w:t>
            </w:r>
            <w:r w:rsidR="00D46F77" w:rsidRPr="00B3710B">
              <w:rPr>
                <w:sz w:val="17"/>
                <w:szCs w:val="17"/>
              </w:rPr>
              <w:t xml:space="preserve">Brattle therefore </w:t>
            </w:r>
            <w:r w:rsidR="00D46F77" w:rsidRPr="00B3710B">
              <w:rPr>
                <w:rFonts w:eastAsia="Calibri"/>
                <w:sz w:val="17"/>
                <w:szCs w:val="17"/>
              </w:rPr>
              <w:t>recommended focusing on this form of price discrimination</w:t>
            </w:r>
            <w:r w:rsidR="0022546B" w:rsidRPr="00B3710B">
              <w:rPr>
                <w:rFonts w:eastAsia="Calibri"/>
                <w:sz w:val="17"/>
                <w:szCs w:val="17"/>
              </w:rPr>
              <w:t xml:space="preserve"> and </w:t>
            </w:r>
            <w:r w:rsidR="00DF6B66">
              <w:rPr>
                <w:rFonts w:eastAsia="Calibri"/>
                <w:sz w:val="17"/>
                <w:szCs w:val="17"/>
              </w:rPr>
              <w:t xml:space="preserve">suggested </w:t>
            </w:r>
            <w:r w:rsidR="00D46F77" w:rsidRPr="00B3710B">
              <w:rPr>
                <w:rFonts w:eastAsia="Calibri"/>
                <w:sz w:val="17"/>
                <w:szCs w:val="17"/>
              </w:rPr>
              <w:t xml:space="preserve">this </w:t>
            </w:r>
            <w:r w:rsidR="00293B49" w:rsidRPr="00B3710B">
              <w:rPr>
                <w:rFonts w:eastAsia="Calibri"/>
                <w:sz w:val="17"/>
                <w:szCs w:val="17"/>
              </w:rPr>
              <w:t xml:space="preserve">be </w:t>
            </w:r>
            <w:r w:rsidR="00D46F77" w:rsidRPr="00B3710B">
              <w:rPr>
                <w:rFonts w:eastAsia="Calibri"/>
                <w:sz w:val="17"/>
                <w:szCs w:val="17"/>
              </w:rPr>
              <w:t xml:space="preserve">done by </w:t>
            </w:r>
            <w:r w:rsidR="00D46F77" w:rsidRPr="00B3710B">
              <w:rPr>
                <w:sz w:val="17"/>
                <w:szCs w:val="17"/>
              </w:rPr>
              <w:t>requiring any price and non-price terms offered by a service provider to an associate to be offered to other shippers.</w:t>
            </w:r>
            <w:r w:rsidR="00293B49" w:rsidRPr="00B3710B">
              <w:rPr>
                <w:sz w:val="17"/>
                <w:szCs w:val="17"/>
              </w:rPr>
              <w:t xml:space="preserve"> </w:t>
            </w:r>
          </w:p>
          <w:p w14:paraId="0621EDE4" w14:textId="77777777" w:rsidR="00D46F77" w:rsidRPr="00B3710B" w:rsidRDefault="00D46F77" w:rsidP="00857981">
            <w:pPr>
              <w:pStyle w:val="BodyText"/>
              <w:keepNext/>
              <w:spacing w:before="80" w:after="60" w:line="252" w:lineRule="auto"/>
              <w:rPr>
                <w:sz w:val="17"/>
                <w:szCs w:val="17"/>
              </w:rPr>
            </w:pPr>
            <w:r w:rsidRPr="00B3710B">
              <w:rPr>
                <w:sz w:val="17"/>
                <w:szCs w:val="17"/>
                <w:lang w:eastAsia="en-US"/>
              </w:rPr>
              <w:t xml:space="preserve">Brattle’s </w:t>
            </w:r>
            <w:r w:rsidR="000B17B9">
              <w:rPr>
                <w:sz w:val="17"/>
                <w:szCs w:val="17"/>
                <w:lang w:eastAsia="en-US"/>
              </w:rPr>
              <w:t>suggestion</w:t>
            </w:r>
            <w:r w:rsidRPr="00B3710B">
              <w:rPr>
                <w:sz w:val="17"/>
                <w:szCs w:val="17"/>
                <w:lang w:eastAsia="en-US"/>
              </w:rPr>
              <w:t xml:space="preserve"> is </w:t>
            </w:r>
            <w:r w:rsidRPr="00B3710B">
              <w:rPr>
                <w:sz w:val="17"/>
                <w:szCs w:val="17"/>
              </w:rPr>
              <w:t xml:space="preserve">similar in many ways to the associate contract provisions in s. 148 of the NGL that currently apply to full and light regulation pipelines and which have been proposed to be extended to the new lighter form of regulation. In simple terms, these provisions prohibit service providers from entering into, or giving effect to contracts that: </w:t>
            </w:r>
          </w:p>
          <w:p w14:paraId="5EAFF7AD" w14:textId="77777777" w:rsidR="00D46F77" w:rsidRPr="00B3710B" w:rsidRDefault="00D46F77" w:rsidP="00C4443F">
            <w:pPr>
              <w:pStyle w:val="BodyText"/>
              <w:keepNext/>
              <w:numPr>
                <w:ilvl w:val="2"/>
                <w:numId w:val="165"/>
              </w:numPr>
              <w:spacing w:before="60" w:after="80" w:line="252" w:lineRule="auto"/>
              <w:ind w:left="442" w:hanging="357"/>
              <w:rPr>
                <w:rFonts w:eastAsia="Calibri"/>
                <w:sz w:val="17"/>
                <w:szCs w:val="17"/>
              </w:rPr>
            </w:pPr>
            <w:r w:rsidRPr="00B3710B">
              <w:rPr>
                <w:sz w:val="17"/>
                <w:szCs w:val="17"/>
              </w:rPr>
              <w:t>have an anti-competitive effect</w:t>
            </w:r>
            <w:r w:rsidR="00E320BC" w:rsidRPr="00B3710B">
              <w:rPr>
                <w:sz w:val="17"/>
                <w:szCs w:val="17"/>
              </w:rPr>
              <w:t xml:space="preserve"> (unless approved by the relevant regulator)</w:t>
            </w:r>
            <w:r w:rsidRPr="00B3710B">
              <w:rPr>
                <w:sz w:val="17"/>
                <w:szCs w:val="17"/>
              </w:rPr>
              <w:t xml:space="preserve">; or </w:t>
            </w:r>
          </w:p>
          <w:p w14:paraId="1FBD9C5D" w14:textId="77777777" w:rsidR="00D46F77" w:rsidRPr="00B3710B" w:rsidRDefault="00D46F77" w:rsidP="00C4443F">
            <w:pPr>
              <w:pStyle w:val="BodyText"/>
              <w:keepNext/>
              <w:numPr>
                <w:ilvl w:val="2"/>
                <w:numId w:val="165"/>
              </w:numPr>
              <w:spacing w:before="80" w:after="80" w:line="252" w:lineRule="auto"/>
              <w:ind w:left="442" w:hanging="357"/>
              <w:rPr>
                <w:rFonts w:eastAsia="Calibri"/>
                <w:sz w:val="17"/>
                <w:szCs w:val="17"/>
              </w:rPr>
            </w:pPr>
            <w:r w:rsidRPr="00B3710B">
              <w:rPr>
                <w:sz w:val="17"/>
                <w:szCs w:val="17"/>
              </w:rPr>
              <w:t>are inconsistent with the “competitive parity rule”, which requires the service provider to treat the associate as if it were an ‘unrelated party’</w:t>
            </w:r>
            <w:r w:rsidR="00E320BC" w:rsidRPr="00B3710B">
              <w:rPr>
                <w:sz w:val="17"/>
                <w:szCs w:val="17"/>
              </w:rPr>
              <w:t xml:space="preserve"> (unless approved by the relevant regulator)</w:t>
            </w:r>
            <w:r w:rsidRPr="00B3710B">
              <w:rPr>
                <w:sz w:val="17"/>
                <w:szCs w:val="17"/>
              </w:rPr>
              <w:t xml:space="preserve">. </w:t>
            </w:r>
          </w:p>
          <w:p w14:paraId="48246092" w14:textId="77777777" w:rsidR="00D46F77" w:rsidRPr="00B3710B" w:rsidRDefault="00D46F77" w:rsidP="00D46F77">
            <w:pPr>
              <w:pStyle w:val="TableBullet10"/>
              <w:numPr>
                <w:ilvl w:val="0"/>
                <w:numId w:val="0"/>
              </w:numPr>
              <w:spacing w:before="0" w:after="80" w:line="252" w:lineRule="auto"/>
              <w:ind w:left="85"/>
              <w:rPr>
                <w:iCs/>
                <w:sz w:val="17"/>
                <w:szCs w:val="17"/>
              </w:rPr>
            </w:pPr>
            <w:r w:rsidRPr="00B3710B">
              <w:rPr>
                <w:sz w:val="17"/>
                <w:szCs w:val="17"/>
              </w:rPr>
              <w:t xml:space="preserve">Given the advice provided by Brattle and the proposal to extend the application of the associate contract provisions to the new lighter form of regulation, there does not appear to be any reason to provide for a separate prohibition on inefficient price discrimination in the regulatory framework. </w:t>
            </w:r>
            <w:r w:rsidR="000B17B9">
              <w:rPr>
                <w:sz w:val="17"/>
                <w:szCs w:val="17"/>
              </w:rPr>
              <w:t xml:space="preserve">No provision has therefore been made for the general prohibition on inefficient price discrimination in options 3A </w:t>
            </w:r>
            <w:r w:rsidR="00F17989">
              <w:rPr>
                <w:sz w:val="17"/>
                <w:szCs w:val="17"/>
              </w:rPr>
              <w:t xml:space="preserve">or </w:t>
            </w:r>
            <w:r w:rsidR="000B17B9">
              <w:rPr>
                <w:sz w:val="17"/>
                <w:szCs w:val="17"/>
              </w:rPr>
              <w:t>3B.</w:t>
            </w:r>
          </w:p>
        </w:tc>
        <w:tc>
          <w:tcPr>
            <w:tcW w:w="1660" w:type="pct"/>
          </w:tcPr>
          <w:p w14:paraId="36999123" w14:textId="77777777" w:rsidR="00D46F77" w:rsidRPr="00B3710B" w:rsidRDefault="00D46F77" w:rsidP="00CF412A">
            <w:pPr>
              <w:pStyle w:val="ListBullet"/>
              <w:numPr>
                <w:ilvl w:val="0"/>
                <w:numId w:val="0"/>
              </w:numPr>
              <w:spacing w:before="60"/>
              <w:ind w:left="85"/>
            </w:pPr>
            <w:r w:rsidRPr="00B3710B">
              <w:rPr>
                <w:rFonts w:asciiTheme="majorHAnsi" w:hAnsiTheme="majorHAnsi" w:cstheme="majorHAnsi"/>
              </w:rPr>
              <w:t xml:space="preserve">Under options 3A and 3B </w:t>
            </w:r>
            <w:r w:rsidRPr="00B3710B">
              <w:rPr>
                <w:rFonts w:cstheme="majorHAnsi"/>
              </w:rPr>
              <w:t>t</w:t>
            </w:r>
            <w:r w:rsidRPr="00B3710B">
              <w:t xml:space="preserve">here would be two forms of regulation that a transmission or distribution pipeline could be subject to, with the: </w:t>
            </w:r>
          </w:p>
          <w:p w14:paraId="3C61CC39" w14:textId="77777777" w:rsidR="00D46F77" w:rsidRPr="00B3710B" w:rsidRDefault="00D46F77" w:rsidP="00D46F77">
            <w:pPr>
              <w:pStyle w:val="TableBullet10"/>
              <w:rPr>
                <w:i/>
                <w:sz w:val="17"/>
                <w:szCs w:val="17"/>
              </w:rPr>
            </w:pPr>
            <w:r w:rsidRPr="00B3710B">
              <w:rPr>
                <w:i/>
                <w:sz w:val="17"/>
                <w:szCs w:val="17"/>
              </w:rPr>
              <w:t>stronger form based on full regulation; and</w:t>
            </w:r>
          </w:p>
          <w:p w14:paraId="0EE47EC0" w14:textId="77777777" w:rsidR="00D46F77" w:rsidRPr="00B3710B" w:rsidRDefault="00D46F77" w:rsidP="00D46F77">
            <w:pPr>
              <w:pStyle w:val="TableBullet10"/>
              <w:rPr>
                <w:i/>
                <w:sz w:val="17"/>
                <w:szCs w:val="17"/>
              </w:rPr>
            </w:pPr>
            <w:r w:rsidRPr="00B3710B">
              <w:rPr>
                <w:i/>
                <w:sz w:val="17"/>
                <w:szCs w:val="17"/>
              </w:rPr>
              <w:t>lighter form based on Part 23, which would be strengthened by applying the following safeguards currently available under light regulation</w:t>
            </w:r>
            <w:r w:rsidR="006027AE" w:rsidRPr="00B3710B">
              <w:rPr>
                <w:i/>
                <w:sz w:val="17"/>
                <w:szCs w:val="17"/>
              </w:rPr>
              <w:t xml:space="preserve"> but not the prohibition on inefficient price discrimination</w:t>
            </w:r>
            <w:r w:rsidRPr="00B3710B">
              <w:rPr>
                <w:i/>
                <w:sz w:val="17"/>
                <w:szCs w:val="17"/>
              </w:rPr>
              <w:t xml:space="preserve">: </w:t>
            </w:r>
          </w:p>
          <w:p w14:paraId="6EDF4FA2" w14:textId="77777777" w:rsidR="00D46F77" w:rsidRPr="00B3710B" w:rsidRDefault="00D46F77" w:rsidP="00D46F77">
            <w:pPr>
              <w:pStyle w:val="TableListNumber2"/>
              <w:ind w:left="714" w:hanging="357"/>
              <w:rPr>
                <w:i/>
                <w:sz w:val="17"/>
                <w:szCs w:val="17"/>
              </w:rPr>
            </w:pPr>
            <w:r w:rsidRPr="00B3710B">
              <w:rPr>
                <w:i/>
                <w:sz w:val="17"/>
                <w:szCs w:val="17"/>
              </w:rPr>
              <w:t xml:space="preserve">the prohibition on preventing or hindering access; </w:t>
            </w:r>
          </w:p>
          <w:p w14:paraId="07FEE96C" w14:textId="77777777" w:rsidR="00D46F77" w:rsidRPr="00B3710B" w:rsidRDefault="00D46F77" w:rsidP="00D46F77">
            <w:pPr>
              <w:pStyle w:val="TableListNumber2"/>
              <w:ind w:left="714" w:hanging="357"/>
              <w:rPr>
                <w:i/>
                <w:sz w:val="17"/>
                <w:szCs w:val="17"/>
              </w:rPr>
            </w:pPr>
            <w:r w:rsidRPr="00B3710B">
              <w:rPr>
                <w:i/>
                <w:sz w:val="17"/>
                <w:szCs w:val="17"/>
              </w:rPr>
              <w:t xml:space="preserve">the prohibition on bundling services unless reasonably necessary; </w:t>
            </w:r>
          </w:p>
          <w:p w14:paraId="594D998B" w14:textId="77777777" w:rsidR="00D46F77" w:rsidRPr="00B3710B" w:rsidRDefault="00D46F77" w:rsidP="00D46F77">
            <w:pPr>
              <w:pStyle w:val="TableListNumber2"/>
              <w:ind w:left="714" w:hanging="357"/>
              <w:rPr>
                <w:i/>
                <w:sz w:val="17"/>
                <w:szCs w:val="17"/>
              </w:rPr>
            </w:pPr>
            <w:r w:rsidRPr="00B3710B">
              <w:rPr>
                <w:i/>
                <w:sz w:val="17"/>
                <w:szCs w:val="17"/>
              </w:rPr>
              <w:t xml:space="preserve">the ring fencing and associate contract provisions; and </w:t>
            </w:r>
          </w:p>
          <w:p w14:paraId="11084403" w14:textId="77777777" w:rsidR="00D46F77" w:rsidRPr="00B3710B" w:rsidRDefault="00D46F77" w:rsidP="00D46F77">
            <w:pPr>
              <w:pStyle w:val="TableListNumber2"/>
              <w:ind w:left="714" w:hanging="357"/>
              <w:rPr>
                <w:i/>
                <w:sz w:val="17"/>
                <w:szCs w:val="17"/>
              </w:rPr>
            </w:pPr>
            <w:r w:rsidRPr="00B3710B">
              <w:rPr>
                <w:i/>
                <w:sz w:val="17"/>
                <w:szCs w:val="17"/>
              </w:rPr>
              <w:t>other measures in the NGL and NGR, including those relating to queuing, extensions and expansions, capacity trading, and changes to receipt and delivery points</w:t>
            </w:r>
            <w:r w:rsidR="00202FB5">
              <w:rPr>
                <w:i/>
                <w:sz w:val="17"/>
                <w:szCs w:val="17"/>
              </w:rPr>
              <w:t xml:space="preserve">. </w:t>
            </w:r>
          </w:p>
        </w:tc>
      </w:tr>
      <w:tr w:rsidR="00D46F77" w:rsidRPr="00B3710B" w14:paraId="5DFBD72B" w14:textId="77777777" w:rsidTr="00A507A6">
        <w:trPr>
          <w:cnfStyle w:val="000000010000" w:firstRow="0" w:lastRow="0" w:firstColumn="0" w:lastColumn="0" w:oddVBand="0" w:evenVBand="0" w:oddHBand="0" w:evenHBand="1" w:firstRowFirstColumn="0" w:firstRowLastColumn="0" w:lastRowFirstColumn="0" w:lastRowLastColumn="0"/>
        </w:trPr>
        <w:tc>
          <w:tcPr>
            <w:tcW w:w="437" w:type="pct"/>
          </w:tcPr>
          <w:p w14:paraId="1AABA26A" w14:textId="77777777" w:rsidR="00D46F77" w:rsidRPr="00B3710B" w:rsidRDefault="00D46F77" w:rsidP="00857981">
            <w:pPr>
              <w:pStyle w:val="TableBodyText"/>
              <w:spacing w:before="40" w:after="40" w:line="252" w:lineRule="auto"/>
              <w:rPr>
                <w:sz w:val="17"/>
                <w:szCs w:val="17"/>
              </w:rPr>
            </w:pPr>
            <w:r w:rsidRPr="00B3710B">
              <w:rPr>
                <w:sz w:val="17"/>
                <w:szCs w:val="17"/>
              </w:rPr>
              <w:t>Constraints on dynamic market power</w:t>
            </w:r>
          </w:p>
        </w:tc>
        <w:tc>
          <w:tcPr>
            <w:tcW w:w="2903" w:type="pct"/>
          </w:tcPr>
          <w:p w14:paraId="45828E1B" w14:textId="77777777" w:rsidR="00D46F77" w:rsidRPr="00B3710B" w:rsidRDefault="00DF514E" w:rsidP="00857981">
            <w:pPr>
              <w:pStyle w:val="TableBullet10"/>
              <w:keepNext/>
              <w:numPr>
                <w:ilvl w:val="0"/>
                <w:numId w:val="0"/>
              </w:numPr>
              <w:spacing w:before="0" w:after="80" w:line="252" w:lineRule="auto"/>
              <w:ind w:left="85"/>
              <w:rPr>
                <w:sz w:val="17"/>
                <w:szCs w:val="17"/>
              </w:rPr>
            </w:pPr>
            <w:r w:rsidRPr="00B3710B">
              <w:rPr>
                <w:sz w:val="17"/>
                <w:szCs w:val="17"/>
              </w:rPr>
              <w:t>T</w:t>
            </w:r>
            <w:r w:rsidR="00D46F77" w:rsidRPr="00B3710B">
              <w:rPr>
                <w:sz w:val="17"/>
                <w:szCs w:val="17"/>
              </w:rPr>
              <w:t>he majority of stakeholders that commented on the proposal to introduce more explicit constraints on dynamic market power agreed they should be included in the regulatory framework</w:t>
            </w:r>
            <w:r w:rsidRPr="00B3710B">
              <w:rPr>
                <w:sz w:val="17"/>
                <w:szCs w:val="17"/>
              </w:rPr>
              <w:t xml:space="preserve">. </w:t>
            </w:r>
            <w:r w:rsidR="002227C9">
              <w:rPr>
                <w:sz w:val="17"/>
                <w:szCs w:val="17"/>
              </w:rPr>
              <w:t xml:space="preserve">A </w:t>
            </w:r>
            <w:r w:rsidR="00D46F77" w:rsidRPr="00B3710B">
              <w:rPr>
                <w:sz w:val="17"/>
                <w:szCs w:val="17"/>
              </w:rPr>
              <w:t xml:space="preserve">number of service providers </w:t>
            </w:r>
            <w:r w:rsidR="002227C9">
              <w:rPr>
                <w:sz w:val="17"/>
                <w:szCs w:val="17"/>
              </w:rPr>
              <w:t xml:space="preserve">did, however, </w:t>
            </w:r>
            <w:r w:rsidR="00D46F77" w:rsidRPr="00B3710B">
              <w:rPr>
                <w:sz w:val="17"/>
                <w:szCs w:val="17"/>
              </w:rPr>
              <w:t xml:space="preserve">question the need for these measures. Further consideration has therefore been given to the proposed measures. </w:t>
            </w:r>
          </w:p>
          <w:p w14:paraId="3C92743B" w14:textId="77777777" w:rsidR="00D46F77" w:rsidRPr="00B3710B" w:rsidRDefault="00D46F77" w:rsidP="00857981">
            <w:pPr>
              <w:pStyle w:val="TableBullet10"/>
              <w:keepNext/>
              <w:numPr>
                <w:ilvl w:val="0"/>
                <w:numId w:val="0"/>
              </w:numPr>
              <w:spacing w:before="0" w:after="80" w:line="252" w:lineRule="auto"/>
              <w:ind w:left="85"/>
              <w:rPr>
                <w:b/>
                <w:bCs/>
                <w:sz w:val="17"/>
                <w:szCs w:val="17"/>
              </w:rPr>
            </w:pPr>
            <w:r w:rsidRPr="00B3710B">
              <w:rPr>
                <w:b/>
                <w:bCs/>
                <w:sz w:val="17"/>
                <w:szCs w:val="17"/>
              </w:rPr>
              <w:t xml:space="preserve">Preventing or hindering interconnections </w:t>
            </w:r>
          </w:p>
          <w:p w14:paraId="5981CDC7" w14:textId="6E2A2538" w:rsidR="00D46F77" w:rsidRPr="00B3710B" w:rsidRDefault="00D46F77" w:rsidP="000702A5">
            <w:pPr>
              <w:pStyle w:val="TableBullet10"/>
              <w:numPr>
                <w:ilvl w:val="0"/>
                <w:numId w:val="0"/>
              </w:numPr>
              <w:spacing w:line="252" w:lineRule="auto"/>
              <w:ind w:left="85"/>
              <w:rPr>
                <w:rFonts w:asciiTheme="majorHAnsi" w:hAnsiTheme="majorHAnsi" w:cstheme="majorHAnsi"/>
                <w:sz w:val="17"/>
                <w:szCs w:val="17"/>
              </w:rPr>
            </w:pPr>
            <w:r w:rsidRPr="00B3710B">
              <w:rPr>
                <w:sz w:val="17"/>
                <w:szCs w:val="17"/>
              </w:rPr>
              <w:t xml:space="preserve">As noted in section 2.1, service providers may try and block competition from other service providers by preventing or hindering interconnections to their pipelines. While this is dealt with to some extent in the current regulatory framework, there are, as noted in </w:t>
            </w:r>
            <w:r w:rsidRPr="00B3710B">
              <w:rPr>
                <w:sz w:val="17"/>
                <w:szCs w:val="17"/>
              </w:rPr>
              <w:fldChar w:fldCharType="begin" w:fldLock="1"/>
            </w:r>
            <w:r w:rsidRPr="00B3710B">
              <w:rPr>
                <w:sz w:val="17"/>
                <w:szCs w:val="17"/>
              </w:rPr>
              <w:instrText xml:space="preserve"> REF _Ref52270915 \h  \* MERGEFORMAT </w:instrText>
            </w:r>
            <w:r w:rsidRPr="00B3710B">
              <w:rPr>
                <w:sz w:val="17"/>
                <w:szCs w:val="17"/>
              </w:rPr>
            </w:r>
            <w:r w:rsidRPr="00B3710B">
              <w:rPr>
                <w:sz w:val="17"/>
                <w:szCs w:val="17"/>
              </w:rPr>
              <w:fldChar w:fldCharType="separate"/>
            </w:r>
            <w:r w:rsidR="00036405" w:rsidRPr="00036405">
              <w:rPr>
                <w:sz w:val="17"/>
                <w:szCs w:val="17"/>
              </w:rPr>
              <w:t xml:space="preserve">Box </w:t>
            </w:r>
            <w:r w:rsidR="00036405" w:rsidRPr="00036405">
              <w:rPr>
                <w:noProof/>
                <w:sz w:val="17"/>
                <w:szCs w:val="17"/>
              </w:rPr>
              <w:t>5.1</w:t>
            </w:r>
            <w:r w:rsidRPr="00B3710B">
              <w:rPr>
                <w:sz w:val="17"/>
                <w:szCs w:val="17"/>
              </w:rPr>
              <w:fldChar w:fldCharType="end"/>
            </w:r>
            <w:r w:rsidRPr="00B3710B">
              <w:rPr>
                <w:sz w:val="17"/>
                <w:szCs w:val="17"/>
              </w:rPr>
              <w:t xml:space="preserve">, inconsistencies in the approaches employed under the different forms of regulation and they are reactive in nature. There is also a lack of clarity surrounding the rights that parties have to interconnect and the pricing principles to be employed for interconnections. Given these problems with the existing provisions and the potential for them to </w:t>
            </w:r>
            <w:r w:rsidRPr="00B3710B">
              <w:rPr>
                <w:sz w:val="17"/>
                <w:szCs w:val="17"/>
              </w:rPr>
              <w:lastRenderedPageBreak/>
              <w:t>either be exploited by service providers, or to otherwise discourage interconnections, consideration has been given to how this issue could be addressed in the regulatory framework.</w:t>
            </w:r>
          </w:p>
          <w:p w14:paraId="63C03D08" w14:textId="77777777" w:rsidR="00D46F77" w:rsidRPr="00B3710B" w:rsidRDefault="00D46F77" w:rsidP="000702A5">
            <w:pPr>
              <w:pStyle w:val="TableBullet10"/>
              <w:keepNext/>
              <w:numPr>
                <w:ilvl w:val="0"/>
                <w:numId w:val="0"/>
              </w:numPr>
              <w:spacing w:before="40" w:line="252" w:lineRule="auto"/>
              <w:ind w:left="85"/>
              <w:rPr>
                <w:rFonts w:asciiTheme="majorHAnsi" w:hAnsiTheme="majorHAnsi" w:cstheme="majorHAnsi"/>
                <w:sz w:val="17"/>
                <w:szCs w:val="17"/>
              </w:rPr>
            </w:pPr>
            <w:r w:rsidRPr="00B3710B">
              <w:rPr>
                <w:rFonts w:asciiTheme="majorHAnsi" w:hAnsiTheme="majorHAnsi" w:cstheme="majorHAnsi"/>
                <w:sz w:val="17"/>
                <w:szCs w:val="17"/>
              </w:rPr>
              <w:t xml:space="preserve">In other jurisdictions, the risk that service providers may try and prevent or hinder interconnections has been dealt with by employing a more proactive approach to interconnections. For example: </w:t>
            </w:r>
          </w:p>
          <w:p w14:paraId="60F251C4" w14:textId="77777777" w:rsidR="00D46F77" w:rsidRPr="00B3710B" w:rsidRDefault="00D46F77" w:rsidP="000702A5">
            <w:pPr>
              <w:pStyle w:val="TableBullet10"/>
              <w:spacing w:before="40" w:line="252" w:lineRule="auto"/>
              <w:rPr>
                <w:sz w:val="17"/>
                <w:szCs w:val="17"/>
              </w:rPr>
            </w:pPr>
            <w:r w:rsidRPr="00B3710B">
              <w:rPr>
                <w:sz w:val="17"/>
                <w:szCs w:val="17"/>
              </w:rPr>
              <w:t>In the US, a party wanting to interconnect with an interstate pipeline can do so if it satisfies the conditions specified by the regulator, FERC (i.e. the interconnecting party must bear the costs associated with constructing the interconnection facility and the interconnection must not affect the pipeline’s operations or compliance with relevant laws or existing contracts, or diminish the service available to existing customers).</w:t>
            </w:r>
          </w:p>
          <w:p w14:paraId="4B37C1B1" w14:textId="77777777" w:rsidR="00D46F77" w:rsidRPr="00B3710B" w:rsidRDefault="00D46F77" w:rsidP="000702A5">
            <w:pPr>
              <w:pStyle w:val="TableBullet10"/>
              <w:spacing w:before="40" w:line="252" w:lineRule="auto"/>
              <w:rPr>
                <w:sz w:val="17"/>
                <w:szCs w:val="17"/>
              </w:rPr>
            </w:pPr>
            <w:r w:rsidRPr="00B3710B">
              <w:rPr>
                <w:sz w:val="17"/>
                <w:szCs w:val="17"/>
              </w:rPr>
              <w:t xml:space="preserve">In New Zealand, service providers are required to develop an interconnection policy that complies with the principles set out in Gas Industry Co’s Interconnection Guidelines. Amongst other things, the policy must set out the process for parties seeking to interconnect (including the rights of the interconnecting party to construct the interconnection facility), the duties of both parties in negotiations and how interconnection fees will be determined and recovered. </w:t>
            </w:r>
          </w:p>
          <w:p w14:paraId="350E75F3" w14:textId="77777777" w:rsidR="00937039" w:rsidRPr="00B3710B" w:rsidRDefault="00D46F77" w:rsidP="000702A5">
            <w:pPr>
              <w:pStyle w:val="TableBullet10"/>
              <w:numPr>
                <w:ilvl w:val="0"/>
                <w:numId w:val="0"/>
              </w:numPr>
              <w:spacing w:before="0" w:line="252" w:lineRule="auto"/>
              <w:ind w:left="85"/>
              <w:rPr>
                <w:iCs/>
                <w:sz w:val="17"/>
                <w:szCs w:val="17"/>
              </w:rPr>
            </w:pPr>
            <w:r w:rsidRPr="00B3710B">
              <w:rPr>
                <w:sz w:val="17"/>
                <w:szCs w:val="17"/>
              </w:rPr>
              <w:t xml:space="preserve">Having considered the feedback provided by stakeholders, the approaches employed in other jurisdictions and the </w:t>
            </w:r>
            <w:r w:rsidRPr="00857981">
              <w:rPr>
                <w:sz w:val="17"/>
                <w:szCs w:val="17"/>
              </w:rPr>
              <w:t xml:space="preserve">objectives of </w:t>
            </w:r>
            <w:r w:rsidR="00857981" w:rsidRPr="00857981">
              <w:rPr>
                <w:sz w:val="17"/>
                <w:szCs w:val="17"/>
              </w:rPr>
              <w:t xml:space="preserve">Energy National Cabinet Reform Committee </w:t>
            </w:r>
            <w:r w:rsidRPr="00857981">
              <w:rPr>
                <w:sz w:val="17"/>
                <w:szCs w:val="17"/>
              </w:rPr>
              <w:t xml:space="preserve">action, it is clear that the regulatory framework and the market more generally, would benefit from employing a more proactive approach to interconnections and providing greater clarity on the </w:t>
            </w:r>
            <w:r w:rsidRPr="00857981">
              <w:rPr>
                <w:iCs/>
                <w:sz w:val="17"/>
                <w:szCs w:val="17"/>
              </w:rPr>
              <w:t>interconnection principles that service providers would be required to comply with</w:t>
            </w:r>
            <w:r w:rsidRPr="00B3710B">
              <w:rPr>
                <w:iCs/>
                <w:sz w:val="17"/>
                <w:szCs w:val="17"/>
              </w:rPr>
              <w:t xml:space="preserve"> and the rights that interconnecting parties would have. </w:t>
            </w:r>
            <w:r w:rsidR="00937039">
              <w:rPr>
                <w:iCs/>
                <w:sz w:val="17"/>
                <w:szCs w:val="17"/>
              </w:rPr>
              <w:t xml:space="preserve">Provision has therefore been made for this measure in options 3A and 3B. </w:t>
            </w:r>
          </w:p>
          <w:p w14:paraId="06CFAC2B" w14:textId="77777777" w:rsidR="00D46F77" w:rsidRPr="00B3710B" w:rsidRDefault="00D46F77" w:rsidP="000702A5">
            <w:pPr>
              <w:pStyle w:val="TableBullet10"/>
              <w:keepNext/>
              <w:numPr>
                <w:ilvl w:val="0"/>
                <w:numId w:val="0"/>
              </w:numPr>
              <w:spacing w:before="0" w:after="80" w:line="252" w:lineRule="auto"/>
              <w:ind w:left="85"/>
              <w:rPr>
                <w:b/>
                <w:bCs/>
                <w:sz w:val="17"/>
                <w:szCs w:val="17"/>
              </w:rPr>
            </w:pPr>
            <w:r w:rsidRPr="00B3710B">
              <w:rPr>
                <w:b/>
                <w:bCs/>
                <w:sz w:val="17"/>
                <w:szCs w:val="17"/>
              </w:rPr>
              <w:t xml:space="preserve">Cross-subsidising the development of new capacity </w:t>
            </w:r>
          </w:p>
          <w:p w14:paraId="680CACA2" w14:textId="77777777" w:rsidR="00D46F77" w:rsidRPr="00B3710B" w:rsidRDefault="00D46F77" w:rsidP="000702A5">
            <w:pPr>
              <w:pStyle w:val="BodyText"/>
              <w:spacing w:before="60" w:after="80" w:line="252" w:lineRule="auto"/>
              <w:rPr>
                <w:sz w:val="17"/>
                <w:szCs w:val="17"/>
              </w:rPr>
            </w:pPr>
            <w:r w:rsidRPr="00B3710B">
              <w:rPr>
                <w:sz w:val="17"/>
                <w:szCs w:val="17"/>
              </w:rPr>
              <w:t xml:space="preserve">In addition to trying to prevent or hinder interconnections, service providers may, as noted in section 2.1, try and block competition for the development of new capacity by using existing shippers to cross-subsidise the development of extensions and/or expansions. </w:t>
            </w:r>
          </w:p>
          <w:p w14:paraId="4947B9D6" w14:textId="2D6896DB" w:rsidR="00D46F77" w:rsidRPr="00B3710B" w:rsidRDefault="00D46F77" w:rsidP="000702A5">
            <w:pPr>
              <w:pStyle w:val="BodyText"/>
              <w:spacing w:before="60" w:after="80" w:line="252" w:lineRule="auto"/>
              <w:rPr>
                <w:sz w:val="17"/>
                <w:szCs w:val="17"/>
              </w:rPr>
            </w:pPr>
            <w:r w:rsidRPr="00B3710B">
              <w:rPr>
                <w:sz w:val="17"/>
                <w:szCs w:val="17"/>
              </w:rPr>
              <w:t>While the opportunities for service providers to engage in this type of behaviour may be limited (i.e. because competition for the development of new capacity will usually only be viable for extensions and expansions that involve looping),</w:t>
            </w:r>
            <w:r w:rsidR="00370905">
              <w:rPr>
                <w:rFonts w:ascii="ZWAdobeF" w:hAnsi="ZWAdobeF" w:cs="ZWAdobeF"/>
                <w:sz w:val="2"/>
                <w:szCs w:val="2"/>
              </w:rPr>
              <w:t>135F</w:t>
            </w:r>
            <w:r w:rsidRPr="00B3710B">
              <w:rPr>
                <w:rStyle w:val="FootnoteReference"/>
                <w:sz w:val="17"/>
                <w:szCs w:val="17"/>
              </w:rPr>
              <w:footnoteReference w:id="137"/>
            </w:r>
            <w:r w:rsidRPr="00B3710B">
              <w:rPr>
                <w:sz w:val="17"/>
                <w:szCs w:val="17"/>
              </w:rPr>
              <w:t xml:space="preserve"> there is still a risk that service providers could engage in this type of behaviour. Given the adverse effect this behaviour could have on competition, the market and the economy more generally, further consideration has been given to how it could be constrained. </w:t>
            </w:r>
          </w:p>
          <w:p w14:paraId="5FB131AA" w14:textId="77777777" w:rsidR="00D46F77" w:rsidRPr="00B3710B" w:rsidRDefault="00D46F77" w:rsidP="000702A5">
            <w:pPr>
              <w:pStyle w:val="BodyText"/>
              <w:spacing w:before="60" w:after="80" w:line="252" w:lineRule="auto"/>
              <w:rPr>
                <w:rFonts w:cstheme="minorHAnsi"/>
                <w:sz w:val="17"/>
                <w:szCs w:val="17"/>
              </w:rPr>
            </w:pPr>
            <w:r w:rsidRPr="00B3710B">
              <w:rPr>
                <w:sz w:val="17"/>
                <w:szCs w:val="17"/>
              </w:rPr>
              <w:t xml:space="preserve">In the US and Canada this issue has been addressed by </w:t>
            </w:r>
            <w:r w:rsidRPr="00B3710B">
              <w:rPr>
                <w:rFonts w:cstheme="minorHAnsi"/>
                <w:sz w:val="17"/>
                <w:szCs w:val="17"/>
              </w:rPr>
              <w:t>prohibiting the cross-subsidisation of new capacity by existing users through the use of incremental pricing, with deviations from this only allowed if the new capacity increases the reliability of existing services, or lower</w:t>
            </w:r>
            <w:r w:rsidR="002227C9">
              <w:rPr>
                <w:rFonts w:cstheme="minorHAnsi"/>
                <w:sz w:val="17"/>
                <w:szCs w:val="17"/>
              </w:rPr>
              <w:t>s</w:t>
            </w:r>
            <w:r w:rsidRPr="00B3710B">
              <w:rPr>
                <w:rFonts w:cstheme="minorHAnsi"/>
                <w:sz w:val="17"/>
                <w:szCs w:val="17"/>
              </w:rPr>
              <w:t xml:space="preserve"> prices for existing users. </w:t>
            </w:r>
          </w:p>
          <w:p w14:paraId="2BCB2851" w14:textId="20700DD4" w:rsidR="00D46F77" w:rsidRDefault="00D46F77" w:rsidP="000702A5">
            <w:pPr>
              <w:pStyle w:val="BodyText"/>
              <w:spacing w:before="80" w:after="80" w:line="252" w:lineRule="auto"/>
              <w:rPr>
                <w:sz w:val="17"/>
                <w:szCs w:val="17"/>
              </w:rPr>
            </w:pPr>
            <w:r w:rsidRPr="00B3710B">
              <w:rPr>
                <w:rFonts w:cstheme="minorHAnsi"/>
                <w:sz w:val="17"/>
                <w:szCs w:val="17"/>
              </w:rPr>
              <w:t xml:space="preserve">The difficulty with mirroring this approach in Australia is that Part 23 does not require the use of cost-based pricing. A similar outcome could, however, be achieved by amending the regulatory framework to </w:t>
            </w:r>
            <w:r w:rsidRPr="00B3710B">
              <w:rPr>
                <w:sz w:val="17"/>
                <w:szCs w:val="17"/>
              </w:rPr>
              <w:t>include a general prohibition on service providers cross-subsidising new capacity by raising the prices payable by existing shippers (subject to some limited exceptions that would be specified in the NGR).</w:t>
            </w:r>
            <w:r w:rsidR="00370905">
              <w:rPr>
                <w:rFonts w:ascii="ZWAdobeF" w:hAnsi="ZWAdobeF" w:cs="ZWAdobeF"/>
                <w:sz w:val="2"/>
                <w:szCs w:val="2"/>
              </w:rPr>
              <w:t>136F</w:t>
            </w:r>
            <w:r w:rsidRPr="00B3710B">
              <w:rPr>
                <w:rStyle w:val="FootnoteReference"/>
                <w:sz w:val="17"/>
                <w:szCs w:val="17"/>
                <w:lang w:eastAsia="en-US"/>
              </w:rPr>
              <w:footnoteReference w:id="138"/>
            </w:r>
            <w:r w:rsidRPr="00B3710B">
              <w:rPr>
                <w:sz w:val="17"/>
                <w:szCs w:val="17"/>
              </w:rPr>
              <w:t xml:space="preserve"> To enable compliance with this prohibition to be monitored, service providers </w:t>
            </w:r>
            <w:r w:rsidR="002227C9">
              <w:rPr>
                <w:sz w:val="17"/>
                <w:szCs w:val="17"/>
              </w:rPr>
              <w:t xml:space="preserve">would </w:t>
            </w:r>
            <w:r w:rsidR="0087353A">
              <w:rPr>
                <w:sz w:val="17"/>
                <w:szCs w:val="17"/>
              </w:rPr>
              <w:t>need</w:t>
            </w:r>
            <w:r w:rsidRPr="00B3710B">
              <w:rPr>
                <w:sz w:val="17"/>
                <w:szCs w:val="17"/>
              </w:rPr>
              <w:t xml:space="preserve"> to disclose more information on the costs of extensions and expansions. </w:t>
            </w:r>
          </w:p>
          <w:p w14:paraId="2BD671EF" w14:textId="77777777" w:rsidR="00B602AE" w:rsidRPr="002E7522" w:rsidRDefault="00937039" w:rsidP="002E7522">
            <w:pPr>
              <w:pStyle w:val="BodyText"/>
              <w:spacing w:before="80" w:after="80" w:line="252" w:lineRule="auto"/>
              <w:rPr>
                <w:iCs/>
                <w:sz w:val="17"/>
                <w:szCs w:val="17"/>
              </w:rPr>
            </w:pPr>
            <w:r>
              <w:rPr>
                <w:sz w:val="17"/>
                <w:szCs w:val="17"/>
              </w:rPr>
              <w:lastRenderedPageBreak/>
              <w:t xml:space="preserve">As with </w:t>
            </w:r>
            <w:r w:rsidR="00FA348E">
              <w:rPr>
                <w:sz w:val="17"/>
                <w:szCs w:val="17"/>
              </w:rPr>
              <w:t xml:space="preserve">interconnections, it is clear </w:t>
            </w:r>
            <w:r w:rsidR="00FA348E" w:rsidRPr="00B3710B">
              <w:rPr>
                <w:sz w:val="17"/>
                <w:szCs w:val="17"/>
              </w:rPr>
              <w:t xml:space="preserve">that the regulatory framework and the market more generally, would benefit from employing a more proactive approach </w:t>
            </w:r>
            <w:r w:rsidR="00FA348E">
              <w:rPr>
                <w:sz w:val="17"/>
                <w:szCs w:val="17"/>
              </w:rPr>
              <w:t xml:space="preserve">in relation to </w:t>
            </w:r>
            <w:r w:rsidR="002E7522">
              <w:rPr>
                <w:sz w:val="17"/>
                <w:szCs w:val="17"/>
              </w:rPr>
              <w:t xml:space="preserve">constraining exercises of market power in relation to </w:t>
            </w:r>
            <w:r w:rsidR="00074969">
              <w:rPr>
                <w:sz w:val="17"/>
                <w:szCs w:val="17"/>
              </w:rPr>
              <w:t>new capacity</w:t>
            </w:r>
            <w:r w:rsidR="00FA348E" w:rsidRPr="00B3710B">
              <w:rPr>
                <w:iCs/>
                <w:sz w:val="17"/>
                <w:szCs w:val="17"/>
              </w:rPr>
              <w:t xml:space="preserve">. </w:t>
            </w:r>
            <w:r w:rsidR="00FA348E">
              <w:rPr>
                <w:iCs/>
                <w:sz w:val="17"/>
                <w:szCs w:val="17"/>
              </w:rPr>
              <w:t xml:space="preserve">Provision has therefore been made for this measure in options 3A and 3B. </w:t>
            </w:r>
          </w:p>
        </w:tc>
        <w:tc>
          <w:tcPr>
            <w:tcW w:w="1660" w:type="pct"/>
          </w:tcPr>
          <w:p w14:paraId="5CDDB4BD" w14:textId="77777777" w:rsidR="00D46F77" w:rsidRPr="00B3710B" w:rsidRDefault="00C6163F" w:rsidP="00D46F77">
            <w:pPr>
              <w:pStyle w:val="TableBullet10"/>
              <w:numPr>
                <w:ilvl w:val="0"/>
                <w:numId w:val="0"/>
              </w:numPr>
              <w:spacing w:before="20" w:after="20" w:line="252" w:lineRule="auto"/>
              <w:ind w:left="85"/>
              <w:rPr>
                <w:rFonts w:asciiTheme="majorHAnsi" w:hAnsiTheme="majorHAnsi" w:cstheme="majorHAnsi"/>
                <w:i/>
                <w:sz w:val="17"/>
                <w:szCs w:val="17"/>
              </w:rPr>
            </w:pPr>
            <w:r w:rsidRPr="00B3710B">
              <w:rPr>
                <w:rFonts w:asciiTheme="majorHAnsi" w:hAnsiTheme="majorHAnsi" w:cstheme="majorHAnsi"/>
                <w:i/>
                <w:sz w:val="17"/>
                <w:szCs w:val="17"/>
              </w:rPr>
              <w:lastRenderedPageBreak/>
              <w:t>Under o</w:t>
            </w:r>
            <w:r w:rsidR="00D46F77" w:rsidRPr="00B3710B">
              <w:rPr>
                <w:rFonts w:asciiTheme="majorHAnsi" w:hAnsiTheme="majorHAnsi" w:cstheme="majorHAnsi"/>
                <w:i/>
                <w:sz w:val="17"/>
                <w:szCs w:val="17"/>
              </w:rPr>
              <w:t>ptions 3A and 3B</w:t>
            </w:r>
            <w:r w:rsidR="002627BC" w:rsidRPr="00B3710B">
              <w:rPr>
                <w:rFonts w:asciiTheme="majorHAnsi" w:hAnsiTheme="majorHAnsi" w:cstheme="majorHAnsi"/>
                <w:i/>
                <w:sz w:val="17"/>
                <w:szCs w:val="17"/>
              </w:rPr>
              <w:t xml:space="preserve"> pipelines subject to both the stronger and lighter forms of regulation would be</w:t>
            </w:r>
            <w:r w:rsidR="00D46F77" w:rsidRPr="00B3710B">
              <w:rPr>
                <w:rFonts w:asciiTheme="majorHAnsi" w:hAnsiTheme="majorHAnsi" w:cstheme="majorHAnsi"/>
                <w:i/>
                <w:sz w:val="17"/>
                <w:szCs w:val="17"/>
              </w:rPr>
              <w:t xml:space="preserve">: </w:t>
            </w:r>
          </w:p>
          <w:p w14:paraId="406BAB79" w14:textId="77777777" w:rsidR="00D46F77" w:rsidRPr="00B3710B" w:rsidRDefault="002627BC" w:rsidP="00D46F77">
            <w:pPr>
              <w:pStyle w:val="TableBullet10"/>
              <w:spacing w:line="252" w:lineRule="auto"/>
              <w:rPr>
                <w:i/>
                <w:sz w:val="17"/>
                <w:szCs w:val="17"/>
              </w:rPr>
            </w:pPr>
            <w:r w:rsidRPr="00B3710B">
              <w:rPr>
                <w:i/>
                <w:sz w:val="17"/>
                <w:szCs w:val="17"/>
              </w:rPr>
              <w:t xml:space="preserve">required </w:t>
            </w:r>
            <w:r w:rsidR="00D46F77" w:rsidRPr="00B3710B">
              <w:rPr>
                <w:i/>
                <w:sz w:val="17"/>
                <w:szCs w:val="17"/>
              </w:rPr>
              <w:t xml:space="preserve">to comply with interconnection principles that would be specified in the NGR; and </w:t>
            </w:r>
          </w:p>
          <w:p w14:paraId="7D9E219C" w14:textId="77777777" w:rsidR="00706DC4" w:rsidRPr="00B3710B" w:rsidRDefault="00D46F77" w:rsidP="00D46F77">
            <w:pPr>
              <w:pStyle w:val="TableBullet10"/>
              <w:spacing w:line="252" w:lineRule="auto"/>
              <w:rPr>
                <w:sz w:val="17"/>
                <w:szCs w:val="17"/>
              </w:rPr>
            </w:pPr>
            <w:r w:rsidRPr="00B3710B">
              <w:rPr>
                <w:i/>
                <w:sz w:val="17"/>
                <w:szCs w:val="17"/>
                <w:lang w:eastAsia="en-US"/>
              </w:rPr>
              <w:t>prohibit</w:t>
            </w:r>
            <w:r w:rsidR="002627BC" w:rsidRPr="00B3710B">
              <w:rPr>
                <w:i/>
                <w:sz w:val="17"/>
                <w:szCs w:val="17"/>
                <w:lang w:eastAsia="en-US"/>
              </w:rPr>
              <w:t>ed</w:t>
            </w:r>
            <w:r w:rsidRPr="00B3710B">
              <w:rPr>
                <w:i/>
                <w:sz w:val="17"/>
                <w:szCs w:val="17"/>
                <w:lang w:eastAsia="en-US"/>
              </w:rPr>
              <w:t xml:space="preserve"> from cross-subsidising new capacity by raising the prices payable by existing shippers (subject to some limited exceptions in the NGR)</w:t>
            </w:r>
            <w:r w:rsidR="00706DC4" w:rsidRPr="00B3710B">
              <w:rPr>
                <w:i/>
                <w:sz w:val="17"/>
                <w:szCs w:val="17"/>
                <w:lang w:eastAsia="en-US"/>
              </w:rPr>
              <w:t>.</w:t>
            </w:r>
          </w:p>
          <w:p w14:paraId="367C6A03" w14:textId="77777777" w:rsidR="00D46F77" w:rsidRPr="00B3710B" w:rsidRDefault="00706DC4" w:rsidP="00706DC4">
            <w:pPr>
              <w:pStyle w:val="TableBullet10"/>
              <w:numPr>
                <w:ilvl w:val="0"/>
                <w:numId w:val="0"/>
              </w:numPr>
              <w:spacing w:line="252" w:lineRule="auto"/>
              <w:ind w:left="85"/>
              <w:rPr>
                <w:sz w:val="17"/>
                <w:szCs w:val="17"/>
              </w:rPr>
            </w:pPr>
            <w:r w:rsidRPr="00B3710B">
              <w:rPr>
                <w:i/>
                <w:sz w:val="17"/>
                <w:szCs w:val="17"/>
                <w:lang w:eastAsia="en-US"/>
              </w:rPr>
              <w:t xml:space="preserve">To enable compliance with the latter of these measures to be monitored, service providers would be required to </w:t>
            </w:r>
            <w:r w:rsidR="00D46F77" w:rsidRPr="00B3710B">
              <w:rPr>
                <w:i/>
                <w:sz w:val="17"/>
                <w:szCs w:val="17"/>
                <w:lang w:eastAsia="en-US"/>
              </w:rPr>
              <w:t>disclos</w:t>
            </w:r>
            <w:r w:rsidRPr="00B3710B">
              <w:rPr>
                <w:i/>
                <w:sz w:val="17"/>
                <w:szCs w:val="17"/>
                <w:lang w:eastAsia="en-US"/>
              </w:rPr>
              <w:t xml:space="preserve">e more information on </w:t>
            </w:r>
            <w:r w:rsidR="00D46F77" w:rsidRPr="00B3710B">
              <w:rPr>
                <w:i/>
                <w:sz w:val="17"/>
                <w:szCs w:val="17"/>
                <w:lang w:eastAsia="en-US"/>
              </w:rPr>
              <w:t>the cost</w:t>
            </w:r>
            <w:r w:rsidRPr="00B3710B">
              <w:rPr>
                <w:i/>
                <w:sz w:val="17"/>
                <w:szCs w:val="17"/>
                <w:lang w:eastAsia="en-US"/>
              </w:rPr>
              <w:t>s</w:t>
            </w:r>
            <w:r w:rsidR="00D46F77" w:rsidRPr="00B3710B">
              <w:rPr>
                <w:i/>
                <w:sz w:val="17"/>
                <w:szCs w:val="17"/>
                <w:lang w:eastAsia="en-US"/>
              </w:rPr>
              <w:t xml:space="preserve"> of extensions and expansions as part of the </w:t>
            </w:r>
            <w:r w:rsidR="00517663">
              <w:rPr>
                <w:i/>
                <w:sz w:val="17"/>
                <w:szCs w:val="17"/>
                <w:lang w:eastAsia="en-US"/>
              </w:rPr>
              <w:t>historical financial</w:t>
            </w:r>
            <w:r w:rsidR="00D46F77" w:rsidRPr="00B3710B">
              <w:rPr>
                <w:i/>
                <w:sz w:val="17"/>
                <w:szCs w:val="17"/>
                <w:lang w:eastAsia="en-US"/>
              </w:rPr>
              <w:t xml:space="preserve"> reporting.</w:t>
            </w:r>
          </w:p>
        </w:tc>
      </w:tr>
      <w:tr w:rsidR="00D46F77" w:rsidRPr="00B3710B" w14:paraId="0E4F45C4" w14:textId="77777777" w:rsidTr="00A507A6">
        <w:tc>
          <w:tcPr>
            <w:tcW w:w="437" w:type="pct"/>
          </w:tcPr>
          <w:p w14:paraId="217A83E9" w14:textId="77777777" w:rsidR="00D46F77" w:rsidRPr="00B3710B" w:rsidRDefault="00D46F77" w:rsidP="00857981">
            <w:pPr>
              <w:pStyle w:val="TableBodyText"/>
              <w:spacing w:before="40" w:after="40" w:line="240" w:lineRule="auto"/>
              <w:rPr>
                <w:sz w:val="17"/>
                <w:szCs w:val="17"/>
              </w:rPr>
            </w:pPr>
            <w:r w:rsidRPr="00B3710B">
              <w:rPr>
                <w:sz w:val="17"/>
                <w:szCs w:val="17"/>
              </w:rPr>
              <w:lastRenderedPageBreak/>
              <w:t>Form of regulation test</w:t>
            </w:r>
          </w:p>
        </w:tc>
        <w:tc>
          <w:tcPr>
            <w:tcW w:w="2903" w:type="pct"/>
          </w:tcPr>
          <w:p w14:paraId="74233BB6" w14:textId="77777777" w:rsidR="00D46F77" w:rsidRPr="00B3710B" w:rsidRDefault="00D46F77" w:rsidP="00857981">
            <w:pPr>
              <w:pStyle w:val="BodyText"/>
              <w:spacing w:before="40" w:after="80" w:line="240" w:lineRule="auto"/>
              <w:rPr>
                <w:sz w:val="17"/>
                <w:szCs w:val="17"/>
              </w:rPr>
            </w:pPr>
            <w:r w:rsidRPr="00B3710B">
              <w:rPr>
                <w:sz w:val="17"/>
                <w:szCs w:val="17"/>
              </w:rPr>
              <w:t xml:space="preserve">The majority of stakeholders that commented on the form of regulation test agreed that a single test based on s. 122 of the NGL should be employed. There were, however, a small number that suggested the hurdle into the stronger form of regulation should be raised. The ACCC also noted the need to reduce the information asymmetries that the decision-maker is likely to face. Further consideration has therefore been given to these proposals and the need to align the test with other </w:t>
            </w:r>
            <w:r w:rsidR="00FE07C9" w:rsidRPr="00B3710B">
              <w:rPr>
                <w:sz w:val="17"/>
                <w:szCs w:val="17"/>
              </w:rPr>
              <w:t>elements of options 3A and 3B</w:t>
            </w:r>
            <w:r w:rsidRPr="00B3710B">
              <w:rPr>
                <w:sz w:val="17"/>
                <w:szCs w:val="17"/>
              </w:rPr>
              <w:t xml:space="preserve">. </w:t>
            </w:r>
          </w:p>
          <w:p w14:paraId="06B6AC8F" w14:textId="77777777" w:rsidR="00D46F77" w:rsidRPr="00B3710B" w:rsidRDefault="00D46F77" w:rsidP="00857981">
            <w:pPr>
              <w:pStyle w:val="BodyText"/>
              <w:spacing w:before="40" w:after="80" w:line="240" w:lineRule="auto"/>
              <w:rPr>
                <w:b/>
                <w:bCs/>
                <w:sz w:val="17"/>
                <w:szCs w:val="17"/>
              </w:rPr>
            </w:pPr>
            <w:r w:rsidRPr="00B3710B">
              <w:rPr>
                <w:b/>
                <w:bCs/>
                <w:sz w:val="17"/>
                <w:szCs w:val="17"/>
              </w:rPr>
              <w:t xml:space="preserve">Hurdle into the stronger form of regulation </w:t>
            </w:r>
          </w:p>
          <w:p w14:paraId="29068BBE" w14:textId="77777777" w:rsidR="00D46F77" w:rsidRPr="00B3710B" w:rsidRDefault="00D46F77" w:rsidP="00857981">
            <w:pPr>
              <w:pStyle w:val="BodyText"/>
              <w:spacing w:before="40" w:after="80" w:line="240" w:lineRule="auto"/>
              <w:rPr>
                <w:rFonts w:cs="Arial"/>
                <w:sz w:val="17"/>
                <w:szCs w:val="17"/>
              </w:rPr>
            </w:pPr>
            <w:r w:rsidRPr="00B3710B">
              <w:rPr>
                <w:sz w:val="17"/>
                <w:szCs w:val="17"/>
              </w:rPr>
              <w:t xml:space="preserve">A number of service providers and other stakeholders suggested that the hurdle into the stronger form of regulation should be raised by </w:t>
            </w:r>
            <w:r w:rsidRPr="00B3710B">
              <w:rPr>
                <w:rFonts w:cs="Arial"/>
                <w:sz w:val="17"/>
                <w:szCs w:val="17"/>
              </w:rPr>
              <w:t xml:space="preserve">requiring the decision-maker to be positively satisfied the benefits of this form of regulation exceed the costs. The problems </w:t>
            </w:r>
            <w:r w:rsidR="00BA5EBD">
              <w:rPr>
                <w:rFonts w:cs="Arial"/>
                <w:sz w:val="17"/>
                <w:szCs w:val="17"/>
              </w:rPr>
              <w:t xml:space="preserve">identified </w:t>
            </w:r>
            <w:r w:rsidRPr="00B3710B">
              <w:rPr>
                <w:rFonts w:cs="Arial"/>
                <w:sz w:val="17"/>
                <w:szCs w:val="17"/>
              </w:rPr>
              <w:t>with this proposal are two-fold:</w:t>
            </w:r>
          </w:p>
          <w:p w14:paraId="7B2BCECA" w14:textId="77777777" w:rsidR="00D46F77" w:rsidRPr="00B3710B" w:rsidRDefault="00D46F77" w:rsidP="0045105B">
            <w:pPr>
              <w:pStyle w:val="TableBullet10"/>
              <w:spacing w:before="20" w:after="20"/>
              <w:rPr>
                <w:sz w:val="17"/>
                <w:szCs w:val="17"/>
              </w:rPr>
            </w:pPr>
            <w:r w:rsidRPr="00B3710B">
              <w:rPr>
                <w:sz w:val="17"/>
                <w:szCs w:val="17"/>
              </w:rPr>
              <w:t xml:space="preserve">First, it would introduce a bias against the stronger form of regulation in the regulatory framework, which </w:t>
            </w:r>
            <w:r w:rsidR="007365DD">
              <w:rPr>
                <w:sz w:val="17"/>
                <w:szCs w:val="17"/>
              </w:rPr>
              <w:t>c</w:t>
            </w:r>
            <w:r w:rsidRPr="00B3710B">
              <w:rPr>
                <w:sz w:val="17"/>
                <w:szCs w:val="17"/>
              </w:rPr>
              <w:t xml:space="preserve">ould result in under-regulation and leave shippers more exposed to exercises of market power by service providers, with attendant consequences for economic efficiency and consumers. </w:t>
            </w:r>
          </w:p>
          <w:p w14:paraId="5AA90242" w14:textId="77777777" w:rsidR="00D46F77" w:rsidRPr="00B3710B" w:rsidRDefault="00D46F77" w:rsidP="0045105B">
            <w:pPr>
              <w:pStyle w:val="TableBullet10"/>
              <w:spacing w:before="20" w:after="20"/>
              <w:rPr>
                <w:sz w:val="17"/>
                <w:szCs w:val="17"/>
              </w:rPr>
            </w:pPr>
            <w:r w:rsidRPr="00B3710B">
              <w:rPr>
                <w:sz w:val="17"/>
                <w:szCs w:val="17"/>
              </w:rPr>
              <w:t xml:space="preserve">Second, if the onus to prove that the benefits of the stronger form of regulation outweigh the costs sits with the decision-maker, it </w:t>
            </w:r>
            <w:r w:rsidR="008473FF">
              <w:rPr>
                <w:sz w:val="17"/>
                <w:szCs w:val="17"/>
              </w:rPr>
              <w:t>would</w:t>
            </w:r>
            <w:r w:rsidR="008473FF" w:rsidRPr="00B3710B">
              <w:rPr>
                <w:sz w:val="17"/>
                <w:szCs w:val="17"/>
              </w:rPr>
              <w:t xml:space="preserve"> </w:t>
            </w:r>
            <w:r w:rsidRPr="00B3710B">
              <w:rPr>
                <w:sz w:val="17"/>
                <w:szCs w:val="17"/>
              </w:rPr>
              <w:t xml:space="preserve">exacerbate the degree of information asymmetry faced by the decision-maker because service providers </w:t>
            </w:r>
            <w:r w:rsidR="008473FF">
              <w:rPr>
                <w:sz w:val="17"/>
                <w:szCs w:val="17"/>
              </w:rPr>
              <w:t>would</w:t>
            </w:r>
            <w:r w:rsidR="008473FF" w:rsidRPr="00B3710B">
              <w:rPr>
                <w:sz w:val="17"/>
                <w:szCs w:val="17"/>
              </w:rPr>
              <w:t xml:space="preserve"> </w:t>
            </w:r>
            <w:r w:rsidRPr="00B3710B">
              <w:rPr>
                <w:sz w:val="17"/>
                <w:szCs w:val="17"/>
              </w:rPr>
              <w:t xml:space="preserve">be even less willing to provide the information the decision-maker requires to make an informed decision. </w:t>
            </w:r>
          </w:p>
          <w:p w14:paraId="20C886F4" w14:textId="77777777" w:rsidR="00D46F77" w:rsidRPr="00B3710B" w:rsidRDefault="00D46F77" w:rsidP="00857981">
            <w:pPr>
              <w:pStyle w:val="BodyText"/>
              <w:spacing w:before="40" w:after="80" w:line="240" w:lineRule="auto"/>
              <w:rPr>
                <w:sz w:val="17"/>
                <w:szCs w:val="17"/>
              </w:rPr>
            </w:pPr>
            <w:r w:rsidRPr="00B3710B">
              <w:rPr>
                <w:sz w:val="17"/>
                <w:szCs w:val="17"/>
              </w:rPr>
              <w:t xml:space="preserve">The proposal is also inconsistent with the objectives of Energy National Cabinet Reform Committee action. No </w:t>
            </w:r>
            <w:r w:rsidR="00D5534B">
              <w:rPr>
                <w:sz w:val="17"/>
                <w:szCs w:val="17"/>
              </w:rPr>
              <w:t xml:space="preserve">provision has therefore been made for this change in options 3A and 3B. </w:t>
            </w:r>
          </w:p>
          <w:p w14:paraId="47EE0479" w14:textId="77777777" w:rsidR="00D46F77" w:rsidRPr="00B3710B" w:rsidRDefault="00CE34A4" w:rsidP="00B53C0F">
            <w:pPr>
              <w:pStyle w:val="BodyText"/>
              <w:keepNext/>
              <w:spacing w:before="40" w:line="240" w:lineRule="auto"/>
              <w:rPr>
                <w:b/>
                <w:bCs/>
                <w:sz w:val="17"/>
                <w:szCs w:val="17"/>
              </w:rPr>
            </w:pPr>
            <w:r w:rsidRPr="00B3710B">
              <w:rPr>
                <w:b/>
                <w:bCs/>
                <w:sz w:val="17"/>
                <w:szCs w:val="17"/>
              </w:rPr>
              <w:t>Addressing i</w:t>
            </w:r>
            <w:r w:rsidR="00D46F77" w:rsidRPr="00B3710B">
              <w:rPr>
                <w:b/>
                <w:bCs/>
                <w:sz w:val="17"/>
                <w:szCs w:val="17"/>
              </w:rPr>
              <w:t xml:space="preserve">nformation asymmetries </w:t>
            </w:r>
          </w:p>
          <w:p w14:paraId="112E7AE3" w14:textId="77777777" w:rsidR="00EF1C4C" w:rsidRDefault="00D46F77" w:rsidP="00857981">
            <w:pPr>
              <w:pStyle w:val="BodyText"/>
              <w:spacing w:before="40" w:after="80" w:line="240" w:lineRule="auto"/>
              <w:rPr>
                <w:rFonts w:cs="Arial"/>
                <w:sz w:val="17"/>
                <w:szCs w:val="17"/>
              </w:rPr>
            </w:pPr>
            <w:r w:rsidRPr="00B3710B">
              <w:rPr>
                <w:rFonts w:cs="Arial"/>
                <w:sz w:val="17"/>
                <w:szCs w:val="17"/>
              </w:rPr>
              <w:t xml:space="preserve">As the ACCC noted in its submission, the body responsible for deciding what form of regulation a pipeline should be subject to is likely to face significant information asymmetries when making its decision. Changes to the form of regulation test and/or the decision-maker’s information gathering powers </w:t>
            </w:r>
            <w:r w:rsidR="00533535">
              <w:rPr>
                <w:rFonts w:cs="Arial"/>
                <w:sz w:val="17"/>
                <w:szCs w:val="17"/>
              </w:rPr>
              <w:t>would</w:t>
            </w:r>
            <w:r w:rsidR="00533535" w:rsidRPr="00B3710B">
              <w:rPr>
                <w:rFonts w:cs="Arial"/>
                <w:sz w:val="17"/>
                <w:szCs w:val="17"/>
              </w:rPr>
              <w:t xml:space="preserve"> </w:t>
            </w:r>
            <w:r w:rsidRPr="00B3710B">
              <w:rPr>
                <w:rFonts w:cs="Arial"/>
                <w:sz w:val="17"/>
                <w:szCs w:val="17"/>
              </w:rPr>
              <w:t xml:space="preserve">therefore be required to overcome these information asymmetries and to ensure that the decision-maker has the information it requires to make an informed decision. </w:t>
            </w:r>
            <w:r w:rsidR="00C26669">
              <w:rPr>
                <w:rFonts w:cs="Arial"/>
                <w:sz w:val="17"/>
                <w:szCs w:val="17"/>
              </w:rPr>
              <w:t xml:space="preserve">Provision has therefore been made for this to occur </w:t>
            </w:r>
            <w:r w:rsidR="00856988">
              <w:rPr>
                <w:rFonts w:cs="Arial"/>
                <w:sz w:val="17"/>
                <w:szCs w:val="17"/>
              </w:rPr>
              <w:t>under</w:t>
            </w:r>
            <w:r w:rsidR="00C26669">
              <w:rPr>
                <w:rFonts w:cs="Arial"/>
                <w:sz w:val="17"/>
                <w:szCs w:val="17"/>
              </w:rPr>
              <w:t xml:space="preserve"> options 3A and 3B.</w:t>
            </w:r>
          </w:p>
          <w:p w14:paraId="3F2D23A4" w14:textId="77777777" w:rsidR="00D46F77" w:rsidRPr="00B3710B" w:rsidRDefault="00856988" w:rsidP="00857981">
            <w:pPr>
              <w:pStyle w:val="BodyText"/>
              <w:spacing w:before="40" w:after="80" w:line="240" w:lineRule="auto"/>
              <w:rPr>
                <w:rFonts w:cs="Arial"/>
                <w:sz w:val="17"/>
                <w:szCs w:val="17"/>
              </w:rPr>
            </w:pPr>
            <w:r>
              <w:rPr>
                <w:rFonts w:cs="Arial"/>
                <w:sz w:val="17"/>
                <w:szCs w:val="17"/>
              </w:rPr>
              <w:t xml:space="preserve">Note that if a decision is made to implement either of these options, then the proposed changes to the test would be consulted on as part of the development of the legal package. </w:t>
            </w:r>
          </w:p>
          <w:p w14:paraId="41BD27DD" w14:textId="77777777" w:rsidR="00D46F77" w:rsidRPr="00B3710B" w:rsidRDefault="00D46F77" w:rsidP="00857981">
            <w:pPr>
              <w:pStyle w:val="BodyText"/>
              <w:keepNext/>
              <w:spacing w:before="40" w:after="80" w:line="240" w:lineRule="auto"/>
              <w:rPr>
                <w:b/>
                <w:bCs/>
                <w:sz w:val="17"/>
                <w:szCs w:val="17"/>
              </w:rPr>
            </w:pPr>
            <w:r w:rsidRPr="00B3710B">
              <w:rPr>
                <w:b/>
                <w:bCs/>
                <w:sz w:val="17"/>
                <w:szCs w:val="17"/>
              </w:rPr>
              <w:t xml:space="preserve">Alignment with other elements of options </w:t>
            </w:r>
            <w:r w:rsidR="00BF5F37" w:rsidRPr="00B3710B">
              <w:rPr>
                <w:b/>
                <w:bCs/>
                <w:sz w:val="17"/>
                <w:szCs w:val="17"/>
              </w:rPr>
              <w:t>3A and 3B</w:t>
            </w:r>
          </w:p>
          <w:p w14:paraId="10AF2899" w14:textId="77777777" w:rsidR="00D46F77" w:rsidRPr="00B3710B" w:rsidRDefault="00D46F77" w:rsidP="00857981">
            <w:pPr>
              <w:pStyle w:val="BodyText"/>
              <w:spacing w:before="40" w:after="80" w:line="240" w:lineRule="auto"/>
              <w:rPr>
                <w:sz w:val="17"/>
                <w:szCs w:val="17"/>
              </w:rPr>
            </w:pPr>
            <w:r w:rsidRPr="00B3710B">
              <w:rPr>
                <w:sz w:val="17"/>
                <w:szCs w:val="17"/>
              </w:rPr>
              <w:t xml:space="preserve">In addition to the matters set out above, the form of regulation test would need to be amended to align it with other aspects of </w:t>
            </w:r>
            <w:r w:rsidR="00C84791" w:rsidRPr="00B3710B">
              <w:rPr>
                <w:sz w:val="17"/>
                <w:szCs w:val="17"/>
              </w:rPr>
              <w:t>o</w:t>
            </w:r>
            <w:r w:rsidRPr="00B3710B">
              <w:rPr>
                <w:sz w:val="17"/>
                <w:szCs w:val="17"/>
              </w:rPr>
              <w:t>ptions</w:t>
            </w:r>
            <w:r w:rsidR="00C84791" w:rsidRPr="00B3710B">
              <w:rPr>
                <w:sz w:val="17"/>
                <w:szCs w:val="17"/>
              </w:rPr>
              <w:t xml:space="preserve"> 3A and 3B</w:t>
            </w:r>
            <w:r w:rsidRPr="00B3710B">
              <w:rPr>
                <w:sz w:val="17"/>
                <w:szCs w:val="17"/>
              </w:rPr>
              <w:t>. The test would, for example, need to be amended to:</w:t>
            </w:r>
          </w:p>
          <w:p w14:paraId="2AB52ADC" w14:textId="77777777" w:rsidR="00D46F77" w:rsidRPr="00B3710B" w:rsidRDefault="00D46F77" w:rsidP="0045105B">
            <w:pPr>
              <w:pStyle w:val="TableBullet10"/>
              <w:spacing w:before="20" w:after="20"/>
              <w:rPr>
                <w:sz w:val="17"/>
                <w:szCs w:val="17"/>
              </w:rPr>
            </w:pPr>
            <w:r w:rsidRPr="00B3710B">
              <w:rPr>
                <w:sz w:val="17"/>
                <w:szCs w:val="17"/>
              </w:rPr>
              <w:t>allow the decision-maker to have regard to the results of the regulator’s monitoring of service provider’s behaviour when making its decision</w:t>
            </w:r>
            <w:r w:rsidR="009A3C7B">
              <w:rPr>
                <w:sz w:val="17"/>
                <w:szCs w:val="17"/>
              </w:rPr>
              <w:t xml:space="preserve"> (see below)</w:t>
            </w:r>
            <w:r w:rsidRPr="00B3710B">
              <w:rPr>
                <w:sz w:val="17"/>
                <w:szCs w:val="17"/>
              </w:rPr>
              <w:t>; and</w:t>
            </w:r>
          </w:p>
          <w:p w14:paraId="0339F305" w14:textId="77777777" w:rsidR="00D46F77" w:rsidRPr="00B3710B" w:rsidRDefault="00D46F77" w:rsidP="0045105B">
            <w:pPr>
              <w:pStyle w:val="TableBullet10"/>
              <w:spacing w:before="20" w:after="20"/>
              <w:rPr>
                <w:sz w:val="17"/>
                <w:szCs w:val="17"/>
              </w:rPr>
            </w:pPr>
            <w:r w:rsidRPr="00B3710B">
              <w:rPr>
                <w:sz w:val="17"/>
                <w:szCs w:val="17"/>
              </w:rPr>
              <w:t xml:space="preserve">remove the requirement to consider whether adequate information is available to enable shippers to negotiate on an informed basis, because under the proposed changes to the information disclosure obligations service providers subject to both the stronger and lighter form of regulation would be required to publish the same Basic Information. </w:t>
            </w:r>
          </w:p>
        </w:tc>
        <w:tc>
          <w:tcPr>
            <w:tcW w:w="1660" w:type="pct"/>
          </w:tcPr>
          <w:p w14:paraId="612CCA06" w14:textId="77777777" w:rsidR="00D46F77" w:rsidRPr="00454EB1" w:rsidRDefault="009A3C7B" w:rsidP="00454EB1">
            <w:pPr>
              <w:pStyle w:val="BodyText"/>
              <w:spacing w:before="40" w:after="80" w:line="240" w:lineRule="auto"/>
              <w:rPr>
                <w:i/>
                <w:iCs/>
                <w:sz w:val="17"/>
                <w:szCs w:val="17"/>
              </w:rPr>
            </w:pPr>
            <w:r>
              <w:rPr>
                <w:rFonts w:asciiTheme="majorHAnsi" w:hAnsiTheme="majorHAnsi" w:cstheme="majorHAnsi"/>
                <w:i/>
                <w:sz w:val="17"/>
                <w:szCs w:val="17"/>
              </w:rPr>
              <w:t>Under o</w:t>
            </w:r>
            <w:r w:rsidR="00BD2106" w:rsidRPr="00B3710B">
              <w:rPr>
                <w:rFonts w:asciiTheme="majorHAnsi" w:hAnsiTheme="majorHAnsi" w:cstheme="majorHAnsi"/>
                <w:i/>
                <w:sz w:val="17"/>
                <w:szCs w:val="17"/>
              </w:rPr>
              <w:t>ptions 3A and 3B</w:t>
            </w:r>
            <w:r>
              <w:rPr>
                <w:rFonts w:asciiTheme="majorHAnsi" w:hAnsiTheme="majorHAnsi" w:cstheme="majorHAnsi"/>
                <w:i/>
                <w:sz w:val="17"/>
                <w:szCs w:val="17"/>
              </w:rPr>
              <w:t xml:space="preserve">, </w:t>
            </w:r>
            <w:r w:rsidR="00454EB1">
              <w:rPr>
                <w:rFonts w:asciiTheme="majorHAnsi" w:hAnsiTheme="majorHAnsi" w:cstheme="majorHAnsi"/>
                <w:i/>
                <w:sz w:val="17"/>
                <w:szCs w:val="17"/>
              </w:rPr>
              <w:t xml:space="preserve">form of regulation decisions would be based on the application of the </w:t>
            </w:r>
            <w:r w:rsidR="007B6B40" w:rsidRPr="00B3710B">
              <w:rPr>
                <w:i/>
                <w:iCs/>
                <w:sz w:val="17"/>
                <w:szCs w:val="17"/>
              </w:rPr>
              <w:t>form of regulation test in s. 122 of the NGL</w:t>
            </w:r>
            <w:r w:rsidR="00454EB1">
              <w:rPr>
                <w:i/>
                <w:iCs/>
                <w:sz w:val="17"/>
                <w:szCs w:val="17"/>
              </w:rPr>
              <w:t xml:space="preserve">, which would be </w:t>
            </w:r>
            <w:r w:rsidR="007B6B40" w:rsidRPr="00B3710B">
              <w:rPr>
                <w:i/>
                <w:iCs/>
                <w:sz w:val="17"/>
                <w:szCs w:val="17"/>
              </w:rPr>
              <w:t>amended to reduce the information asymmetries faced by the decision-maker and to align the test with other elements of the</w:t>
            </w:r>
            <w:r w:rsidR="003845A8">
              <w:rPr>
                <w:i/>
                <w:iCs/>
                <w:sz w:val="17"/>
                <w:szCs w:val="17"/>
              </w:rPr>
              <w:t>se</w:t>
            </w:r>
            <w:r w:rsidR="007B6B40" w:rsidRPr="00B3710B">
              <w:rPr>
                <w:i/>
                <w:iCs/>
                <w:sz w:val="17"/>
                <w:szCs w:val="17"/>
              </w:rPr>
              <w:t xml:space="preserve"> </w:t>
            </w:r>
            <w:r w:rsidR="003845A8">
              <w:rPr>
                <w:i/>
                <w:iCs/>
                <w:sz w:val="17"/>
                <w:szCs w:val="17"/>
              </w:rPr>
              <w:t>options</w:t>
            </w:r>
            <w:r w:rsidR="007B6B40" w:rsidRPr="00B3710B">
              <w:rPr>
                <w:i/>
                <w:iCs/>
                <w:sz w:val="17"/>
                <w:szCs w:val="17"/>
              </w:rPr>
              <w:t xml:space="preserve">. </w:t>
            </w:r>
          </w:p>
        </w:tc>
      </w:tr>
      <w:tr w:rsidR="009B634B" w:rsidRPr="00B3710B" w14:paraId="0A27CE66" w14:textId="77777777" w:rsidTr="00A507A6">
        <w:trPr>
          <w:cnfStyle w:val="000000010000" w:firstRow="0" w:lastRow="0" w:firstColumn="0" w:lastColumn="0" w:oddVBand="0" w:evenVBand="0" w:oddHBand="0" w:evenHBand="1" w:firstRowFirstColumn="0" w:firstRowLastColumn="0" w:lastRowFirstColumn="0" w:lastRowLastColumn="0"/>
        </w:trPr>
        <w:tc>
          <w:tcPr>
            <w:tcW w:w="437" w:type="pct"/>
          </w:tcPr>
          <w:p w14:paraId="123424CE" w14:textId="77777777" w:rsidR="009B634B" w:rsidRPr="00B3710B" w:rsidRDefault="009B634B" w:rsidP="00857981">
            <w:pPr>
              <w:pStyle w:val="TableBodyText"/>
              <w:keepNext/>
              <w:spacing w:before="40" w:after="40" w:line="240" w:lineRule="auto"/>
              <w:rPr>
                <w:sz w:val="17"/>
                <w:szCs w:val="17"/>
              </w:rPr>
            </w:pPr>
            <w:r w:rsidRPr="00B3710B">
              <w:rPr>
                <w:sz w:val="17"/>
                <w:szCs w:val="17"/>
              </w:rPr>
              <w:lastRenderedPageBreak/>
              <w:t>Monitoring and referral function</w:t>
            </w:r>
          </w:p>
        </w:tc>
        <w:tc>
          <w:tcPr>
            <w:tcW w:w="2903" w:type="pct"/>
          </w:tcPr>
          <w:p w14:paraId="7574B9F1" w14:textId="77777777" w:rsidR="009B634B" w:rsidRPr="00B3710B" w:rsidRDefault="009B634B" w:rsidP="00857981">
            <w:pPr>
              <w:pStyle w:val="BodyText"/>
              <w:spacing w:before="0" w:after="80"/>
              <w:rPr>
                <w:sz w:val="17"/>
                <w:szCs w:val="17"/>
              </w:rPr>
            </w:pPr>
            <w:r w:rsidRPr="00B3710B">
              <w:rPr>
                <w:sz w:val="17"/>
                <w:szCs w:val="17"/>
              </w:rPr>
              <w:t xml:space="preserve">As noted above, there was broad support for the proposal to require the relevant regulator to play a more active monitoring role and to be able to refer a pipeline for a form of regulation assessment if it suspects market power is being exercised. </w:t>
            </w:r>
          </w:p>
          <w:p w14:paraId="1A0E3ADB" w14:textId="77777777" w:rsidR="009B634B" w:rsidRPr="00B3710B" w:rsidRDefault="009B634B" w:rsidP="00857981">
            <w:pPr>
              <w:pStyle w:val="BodyText"/>
              <w:spacing w:before="0" w:after="80"/>
              <w:rPr>
                <w:sz w:val="17"/>
                <w:szCs w:val="17"/>
              </w:rPr>
            </w:pPr>
            <w:r>
              <w:rPr>
                <w:sz w:val="17"/>
                <w:szCs w:val="17"/>
              </w:rPr>
              <w:t xml:space="preserve">Together with the proposed changes to the form of regulation test, this new function is expected to reduce the risk of under-regulation and pose more of a constraint on the behaviour of service providers (i.e. because the threat of a stronger form of regulation being applied </w:t>
            </w:r>
            <w:r w:rsidR="001F1D02">
              <w:rPr>
                <w:sz w:val="17"/>
                <w:szCs w:val="17"/>
              </w:rPr>
              <w:t xml:space="preserve">would </w:t>
            </w:r>
            <w:r>
              <w:rPr>
                <w:sz w:val="17"/>
                <w:szCs w:val="17"/>
              </w:rPr>
              <w:t xml:space="preserve">be more credible). </w:t>
            </w:r>
            <w:r w:rsidR="004432F9">
              <w:rPr>
                <w:sz w:val="17"/>
                <w:szCs w:val="17"/>
              </w:rPr>
              <w:t xml:space="preserve">Provision has therefore been made for this function </w:t>
            </w:r>
            <w:r>
              <w:rPr>
                <w:sz w:val="17"/>
                <w:szCs w:val="17"/>
              </w:rPr>
              <w:t xml:space="preserve">in options 3A and 3B. </w:t>
            </w:r>
          </w:p>
          <w:p w14:paraId="2EF4910B" w14:textId="77777777" w:rsidR="009B634B" w:rsidRPr="00B3710B" w:rsidRDefault="009B634B" w:rsidP="00857981">
            <w:pPr>
              <w:pStyle w:val="BodyText"/>
              <w:spacing w:before="0" w:after="80"/>
              <w:rPr>
                <w:sz w:val="17"/>
                <w:szCs w:val="17"/>
              </w:rPr>
            </w:pPr>
          </w:p>
        </w:tc>
        <w:tc>
          <w:tcPr>
            <w:tcW w:w="1660" w:type="pct"/>
          </w:tcPr>
          <w:p w14:paraId="776D1049" w14:textId="77777777" w:rsidR="009B634B" w:rsidRPr="00C81A00" w:rsidRDefault="00367877" w:rsidP="00C81A00">
            <w:pPr>
              <w:pStyle w:val="ListBullet"/>
              <w:numPr>
                <w:ilvl w:val="0"/>
                <w:numId w:val="0"/>
              </w:numPr>
              <w:spacing w:before="60" w:after="0"/>
              <w:ind w:left="85"/>
              <w:rPr>
                <w:i/>
                <w:iCs/>
              </w:rPr>
            </w:pPr>
            <w:r w:rsidRPr="00C81A00">
              <w:rPr>
                <w:i/>
                <w:iCs/>
              </w:rPr>
              <w:t>Under o</w:t>
            </w:r>
            <w:r w:rsidR="009B634B" w:rsidRPr="00C81A00">
              <w:rPr>
                <w:i/>
                <w:iCs/>
              </w:rPr>
              <w:t>ptions 3A and 3B</w:t>
            </w:r>
            <w:r w:rsidRPr="00C81A00">
              <w:rPr>
                <w:i/>
                <w:iCs/>
              </w:rPr>
              <w:t xml:space="preserve">, the </w:t>
            </w:r>
            <w:r w:rsidR="009B634B" w:rsidRPr="00C81A00">
              <w:rPr>
                <w:i/>
                <w:iCs/>
              </w:rPr>
              <w:t xml:space="preserve">relevant regulator </w:t>
            </w:r>
            <w:r w:rsidRPr="00C81A00">
              <w:rPr>
                <w:i/>
                <w:iCs/>
              </w:rPr>
              <w:t xml:space="preserve">would be accorded a monitoring and referral function </w:t>
            </w:r>
            <w:r w:rsidR="004432F9" w:rsidRPr="00C81A00">
              <w:rPr>
                <w:i/>
                <w:iCs/>
              </w:rPr>
              <w:t xml:space="preserve">that would allow it </w:t>
            </w:r>
            <w:r w:rsidR="009B634B" w:rsidRPr="00C81A00">
              <w:rPr>
                <w:i/>
                <w:iCs/>
              </w:rPr>
              <w:t xml:space="preserve">to: </w:t>
            </w:r>
          </w:p>
          <w:p w14:paraId="2E16B0B0" w14:textId="77777777" w:rsidR="009B634B" w:rsidRPr="00C81A00" w:rsidRDefault="009B634B" w:rsidP="00857981">
            <w:pPr>
              <w:pStyle w:val="TableBullet10"/>
              <w:rPr>
                <w:i/>
                <w:iCs/>
                <w:sz w:val="17"/>
                <w:szCs w:val="17"/>
              </w:rPr>
            </w:pPr>
            <w:r w:rsidRPr="00C81A00">
              <w:rPr>
                <w:i/>
                <w:iCs/>
                <w:sz w:val="17"/>
                <w:szCs w:val="17"/>
              </w:rPr>
              <w:t xml:space="preserve">undertake more active monitoring of the behaviour of service providers (e.g. by monitoring service providers’ prices, the financial information reported by service providers, the outcome of access negotiations and, where relevant, dealings with associates and ring fencing arrangements); and </w:t>
            </w:r>
          </w:p>
          <w:p w14:paraId="378526A1" w14:textId="77777777" w:rsidR="009B634B" w:rsidRPr="00C81A00" w:rsidRDefault="009B634B" w:rsidP="00857981">
            <w:pPr>
              <w:pStyle w:val="TableBullet10"/>
              <w:rPr>
                <w:i/>
                <w:iCs/>
                <w:sz w:val="17"/>
                <w:szCs w:val="17"/>
              </w:rPr>
            </w:pPr>
            <w:r w:rsidRPr="00C81A00">
              <w:rPr>
                <w:i/>
                <w:iCs/>
                <w:sz w:val="17"/>
                <w:szCs w:val="17"/>
              </w:rPr>
              <w:t>refer pipelines for a form of regulation assessment if it suspects market power is being exercised. by monitoring service providers’ prices, service quality, financial information, the outcome of access negotiations and, where relevant, dealings with associates and ring fencing arrangements</w:t>
            </w:r>
          </w:p>
        </w:tc>
      </w:tr>
      <w:tr w:rsidR="00D46F77" w:rsidRPr="00B3710B" w14:paraId="53FB3F11" w14:textId="77777777" w:rsidTr="00A507A6">
        <w:tc>
          <w:tcPr>
            <w:tcW w:w="437" w:type="pct"/>
          </w:tcPr>
          <w:p w14:paraId="3425E5B7" w14:textId="77777777" w:rsidR="00D46F77" w:rsidRPr="00B3710B" w:rsidRDefault="00D46F77" w:rsidP="0091630B">
            <w:pPr>
              <w:pStyle w:val="TableBodyText"/>
              <w:spacing w:before="40" w:after="40"/>
              <w:rPr>
                <w:sz w:val="17"/>
                <w:szCs w:val="17"/>
              </w:rPr>
            </w:pPr>
            <w:r w:rsidRPr="00B3710B">
              <w:rPr>
                <w:sz w:val="17"/>
                <w:szCs w:val="17"/>
              </w:rPr>
              <w:t>Transitional arrangements for light regulation pipelines</w:t>
            </w:r>
          </w:p>
        </w:tc>
        <w:tc>
          <w:tcPr>
            <w:tcW w:w="2903" w:type="pct"/>
          </w:tcPr>
          <w:p w14:paraId="2CEA5BF9" w14:textId="77777777" w:rsidR="00D46F77" w:rsidRPr="00B3710B" w:rsidRDefault="00D46F77" w:rsidP="0091630B">
            <w:pPr>
              <w:pStyle w:val="BodyText"/>
              <w:spacing w:before="40" w:after="40"/>
              <w:rPr>
                <w:sz w:val="17"/>
                <w:szCs w:val="17"/>
              </w:rPr>
            </w:pPr>
            <w:r w:rsidRPr="00B3710B">
              <w:rPr>
                <w:sz w:val="17"/>
                <w:szCs w:val="17"/>
              </w:rPr>
              <w:t>The majority of stakeholders that commented on the transitional arrangements for light regulation pipelines supported the proposal to deem the 5.5 pipelines currently subject to light regulation to the new lighter form of regulation. There were, however, some alternative suggestions that have also been considered, including.</w:t>
            </w:r>
          </w:p>
          <w:p w14:paraId="35D725AA" w14:textId="77777777" w:rsidR="00D46F77" w:rsidRPr="00B3710B" w:rsidRDefault="00D46F77" w:rsidP="0091630B">
            <w:pPr>
              <w:pStyle w:val="TableBullet10"/>
              <w:spacing w:before="40" w:after="80"/>
              <w:rPr>
                <w:sz w:val="17"/>
                <w:szCs w:val="17"/>
              </w:rPr>
            </w:pPr>
            <w:r w:rsidRPr="00B3710B">
              <w:rPr>
                <w:sz w:val="17"/>
                <w:szCs w:val="17"/>
              </w:rPr>
              <w:t xml:space="preserve">Energy Matrix’s and the MEU’s suggestion that these pipelines be subject to full regulation. The risk with this suggestion is that it could result in over-regulation and impose unnecessary costs on service providers and the relevant regulator, because the pipelines in question have already been subject to the form of regulation test in s. 122 of the NGL and found to satisfy the criteria for the application of a lighter form of regulation. While it is possible that conditions may have changed since the form of regulation test was applied, the more efficient way to deal with this possibility is to deem the pipelines subject to the lighter form of regulation and then allow interested parties to apply for a form of regulation assessment if they think stronger regulation should apply. </w:t>
            </w:r>
          </w:p>
          <w:p w14:paraId="19CCCC2B" w14:textId="77777777" w:rsidR="00D46F77" w:rsidRPr="00B3710B" w:rsidRDefault="00D46F77" w:rsidP="0091630B">
            <w:pPr>
              <w:pStyle w:val="TableBullet10"/>
              <w:spacing w:before="40" w:after="80"/>
              <w:rPr>
                <w:sz w:val="17"/>
                <w:szCs w:val="17"/>
              </w:rPr>
            </w:pPr>
            <w:r w:rsidRPr="00B3710B">
              <w:rPr>
                <w:sz w:val="17"/>
                <w:szCs w:val="17"/>
              </w:rPr>
              <w:t xml:space="preserve">AGIG’s proposal that light regulation be grandfathered until such time as an application is made for a form of regulation assessment. There are two problems with this proposal. First, it would not address the inconsistencies and overlap between light regulation and Part 23, which as noted in section 5.2.3 are giving rise to unnecessary costs and complexities in the framework. Second, it would require a range of provisions in the NGL, NGR and instruments to be maintained, which would add to the complexity and administrative burden associated with the regulatory framework for little, if any, benefit given the similarities between light regulation and Part 23. </w:t>
            </w:r>
          </w:p>
          <w:p w14:paraId="60C14631" w14:textId="05CF2F53" w:rsidR="00D46F77" w:rsidRPr="00B3710B" w:rsidRDefault="00D46F77" w:rsidP="0091630B">
            <w:pPr>
              <w:pStyle w:val="TableBullet10"/>
              <w:numPr>
                <w:ilvl w:val="0"/>
                <w:numId w:val="0"/>
              </w:numPr>
              <w:spacing w:before="40" w:after="80"/>
              <w:ind w:left="85"/>
              <w:rPr>
                <w:i/>
                <w:sz w:val="17"/>
                <w:szCs w:val="17"/>
              </w:rPr>
            </w:pPr>
            <w:r w:rsidRPr="00B3710B">
              <w:rPr>
                <w:sz w:val="17"/>
                <w:szCs w:val="17"/>
              </w:rPr>
              <w:t xml:space="preserve">While there are problems with both of these suggestions, APGA’s suggestion that service providers have the option to be subject to the stronger form of regulation is not expected to have any adverse consequences and could be accommodated relatively easily in the transitional arrangements. The inclusion of this </w:t>
            </w:r>
            <w:r w:rsidR="004432F9">
              <w:rPr>
                <w:sz w:val="17"/>
                <w:szCs w:val="17"/>
              </w:rPr>
              <w:t xml:space="preserve">choice </w:t>
            </w:r>
            <w:r w:rsidRPr="00B3710B">
              <w:rPr>
                <w:sz w:val="17"/>
                <w:szCs w:val="17"/>
              </w:rPr>
              <w:t>would also be consistent with other aspects of the regulatory framework</w:t>
            </w:r>
            <w:r w:rsidR="00856988">
              <w:rPr>
                <w:sz w:val="17"/>
                <w:szCs w:val="17"/>
              </w:rPr>
              <w:t>.</w:t>
            </w:r>
            <w:r w:rsidR="00370905">
              <w:rPr>
                <w:rFonts w:ascii="ZWAdobeF" w:hAnsi="ZWAdobeF" w:cs="ZWAdobeF"/>
                <w:sz w:val="2"/>
                <w:szCs w:val="2"/>
              </w:rPr>
              <w:t>137F</w:t>
            </w:r>
            <w:r w:rsidR="005E580F" w:rsidRPr="00B3710B">
              <w:rPr>
                <w:rStyle w:val="FootnoteReference"/>
                <w:sz w:val="17"/>
                <w:szCs w:val="17"/>
              </w:rPr>
              <w:footnoteReference w:id="139"/>
            </w:r>
            <w:r w:rsidR="005E580F" w:rsidRPr="00B3710B">
              <w:rPr>
                <w:sz w:val="17"/>
                <w:szCs w:val="17"/>
              </w:rPr>
              <w:t xml:space="preserve"> </w:t>
            </w:r>
            <w:r w:rsidR="004432F9">
              <w:rPr>
                <w:sz w:val="17"/>
                <w:szCs w:val="17"/>
              </w:rPr>
              <w:t>Provision has therefore been made for this choice in options 3A and 3B.</w:t>
            </w:r>
          </w:p>
        </w:tc>
        <w:tc>
          <w:tcPr>
            <w:tcW w:w="1660" w:type="pct"/>
          </w:tcPr>
          <w:p w14:paraId="71AEA4F5" w14:textId="77777777" w:rsidR="00D46F77" w:rsidRPr="00B3710B" w:rsidRDefault="001D74BE" w:rsidP="00BD2106">
            <w:pPr>
              <w:pStyle w:val="TableBullet2"/>
              <w:numPr>
                <w:ilvl w:val="0"/>
                <w:numId w:val="0"/>
              </w:numPr>
              <w:spacing w:before="40" w:after="40" w:line="240" w:lineRule="auto"/>
              <w:ind w:left="85"/>
              <w:rPr>
                <w:sz w:val="17"/>
                <w:szCs w:val="17"/>
              </w:rPr>
            </w:pPr>
            <w:r w:rsidRPr="00B3710B">
              <w:rPr>
                <w:rFonts w:asciiTheme="majorHAnsi" w:hAnsiTheme="majorHAnsi" w:cstheme="majorHAnsi"/>
                <w:i/>
                <w:sz w:val="17"/>
                <w:szCs w:val="17"/>
              </w:rPr>
              <w:t>Under o</w:t>
            </w:r>
            <w:r w:rsidR="007B6B40" w:rsidRPr="00B3710B">
              <w:rPr>
                <w:rFonts w:asciiTheme="majorHAnsi" w:hAnsiTheme="majorHAnsi" w:cstheme="majorHAnsi"/>
                <w:i/>
                <w:sz w:val="17"/>
                <w:szCs w:val="17"/>
              </w:rPr>
              <w:t xml:space="preserve">ptions 3A and 3B </w:t>
            </w:r>
            <w:r w:rsidR="007B6B40" w:rsidRPr="00B3710B">
              <w:rPr>
                <w:rFonts w:asciiTheme="majorHAnsi" w:hAnsiTheme="majorHAnsi" w:cstheme="majorHAnsi"/>
                <w:i/>
                <w:iCs/>
                <w:sz w:val="17"/>
                <w:szCs w:val="17"/>
              </w:rPr>
              <w:t xml:space="preserve">the 5.5 pipelines </w:t>
            </w:r>
            <w:r w:rsidRPr="00B3710B">
              <w:rPr>
                <w:rFonts w:asciiTheme="majorHAnsi" w:hAnsiTheme="majorHAnsi" w:cstheme="majorHAnsi"/>
                <w:i/>
                <w:iCs/>
                <w:sz w:val="17"/>
                <w:szCs w:val="17"/>
              </w:rPr>
              <w:t xml:space="preserve">that are </w:t>
            </w:r>
            <w:r w:rsidR="007B6B40" w:rsidRPr="00B3710B">
              <w:rPr>
                <w:rFonts w:asciiTheme="majorHAnsi" w:hAnsiTheme="majorHAnsi" w:cstheme="majorHAnsi"/>
                <w:i/>
                <w:iCs/>
                <w:sz w:val="17"/>
                <w:szCs w:val="17"/>
              </w:rPr>
              <w:t xml:space="preserve">currently subject to light regulation </w:t>
            </w:r>
            <w:r w:rsidRPr="00B3710B">
              <w:rPr>
                <w:rFonts w:asciiTheme="majorHAnsi" w:hAnsiTheme="majorHAnsi" w:cstheme="majorHAnsi"/>
                <w:i/>
                <w:iCs/>
                <w:sz w:val="17"/>
                <w:szCs w:val="17"/>
              </w:rPr>
              <w:t xml:space="preserve">would </w:t>
            </w:r>
            <w:r w:rsidR="007B6B40" w:rsidRPr="00B3710B">
              <w:rPr>
                <w:rFonts w:asciiTheme="majorHAnsi" w:hAnsiTheme="majorHAnsi" w:cstheme="majorHAnsi"/>
                <w:i/>
                <w:iCs/>
                <w:sz w:val="17"/>
                <w:szCs w:val="17"/>
              </w:rPr>
              <w:t>be deemed subject to the new lighter form of regulation, unless the service provider elects to be subject to the stronger form of regulation.</w:t>
            </w:r>
            <w:r w:rsidR="007B6B40" w:rsidRPr="00B3710B">
              <w:rPr>
                <w:sz w:val="17"/>
                <w:szCs w:val="17"/>
              </w:rPr>
              <w:t xml:space="preserve"> </w:t>
            </w:r>
          </w:p>
        </w:tc>
      </w:tr>
    </w:tbl>
    <w:p w14:paraId="68AF56F3" w14:textId="77777777" w:rsidR="00D46F77" w:rsidRDefault="00D46F77" w:rsidP="008E52C2">
      <w:pPr>
        <w:pStyle w:val="BodyText"/>
        <w:spacing w:before="60" w:after="0"/>
        <w:sectPr w:rsidR="00D46F77" w:rsidSect="002227C9">
          <w:pgSz w:w="16839" w:h="11907" w:orient="landscape" w:code="9"/>
          <w:pgMar w:top="1276" w:right="1418" w:bottom="851" w:left="1701" w:header="567" w:footer="397" w:gutter="0"/>
          <w:cols w:space="708"/>
          <w:docGrid w:linePitch="360"/>
        </w:sectPr>
      </w:pPr>
    </w:p>
    <w:p w14:paraId="29A79812" w14:textId="77777777" w:rsidR="00376D2B" w:rsidRDefault="00376D2B" w:rsidP="000F2528">
      <w:pPr>
        <w:pStyle w:val="Heading2"/>
        <w:spacing w:before="240" w:after="200"/>
      </w:pPr>
      <w:bookmarkStart w:id="122" w:name="_Toc62219412"/>
      <w:r>
        <w:lastRenderedPageBreak/>
        <w:t xml:space="preserve">Summary of policy options </w:t>
      </w:r>
      <w:r w:rsidR="006B6B7F">
        <w:t>for forms of regulation</w:t>
      </w:r>
      <w:bookmarkEnd w:id="122"/>
      <w:r w:rsidR="006B6B7F">
        <w:t xml:space="preserve"> </w:t>
      </w:r>
    </w:p>
    <w:p w14:paraId="1D81C4AE" w14:textId="3CCF66C6" w:rsidR="00393C15" w:rsidRPr="00890F1A" w:rsidRDefault="000633DA" w:rsidP="00393C15">
      <w:pPr>
        <w:pStyle w:val="BodyText"/>
        <w:rPr>
          <w:lang w:eastAsia="en-US"/>
        </w:rPr>
      </w:pPr>
      <w:r w:rsidRPr="00E8405E">
        <w:fldChar w:fldCharType="begin" w:fldLock="1"/>
      </w:r>
      <w:r w:rsidRPr="00E8405E">
        <w:instrText xml:space="preserve"> REF _Ref52447423 \h </w:instrText>
      </w:r>
      <w:r>
        <w:instrText xml:space="preserve"> \* MERGEFORMAT </w:instrText>
      </w:r>
      <w:r w:rsidRPr="00E8405E">
        <w:fldChar w:fldCharType="separate"/>
      </w:r>
      <w:r w:rsidR="00036405" w:rsidRPr="006B4639">
        <w:t xml:space="preserve">Table </w:t>
      </w:r>
      <w:r w:rsidR="00036405">
        <w:rPr>
          <w:noProof/>
        </w:rPr>
        <w:t>5.7</w:t>
      </w:r>
      <w:r w:rsidRPr="00E8405E">
        <w:fldChar w:fldCharType="end"/>
      </w:r>
      <w:r w:rsidR="0006506B">
        <w:t xml:space="preserve"> </w:t>
      </w:r>
      <w:r w:rsidRPr="00E8405E">
        <w:t xml:space="preserve">sets out the policy options </w:t>
      </w:r>
      <w:r w:rsidR="002532DE">
        <w:t xml:space="preserve">for this aspect of the regulatory framework </w:t>
      </w:r>
      <w:r w:rsidRPr="00E8405E">
        <w:t xml:space="preserve">that have been considered as part of the Decision RIS.  </w:t>
      </w:r>
    </w:p>
    <w:p w14:paraId="16630E65" w14:textId="5A14FB2C" w:rsidR="00A143B1" w:rsidRDefault="00A143B1" w:rsidP="00A143B1">
      <w:pPr>
        <w:pStyle w:val="Caption"/>
        <w:spacing w:before="0" w:after="0"/>
      </w:pPr>
      <w:bookmarkStart w:id="123" w:name="_Ref52447423"/>
      <w:r w:rsidRPr="006B4639">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5</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7</w:t>
      </w:r>
      <w:r w:rsidR="00F323B2">
        <w:rPr>
          <w:noProof/>
        </w:rPr>
        <w:fldChar w:fldCharType="end"/>
      </w:r>
      <w:bookmarkEnd w:id="123"/>
      <w:r w:rsidRPr="006B4639">
        <w:t xml:space="preserve">: </w:t>
      </w:r>
      <w:r>
        <w:t>Policy options identified for the Decision RIS</w:t>
      </w:r>
    </w:p>
    <w:tbl>
      <w:tblPr>
        <w:tblStyle w:val="TableGrid"/>
        <w:tblW w:w="5222" w:type="pct"/>
        <w:tblLook w:val="04A0" w:firstRow="1" w:lastRow="0" w:firstColumn="1" w:lastColumn="0" w:noHBand="0" w:noVBand="1"/>
      </w:tblPr>
      <w:tblGrid>
        <w:gridCol w:w="1561"/>
        <w:gridCol w:w="1983"/>
        <w:gridCol w:w="1418"/>
        <w:gridCol w:w="1422"/>
        <w:gridCol w:w="1070"/>
        <w:gridCol w:w="10"/>
        <w:gridCol w:w="1714"/>
      </w:tblGrid>
      <w:tr w:rsidR="006905BD" w:rsidRPr="009708B7" w14:paraId="6085B49E" w14:textId="77777777" w:rsidTr="007A351D">
        <w:trPr>
          <w:cnfStyle w:val="100000000000" w:firstRow="1" w:lastRow="0" w:firstColumn="0" w:lastColumn="0" w:oddVBand="0" w:evenVBand="0" w:oddHBand="0" w:evenHBand="0" w:firstRowFirstColumn="0" w:firstRowLastColumn="0" w:lastRowFirstColumn="0" w:lastRowLastColumn="0"/>
          <w:tblHeader/>
        </w:trPr>
        <w:tc>
          <w:tcPr>
            <w:tcW w:w="1561" w:type="dxa"/>
            <w:tcBorders>
              <w:bottom w:val="single" w:sz="4" w:space="0" w:color="auto"/>
            </w:tcBorders>
            <w:shd w:val="clear" w:color="auto" w:fill="002060"/>
          </w:tcPr>
          <w:p w14:paraId="712C0198" w14:textId="77777777" w:rsidR="00A143B1" w:rsidRPr="009708B7" w:rsidRDefault="00175A40" w:rsidP="00CF688C">
            <w:pPr>
              <w:spacing w:before="40" w:after="40" w:line="240" w:lineRule="auto"/>
              <w:rPr>
                <w:rFonts w:cs="Arial"/>
                <w:b w:val="0"/>
                <w:bCs/>
                <w:sz w:val="16"/>
                <w:szCs w:val="16"/>
              </w:rPr>
            </w:pPr>
            <w:r>
              <w:rPr>
                <w:rFonts w:cs="Arial"/>
                <w:bCs/>
                <w:sz w:val="16"/>
                <w:szCs w:val="16"/>
              </w:rPr>
              <w:t>Element</w:t>
            </w:r>
          </w:p>
        </w:tc>
        <w:tc>
          <w:tcPr>
            <w:tcW w:w="1983" w:type="dxa"/>
            <w:tcBorders>
              <w:bottom w:val="single" w:sz="4" w:space="0" w:color="auto"/>
              <w:right w:val="single" w:sz="4" w:space="0" w:color="FFFFFF" w:themeColor="background1"/>
            </w:tcBorders>
            <w:shd w:val="clear" w:color="auto" w:fill="002060"/>
          </w:tcPr>
          <w:p w14:paraId="40461A4E" w14:textId="77777777" w:rsidR="00A143B1" w:rsidRPr="009708B7" w:rsidRDefault="00A143B1" w:rsidP="00CF688C">
            <w:pPr>
              <w:pStyle w:val="BodyText"/>
              <w:spacing w:before="40" w:after="40"/>
              <w:jc w:val="center"/>
              <w:rPr>
                <w:rFonts w:cs="Arial"/>
                <w:b w:val="0"/>
                <w:bCs/>
                <w:sz w:val="16"/>
                <w:szCs w:val="16"/>
              </w:rPr>
            </w:pPr>
            <w:r w:rsidRPr="009708B7">
              <w:rPr>
                <w:rFonts w:cs="Arial"/>
                <w:bCs/>
                <w:sz w:val="16"/>
                <w:szCs w:val="16"/>
              </w:rPr>
              <w:t>Option 1 (Status quo)</w:t>
            </w:r>
          </w:p>
        </w:tc>
        <w:tc>
          <w:tcPr>
            <w:tcW w:w="1418" w:type="dxa"/>
            <w:tcBorders>
              <w:left w:val="single" w:sz="4" w:space="0" w:color="FFFFFF" w:themeColor="background1"/>
              <w:right w:val="single" w:sz="4" w:space="0" w:color="FFFFFF" w:themeColor="background1"/>
            </w:tcBorders>
            <w:shd w:val="clear" w:color="auto" w:fill="002060"/>
          </w:tcPr>
          <w:p w14:paraId="5C6C065D" w14:textId="77777777" w:rsidR="00A143B1" w:rsidRPr="009708B7" w:rsidRDefault="00A143B1" w:rsidP="00CF688C">
            <w:pPr>
              <w:pStyle w:val="BodyText"/>
              <w:spacing w:before="40" w:after="40"/>
              <w:jc w:val="center"/>
              <w:rPr>
                <w:rFonts w:cs="Arial"/>
                <w:b w:val="0"/>
                <w:bCs/>
                <w:sz w:val="16"/>
                <w:szCs w:val="16"/>
              </w:rPr>
            </w:pPr>
            <w:r w:rsidRPr="009708B7">
              <w:rPr>
                <w:rFonts w:cs="Arial"/>
                <w:bCs/>
                <w:sz w:val="16"/>
                <w:szCs w:val="16"/>
              </w:rPr>
              <w:t>Option 2</w:t>
            </w:r>
          </w:p>
        </w:tc>
        <w:tc>
          <w:tcPr>
            <w:tcW w:w="1422" w:type="dxa"/>
            <w:tcBorders>
              <w:left w:val="single" w:sz="4" w:space="0" w:color="FFFFFF" w:themeColor="background1"/>
              <w:right w:val="single" w:sz="4" w:space="0" w:color="FFFFFF" w:themeColor="background1"/>
            </w:tcBorders>
            <w:shd w:val="clear" w:color="auto" w:fill="002060"/>
          </w:tcPr>
          <w:p w14:paraId="373D0A6F" w14:textId="77777777" w:rsidR="00A143B1" w:rsidRPr="009708B7" w:rsidRDefault="00A143B1" w:rsidP="00CF688C">
            <w:pPr>
              <w:pStyle w:val="BodyText"/>
              <w:spacing w:before="40" w:after="40"/>
              <w:jc w:val="center"/>
              <w:rPr>
                <w:rFonts w:cs="Arial"/>
                <w:b w:val="0"/>
                <w:bCs/>
                <w:sz w:val="16"/>
                <w:szCs w:val="16"/>
              </w:rPr>
            </w:pPr>
            <w:r w:rsidRPr="009708B7">
              <w:rPr>
                <w:rFonts w:cs="Arial"/>
                <w:bCs/>
                <w:sz w:val="16"/>
                <w:szCs w:val="16"/>
              </w:rPr>
              <w:t xml:space="preserve">Option </w:t>
            </w:r>
            <w:r>
              <w:rPr>
                <w:rFonts w:cs="Arial"/>
                <w:bCs/>
                <w:sz w:val="16"/>
                <w:szCs w:val="16"/>
              </w:rPr>
              <w:t>3</w:t>
            </w:r>
            <w:r w:rsidRPr="009708B7">
              <w:rPr>
                <w:rFonts w:cs="Arial"/>
                <w:bCs/>
                <w:sz w:val="16"/>
                <w:szCs w:val="16"/>
              </w:rPr>
              <w:t>A</w:t>
            </w:r>
          </w:p>
        </w:tc>
        <w:tc>
          <w:tcPr>
            <w:tcW w:w="1070" w:type="dxa"/>
            <w:tcBorders>
              <w:left w:val="single" w:sz="4" w:space="0" w:color="FFFFFF" w:themeColor="background1"/>
              <w:right w:val="single" w:sz="4" w:space="0" w:color="FFFFFF" w:themeColor="background1"/>
            </w:tcBorders>
            <w:shd w:val="clear" w:color="auto" w:fill="002060"/>
          </w:tcPr>
          <w:p w14:paraId="3BC60656" w14:textId="77777777" w:rsidR="00A143B1" w:rsidRPr="0048187C" w:rsidRDefault="00A143B1" w:rsidP="00CF688C">
            <w:pPr>
              <w:pStyle w:val="BodyText"/>
              <w:spacing w:before="40" w:after="40"/>
              <w:jc w:val="center"/>
              <w:rPr>
                <w:rFonts w:cs="Arial"/>
                <w:bCs/>
                <w:sz w:val="16"/>
                <w:szCs w:val="16"/>
              </w:rPr>
            </w:pPr>
            <w:r w:rsidRPr="0048187C">
              <w:rPr>
                <w:rFonts w:cs="Arial"/>
                <w:bCs/>
                <w:sz w:val="16"/>
                <w:szCs w:val="16"/>
              </w:rPr>
              <w:t>Option 3B</w:t>
            </w:r>
          </w:p>
        </w:tc>
        <w:tc>
          <w:tcPr>
            <w:tcW w:w="1724" w:type="dxa"/>
            <w:gridSpan w:val="2"/>
            <w:tcBorders>
              <w:left w:val="single" w:sz="4" w:space="0" w:color="FFFFFF" w:themeColor="background1"/>
            </w:tcBorders>
            <w:shd w:val="clear" w:color="auto" w:fill="002060"/>
          </w:tcPr>
          <w:p w14:paraId="36EDEC0E" w14:textId="77777777" w:rsidR="00A143B1" w:rsidRPr="0048187C" w:rsidRDefault="00A143B1" w:rsidP="00CF688C">
            <w:pPr>
              <w:pStyle w:val="BodyText"/>
              <w:spacing w:before="40" w:after="40"/>
              <w:jc w:val="center"/>
              <w:rPr>
                <w:rFonts w:cs="Arial"/>
                <w:bCs/>
                <w:sz w:val="16"/>
                <w:szCs w:val="16"/>
              </w:rPr>
            </w:pPr>
            <w:r w:rsidRPr="0048187C">
              <w:rPr>
                <w:rFonts w:cs="Arial"/>
                <w:bCs/>
                <w:sz w:val="16"/>
                <w:szCs w:val="16"/>
              </w:rPr>
              <w:t>Option 4</w:t>
            </w:r>
          </w:p>
        </w:tc>
      </w:tr>
      <w:tr w:rsidR="002C1C12" w:rsidRPr="004E18B9" w14:paraId="32A1B58D" w14:textId="77777777" w:rsidTr="007A351D">
        <w:trPr>
          <w:trHeight w:val="1230"/>
        </w:trPr>
        <w:tc>
          <w:tcPr>
            <w:tcW w:w="1561" w:type="dxa"/>
            <w:tcBorders>
              <w:bottom w:val="single" w:sz="4" w:space="0" w:color="auto"/>
            </w:tcBorders>
            <w:shd w:val="clear" w:color="auto" w:fill="FFFFFF" w:themeFill="background1"/>
          </w:tcPr>
          <w:p w14:paraId="046F01F2" w14:textId="77777777" w:rsidR="002C1C12" w:rsidRPr="004E18B9" w:rsidRDefault="002C1C12" w:rsidP="00CF688C">
            <w:pPr>
              <w:pStyle w:val="BodyText"/>
              <w:keepNext/>
              <w:spacing w:before="40" w:after="40"/>
              <w:rPr>
                <w:rFonts w:cs="Arial"/>
                <w:b/>
                <w:sz w:val="16"/>
                <w:szCs w:val="16"/>
              </w:rPr>
            </w:pPr>
            <w:r w:rsidRPr="004E18B9">
              <w:rPr>
                <w:rFonts w:cs="Arial"/>
                <w:b/>
                <w:bCs/>
                <w:sz w:val="16"/>
                <w:szCs w:val="16"/>
              </w:rPr>
              <w:t>Forms of regulation</w:t>
            </w:r>
          </w:p>
        </w:tc>
        <w:tc>
          <w:tcPr>
            <w:tcW w:w="1983" w:type="dxa"/>
            <w:tcBorders>
              <w:bottom w:val="single" w:sz="4" w:space="0" w:color="auto"/>
            </w:tcBorders>
            <w:shd w:val="clear" w:color="auto" w:fill="FFFFFF" w:themeFill="background1"/>
          </w:tcPr>
          <w:p w14:paraId="31AA4DA6" w14:textId="77777777" w:rsidR="002C1C12" w:rsidRPr="00070FF5" w:rsidRDefault="002C1C12" w:rsidP="00CF688C">
            <w:pPr>
              <w:pStyle w:val="BodyText"/>
              <w:keepNext/>
              <w:spacing w:before="20" w:after="20"/>
              <w:rPr>
                <w:rFonts w:asciiTheme="majorHAnsi" w:hAnsiTheme="majorHAnsi" w:cstheme="majorHAnsi"/>
                <w:sz w:val="16"/>
                <w:szCs w:val="16"/>
              </w:rPr>
            </w:pPr>
            <w:r w:rsidRPr="00070FF5">
              <w:rPr>
                <w:rFonts w:asciiTheme="majorHAnsi" w:hAnsiTheme="majorHAnsi" w:cstheme="majorHAnsi"/>
                <w:sz w:val="16"/>
                <w:szCs w:val="16"/>
              </w:rPr>
              <w:t>Retain the existing forms of regulation (i.e. full, light and Part 23).</w:t>
            </w:r>
          </w:p>
        </w:tc>
        <w:tc>
          <w:tcPr>
            <w:tcW w:w="3910" w:type="dxa"/>
            <w:gridSpan w:val="3"/>
            <w:tcBorders>
              <w:bottom w:val="single" w:sz="4" w:space="0" w:color="auto"/>
            </w:tcBorders>
          </w:tcPr>
          <w:p w14:paraId="6D719DA3" w14:textId="77777777" w:rsidR="002C1C12" w:rsidRPr="00070FF5" w:rsidRDefault="002C1C12" w:rsidP="00CF688C">
            <w:pPr>
              <w:pStyle w:val="BodyText"/>
              <w:keepNext/>
              <w:spacing w:before="20" w:after="20"/>
              <w:rPr>
                <w:rFonts w:asciiTheme="majorHAnsi" w:hAnsiTheme="majorHAnsi" w:cstheme="majorHAnsi"/>
                <w:sz w:val="16"/>
                <w:szCs w:val="16"/>
              </w:rPr>
            </w:pPr>
            <w:r w:rsidRPr="00070FF5">
              <w:rPr>
                <w:rFonts w:asciiTheme="majorHAnsi" w:hAnsiTheme="majorHAnsi" w:cstheme="majorHAnsi"/>
                <w:sz w:val="16"/>
                <w:szCs w:val="16"/>
              </w:rPr>
              <w:t>Adopt the following forms of regulation:</w:t>
            </w:r>
          </w:p>
          <w:p w14:paraId="3AB9693B" w14:textId="77777777" w:rsidR="002C1C12" w:rsidRPr="00070FF5" w:rsidRDefault="002C1C12" w:rsidP="00CF688C">
            <w:pPr>
              <w:pStyle w:val="TableBullet10"/>
              <w:keepNext/>
              <w:spacing w:before="20" w:after="0" w:line="247" w:lineRule="auto"/>
              <w:rPr>
                <w:rFonts w:asciiTheme="majorHAnsi" w:hAnsiTheme="majorHAnsi" w:cstheme="majorHAnsi"/>
                <w:sz w:val="16"/>
                <w:szCs w:val="16"/>
              </w:rPr>
            </w:pPr>
            <w:r w:rsidRPr="00070FF5">
              <w:rPr>
                <w:rFonts w:asciiTheme="majorHAnsi" w:hAnsiTheme="majorHAnsi" w:cstheme="majorHAnsi"/>
                <w:sz w:val="16"/>
                <w:szCs w:val="16"/>
              </w:rPr>
              <w:t>Stronger form– based on the existing full regulation (i.e. negotiate-arbitrate with reference tariffs set by the regulator and a regulatory-oriented dispute resolution mechanism).</w:t>
            </w:r>
          </w:p>
          <w:p w14:paraId="7606CF60" w14:textId="77777777" w:rsidR="002C1C12" w:rsidRPr="00070FF5" w:rsidRDefault="002C1C12" w:rsidP="00070FF5">
            <w:pPr>
              <w:pStyle w:val="TableBullet10"/>
              <w:keepNext/>
              <w:spacing w:before="20" w:after="0" w:line="247" w:lineRule="auto"/>
              <w:rPr>
                <w:rFonts w:asciiTheme="majorHAnsi" w:hAnsiTheme="majorHAnsi" w:cstheme="majorHAnsi"/>
                <w:sz w:val="16"/>
                <w:szCs w:val="16"/>
              </w:rPr>
            </w:pPr>
            <w:r w:rsidRPr="00070FF5">
              <w:rPr>
                <w:rFonts w:asciiTheme="majorHAnsi" w:hAnsiTheme="majorHAnsi" w:cstheme="majorHAnsi"/>
                <w:sz w:val="16"/>
                <w:szCs w:val="16"/>
              </w:rPr>
              <w:t xml:space="preserve">Lighter form – based on </w:t>
            </w:r>
            <w:r w:rsidR="00BC6E8E" w:rsidRPr="00070FF5">
              <w:rPr>
                <w:rFonts w:asciiTheme="majorHAnsi" w:hAnsiTheme="majorHAnsi" w:cstheme="majorHAnsi"/>
                <w:sz w:val="16"/>
                <w:szCs w:val="16"/>
              </w:rPr>
              <w:t xml:space="preserve">the existing </w:t>
            </w:r>
            <w:r w:rsidRPr="00070FF5">
              <w:rPr>
                <w:rFonts w:asciiTheme="majorHAnsi" w:hAnsiTheme="majorHAnsi" w:cstheme="majorHAnsi"/>
                <w:sz w:val="16"/>
                <w:szCs w:val="16"/>
              </w:rPr>
              <w:t>Part 23</w:t>
            </w:r>
            <w:r w:rsidR="00070FF5" w:rsidRPr="00070FF5">
              <w:rPr>
                <w:rFonts w:asciiTheme="majorHAnsi" w:hAnsiTheme="majorHAnsi" w:cstheme="majorHAnsi"/>
                <w:sz w:val="16"/>
                <w:szCs w:val="16"/>
              </w:rPr>
              <w:t xml:space="preserve"> which would be strengthened through the inclusion of </w:t>
            </w:r>
            <w:r w:rsidR="00051C1B">
              <w:rPr>
                <w:rFonts w:asciiTheme="majorHAnsi" w:hAnsiTheme="majorHAnsi" w:cstheme="majorHAnsi"/>
                <w:sz w:val="16"/>
                <w:szCs w:val="16"/>
              </w:rPr>
              <w:t xml:space="preserve">the </w:t>
            </w:r>
            <w:r w:rsidR="00070FF5" w:rsidRPr="00070FF5">
              <w:rPr>
                <w:rFonts w:asciiTheme="majorHAnsi" w:hAnsiTheme="majorHAnsi" w:cstheme="majorHAnsi"/>
                <w:sz w:val="16"/>
                <w:szCs w:val="16"/>
              </w:rPr>
              <w:t>safeguards that currently apply under light regulation</w:t>
            </w:r>
            <w:r w:rsidR="00051C1B">
              <w:rPr>
                <w:rFonts w:asciiTheme="majorHAnsi" w:hAnsiTheme="majorHAnsi" w:cstheme="majorHAnsi"/>
                <w:sz w:val="16"/>
                <w:szCs w:val="16"/>
              </w:rPr>
              <w:t>, but not the prohibition on inefficient price discrimination</w:t>
            </w:r>
            <w:r w:rsidR="00070FF5" w:rsidRPr="00070FF5">
              <w:rPr>
                <w:rFonts w:asciiTheme="majorHAnsi" w:hAnsiTheme="majorHAnsi" w:cstheme="majorHAnsi"/>
                <w:sz w:val="16"/>
                <w:szCs w:val="16"/>
              </w:rPr>
              <w:t>.</w:t>
            </w:r>
          </w:p>
        </w:tc>
        <w:tc>
          <w:tcPr>
            <w:tcW w:w="1724" w:type="dxa"/>
            <w:gridSpan w:val="2"/>
            <w:tcBorders>
              <w:bottom w:val="single" w:sz="4" w:space="0" w:color="auto"/>
            </w:tcBorders>
          </w:tcPr>
          <w:p w14:paraId="7E4E98FF" w14:textId="77777777" w:rsidR="002C1C12" w:rsidRPr="00D77AEA" w:rsidRDefault="002C1C12" w:rsidP="00CF688C">
            <w:pPr>
              <w:pStyle w:val="BodyText"/>
              <w:keepNext/>
              <w:spacing w:before="20" w:after="20"/>
              <w:rPr>
                <w:sz w:val="16"/>
                <w:szCs w:val="16"/>
              </w:rPr>
            </w:pPr>
            <w:r w:rsidRPr="00D77AEA">
              <w:rPr>
                <w:sz w:val="16"/>
                <w:szCs w:val="16"/>
              </w:rPr>
              <w:t>Adopt the following forms of regulation:</w:t>
            </w:r>
          </w:p>
          <w:p w14:paraId="28506A0C" w14:textId="77777777" w:rsidR="002C1C12" w:rsidRDefault="002C1C12" w:rsidP="007A5FC2">
            <w:pPr>
              <w:pStyle w:val="BodyText"/>
              <w:keepNext/>
              <w:numPr>
                <w:ilvl w:val="0"/>
                <w:numId w:val="55"/>
              </w:numPr>
              <w:spacing w:before="20" w:after="20" w:line="276" w:lineRule="auto"/>
              <w:ind w:left="312" w:hanging="227"/>
              <w:rPr>
                <w:sz w:val="16"/>
                <w:szCs w:val="16"/>
              </w:rPr>
            </w:pPr>
            <w:r>
              <w:rPr>
                <w:sz w:val="16"/>
                <w:szCs w:val="16"/>
              </w:rPr>
              <w:t xml:space="preserve">Stronger form </w:t>
            </w:r>
            <w:r w:rsidRPr="00D77AEA">
              <w:rPr>
                <w:sz w:val="16"/>
                <w:szCs w:val="16"/>
              </w:rPr>
              <w:t>based on direct price</w:t>
            </w:r>
            <w:r>
              <w:rPr>
                <w:sz w:val="16"/>
                <w:szCs w:val="16"/>
              </w:rPr>
              <w:t xml:space="preserve"> or </w:t>
            </w:r>
            <w:r w:rsidRPr="00D77AEA">
              <w:rPr>
                <w:sz w:val="16"/>
                <w:szCs w:val="16"/>
              </w:rPr>
              <w:t>revenue control</w:t>
            </w:r>
          </w:p>
          <w:p w14:paraId="30010821" w14:textId="77777777" w:rsidR="002C1C12" w:rsidRPr="00DF1C2B" w:rsidRDefault="002C1C12" w:rsidP="007A5FC2">
            <w:pPr>
              <w:pStyle w:val="BodyText"/>
              <w:keepNext/>
              <w:numPr>
                <w:ilvl w:val="0"/>
                <w:numId w:val="55"/>
              </w:numPr>
              <w:spacing w:before="20" w:after="20" w:line="276" w:lineRule="auto"/>
              <w:ind w:left="312" w:hanging="227"/>
              <w:rPr>
                <w:sz w:val="16"/>
                <w:szCs w:val="16"/>
              </w:rPr>
            </w:pPr>
            <w:r w:rsidRPr="00DF1C2B">
              <w:rPr>
                <w:sz w:val="16"/>
                <w:szCs w:val="16"/>
              </w:rPr>
              <w:t xml:space="preserve">Lighter </w:t>
            </w:r>
            <w:r>
              <w:rPr>
                <w:sz w:val="16"/>
                <w:szCs w:val="16"/>
              </w:rPr>
              <w:t xml:space="preserve">form </w:t>
            </w:r>
            <w:r w:rsidRPr="00DF1C2B">
              <w:rPr>
                <w:sz w:val="16"/>
                <w:szCs w:val="16"/>
              </w:rPr>
              <w:t>based on strengthened Part 23.</w:t>
            </w:r>
          </w:p>
        </w:tc>
      </w:tr>
      <w:tr w:rsidR="00B3759A" w:rsidRPr="004E18B9" w14:paraId="1AABA85E" w14:textId="77777777" w:rsidTr="00004D3B">
        <w:trPr>
          <w:cnfStyle w:val="000000010000" w:firstRow="0" w:lastRow="0" w:firstColumn="0" w:lastColumn="0" w:oddVBand="0" w:evenVBand="0" w:oddHBand="0" w:evenHBand="1" w:firstRowFirstColumn="0" w:firstRowLastColumn="0" w:lastRowFirstColumn="0" w:lastRowLastColumn="0"/>
          <w:trHeight w:val="813"/>
        </w:trPr>
        <w:tc>
          <w:tcPr>
            <w:tcW w:w="1561" w:type="dxa"/>
            <w:shd w:val="clear" w:color="auto" w:fill="F2F2F2" w:themeFill="background1" w:themeFillShade="F2"/>
          </w:tcPr>
          <w:p w14:paraId="00BEBAB8" w14:textId="77777777" w:rsidR="00B3759A" w:rsidRPr="004E18B9" w:rsidRDefault="00B3759A" w:rsidP="00B3759A">
            <w:pPr>
              <w:pStyle w:val="BodyText"/>
              <w:keepNext/>
              <w:spacing w:before="40" w:after="40"/>
              <w:rPr>
                <w:rFonts w:cs="Arial"/>
                <w:b/>
                <w:bCs/>
                <w:sz w:val="16"/>
                <w:szCs w:val="16"/>
              </w:rPr>
            </w:pPr>
            <w:r w:rsidRPr="004E18B9">
              <w:rPr>
                <w:rFonts w:cs="Arial"/>
                <w:b/>
                <w:bCs/>
                <w:sz w:val="16"/>
                <w:szCs w:val="16"/>
              </w:rPr>
              <w:t>Dynamic market power measures</w:t>
            </w:r>
          </w:p>
        </w:tc>
        <w:tc>
          <w:tcPr>
            <w:tcW w:w="3401" w:type="dxa"/>
            <w:gridSpan w:val="2"/>
            <w:shd w:val="clear" w:color="auto" w:fill="F2F2F2" w:themeFill="background1" w:themeFillShade="F2"/>
          </w:tcPr>
          <w:p w14:paraId="300DC5D0" w14:textId="77777777" w:rsidR="00B3759A" w:rsidRPr="00981091" w:rsidRDefault="00B3759A" w:rsidP="00B3759A">
            <w:pPr>
              <w:pStyle w:val="BodyText"/>
              <w:keepNext/>
              <w:spacing w:before="20" w:after="20"/>
              <w:rPr>
                <w:rFonts w:cs="Arial"/>
                <w:sz w:val="16"/>
                <w:szCs w:val="16"/>
              </w:rPr>
            </w:pPr>
            <w:r>
              <w:rPr>
                <w:rFonts w:cs="Arial"/>
                <w:sz w:val="16"/>
                <w:szCs w:val="16"/>
              </w:rPr>
              <w:t>Maintain the</w:t>
            </w:r>
            <w:r w:rsidRPr="0043228A">
              <w:rPr>
                <w:rFonts w:cs="Arial"/>
                <w:sz w:val="16"/>
                <w:szCs w:val="16"/>
              </w:rPr>
              <w:t xml:space="preserve"> existing approach, which does not explicitly deal with service providers trying to block new entry.</w:t>
            </w:r>
          </w:p>
        </w:tc>
        <w:tc>
          <w:tcPr>
            <w:tcW w:w="2502" w:type="dxa"/>
            <w:gridSpan w:val="3"/>
            <w:shd w:val="clear" w:color="auto" w:fill="F2F2F2" w:themeFill="background1" w:themeFillShade="F2"/>
          </w:tcPr>
          <w:p w14:paraId="1B6A9368" w14:textId="77777777" w:rsidR="00B3759A" w:rsidRPr="0043228A" w:rsidRDefault="00B3759A" w:rsidP="00B3759A">
            <w:pPr>
              <w:pStyle w:val="BodyText"/>
              <w:spacing w:before="40" w:after="20"/>
              <w:rPr>
                <w:rFonts w:cstheme="minorHAnsi"/>
                <w:sz w:val="16"/>
                <w:szCs w:val="16"/>
              </w:rPr>
            </w:pPr>
            <w:r>
              <w:rPr>
                <w:rFonts w:cstheme="minorHAnsi"/>
                <w:sz w:val="16"/>
                <w:szCs w:val="16"/>
              </w:rPr>
              <w:t>S</w:t>
            </w:r>
            <w:r w:rsidRPr="0043228A">
              <w:rPr>
                <w:rFonts w:cstheme="minorHAnsi"/>
                <w:sz w:val="16"/>
                <w:szCs w:val="16"/>
              </w:rPr>
              <w:t xml:space="preserve">ervice providers would be: </w:t>
            </w:r>
          </w:p>
          <w:p w14:paraId="62A5CFC3" w14:textId="0DA6AF7E" w:rsidR="00B3759A" w:rsidRDefault="00B3759A" w:rsidP="000A3668">
            <w:pPr>
              <w:pStyle w:val="BodyText"/>
              <w:numPr>
                <w:ilvl w:val="0"/>
                <w:numId w:val="135"/>
              </w:numPr>
              <w:tabs>
                <w:tab w:val="clear" w:pos="2268"/>
                <w:tab w:val="clear" w:pos="4536"/>
                <w:tab w:val="clear" w:pos="6804"/>
                <w:tab w:val="clear" w:pos="9638"/>
              </w:tabs>
              <w:spacing w:before="40" w:after="20"/>
              <w:ind w:left="312" w:hanging="227"/>
              <w:rPr>
                <w:rFonts w:cstheme="minorHAnsi"/>
                <w:sz w:val="16"/>
                <w:szCs w:val="16"/>
              </w:rPr>
            </w:pPr>
            <w:r w:rsidRPr="0043228A">
              <w:rPr>
                <w:rFonts w:cstheme="minorHAnsi"/>
                <w:sz w:val="16"/>
                <w:szCs w:val="16"/>
              </w:rPr>
              <w:t>required to comply with pipeline interconnection principles set out in the NGR</w:t>
            </w:r>
          </w:p>
          <w:p w14:paraId="0E205F45" w14:textId="7028039F" w:rsidR="00B3759A" w:rsidRPr="00432FBA" w:rsidRDefault="00432FBA" w:rsidP="00432FBA">
            <w:pPr>
              <w:pStyle w:val="BodyText"/>
              <w:numPr>
                <w:ilvl w:val="0"/>
                <w:numId w:val="135"/>
              </w:numPr>
              <w:tabs>
                <w:tab w:val="clear" w:pos="2268"/>
                <w:tab w:val="clear" w:pos="4536"/>
                <w:tab w:val="clear" w:pos="6804"/>
                <w:tab w:val="clear" w:pos="9638"/>
              </w:tabs>
              <w:spacing w:before="40" w:after="20"/>
              <w:ind w:left="312" w:hanging="227"/>
              <w:rPr>
                <w:sz w:val="16"/>
                <w:szCs w:val="16"/>
              </w:rPr>
            </w:pPr>
            <w:r w:rsidRPr="0043228A">
              <w:rPr>
                <w:rFonts w:cstheme="minorHAnsi"/>
                <w:sz w:val="16"/>
                <w:szCs w:val="16"/>
              </w:rPr>
              <w:t>prohibited from increasing the charges payable by existing shippers to cross-subsidise the development of new capacity (subject to limited exceptions</w:t>
            </w:r>
            <w:r>
              <w:rPr>
                <w:rFonts w:cstheme="minorHAnsi"/>
                <w:sz w:val="16"/>
                <w:szCs w:val="16"/>
              </w:rPr>
              <w:t xml:space="preserve"> specified in the NGR</w:t>
            </w:r>
            <w:r w:rsidRPr="0043228A">
              <w:rPr>
                <w:rFonts w:cstheme="minorHAnsi"/>
                <w:sz w:val="16"/>
                <w:szCs w:val="16"/>
              </w:rPr>
              <w:t xml:space="preserve">) </w:t>
            </w:r>
            <w:r>
              <w:rPr>
                <w:rFonts w:cstheme="minorHAnsi"/>
                <w:sz w:val="16"/>
                <w:szCs w:val="16"/>
              </w:rPr>
              <w:t>and would also be required to disclose more information on the costs of extensions and expansions</w:t>
            </w:r>
            <w:r w:rsidRPr="0043228A">
              <w:rPr>
                <w:rFonts w:cstheme="minorHAnsi"/>
                <w:sz w:val="16"/>
                <w:szCs w:val="16"/>
              </w:rPr>
              <w:t>.</w:t>
            </w:r>
          </w:p>
        </w:tc>
        <w:tc>
          <w:tcPr>
            <w:tcW w:w="1714" w:type="dxa"/>
            <w:shd w:val="clear" w:color="auto" w:fill="F2F2F2" w:themeFill="background1" w:themeFillShade="F2"/>
          </w:tcPr>
          <w:p w14:paraId="0AF399C2" w14:textId="77777777" w:rsidR="00B3759A" w:rsidRPr="00D77AEA" w:rsidRDefault="00B3759A" w:rsidP="00B3759A">
            <w:pPr>
              <w:pStyle w:val="BodyText"/>
              <w:spacing w:before="20" w:after="20" w:line="276" w:lineRule="auto"/>
              <w:rPr>
                <w:sz w:val="16"/>
                <w:szCs w:val="16"/>
              </w:rPr>
            </w:pPr>
            <w:r>
              <w:rPr>
                <w:sz w:val="16"/>
                <w:szCs w:val="16"/>
              </w:rPr>
              <w:t>Service providers</w:t>
            </w:r>
            <w:r w:rsidRPr="00D77AEA">
              <w:rPr>
                <w:sz w:val="16"/>
                <w:szCs w:val="16"/>
              </w:rPr>
              <w:t xml:space="preserve"> would be</w:t>
            </w:r>
            <w:r>
              <w:rPr>
                <w:sz w:val="16"/>
                <w:szCs w:val="16"/>
              </w:rPr>
              <w:t xml:space="preserve"> required to</w:t>
            </w:r>
            <w:r w:rsidRPr="00D77AEA">
              <w:rPr>
                <w:sz w:val="16"/>
                <w:szCs w:val="16"/>
              </w:rPr>
              <w:t xml:space="preserve">: </w:t>
            </w:r>
          </w:p>
          <w:p w14:paraId="3E5E6A17" w14:textId="77777777" w:rsidR="00B3759A" w:rsidRDefault="00B3759A" w:rsidP="000A3668">
            <w:pPr>
              <w:pStyle w:val="BodyText"/>
              <w:numPr>
                <w:ilvl w:val="0"/>
                <w:numId w:val="75"/>
              </w:numPr>
              <w:spacing w:before="20" w:after="20" w:line="276" w:lineRule="auto"/>
              <w:ind w:left="312" w:hanging="227"/>
              <w:rPr>
                <w:sz w:val="16"/>
                <w:szCs w:val="16"/>
              </w:rPr>
            </w:pPr>
            <w:r w:rsidRPr="00D77AEA">
              <w:rPr>
                <w:sz w:val="16"/>
                <w:szCs w:val="16"/>
              </w:rPr>
              <w:t xml:space="preserve">comply with interconnection principles in the NGR </w:t>
            </w:r>
          </w:p>
          <w:p w14:paraId="4718BA30" w14:textId="77777777" w:rsidR="00B3759A" w:rsidRPr="00032969" w:rsidRDefault="00B3759A" w:rsidP="000A3668">
            <w:pPr>
              <w:pStyle w:val="BodyText"/>
              <w:keepNext/>
              <w:numPr>
                <w:ilvl w:val="0"/>
                <w:numId w:val="75"/>
              </w:numPr>
              <w:spacing w:before="20" w:after="20" w:line="276" w:lineRule="auto"/>
              <w:ind w:left="312" w:hanging="227"/>
              <w:rPr>
                <w:sz w:val="16"/>
                <w:szCs w:val="16"/>
              </w:rPr>
            </w:pPr>
            <w:r w:rsidRPr="00032969">
              <w:rPr>
                <w:sz w:val="16"/>
                <w:szCs w:val="16"/>
              </w:rPr>
              <w:t xml:space="preserve">use incremental pricing </w:t>
            </w:r>
            <w:r>
              <w:rPr>
                <w:sz w:val="16"/>
                <w:szCs w:val="16"/>
              </w:rPr>
              <w:t>if the</w:t>
            </w:r>
            <w:r w:rsidRPr="00032969">
              <w:rPr>
                <w:sz w:val="16"/>
                <w:szCs w:val="16"/>
              </w:rPr>
              <w:t xml:space="preserve"> cost of new capacity would result in the price of existing capacity </w:t>
            </w:r>
            <w:r>
              <w:rPr>
                <w:sz w:val="16"/>
                <w:szCs w:val="16"/>
              </w:rPr>
              <w:t>rising</w:t>
            </w:r>
            <w:r w:rsidRPr="00032969">
              <w:rPr>
                <w:sz w:val="16"/>
                <w:szCs w:val="16"/>
              </w:rPr>
              <w:t>.</w:t>
            </w:r>
          </w:p>
        </w:tc>
      </w:tr>
      <w:tr w:rsidR="00D4031F" w:rsidRPr="004E18B9" w14:paraId="3C13C946" w14:textId="77777777" w:rsidTr="00D4031F">
        <w:trPr>
          <w:trHeight w:val="637"/>
        </w:trPr>
        <w:tc>
          <w:tcPr>
            <w:tcW w:w="1561" w:type="dxa"/>
            <w:shd w:val="clear" w:color="auto" w:fill="FFFFFF" w:themeFill="background1"/>
          </w:tcPr>
          <w:p w14:paraId="4666EB53" w14:textId="77777777" w:rsidR="00D4031F" w:rsidRPr="004E18B9" w:rsidRDefault="00D4031F" w:rsidP="00D4031F">
            <w:pPr>
              <w:pStyle w:val="BodyText"/>
              <w:keepNext/>
              <w:spacing w:before="40" w:after="40"/>
              <w:rPr>
                <w:rFonts w:cs="Arial"/>
                <w:b/>
                <w:bCs/>
                <w:sz w:val="16"/>
                <w:szCs w:val="16"/>
              </w:rPr>
            </w:pPr>
            <w:r>
              <w:rPr>
                <w:rFonts w:cs="Arial"/>
                <w:b/>
                <w:bCs/>
                <w:sz w:val="16"/>
                <w:szCs w:val="16"/>
              </w:rPr>
              <w:t>Regulator’s m</w:t>
            </w:r>
            <w:r w:rsidRPr="004E18B9">
              <w:rPr>
                <w:rFonts w:cs="Arial"/>
                <w:b/>
                <w:bCs/>
                <w:sz w:val="16"/>
                <w:szCs w:val="16"/>
              </w:rPr>
              <w:t>onitoring and referral functions</w:t>
            </w:r>
          </w:p>
        </w:tc>
        <w:tc>
          <w:tcPr>
            <w:tcW w:w="3401" w:type="dxa"/>
            <w:gridSpan w:val="2"/>
            <w:tcBorders>
              <w:bottom w:val="single" w:sz="4" w:space="0" w:color="auto"/>
            </w:tcBorders>
            <w:shd w:val="clear" w:color="auto" w:fill="FFFFFF" w:themeFill="background1"/>
          </w:tcPr>
          <w:p w14:paraId="755EAC6F" w14:textId="77777777" w:rsidR="00D4031F" w:rsidRPr="004E18B9" w:rsidRDefault="00D4031F" w:rsidP="00D4031F">
            <w:pPr>
              <w:pStyle w:val="BodyText"/>
              <w:keepNext/>
              <w:spacing w:before="20" w:after="20"/>
              <w:rPr>
                <w:rFonts w:cs="Arial"/>
                <w:sz w:val="16"/>
                <w:szCs w:val="16"/>
              </w:rPr>
            </w:pPr>
            <w:r>
              <w:rPr>
                <w:rFonts w:cs="Arial"/>
                <w:sz w:val="16"/>
                <w:szCs w:val="16"/>
              </w:rPr>
              <w:t>Maintain</w:t>
            </w:r>
            <w:r w:rsidRPr="004E18B9">
              <w:rPr>
                <w:rFonts w:cs="Arial"/>
                <w:sz w:val="16"/>
                <w:szCs w:val="16"/>
              </w:rPr>
              <w:t xml:space="preserve"> existing approach</w:t>
            </w:r>
            <w:r>
              <w:rPr>
                <w:rFonts w:cs="Arial"/>
                <w:sz w:val="16"/>
                <w:szCs w:val="16"/>
              </w:rPr>
              <w:t>, which provides for limited monitoring and no referral function</w:t>
            </w:r>
            <w:r w:rsidRPr="004E18B9">
              <w:rPr>
                <w:rFonts w:cs="Arial"/>
                <w:sz w:val="16"/>
                <w:szCs w:val="16"/>
              </w:rPr>
              <w:t>.</w:t>
            </w:r>
          </w:p>
        </w:tc>
        <w:tc>
          <w:tcPr>
            <w:tcW w:w="4216" w:type="dxa"/>
            <w:gridSpan w:val="4"/>
            <w:tcBorders>
              <w:bottom w:val="single" w:sz="4" w:space="0" w:color="auto"/>
            </w:tcBorders>
            <w:shd w:val="clear" w:color="auto" w:fill="FFFFFF" w:themeFill="background1"/>
          </w:tcPr>
          <w:p w14:paraId="4C0A23FF" w14:textId="77777777" w:rsidR="00D4031F" w:rsidRPr="00D77AEA" w:rsidRDefault="00D4031F" w:rsidP="00D4031F">
            <w:pPr>
              <w:pStyle w:val="BodyText"/>
              <w:keepNext/>
              <w:spacing w:before="20" w:after="20"/>
              <w:rPr>
                <w:sz w:val="16"/>
                <w:szCs w:val="16"/>
              </w:rPr>
            </w:pPr>
            <w:r>
              <w:rPr>
                <w:rFonts w:cs="Arial"/>
                <w:sz w:val="16"/>
                <w:szCs w:val="16"/>
              </w:rPr>
              <w:t>R</w:t>
            </w:r>
            <w:r w:rsidRPr="004E18B9">
              <w:rPr>
                <w:rFonts w:cs="Arial"/>
                <w:sz w:val="16"/>
                <w:szCs w:val="16"/>
              </w:rPr>
              <w:t xml:space="preserve">elevant regulator to </w:t>
            </w:r>
            <w:r>
              <w:rPr>
                <w:rFonts w:cs="Arial"/>
                <w:sz w:val="16"/>
                <w:szCs w:val="16"/>
              </w:rPr>
              <w:t xml:space="preserve">more actively </w:t>
            </w:r>
            <w:r w:rsidRPr="004E18B9">
              <w:rPr>
                <w:rFonts w:cs="Arial"/>
                <w:sz w:val="16"/>
                <w:szCs w:val="16"/>
              </w:rPr>
              <w:t xml:space="preserve">monitor </w:t>
            </w:r>
            <w:r>
              <w:rPr>
                <w:rFonts w:cs="Arial"/>
                <w:sz w:val="16"/>
                <w:szCs w:val="16"/>
              </w:rPr>
              <w:t xml:space="preserve">the </w:t>
            </w:r>
            <w:r w:rsidRPr="004E18B9">
              <w:rPr>
                <w:rFonts w:cs="Arial"/>
                <w:sz w:val="16"/>
                <w:szCs w:val="16"/>
              </w:rPr>
              <w:t xml:space="preserve">behaviour of service providers and </w:t>
            </w:r>
            <w:r>
              <w:rPr>
                <w:rFonts w:cs="Arial"/>
                <w:sz w:val="16"/>
                <w:szCs w:val="16"/>
              </w:rPr>
              <w:t xml:space="preserve">to </w:t>
            </w:r>
            <w:r w:rsidRPr="004E18B9">
              <w:rPr>
                <w:rFonts w:cs="Arial"/>
                <w:sz w:val="16"/>
                <w:szCs w:val="16"/>
              </w:rPr>
              <w:t>refer pipelines for a form of regulation assessment if it suspects market power is being exercised.</w:t>
            </w:r>
          </w:p>
        </w:tc>
      </w:tr>
      <w:tr w:rsidR="00FE479B" w:rsidRPr="004E18B9" w14:paraId="5D107027" w14:textId="77777777" w:rsidTr="00934914">
        <w:trPr>
          <w:cnfStyle w:val="000000010000" w:firstRow="0" w:lastRow="0" w:firstColumn="0" w:lastColumn="0" w:oddVBand="0" w:evenVBand="0" w:oddHBand="0" w:evenHBand="1" w:firstRowFirstColumn="0" w:firstRowLastColumn="0" w:lastRowFirstColumn="0" w:lastRowLastColumn="0"/>
          <w:trHeight w:val="778"/>
        </w:trPr>
        <w:tc>
          <w:tcPr>
            <w:tcW w:w="1561" w:type="dxa"/>
            <w:tcBorders>
              <w:bottom w:val="single" w:sz="4" w:space="0" w:color="auto"/>
            </w:tcBorders>
          </w:tcPr>
          <w:p w14:paraId="5E1D61E3" w14:textId="77777777" w:rsidR="00FE479B" w:rsidRPr="004E18B9" w:rsidRDefault="00FE479B" w:rsidP="000F2528">
            <w:pPr>
              <w:pStyle w:val="BodyText"/>
              <w:spacing w:before="40" w:after="40"/>
              <w:rPr>
                <w:rFonts w:cs="Arial"/>
                <w:b/>
                <w:bCs/>
                <w:sz w:val="16"/>
                <w:szCs w:val="16"/>
              </w:rPr>
            </w:pPr>
            <w:r>
              <w:rPr>
                <w:rFonts w:cs="Arial"/>
                <w:b/>
                <w:bCs/>
                <w:sz w:val="16"/>
                <w:szCs w:val="16"/>
              </w:rPr>
              <w:t xml:space="preserve">Form of regulation test </w:t>
            </w:r>
          </w:p>
        </w:tc>
        <w:tc>
          <w:tcPr>
            <w:tcW w:w="1983" w:type="dxa"/>
            <w:tcBorders>
              <w:bottom w:val="single" w:sz="4" w:space="0" w:color="auto"/>
            </w:tcBorders>
          </w:tcPr>
          <w:p w14:paraId="28412B0A" w14:textId="77777777" w:rsidR="00FE479B" w:rsidRPr="001B1FBF" w:rsidRDefault="00FE479B" w:rsidP="000F2528">
            <w:pPr>
              <w:pStyle w:val="BodyText"/>
              <w:spacing w:before="20" w:after="20"/>
              <w:rPr>
                <w:rFonts w:cs="Arial"/>
                <w:sz w:val="16"/>
                <w:szCs w:val="16"/>
              </w:rPr>
            </w:pPr>
            <w:r w:rsidRPr="001B1FBF">
              <w:rPr>
                <w:rFonts w:cs="Arial"/>
                <w:sz w:val="16"/>
                <w:szCs w:val="16"/>
              </w:rPr>
              <w:t>Retain existing tests with coverage test continuing to act as a gateway.</w:t>
            </w:r>
          </w:p>
        </w:tc>
        <w:tc>
          <w:tcPr>
            <w:tcW w:w="5634" w:type="dxa"/>
            <w:gridSpan w:val="5"/>
            <w:tcBorders>
              <w:bottom w:val="single" w:sz="4" w:space="0" w:color="auto"/>
            </w:tcBorders>
          </w:tcPr>
          <w:p w14:paraId="671CF5D9" w14:textId="78572431" w:rsidR="00FE479B" w:rsidRPr="001B1FBF" w:rsidRDefault="00FE479B" w:rsidP="000F2528">
            <w:pPr>
              <w:pStyle w:val="BodyText"/>
              <w:spacing w:before="20" w:after="20"/>
              <w:rPr>
                <w:sz w:val="16"/>
                <w:szCs w:val="16"/>
              </w:rPr>
            </w:pPr>
            <w:r w:rsidRPr="001B1FBF">
              <w:rPr>
                <w:rFonts w:cstheme="minorHAnsi"/>
                <w:sz w:val="16"/>
                <w:szCs w:val="16"/>
              </w:rPr>
              <w:t xml:space="preserve">Remove coverage test and use the form of regulation test in s. 122 </w:t>
            </w:r>
            <w:r w:rsidR="001B1FBF" w:rsidRPr="001B1FBF">
              <w:rPr>
                <w:rFonts w:cstheme="minorHAnsi"/>
                <w:sz w:val="16"/>
                <w:szCs w:val="16"/>
              </w:rPr>
              <w:t xml:space="preserve">of the NGL </w:t>
            </w:r>
            <w:r w:rsidRPr="001B1FBF">
              <w:rPr>
                <w:rFonts w:cstheme="minorHAnsi"/>
                <w:sz w:val="16"/>
                <w:szCs w:val="16"/>
              </w:rPr>
              <w:t>to determine whether the stronger or lighter form of regulation should apply.</w:t>
            </w:r>
            <w:r w:rsidR="001B1FBF" w:rsidRPr="001B1FBF">
              <w:rPr>
                <w:rFonts w:cstheme="minorHAnsi"/>
                <w:sz w:val="16"/>
                <w:szCs w:val="16"/>
              </w:rPr>
              <w:t xml:space="preserve"> The test in s. 122 of the NGL </w:t>
            </w:r>
            <w:r w:rsidR="001B1FBF">
              <w:rPr>
                <w:rFonts w:cstheme="minorHAnsi"/>
                <w:sz w:val="16"/>
                <w:szCs w:val="16"/>
              </w:rPr>
              <w:t>and/or the decision</w:t>
            </w:r>
            <w:r w:rsidR="000F2528">
              <w:rPr>
                <w:rFonts w:cstheme="minorHAnsi"/>
                <w:sz w:val="16"/>
                <w:szCs w:val="16"/>
              </w:rPr>
              <w:t xml:space="preserve">-maker’s information gathering powers </w:t>
            </w:r>
            <w:r w:rsidR="001B1FBF" w:rsidRPr="001B1FBF">
              <w:rPr>
                <w:rFonts w:cstheme="minorHAnsi"/>
                <w:sz w:val="16"/>
                <w:szCs w:val="16"/>
              </w:rPr>
              <w:t xml:space="preserve">would be </w:t>
            </w:r>
            <w:r w:rsidR="001B1FBF" w:rsidRPr="001B1FBF">
              <w:rPr>
                <w:rFonts w:asciiTheme="majorHAnsi" w:hAnsiTheme="majorHAnsi" w:cstheme="majorHAnsi"/>
                <w:sz w:val="16"/>
                <w:szCs w:val="16"/>
              </w:rPr>
              <w:t xml:space="preserve">amended to address the concerns raised about the information asymmetries faced by the decision-maker and </w:t>
            </w:r>
            <w:r w:rsidR="000F2528">
              <w:rPr>
                <w:rFonts w:asciiTheme="majorHAnsi" w:hAnsiTheme="majorHAnsi" w:cstheme="majorHAnsi"/>
                <w:sz w:val="16"/>
                <w:szCs w:val="16"/>
              </w:rPr>
              <w:t xml:space="preserve">the test would also be modified to </w:t>
            </w:r>
            <w:r w:rsidR="001B1FBF" w:rsidRPr="001B1FBF">
              <w:rPr>
                <w:rFonts w:asciiTheme="majorHAnsi" w:hAnsiTheme="majorHAnsi" w:cstheme="majorHAnsi"/>
                <w:sz w:val="16"/>
                <w:szCs w:val="16"/>
              </w:rPr>
              <w:t>align it with other elements of the reform options.</w:t>
            </w:r>
            <w:r w:rsidR="00370905">
              <w:rPr>
                <w:rFonts w:ascii="ZWAdobeF" w:hAnsi="ZWAdobeF" w:cs="ZWAdobeF"/>
                <w:sz w:val="2"/>
                <w:szCs w:val="2"/>
              </w:rPr>
              <w:t>138F</w:t>
            </w:r>
            <w:r w:rsidR="001B1FBF" w:rsidRPr="001B1FBF">
              <w:rPr>
                <w:rStyle w:val="FootnoteReference"/>
                <w:rFonts w:cstheme="minorHAnsi"/>
                <w:sz w:val="16"/>
                <w:szCs w:val="16"/>
              </w:rPr>
              <w:footnoteReference w:id="140"/>
            </w:r>
          </w:p>
        </w:tc>
      </w:tr>
    </w:tbl>
    <w:p w14:paraId="5AAB7EB4" w14:textId="77777777" w:rsidR="00765D6E" w:rsidRPr="003E2A83" w:rsidRDefault="00765D6E" w:rsidP="00765D6E">
      <w:pPr>
        <w:pStyle w:val="BodyText"/>
        <w:rPr>
          <w:szCs w:val="18"/>
          <w:lang w:eastAsia="fr-CA"/>
        </w:rPr>
      </w:pPr>
      <w:r w:rsidRPr="00934914">
        <w:t xml:space="preserve">Further detail on how these options form part of a broader regulatory package is provided in Chapter 8, while Chapter 9 sets out the results of regulatory impact assessment </w:t>
      </w:r>
      <w:r w:rsidR="006905BD" w:rsidRPr="00934914">
        <w:t xml:space="preserve">of these reform options </w:t>
      </w:r>
      <w:r w:rsidRPr="00934914">
        <w:t>and Chapter 10 sets out the preferred option.</w:t>
      </w:r>
    </w:p>
    <w:p w14:paraId="0028A6DF" w14:textId="77777777" w:rsidR="00856B08" w:rsidRPr="007947F5" w:rsidRDefault="00856B08" w:rsidP="00856B08">
      <w:pPr>
        <w:pStyle w:val="BodyText"/>
        <w:rPr>
          <w:sz w:val="2"/>
          <w:szCs w:val="2"/>
        </w:rPr>
      </w:pPr>
      <w:r w:rsidRPr="007947F5">
        <w:rPr>
          <w:sz w:val="2"/>
          <w:szCs w:val="2"/>
        </w:rPr>
        <w:br w:type="page"/>
      </w:r>
    </w:p>
    <w:p w14:paraId="32966692" w14:textId="77777777" w:rsidR="00856B08" w:rsidRPr="006B4639" w:rsidRDefault="00856B08" w:rsidP="00856B08">
      <w:pPr>
        <w:pStyle w:val="Heading1"/>
      </w:pPr>
      <w:bookmarkStart w:id="124" w:name="_Toc62219413"/>
      <w:bookmarkStart w:id="125" w:name="_Ref18557941"/>
      <w:r w:rsidRPr="006B4639">
        <w:lastRenderedPageBreak/>
        <w:t xml:space="preserve">Reform focus 3: </w:t>
      </w:r>
      <w:r w:rsidR="00FC183A" w:rsidRPr="006B4639">
        <w:t>Information disclosure requirements</w:t>
      </w:r>
      <w:bookmarkEnd w:id="124"/>
      <w:r w:rsidR="00FC183A" w:rsidRPr="006B4639">
        <w:t xml:space="preserve"> </w:t>
      </w:r>
      <w:bookmarkEnd w:id="125"/>
    </w:p>
    <w:p w14:paraId="4EE9B34D" w14:textId="77777777" w:rsidR="00E13DA2" w:rsidRPr="006B4639" w:rsidRDefault="00E13DA2" w:rsidP="00E13DA2">
      <w:pPr>
        <w:pStyle w:val="BodyText"/>
        <w:spacing w:line="252" w:lineRule="auto"/>
        <w:rPr>
          <w:lang w:eastAsia="fr-CA"/>
        </w:rPr>
      </w:pPr>
      <w:r w:rsidRPr="006B4639">
        <w:rPr>
          <w:lang w:eastAsia="fr-CA"/>
        </w:rPr>
        <w:t xml:space="preserve">The purpose of the information disclosure requirements in the current regulatory framework is to: </w:t>
      </w:r>
    </w:p>
    <w:p w14:paraId="7690650A" w14:textId="77777777" w:rsidR="00E13DA2" w:rsidRPr="006B4639" w:rsidRDefault="00E13DA2" w:rsidP="00AD36B8">
      <w:pPr>
        <w:pStyle w:val="ListBullet"/>
        <w:rPr>
          <w:lang w:eastAsia="fr-CA"/>
        </w:rPr>
      </w:pPr>
      <w:r w:rsidRPr="006B4639">
        <w:rPr>
          <w:lang w:eastAsia="fr-CA"/>
        </w:rPr>
        <w:t>enable shippers to make a more informed decision about whether to seek access</w:t>
      </w:r>
      <w:r w:rsidR="004F1EBF" w:rsidRPr="006B4639">
        <w:rPr>
          <w:lang w:eastAsia="fr-CA"/>
        </w:rPr>
        <w:t xml:space="preserve"> and to </w:t>
      </w:r>
      <w:r w:rsidRPr="006B4639">
        <w:rPr>
          <w:lang w:eastAsia="fr-CA"/>
        </w:rPr>
        <w:t xml:space="preserve">assess the reasonableness of a service provider’s offer; and </w:t>
      </w:r>
    </w:p>
    <w:p w14:paraId="1C812932" w14:textId="77777777" w:rsidR="00E13DA2" w:rsidRPr="006B4639" w:rsidRDefault="00E13DA2" w:rsidP="00AD36B8">
      <w:pPr>
        <w:pStyle w:val="ListBullet"/>
      </w:pPr>
      <w:r w:rsidRPr="006B4639">
        <w:rPr>
          <w:lang w:eastAsia="fr-CA"/>
        </w:rPr>
        <w:t>reduce the degree of information asymmetry and imbalance in bargaining power that shippers can face in negotiations with service providers and, in so doing, facilitate more timely and effective negotiations.</w:t>
      </w:r>
    </w:p>
    <w:p w14:paraId="221620AF" w14:textId="77777777" w:rsidR="00E13DA2" w:rsidRPr="006B4639" w:rsidRDefault="00E13DA2" w:rsidP="00D554AE">
      <w:pPr>
        <w:pStyle w:val="BodyText"/>
        <w:spacing w:before="60" w:after="60" w:line="252" w:lineRule="auto"/>
      </w:pPr>
      <w:r w:rsidRPr="006B4639">
        <w:t xml:space="preserve">While improvements have been made to </w:t>
      </w:r>
      <w:r w:rsidR="00484811">
        <w:t xml:space="preserve">the </w:t>
      </w:r>
      <w:r w:rsidRPr="006B4639">
        <w:t xml:space="preserve">information disclosure </w:t>
      </w:r>
      <w:r w:rsidR="00484811">
        <w:t xml:space="preserve">requirements </w:t>
      </w:r>
      <w:r w:rsidRPr="006B4639">
        <w:t xml:space="preserve">over the last </w:t>
      </w:r>
      <w:r w:rsidR="00657067">
        <w:t xml:space="preserve">three </w:t>
      </w:r>
      <w:r w:rsidRPr="006B4639">
        <w:t xml:space="preserve">years, it would appear from recent reviews (see </w:t>
      </w:r>
      <w:r w:rsidR="00C16297">
        <w:t xml:space="preserve">Appendix </w:t>
      </w:r>
      <w:r w:rsidR="00546E37">
        <w:t>B</w:t>
      </w:r>
      <w:r w:rsidRPr="006B4639">
        <w:t xml:space="preserve">) that there are still some information gaps and asymmetries that could be: </w:t>
      </w:r>
    </w:p>
    <w:p w14:paraId="45F091EC" w14:textId="77777777" w:rsidR="002234D0" w:rsidRPr="006B4639" w:rsidRDefault="002234D0" w:rsidP="00D554AE">
      <w:pPr>
        <w:pStyle w:val="ListNumber"/>
        <w:numPr>
          <w:ilvl w:val="0"/>
          <w:numId w:val="50"/>
        </w:numPr>
        <w:spacing w:before="60" w:after="60"/>
        <w:ind w:left="357" w:hanging="357"/>
      </w:pPr>
      <w:bookmarkStart w:id="126" w:name="_Hlk19243010"/>
      <w:r w:rsidRPr="006B4639">
        <w:t>imposing unnecessary search and transaction costs on shippers and</w:t>
      </w:r>
      <w:r w:rsidR="00484811">
        <w:t>/or</w:t>
      </w:r>
      <w:r w:rsidRPr="006B4639">
        <w:t xml:space="preserve"> compliance costs on service providers; </w:t>
      </w:r>
    </w:p>
    <w:p w14:paraId="391AD4FD" w14:textId="77777777" w:rsidR="00E13DA2" w:rsidRPr="006B4639" w:rsidRDefault="00E13DA2" w:rsidP="00D554AE">
      <w:pPr>
        <w:pStyle w:val="ListNumber"/>
        <w:numPr>
          <w:ilvl w:val="0"/>
          <w:numId w:val="50"/>
        </w:numPr>
        <w:spacing w:before="60" w:after="60"/>
        <w:ind w:left="357" w:hanging="357"/>
      </w:pPr>
      <w:r w:rsidRPr="006B4639">
        <w:t>hindering the ability of shippers to negotiate effectively with service providers;</w:t>
      </w:r>
      <w:r w:rsidR="002234D0" w:rsidRPr="006B4639">
        <w:t xml:space="preserve"> and/or</w:t>
      </w:r>
    </w:p>
    <w:p w14:paraId="5569C7F9" w14:textId="77777777" w:rsidR="00E13DA2" w:rsidRPr="006B4639" w:rsidRDefault="00E13DA2" w:rsidP="00D73A94">
      <w:pPr>
        <w:pStyle w:val="ListNumber"/>
        <w:numPr>
          <w:ilvl w:val="0"/>
          <w:numId w:val="50"/>
        </w:numPr>
        <w:ind w:left="357" w:hanging="357"/>
      </w:pPr>
      <w:r w:rsidRPr="006B4639">
        <w:t>making shippers more susceptible to exercises of market power</w:t>
      </w:r>
      <w:r w:rsidR="002234D0" w:rsidRPr="006B4639">
        <w:t>.</w:t>
      </w:r>
    </w:p>
    <w:bookmarkEnd w:id="126"/>
    <w:p w14:paraId="56298208" w14:textId="77777777" w:rsidR="00C16297" w:rsidRDefault="002C7596" w:rsidP="000C4AD5">
      <w:pPr>
        <w:pStyle w:val="BodyText"/>
        <w:spacing w:line="252" w:lineRule="auto"/>
      </w:pPr>
      <w:r>
        <w:t xml:space="preserve">These potential problems </w:t>
      </w:r>
      <w:r w:rsidR="00590D61">
        <w:t xml:space="preserve">are </w:t>
      </w:r>
      <w:r w:rsidR="00E13DA2" w:rsidRPr="006B4639">
        <w:t>discussed in further detail in the remainder of this chapter, which commences with a brief overview of the current information disclosure requirements</w:t>
      </w:r>
      <w:r w:rsidR="00C16297">
        <w:t xml:space="preserve">. It then </w:t>
      </w:r>
      <w:r w:rsidR="000C4AD5">
        <w:t xml:space="preserve">sets out the </w:t>
      </w:r>
      <w:r w:rsidR="00C16297" w:rsidRPr="006B4639">
        <w:t xml:space="preserve">problems </w:t>
      </w:r>
      <w:r w:rsidR="00C16297">
        <w:t xml:space="preserve">that have been </w:t>
      </w:r>
      <w:r w:rsidR="00C16297" w:rsidRPr="006B4639">
        <w:t>identified</w:t>
      </w:r>
      <w:r w:rsidR="00C16297">
        <w:t xml:space="preserve"> with this aspect of the regulatory framework</w:t>
      </w:r>
      <w:r w:rsidR="000C4AD5">
        <w:t>,</w:t>
      </w:r>
      <w:r w:rsidR="00C16297">
        <w:t xml:space="preserve"> the feedback that stakeholders provided on the</w:t>
      </w:r>
      <w:r w:rsidR="001F2F7C">
        <w:t xml:space="preserve">se problems and the </w:t>
      </w:r>
      <w:r w:rsidR="00C16297">
        <w:t>options to address these problems</w:t>
      </w:r>
      <w:r w:rsidR="000C4AD5">
        <w:t xml:space="preserve"> and how </w:t>
      </w:r>
      <w:r w:rsidR="00C16297">
        <w:t xml:space="preserve">this feedback has been taken into account in the development of the reform options. </w:t>
      </w:r>
    </w:p>
    <w:p w14:paraId="116E604D" w14:textId="77777777" w:rsidR="00E13DA2" w:rsidRPr="006B4639" w:rsidRDefault="00E13DA2" w:rsidP="005E50BE">
      <w:pPr>
        <w:pStyle w:val="Heading2"/>
        <w:spacing w:before="240" w:after="120" w:line="252" w:lineRule="auto"/>
      </w:pPr>
      <w:bookmarkStart w:id="127" w:name="_Ref18126556"/>
      <w:bookmarkStart w:id="128" w:name="_Ref18127360"/>
      <w:bookmarkStart w:id="129" w:name="_Ref18128701"/>
      <w:bookmarkStart w:id="130" w:name="_Ref18132877"/>
      <w:bookmarkStart w:id="131" w:name="_Toc62219414"/>
      <w:r w:rsidRPr="006B4639">
        <w:t>What is the current situation?</w:t>
      </w:r>
      <w:bookmarkEnd w:id="127"/>
      <w:bookmarkEnd w:id="128"/>
      <w:bookmarkEnd w:id="129"/>
      <w:bookmarkEnd w:id="130"/>
      <w:bookmarkEnd w:id="131"/>
    </w:p>
    <w:p w14:paraId="527112F5" w14:textId="25188D2F" w:rsidR="00E13DA2" w:rsidRPr="006B4639" w:rsidRDefault="00131F28" w:rsidP="005E50BE">
      <w:pPr>
        <w:pStyle w:val="BodyText"/>
        <w:spacing w:after="0" w:line="252" w:lineRule="auto"/>
      </w:pPr>
      <w:r w:rsidRPr="006B4639">
        <w:fldChar w:fldCharType="begin" w:fldLock="1"/>
      </w:r>
      <w:r w:rsidRPr="006B4639">
        <w:instrText xml:space="preserve"> REF _Ref18123577 \h </w:instrText>
      </w:r>
      <w:r w:rsidRPr="006B4639">
        <w:fldChar w:fldCharType="separate"/>
      </w:r>
      <w:r w:rsidR="00036405" w:rsidRPr="006B4639">
        <w:t xml:space="preserve">Table </w:t>
      </w:r>
      <w:r w:rsidR="00036405">
        <w:rPr>
          <w:noProof/>
        </w:rPr>
        <w:t>6</w:t>
      </w:r>
      <w:r w:rsidR="00036405">
        <w:t>.</w:t>
      </w:r>
      <w:r w:rsidR="00036405">
        <w:rPr>
          <w:noProof/>
        </w:rPr>
        <w:t>1</w:t>
      </w:r>
      <w:r w:rsidRPr="006B4639">
        <w:fldChar w:fldCharType="end"/>
      </w:r>
      <w:r w:rsidRPr="006B4639">
        <w:t xml:space="preserve"> sets out t</w:t>
      </w:r>
      <w:r w:rsidR="00E13DA2" w:rsidRPr="006B4639">
        <w:t xml:space="preserve">he information that service providers are currently required to publish </w:t>
      </w:r>
      <w:r w:rsidRPr="006B4639">
        <w:t xml:space="preserve">and </w:t>
      </w:r>
      <w:r w:rsidR="00E13DA2" w:rsidRPr="006B4639">
        <w:t xml:space="preserve">where the information can be found, which is currently </w:t>
      </w:r>
      <w:r w:rsidR="00662012" w:rsidRPr="006B4639">
        <w:t xml:space="preserve">dispersed </w:t>
      </w:r>
      <w:r w:rsidR="00E13DA2" w:rsidRPr="006B4639">
        <w:t>across service providers’ websites</w:t>
      </w:r>
      <w:r w:rsidR="00192851">
        <w:t xml:space="preserve">, </w:t>
      </w:r>
      <w:r w:rsidR="00192851" w:rsidRPr="006B4639">
        <w:t xml:space="preserve">the </w:t>
      </w:r>
      <w:r w:rsidR="00192851">
        <w:t>Natural Gas Services Bulletin Board for pipelines located in the east coast and the Northern Territory (BB)</w:t>
      </w:r>
      <w:r w:rsidR="00370905">
        <w:rPr>
          <w:rFonts w:ascii="ZWAdobeF" w:hAnsi="ZWAdobeF" w:cs="ZWAdobeF"/>
          <w:sz w:val="2"/>
          <w:szCs w:val="2"/>
        </w:rPr>
        <w:t>139F</w:t>
      </w:r>
      <w:r w:rsidR="00192851">
        <w:rPr>
          <w:rStyle w:val="FootnoteReference"/>
        </w:rPr>
        <w:footnoteReference w:id="141"/>
      </w:r>
      <w:r w:rsidR="00192851">
        <w:t xml:space="preserve"> </w:t>
      </w:r>
      <w:r w:rsidR="005E50BE">
        <w:t xml:space="preserve">or the </w:t>
      </w:r>
      <w:r w:rsidR="00192851">
        <w:t>Gas Bulletin Board (GBB)</w:t>
      </w:r>
      <w:r w:rsidR="005E50BE">
        <w:t xml:space="preserve"> for pipelines located in Western Australia</w:t>
      </w:r>
      <w:r w:rsidR="00192851" w:rsidRPr="006B4639">
        <w:t>,</w:t>
      </w:r>
      <w:r w:rsidR="00370905">
        <w:rPr>
          <w:rFonts w:ascii="ZWAdobeF" w:hAnsi="ZWAdobeF" w:cs="ZWAdobeF"/>
          <w:sz w:val="2"/>
          <w:szCs w:val="2"/>
        </w:rPr>
        <w:t>140F</w:t>
      </w:r>
      <w:r w:rsidR="00192851">
        <w:rPr>
          <w:rStyle w:val="FootnoteReference"/>
        </w:rPr>
        <w:footnoteReference w:id="142"/>
      </w:r>
      <w:r w:rsidR="00192851" w:rsidRPr="006B4639">
        <w:t xml:space="preserve"> </w:t>
      </w:r>
      <w:r w:rsidR="00E13DA2" w:rsidRPr="006B4639">
        <w:t xml:space="preserve"> and</w:t>
      </w:r>
      <w:r w:rsidR="00890F1A">
        <w:t xml:space="preserve">, in the case of full regulation pipelines, </w:t>
      </w:r>
      <w:r w:rsidR="00E13DA2" w:rsidRPr="006B4639">
        <w:t>AA</w:t>
      </w:r>
      <w:r w:rsidR="00D81C75" w:rsidRPr="006B4639">
        <w:t>s</w:t>
      </w:r>
      <w:r w:rsidRPr="006B4639">
        <w:t xml:space="preserve">. This table also shows the </w:t>
      </w:r>
      <w:r w:rsidR="00E13DA2" w:rsidRPr="006B4639">
        <w:t xml:space="preserve">exemptions from the obligation to publish information </w:t>
      </w:r>
      <w:r w:rsidRPr="006B4639">
        <w:t xml:space="preserve">that are currently available </w:t>
      </w:r>
      <w:r w:rsidR="00E13DA2" w:rsidRPr="006B4639">
        <w:t xml:space="preserve">to: </w:t>
      </w:r>
    </w:p>
    <w:p w14:paraId="56F1288E" w14:textId="77777777" w:rsidR="00E13DA2" w:rsidRPr="006B4639" w:rsidRDefault="00E13DA2" w:rsidP="005E50BE">
      <w:pPr>
        <w:pStyle w:val="ListBullet"/>
        <w:spacing w:before="60" w:after="60"/>
        <w:ind w:left="357" w:hanging="357"/>
      </w:pPr>
      <w:r w:rsidRPr="006B4639">
        <w:t>non-scheme pipelines that supply a single shipper</w:t>
      </w:r>
      <w:r w:rsidR="00131F28" w:rsidRPr="006B4639">
        <w:t>, who can obtain a</w:t>
      </w:r>
      <w:r w:rsidRPr="006B4639">
        <w:t xml:space="preserve"> full exemption</w:t>
      </w:r>
      <w:r w:rsidR="00131F28" w:rsidRPr="006B4639">
        <w:t xml:space="preserve"> from the obligation to publish information</w:t>
      </w:r>
      <w:r w:rsidRPr="006B4639">
        <w:t xml:space="preserve">; </w:t>
      </w:r>
    </w:p>
    <w:p w14:paraId="7CADAA78" w14:textId="77777777" w:rsidR="00E13DA2" w:rsidRPr="006B4639" w:rsidRDefault="00E13DA2" w:rsidP="005E50BE">
      <w:pPr>
        <w:pStyle w:val="ListBullet"/>
        <w:spacing w:before="60" w:after="60"/>
        <w:ind w:left="357" w:hanging="357"/>
      </w:pPr>
      <w:r w:rsidRPr="006B4639">
        <w:t>non-scheme pipelines that have average daily injections less than 10 TJ/day over the preceding 24 months</w:t>
      </w:r>
      <w:r w:rsidR="004F1EBF" w:rsidRPr="006B4639">
        <w:t xml:space="preserve"> (‘small pipelines’)</w:t>
      </w:r>
      <w:r w:rsidR="00131F28" w:rsidRPr="006B4639">
        <w:t xml:space="preserve">, who can obtain an </w:t>
      </w:r>
      <w:r w:rsidRPr="006B4639">
        <w:t>exemp</w:t>
      </w:r>
      <w:r w:rsidR="00C63159" w:rsidRPr="006B4639">
        <w:t>t</w:t>
      </w:r>
      <w:r w:rsidR="00131F28" w:rsidRPr="006B4639">
        <w:t>ion</w:t>
      </w:r>
      <w:r w:rsidRPr="006B4639">
        <w:t xml:space="preserve"> from </w:t>
      </w:r>
      <w:r w:rsidR="00131F28" w:rsidRPr="006B4639">
        <w:t xml:space="preserve">the obligation to publish all the information </w:t>
      </w:r>
      <w:r w:rsidRPr="006B4639">
        <w:t xml:space="preserve">except the requirement to publish pipeline and pipeline service information; and </w:t>
      </w:r>
    </w:p>
    <w:p w14:paraId="2D71CA76" w14:textId="77777777" w:rsidR="00E13DA2" w:rsidRPr="006B4639" w:rsidRDefault="00131F28" w:rsidP="005E50BE">
      <w:pPr>
        <w:pStyle w:val="ListBullet"/>
        <w:spacing w:before="60" w:after="60"/>
        <w:ind w:left="357" w:hanging="357"/>
      </w:pPr>
      <w:r w:rsidRPr="006B4639">
        <w:t xml:space="preserve">scheme </w:t>
      </w:r>
      <w:r w:rsidR="00E13DA2" w:rsidRPr="006B4639">
        <w:t>distribution pipelines that have a maximum daily capacity of 10</w:t>
      </w:r>
      <w:r w:rsidRPr="006B4639">
        <w:t> </w:t>
      </w:r>
      <w:r w:rsidR="00E13DA2" w:rsidRPr="006B4639">
        <w:t>TJ/day or less, or a maximum pressure capability of 4MPa or less</w:t>
      </w:r>
      <w:r w:rsidRPr="006B4639">
        <w:t xml:space="preserve">, who can obtain an exemption </w:t>
      </w:r>
      <w:r w:rsidR="00E13DA2" w:rsidRPr="006B4639">
        <w:t xml:space="preserve">from </w:t>
      </w:r>
      <w:r w:rsidR="00C63159" w:rsidRPr="006B4639">
        <w:t xml:space="preserve">the </w:t>
      </w:r>
      <w:r w:rsidR="00E13DA2" w:rsidRPr="006B4639">
        <w:t xml:space="preserve">requirement to publish service availability information. </w:t>
      </w:r>
    </w:p>
    <w:p w14:paraId="0170D6EE" w14:textId="77777777" w:rsidR="004F1EBF" w:rsidRPr="006B4639" w:rsidRDefault="004F1EBF" w:rsidP="004F1EBF">
      <w:pPr>
        <w:pStyle w:val="BodyText"/>
        <w:spacing w:after="0"/>
      </w:pPr>
      <w:r w:rsidRPr="006B4639">
        <w:t xml:space="preserve">It is important to note that the exemptions outlined above are only from the obligation to publish information and that shippers can still seek </w:t>
      </w:r>
      <w:r w:rsidR="00A43A34" w:rsidRPr="006B4639">
        <w:t xml:space="preserve">equivalent </w:t>
      </w:r>
      <w:r w:rsidRPr="006B4639">
        <w:t>information from service providers during negotiations.</w:t>
      </w:r>
    </w:p>
    <w:p w14:paraId="60F21591" w14:textId="77777777" w:rsidR="00E13DA2" w:rsidRPr="006B4639" w:rsidRDefault="00E13DA2" w:rsidP="004F1EBF">
      <w:pPr>
        <w:pStyle w:val="BodyText"/>
        <w:spacing w:before="120" w:after="0" w:line="252" w:lineRule="auto"/>
        <w:sectPr w:rsidR="00E13DA2" w:rsidRPr="006B4639" w:rsidSect="00795317">
          <w:headerReference w:type="default" r:id="rId44"/>
          <w:footerReference w:type="default" r:id="rId45"/>
          <w:pgSz w:w="11907" w:h="16839" w:code="9"/>
          <w:pgMar w:top="1361" w:right="1418" w:bottom="992" w:left="1701" w:header="567" w:footer="397" w:gutter="0"/>
          <w:cols w:space="708"/>
          <w:docGrid w:linePitch="360"/>
        </w:sectPr>
      </w:pPr>
    </w:p>
    <w:p w14:paraId="423242DA" w14:textId="5C1E9AB2" w:rsidR="00E13DA2" w:rsidRPr="006B4639" w:rsidRDefault="00E13DA2" w:rsidP="00E13DA2">
      <w:pPr>
        <w:pStyle w:val="Caption"/>
        <w:spacing w:before="0" w:after="0"/>
        <w:rPr>
          <w:lang w:eastAsia="en-US"/>
        </w:rPr>
      </w:pPr>
      <w:bookmarkStart w:id="132" w:name="_Ref18123577"/>
      <w:bookmarkStart w:id="133" w:name="_Ref50393364"/>
      <w:r w:rsidRPr="006B4639">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6</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1</w:t>
      </w:r>
      <w:r w:rsidR="00F323B2">
        <w:rPr>
          <w:noProof/>
        </w:rPr>
        <w:fldChar w:fldCharType="end"/>
      </w:r>
      <w:bookmarkEnd w:id="132"/>
      <w:r w:rsidRPr="006B4639">
        <w:t>:</w:t>
      </w:r>
      <w:r w:rsidRPr="006B4639">
        <w:rPr>
          <w:lang w:eastAsia="en-US"/>
        </w:rPr>
        <w:t xml:space="preserve"> Information disclosure requirements under the alternative forms of regulation</w:t>
      </w:r>
      <w:bookmarkEnd w:id="133"/>
      <w:r w:rsidRPr="006B4639">
        <w:rPr>
          <w:lang w:eastAsia="en-US"/>
        </w:rPr>
        <w:t xml:space="preserve"> </w:t>
      </w:r>
    </w:p>
    <w:tbl>
      <w:tblPr>
        <w:tblStyle w:val="TableGrid"/>
        <w:tblW w:w="5128" w:type="pct"/>
        <w:tblLook w:val="04A0" w:firstRow="1" w:lastRow="0" w:firstColumn="1" w:lastColumn="0" w:noHBand="0" w:noVBand="1"/>
        <w:tblCaption w:val="Publishing timeframes of the information disclosure obligations"/>
        <w:tblDescription w:val="Table describing information type and timreframes for publication"/>
      </w:tblPr>
      <w:tblGrid>
        <w:gridCol w:w="1307"/>
        <w:gridCol w:w="1387"/>
        <w:gridCol w:w="1621"/>
        <w:gridCol w:w="1624"/>
        <w:gridCol w:w="1345"/>
        <w:gridCol w:w="1210"/>
        <w:gridCol w:w="1373"/>
        <w:gridCol w:w="1266"/>
        <w:gridCol w:w="1475"/>
        <w:gridCol w:w="1463"/>
      </w:tblGrid>
      <w:tr w:rsidR="00E13DA2" w:rsidRPr="006B4639" w14:paraId="3617AD03" w14:textId="77777777" w:rsidTr="00830879">
        <w:trPr>
          <w:cnfStyle w:val="100000000000" w:firstRow="1" w:lastRow="0" w:firstColumn="0" w:lastColumn="0" w:oddVBand="0" w:evenVBand="0" w:oddHBand="0" w:evenHBand="0" w:firstRowFirstColumn="0" w:firstRowLastColumn="0" w:lastRowFirstColumn="0" w:lastRowLastColumn="0"/>
          <w:tblHeader/>
        </w:trPr>
        <w:tc>
          <w:tcPr>
            <w:tcW w:w="2110" w:type="pct"/>
            <w:gridSpan w:val="4"/>
            <w:vMerge w:val="restart"/>
            <w:tcBorders>
              <w:bottom w:val="single" w:sz="4" w:space="0" w:color="FFFFFF" w:themeColor="background1"/>
              <w:right w:val="single" w:sz="4" w:space="0" w:color="FFFFFF" w:themeColor="background1"/>
            </w:tcBorders>
            <w:shd w:val="clear" w:color="auto" w:fill="002060"/>
          </w:tcPr>
          <w:p w14:paraId="1D3B8F12" w14:textId="77777777" w:rsidR="00E13DA2" w:rsidRPr="006B4639" w:rsidRDefault="00E13DA2" w:rsidP="00E13DA2">
            <w:pPr>
              <w:pStyle w:val="TableHeading"/>
              <w:spacing w:before="20" w:after="40" w:line="240" w:lineRule="auto"/>
              <w:rPr>
                <w:rFonts w:asciiTheme="majorHAnsi" w:hAnsiTheme="majorHAnsi" w:cstheme="majorHAnsi"/>
                <w:sz w:val="16"/>
                <w:szCs w:val="16"/>
              </w:rPr>
            </w:pPr>
            <w:r w:rsidRPr="006B4639">
              <w:rPr>
                <w:rFonts w:asciiTheme="majorHAnsi" w:hAnsiTheme="majorHAnsi" w:cstheme="majorHAnsi"/>
                <w:sz w:val="16"/>
                <w:szCs w:val="16"/>
              </w:rPr>
              <w:t xml:space="preserve">Information </w:t>
            </w:r>
          </w:p>
        </w:tc>
        <w:tc>
          <w:tcPr>
            <w:tcW w:w="908"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002060"/>
          </w:tcPr>
          <w:p w14:paraId="10EC7245" w14:textId="77777777" w:rsidR="00E13DA2" w:rsidRPr="006B4639" w:rsidRDefault="00E13DA2" w:rsidP="00E13DA2">
            <w:pPr>
              <w:pStyle w:val="TableHeading"/>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Full regulation</w:t>
            </w:r>
          </w:p>
        </w:tc>
        <w:tc>
          <w:tcPr>
            <w:tcW w:w="938"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002060"/>
          </w:tcPr>
          <w:p w14:paraId="59E8748A" w14:textId="77777777" w:rsidR="00E13DA2" w:rsidRPr="006B4639" w:rsidRDefault="00E13DA2" w:rsidP="00E13DA2">
            <w:pPr>
              <w:pStyle w:val="TableHeading"/>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Light regulation</w:t>
            </w:r>
          </w:p>
        </w:tc>
        <w:tc>
          <w:tcPr>
            <w:tcW w:w="1044" w:type="pct"/>
            <w:gridSpan w:val="2"/>
            <w:tcBorders>
              <w:left w:val="single" w:sz="4" w:space="0" w:color="FFFFFF" w:themeColor="background1"/>
              <w:bottom w:val="single" w:sz="4" w:space="0" w:color="FFFFFF" w:themeColor="background1"/>
            </w:tcBorders>
            <w:shd w:val="clear" w:color="auto" w:fill="002060"/>
          </w:tcPr>
          <w:p w14:paraId="45CBCA2B" w14:textId="77777777" w:rsidR="00E13DA2" w:rsidRPr="006B4639" w:rsidRDefault="00E13DA2" w:rsidP="00E13DA2">
            <w:pPr>
              <w:pStyle w:val="TableHeading"/>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Part 23</w:t>
            </w:r>
          </w:p>
        </w:tc>
      </w:tr>
      <w:tr w:rsidR="002E6C06" w:rsidRPr="006B4639" w14:paraId="00679776" w14:textId="77777777" w:rsidTr="00830879">
        <w:trPr>
          <w:cnfStyle w:val="100000000000" w:firstRow="1" w:lastRow="0" w:firstColumn="0" w:lastColumn="0" w:oddVBand="0" w:evenVBand="0" w:oddHBand="0" w:evenHBand="0" w:firstRowFirstColumn="0" w:firstRowLastColumn="0" w:lastRowFirstColumn="0" w:lastRowLastColumn="0"/>
          <w:tblHeader/>
        </w:trPr>
        <w:tc>
          <w:tcPr>
            <w:tcW w:w="2110" w:type="pct"/>
            <w:gridSpan w:val="4"/>
            <w:vMerge/>
            <w:tcBorders>
              <w:top w:val="single" w:sz="4" w:space="0" w:color="FFFFFF" w:themeColor="background1"/>
              <w:bottom w:val="single" w:sz="4" w:space="0" w:color="auto"/>
              <w:right w:val="single" w:sz="4" w:space="0" w:color="FFFFFF" w:themeColor="background1"/>
            </w:tcBorders>
            <w:shd w:val="clear" w:color="auto" w:fill="002060"/>
          </w:tcPr>
          <w:p w14:paraId="45551A51" w14:textId="77777777" w:rsidR="00E13DA2" w:rsidRPr="006B4639" w:rsidRDefault="00E13DA2" w:rsidP="00E13DA2">
            <w:pPr>
              <w:pStyle w:val="TableBodyText"/>
              <w:spacing w:before="20" w:after="40" w:line="240" w:lineRule="auto"/>
              <w:rPr>
                <w:rFonts w:asciiTheme="majorHAnsi" w:hAnsiTheme="majorHAnsi" w:cstheme="majorHAnsi"/>
                <w:sz w:val="16"/>
                <w:szCs w:val="16"/>
              </w:rPr>
            </w:pPr>
          </w:p>
        </w:tc>
        <w:tc>
          <w:tcPr>
            <w:tcW w:w="47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14:paraId="6CDF612D"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Transmission</w:t>
            </w:r>
          </w:p>
        </w:tc>
        <w:tc>
          <w:tcPr>
            <w:tcW w:w="43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14:paraId="509FEDB0"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Distribution</w:t>
            </w:r>
          </w:p>
        </w:tc>
        <w:tc>
          <w:tcPr>
            <w:tcW w:w="48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14:paraId="226E59F9"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Transmission</w:t>
            </w:r>
          </w:p>
        </w:tc>
        <w:tc>
          <w:tcPr>
            <w:tcW w:w="45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14:paraId="7E7E618C"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Distribution</w:t>
            </w:r>
          </w:p>
        </w:tc>
        <w:tc>
          <w:tcPr>
            <w:tcW w:w="52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14:paraId="51712B9F"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Non-exempt transmission</w:t>
            </w:r>
          </w:p>
        </w:tc>
        <w:tc>
          <w:tcPr>
            <w:tcW w:w="520" w:type="pct"/>
            <w:tcBorders>
              <w:top w:val="single" w:sz="4" w:space="0" w:color="FFFFFF" w:themeColor="background1"/>
              <w:left w:val="single" w:sz="4" w:space="0" w:color="FFFFFF" w:themeColor="background1"/>
              <w:bottom w:val="single" w:sz="4" w:space="0" w:color="auto"/>
            </w:tcBorders>
            <w:shd w:val="clear" w:color="auto" w:fill="002060"/>
          </w:tcPr>
          <w:p w14:paraId="7DA36506"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Non-exempt distribution</w:t>
            </w:r>
          </w:p>
        </w:tc>
      </w:tr>
      <w:tr w:rsidR="002E6C06" w:rsidRPr="006B4639" w14:paraId="7B1DA80F" w14:textId="77777777" w:rsidTr="00830879">
        <w:trPr>
          <w:trHeight w:val="89"/>
        </w:trPr>
        <w:tc>
          <w:tcPr>
            <w:tcW w:w="957" w:type="pct"/>
            <w:gridSpan w:val="2"/>
            <w:vMerge w:val="restart"/>
            <w:shd w:val="clear" w:color="auto" w:fill="FFFFFF" w:themeFill="background1"/>
          </w:tcPr>
          <w:p w14:paraId="212A3C25" w14:textId="77777777" w:rsidR="00830879" w:rsidRPr="006B4639" w:rsidRDefault="00830879" w:rsidP="00830879">
            <w:pPr>
              <w:pStyle w:val="TableBodyText"/>
              <w:spacing w:before="20" w:after="40" w:line="240" w:lineRule="auto"/>
              <w:rPr>
                <w:rFonts w:asciiTheme="majorHAnsi" w:hAnsiTheme="majorHAnsi" w:cstheme="majorHAnsi"/>
                <w:sz w:val="16"/>
                <w:szCs w:val="16"/>
              </w:rPr>
            </w:pPr>
            <w:r w:rsidRPr="006B4639">
              <w:rPr>
                <w:rFonts w:asciiTheme="majorHAnsi" w:hAnsiTheme="majorHAnsi" w:cstheme="majorHAnsi"/>
                <w:sz w:val="16"/>
                <w:szCs w:val="16"/>
              </w:rPr>
              <w:t>Pipeline information</w:t>
            </w:r>
          </w:p>
        </w:tc>
        <w:tc>
          <w:tcPr>
            <w:tcW w:w="1153" w:type="pct"/>
            <w:gridSpan w:val="2"/>
            <w:shd w:val="clear" w:color="auto" w:fill="FFFFFF" w:themeFill="background1"/>
          </w:tcPr>
          <w:p w14:paraId="6C522CB5" w14:textId="77777777" w:rsidR="00830879" w:rsidRPr="006B4639" w:rsidRDefault="00830879" w:rsidP="00830879">
            <w:pPr>
              <w:pStyle w:val="TableBodyText"/>
              <w:spacing w:before="20" w:after="40" w:line="240" w:lineRule="auto"/>
              <w:rPr>
                <w:rFonts w:asciiTheme="majorHAnsi" w:eastAsiaTheme="minorEastAsia" w:hAnsiTheme="majorHAnsi" w:cstheme="majorHAnsi"/>
                <w:sz w:val="16"/>
                <w:szCs w:val="16"/>
              </w:rPr>
            </w:pPr>
            <w:r w:rsidRPr="006B4639">
              <w:rPr>
                <w:rFonts w:asciiTheme="majorHAnsi" w:eastAsiaTheme="minorEastAsia" w:hAnsiTheme="majorHAnsi" w:cstheme="majorHAnsi"/>
                <w:sz w:val="16"/>
                <w:szCs w:val="16"/>
              </w:rPr>
              <w:t>Nameplate rating (or for distribution pipelines the volume of gas that can be transported through gate stations), list of receipt and delivery points and schematic</w:t>
            </w:r>
          </w:p>
        </w:tc>
        <w:tc>
          <w:tcPr>
            <w:tcW w:w="478" w:type="pct"/>
            <w:shd w:val="clear" w:color="auto" w:fill="FFFFFF" w:themeFill="background1"/>
          </w:tcPr>
          <w:p w14:paraId="278A1F1B" w14:textId="253E7CFE" w:rsidR="00830879" w:rsidRPr="006B4639" w:rsidRDefault="00254F40" w:rsidP="00830879">
            <w:pPr>
              <w:pStyle w:val="TableBodyText"/>
              <w:spacing w:before="20" w:after="40" w:line="240" w:lineRule="auto"/>
              <w:jc w:val="center"/>
              <w:rPr>
                <w:rFonts w:asciiTheme="majorHAnsi" w:hAnsiTheme="majorHAnsi" w:cstheme="majorHAnsi"/>
                <w:sz w:val="16"/>
                <w:szCs w:val="16"/>
              </w:rPr>
            </w:pPr>
            <w:r>
              <w:rPr>
                <w:rFonts w:asciiTheme="majorHAnsi" w:hAnsiTheme="majorHAnsi" w:cstheme="majorHAnsi"/>
                <w:sz w:val="16"/>
                <w:szCs w:val="16"/>
              </w:rPr>
              <w:t>BB and GBB</w:t>
            </w:r>
          </w:p>
        </w:tc>
        <w:tc>
          <w:tcPr>
            <w:tcW w:w="430" w:type="pct"/>
            <w:shd w:val="clear" w:color="auto" w:fill="FFFFFF" w:themeFill="background1"/>
          </w:tcPr>
          <w:p w14:paraId="78D81251" w14:textId="77777777" w:rsidR="00830879" w:rsidRPr="006B4639" w:rsidRDefault="00830879" w:rsidP="00830879">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488" w:type="pct"/>
            <w:shd w:val="clear" w:color="auto" w:fill="FFFFFF" w:themeFill="background1"/>
          </w:tcPr>
          <w:p w14:paraId="1443A085" w14:textId="694DD0A5" w:rsidR="00830879" w:rsidRPr="006B4639" w:rsidRDefault="002E6C06" w:rsidP="00830879">
            <w:pPr>
              <w:pStyle w:val="TableBodyText"/>
              <w:spacing w:before="20" w:after="40" w:line="240" w:lineRule="auto"/>
              <w:jc w:val="center"/>
              <w:rPr>
                <w:rFonts w:asciiTheme="majorHAnsi" w:hAnsiTheme="majorHAnsi" w:cstheme="majorHAnsi"/>
                <w:sz w:val="16"/>
                <w:szCs w:val="16"/>
              </w:rPr>
            </w:pPr>
            <w:r>
              <w:rPr>
                <w:rFonts w:asciiTheme="majorHAnsi" w:hAnsiTheme="majorHAnsi" w:cstheme="majorHAnsi"/>
                <w:sz w:val="16"/>
                <w:szCs w:val="16"/>
              </w:rPr>
              <w:t>BB and GBB</w:t>
            </w:r>
          </w:p>
        </w:tc>
        <w:tc>
          <w:tcPr>
            <w:tcW w:w="450" w:type="pct"/>
            <w:shd w:val="clear" w:color="auto" w:fill="FFFFFF" w:themeFill="background1"/>
          </w:tcPr>
          <w:p w14:paraId="0171C1CC" w14:textId="77777777" w:rsidR="00830879" w:rsidRPr="006B4639" w:rsidRDefault="00830879" w:rsidP="00830879">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524" w:type="pct"/>
            <w:shd w:val="clear" w:color="auto" w:fill="FFFFFF" w:themeFill="background1"/>
          </w:tcPr>
          <w:p w14:paraId="04245A6C" w14:textId="694A48DE" w:rsidR="00830879" w:rsidRPr="006B4639" w:rsidRDefault="00830879" w:rsidP="00830879">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 xml:space="preserve">SP Website </w:t>
            </w:r>
            <w:r w:rsidR="005E6EA4">
              <w:rPr>
                <w:rFonts w:asciiTheme="majorHAnsi" w:hAnsiTheme="majorHAnsi" w:cstheme="majorHAnsi"/>
                <w:sz w:val="16"/>
                <w:szCs w:val="16"/>
              </w:rPr>
              <w:br/>
              <w:t>(or BB or GBB)</w:t>
            </w:r>
          </w:p>
        </w:tc>
        <w:tc>
          <w:tcPr>
            <w:tcW w:w="520" w:type="pct"/>
            <w:shd w:val="clear" w:color="auto" w:fill="FFFFFF" w:themeFill="background1"/>
          </w:tcPr>
          <w:p w14:paraId="01AD9444" w14:textId="77777777" w:rsidR="00830879" w:rsidRPr="006B4639" w:rsidRDefault="00830879" w:rsidP="00830879">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Website</w:t>
            </w:r>
          </w:p>
        </w:tc>
      </w:tr>
      <w:tr w:rsidR="002E6C06" w:rsidRPr="006B4639" w14:paraId="13CAFCBA" w14:textId="77777777" w:rsidTr="00830879">
        <w:trPr>
          <w:cnfStyle w:val="000000010000" w:firstRow="0" w:lastRow="0" w:firstColumn="0" w:lastColumn="0" w:oddVBand="0" w:evenVBand="0" w:oddHBand="0" w:evenHBand="1" w:firstRowFirstColumn="0" w:firstRowLastColumn="0" w:lastRowFirstColumn="0" w:lastRowLastColumn="0"/>
          <w:trHeight w:val="294"/>
        </w:trPr>
        <w:tc>
          <w:tcPr>
            <w:tcW w:w="957" w:type="pct"/>
            <w:gridSpan w:val="2"/>
            <w:vMerge/>
            <w:shd w:val="clear" w:color="auto" w:fill="FFFFFF" w:themeFill="background1"/>
          </w:tcPr>
          <w:p w14:paraId="3BC54096" w14:textId="77777777" w:rsidR="00830879" w:rsidRPr="006B4639" w:rsidRDefault="00830879" w:rsidP="00830879">
            <w:pPr>
              <w:pStyle w:val="TableBodyText"/>
              <w:spacing w:before="20" w:after="40" w:line="240" w:lineRule="auto"/>
              <w:rPr>
                <w:rFonts w:asciiTheme="majorHAnsi" w:hAnsiTheme="majorHAnsi" w:cstheme="majorHAnsi"/>
                <w:sz w:val="16"/>
                <w:szCs w:val="16"/>
              </w:rPr>
            </w:pPr>
          </w:p>
        </w:tc>
        <w:tc>
          <w:tcPr>
            <w:tcW w:w="576" w:type="pct"/>
            <w:vMerge w:val="restart"/>
            <w:shd w:val="clear" w:color="auto" w:fill="FFFFFF" w:themeFill="background1"/>
          </w:tcPr>
          <w:p w14:paraId="194BA09F" w14:textId="77777777" w:rsidR="00830879" w:rsidRPr="006B4639" w:rsidRDefault="00830879" w:rsidP="00830879">
            <w:pPr>
              <w:pStyle w:val="TableBodyText"/>
              <w:spacing w:before="20" w:after="40" w:line="240" w:lineRule="auto"/>
              <w:rPr>
                <w:rFonts w:asciiTheme="majorHAnsi" w:eastAsiaTheme="minorEastAsia" w:hAnsiTheme="majorHAnsi" w:cstheme="majorHAnsi"/>
                <w:sz w:val="16"/>
                <w:szCs w:val="16"/>
              </w:rPr>
            </w:pPr>
            <w:r w:rsidRPr="006B4639">
              <w:rPr>
                <w:rFonts w:asciiTheme="majorHAnsi" w:eastAsiaTheme="minorEastAsia" w:hAnsiTheme="majorHAnsi" w:cstheme="majorHAnsi"/>
                <w:sz w:val="16"/>
                <w:szCs w:val="16"/>
              </w:rPr>
              <w:t>Matters that may affect access, use or prices for services</w:t>
            </w:r>
          </w:p>
        </w:tc>
        <w:tc>
          <w:tcPr>
            <w:tcW w:w="577" w:type="pct"/>
            <w:shd w:val="clear" w:color="auto" w:fill="FFFFFF" w:themeFill="background1"/>
          </w:tcPr>
          <w:p w14:paraId="055DBD58" w14:textId="77777777" w:rsidR="00830879" w:rsidRPr="006B4639" w:rsidRDefault="00830879" w:rsidP="00830879">
            <w:pPr>
              <w:pStyle w:val="TableBodyText"/>
              <w:spacing w:before="20" w:after="40" w:line="240" w:lineRule="auto"/>
              <w:rPr>
                <w:rFonts w:asciiTheme="majorHAnsi" w:eastAsiaTheme="minorEastAsia" w:hAnsiTheme="majorHAnsi" w:cstheme="majorHAnsi"/>
                <w:sz w:val="16"/>
                <w:szCs w:val="16"/>
              </w:rPr>
            </w:pPr>
            <w:r w:rsidRPr="006B4639">
              <w:rPr>
                <w:rFonts w:asciiTheme="majorHAnsi" w:eastAsiaTheme="minorEastAsia" w:hAnsiTheme="majorHAnsi" w:cstheme="majorHAnsi"/>
                <w:sz w:val="16"/>
                <w:szCs w:val="16"/>
              </w:rPr>
              <w:t>Technical/physical characteristics</w:t>
            </w:r>
          </w:p>
        </w:tc>
        <w:tc>
          <w:tcPr>
            <w:tcW w:w="478" w:type="pct"/>
            <w:vMerge w:val="restart"/>
            <w:shd w:val="clear" w:color="auto" w:fill="FFFFFF" w:themeFill="background1"/>
          </w:tcPr>
          <w:p w14:paraId="78359AAE" w14:textId="77777777" w:rsidR="00830879" w:rsidRPr="006B4639" w:rsidRDefault="00830879" w:rsidP="00830879">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 xml:space="preserve">AA on SP Website </w:t>
            </w:r>
          </w:p>
        </w:tc>
        <w:tc>
          <w:tcPr>
            <w:tcW w:w="430" w:type="pct"/>
            <w:vMerge w:val="restart"/>
            <w:shd w:val="clear" w:color="auto" w:fill="FFFFFF" w:themeFill="background1"/>
          </w:tcPr>
          <w:p w14:paraId="3B7BEA84" w14:textId="77777777" w:rsidR="00830879" w:rsidRPr="006B4639" w:rsidRDefault="00830879" w:rsidP="00830879">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488" w:type="pct"/>
            <w:tcBorders>
              <w:bottom w:val="single" w:sz="4" w:space="0" w:color="auto"/>
            </w:tcBorders>
            <w:shd w:val="clear" w:color="auto" w:fill="FFFFFF" w:themeFill="background1"/>
          </w:tcPr>
          <w:p w14:paraId="1BE0939C" w14:textId="61DA614F" w:rsidR="00830879" w:rsidRPr="006B4639" w:rsidRDefault="002E6C06" w:rsidP="00830879">
            <w:pPr>
              <w:pStyle w:val="TableBodyText"/>
              <w:spacing w:before="20" w:after="40" w:line="240" w:lineRule="auto"/>
              <w:jc w:val="center"/>
              <w:rPr>
                <w:rFonts w:asciiTheme="majorHAnsi" w:hAnsiTheme="majorHAnsi" w:cstheme="majorHAnsi"/>
                <w:sz w:val="16"/>
                <w:szCs w:val="16"/>
              </w:rPr>
            </w:pPr>
            <w:r>
              <w:rPr>
                <w:rFonts w:asciiTheme="majorHAnsi" w:hAnsiTheme="majorHAnsi" w:cstheme="majorHAnsi"/>
                <w:sz w:val="16"/>
                <w:szCs w:val="16"/>
              </w:rPr>
              <w:t>BB and GBB*</w:t>
            </w:r>
            <w:r w:rsidR="00C275CB">
              <w:rPr>
                <w:rFonts w:asciiTheme="majorHAnsi" w:hAnsiTheme="majorHAnsi" w:cstheme="majorHAnsi"/>
                <w:sz w:val="16"/>
                <w:szCs w:val="16"/>
              </w:rPr>
              <w:t>*</w:t>
            </w:r>
          </w:p>
        </w:tc>
        <w:tc>
          <w:tcPr>
            <w:tcW w:w="450" w:type="pct"/>
            <w:vMerge w:val="restart"/>
            <w:shd w:val="clear" w:color="auto" w:fill="FFFFFF" w:themeFill="background1"/>
          </w:tcPr>
          <w:p w14:paraId="118B905B" w14:textId="77777777" w:rsidR="00830879" w:rsidRPr="006B4639" w:rsidRDefault="00830879" w:rsidP="00830879">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524" w:type="pct"/>
            <w:vMerge w:val="restart"/>
            <w:shd w:val="clear" w:color="auto" w:fill="FFFFFF" w:themeFill="background1"/>
          </w:tcPr>
          <w:p w14:paraId="322DADE1" w14:textId="77777777" w:rsidR="00830879" w:rsidRPr="006B4639" w:rsidRDefault="00830879" w:rsidP="00830879">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520" w:type="pct"/>
            <w:vMerge w:val="restart"/>
            <w:shd w:val="clear" w:color="auto" w:fill="FFFFFF" w:themeFill="background1"/>
          </w:tcPr>
          <w:p w14:paraId="1D745AC5" w14:textId="77777777" w:rsidR="00830879" w:rsidRPr="006B4639" w:rsidRDefault="00830879" w:rsidP="00830879">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r>
      <w:tr w:rsidR="002E6C06" w:rsidRPr="006B4639" w14:paraId="7047EE13" w14:textId="77777777" w:rsidTr="00830879">
        <w:trPr>
          <w:trHeight w:val="293"/>
        </w:trPr>
        <w:tc>
          <w:tcPr>
            <w:tcW w:w="957" w:type="pct"/>
            <w:gridSpan w:val="2"/>
            <w:vMerge/>
            <w:shd w:val="clear" w:color="auto" w:fill="FFFFFF" w:themeFill="background1"/>
          </w:tcPr>
          <w:p w14:paraId="6D4E3825" w14:textId="77777777" w:rsidR="00830879" w:rsidRPr="006B4639" w:rsidRDefault="00830879" w:rsidP="00830879">
            <w:pPr>
              <w:pStyle w:val="TableBodyText"/>
              <w:spacing w:before="20" w:after="40" w:line="240" w:lineRule="auto"/>
              <w:rPr>
                <w:rFonts w:asciiTheme="majorHAnsi" w:hAnsiTheme="majorHAnsi" w:cstheme="majorHAnsi"/>
                <w:sz w:val="16"/>
                <w:szCs w:val="16"/>
              </w:rPr>
            </w:pPr>
          </w:p>
        </w:tc>
        <w:tc>
          <w:tcPr>
            <w:tcW w:w="576" w:type="pct"/>
            <w:vMerge/>
            <w:shd w:val="clear" w:color="auto" w:fill="FFFFFF" w:themeFill="background1"/>
          </w:tcPr>
          <w:p w14:paraId="6CCCD5B4" w14:textId="77777777" w:rsidR="00830879" w:rsidRPr="006B4639" w:rsidRDefault="00830879" w:rsidP="00830879">
            <w:pPr>
              <w:pStyle w:val="TableBodyText"/>
              <w:spacing w:before="20" w:after="40" w:line="240" w:lineRule="auto"/>
              <w:rPr>
                <w:rFonts w:asciiTheme="majorHAnsi" w:eastAsiaTheme="minorEastAsia" w:hAnsiTheme="majorHAnsi" w:cstheme="majorHAnsi"/>
                <w:sz w:val="16"/>
                <w:szCs w:val="16"/>
              </w:rPr>
            </w:pPr>
          </w:p>
        </w:tc>
        <w:tc>
          <w:tcPr>
            <w:tcW w:w="577" w:type="pct"/>
            <w:shd w:val="clear" w:color="auto" w:fill="FFFFFF" w:themeFill="background1"/>
          </w:tcPr>
          <w:p w14:paraId="092F5ABF" w14:textId="77777777" w:rsidR="00830879" w:rsidRPr="006B4639" w:rsidRDefault="00830879" w:rsidP="00830879">
            <w:pPr>
              <w:pStyle w:val="TableBodyText"/>
              <w:spacing w:before="20" w:after="40" w:line="240" w:lineRule="auto"/>
              <w:rPr>
                <w:rFonts w:asciiTheme="majorHAnsi" w:eastAsiaTheme="minorEastAsia" w:hAnsiTheme="majorHAnsi" w:cstheme="majorHAnsi"/>
                <w:sz w:val="16"/>
                <w:szCs w:val="16"/>
              </w:rPr>
            </w:pPr>
            <w:r w:rsidRPr="006B4639">
              <w:rPr>
                <w:rFonts w:asciiTheme="majorHAnsi" w:eastAsiaTheme="minorEastAsia" w:hAnsiTheme="majorHAnsi" w:cstheme="majorHAnsi"/>
                <w:sz w:val="16"/>
                <w:szCs w:val="16"/>
              </w:rPr>
              <w:t>SP policies</w:t>
            </w:r>
          </w:p>
        </w:tc>
        <w:tc>
          <w:tcPr>
            <w:tcW w:w="478" w:type="pct"/>
            <w:vMerge/>
            <w:tcBorders>
              <w:bottom w:val="single" w:sz="4" w:space="0" w:color="auto"/>
            </w:tcBorders>
            <w:shd w:val="clear" w:color="auto" w:fill="FFFFFF" w:themeFill="background1"/>
          </w:tcPr>
          <w:p w14:paraId="78B90AB4" w14:textId="77777777" w:rsidR="00830879" w:rsidRPr="006B4639" w:rsidRDefault="00830879" w:rsidP="00830879">
            <w:pPr>
              <w:pStyle w:val="TableBodyText"/>
              <w:spacing w:before="20" w:after="40" w:line="240" w:lineRule="auto"/>
              <w:jc w:val="center"/>
              <w:rPr>
                <w:rFonts w:asciiTheme="majorHAnsi" w:hAnsiTheme="majorHAnsi" w:cstheme="majorHAnsi"/>
                <w:sz w:val="16"/>
                <w:szCs w:val="16"/>
              </w:rPr>
            </w:pPr>
          </w:p>
        </w:tc>
        <w:tc>
          <w:tcPr>
            <w:tcW w:w="430" w:type="pct"/>
            <w:vMerge/>
            <w:tcBorders>
              <w:bottom w:val="single" w:sz="4" w:space="0" w:color="auto"/>
            </w:tcBorders>
            <w:shd w:val="clear" w:color="auto" w:fill="FFFFFF" w:themeFill="background1"/>
          </w:tcPr>
          <w:p w14:paraId="6DDC99DE" w14:textId="77777777" w:rsidR="00830879" w:rsidRPr="006B4639" w:rsidRDefault="00830879" w:rsidP="00830879">
            <w:pPr>
              <w:pStyle w:val="TableBodyText"/>
              <w:spacing w:before="20" w:after="40" w:line="240" w:lineRule="auto"/>
              <w:jc w:val="center"/>
              <w:rPr>
                <w:rFonts w:asciiTheme="majorHAnsi" w:hAnsiTheme="majorHAnsi" w:cstheme="majorHAnsi"/>
                <w:sz w:val="16"/>
                <w:szCs w:val="16"/>
              </w:rPr>
            </w:pPr>
          </w:p>
        </w:tc>
        <w:tc>
          <w:tcPr>
            <w:tcW w:w="488" w:type="pct"/>
            <w:shd w:val="clear" w:color="auto" w:fill="E1E2E7" w:themeFill="background2"/>
          </w:tcPr>
          <w:p w14:paraId="4307CADD" w14:textId="77777777" w:rsidR="00830879" w:rsidRPr="006B4639" w:rsidRDefault="00830879" w:rsidP="00830879">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sym w:font="Wingdings" w:char="F0FB"/>
            </w:r>
          </w:p>
        </w:tc>
        <w:tc>
          <w:tcPr>
            <w:tcW w:w="450" w:type="pct"/>
            <w:vMerge/>
            <w:shd w:val="clear" w:color="auto" w:fill="FFFFFF" w:themeFill="background1"/>
          </w:tcPr>
          <w:p w14:paraId="1CFE6BCF" w14:textId="77777777" w:rsidR="00830879" w:rsidRPr="006B4639" w:rsidRDefault="00830879" w:rsidP="00830879">
            <w:pPr>
              <w:pStyle w:val="TableBodyText"/>
              <w:spacing w:before="20" w:after="40" w:line="240" w:lineRule="auto"/>
              <w:jc w:val="center"/>
              <w:rPr>
                <w:rFonts w:asciiTheme="majorHAnsi" w:hAnsiTheme="majorHAnsi" w:cstheme="majorHAnsi"/>
                <w:sz w:val="16"/>
                <w:szCs w:val="16"/>
              </w:rPr>
            </w:pPr>
          </w:p>
        </w:tc>
        <w:tc>
          <w:tcPr>
            <w:tcW w:w="524" w:type="pct"/>
            <w:vMerge/>
            <w:shd w:val="clear" w:color="auto" w:fill="FFFFFF" w:themeFill="background1"/>
          </w:tcPr>
          <w:p w14:paraId="677AB0C6" w14:textId="77777777" w:rsidR="00830879" w:rsidRPr="006B4639" w:rsidRDefault="00830879" w:rsidP="00830879">
            <w:pPr>
              <w:pStyle w:val="TableBodyText"/>
              <w:spacing w:before="20" w:after="40" w:line="240" w:lineRule="auto"/>
              <w:jc w:val="center"/>
              <w:rPr>
                <w:rFonts w:asciiTheme="majorHAnsi" w:hAnsiTheme="majorHAnsi" w:cstheme="majorHAnsi"/>
                <w:sz w:val="16"/>
                <w:szCs w:val="16"/>
              </w:rPr>
            </w:pPr>
          </w:p>
        </w:tc>
        <w:tc>
          <w:tcPr>
            <w:tcW w:w="520" w:type="pct"/>
            <w:vMerge/>
            <w:shd w:val="clear" w:color="auto" w:fill="FFFFFF" w:themeFill="background1"/>
          </w:tcPr>
          <w:p w14:paraId="68DC8E31" w14:textId="77777777" w:rsidR="00830879" w:rsidRPr="006B4639" w:rsidRDefault="00830879" w:rsidP="00830879">
            <w:pPr>
              <w:pStyle w:val="TableBodyText"/>
              <w:spacing w:before="20" w:after="40" w:line="240" w:lineRule="auto"/>
              <w:jc w:val="center"/>
              <w:rPr>
                <w:rFonts w:asciiTheme="majorHAnsi" w:hAnsiTheme="majorHAnsi" w:cstheme="majorHAnsi"/>
                <w:sz w:val="16"/>
                <w:szCs w:val="16"/>
              </w:rPr>
            </w:pPr>
          </w:p>
        </w:tc>
      </w:tr>
      <w:tr w:rsidR="00C275CB" w:rsidRPr="006B4639" w14:paraId="1FE57415" w14:textId="77777777" w:rsidTr="00830879">
        <w:trPr>
          <w:cnfStyle w:val="000000010000" w:firstRow="0" w:lastRow="0" w:firstColumn="0" w:lastColumn="0" w:oddVBand="0" w:evenVBand="0" w:oddHBand="0" w:evenHBand="1" w:firstRowFirstColumn="0" w:firstRowLastColumn="0" w:lastRowFirstColumn="0" w:lastRowLastColumn="0"/>
        </w:trPr>
        <w:tc>
          <w:tcPr>
            <w:tcW w:w="957" w:type="pct"/>
            <w:gridSpan w:val="2"/>
            <w:shd w:val="clear" w:color="auto" w:fill="auto"/>
          </w:tcPr>
          <w:p w14:paraId="12854DE9" w14:textId="77777777" w:rsidR="00E13DA2" w:rsidRPr="006B4639" w:rsidRDefault="00830879" w:rsidP="00E13DA2">
            <w:pPr>
              <w:pStyle w:val="TableBodyText"/>
              <w:spacing w:before="20" w:after="40" w:line="240" w:lineRule="auto"/>
              <w:rPr>
                <w:rFonts w:asciiTheme="majorHAnsi" w:hAnsiTheme="majorHAnsi" w:cstheme="majorHAnsi"/>
                <w:sz w:val="16"/>
                <w:szCs w:val="16"/>
              </w:rPr>
            </w:pPr>
            <w:r w:rsidRPr="006B4639">
              <w:rPr>
                <w:rFonts w:asciiTheme="majorHAnsi" w:hAnsiTheme="majorHAnsi" w:cstheme="majorHAnsi"/>
                <w:sz w:val="16"/>
                <w:szCs w:val="16"/>
              </w:rPr>
              <w:t xml:space="preserve">Pipeline service information </w:t>
            </w:r>
          </w:p>
        </w:tc>
        <w:tc>
          <w:tcPr>
            <w:tcW w:w="1153" w:type="pct"/>
            <w:gridSpan w:val="2"/>
            <w:shd w:val="clear" w:color="auto" w:fill="auto"/>
          </w:tcPr>
          <w:p w14:paraId="1F0A92A0" w14:textId="77777777" w:rsidR="00E13DA2" w:rsidRPr="006B4639" w:rsidRDefault="00E13DA2" w:rsidP="00E13DA2">
            <w:pPr>
              <w:pStyle w:val="TableBodyText"/>
              <w:spacing w:before="20" w:after="40" w:line="240" w:lineRule="auto"/>
              <w:rPr>
                <w:rFonts w:asciiTheme="majorHAnsi" w:eastAsiaTheme="minorEastAsia" w:hAnsiTheme="majorHAnsi" w:cstheme="majorHAnsi"/>
                <w:sz w:val="16"/>
                <w:szCs w:val="16"/>
              </w:rPr>
            </w:pPr>
            <w:r w:rsidRPr="006B4639">
              <w:rPr>
                <w:rFonts w:asciiTheme="majorHAnsi" w:eastAsiaTheme="minorEastAsia" w:hAnsiTheme="majorHAnsi" w:cstheme="majorHAnsi"/>
                <w:sz w:val="16"/>
                <w:szCs w:val="16"/>
              </w:rPr>
              <w:t>Description of all services offered, locational limitations on availability and priority ranking of services</w:t>
            </w:r>
          </w:p>
        </w:tc>
        <w:tc>
          <w:tcPr>
            <w:tcW w:w="478" w:type="pct"/>
            <w:tcBorders>
              <w:bottom w:val="single" w:sz="4" w:space="0" w:color="auto"/>
            </w:tcBorders>
          </w:tcPr>
          <w:p w14:paraId="73A7D9B1"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AA on SP Website (reference services only)</w:t>
            </w:r>
          </w:p>
        </w:tc>
        <w:tc>
          <w:tcPr>
            <w:tcW w:w="430" w:type="pct"/>
            <w:tcBorders>
              <w:bottom w:val="single" w:sz="4" w:space="0" w:color="auto"/>
            </w:tcBorders>
          </w:tcPr>
          <w:p w14:paraId="095745C7" w14:textId="77777777" w:rsidR="00E13DA2" w:rsidRPr="006B4639" w:rsidRDefault="00651914"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AA on SP Website (reference services only)</w:t>
            </w:r>
          </w:p>
        </w:tc>
        <w:tc>
          <w:tcPr>
            <w:tcW w:w="488" w:type="pct"/>
            <w:shd w:val="clear" w:color="auto" w:fill="FFFFFF" w:themeFill="background1"/>
          </w:tcPr>
          <w:p w14:paraId="741C9B1D" w14:textId="77777777" w:rsidR="00E13DA2" w:rsidRPr="006B4639" w:rsidRDefault="00651914"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450" w:type="pct"/>
            <w:shd w:val="clear" w:color="auto" w:fill="FFFFFF" w:themeFill="background1"/>
          </w:tcPr>
          <w:p w14:paraId="08778DBE"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524" w:type="pct"/>
            <w:shd w:val="clear" w:color="auto" w:fill="auto"/>
          </w:tcPr>
          <w:p w14:paraId="6D855C35"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520" w:type="pct"/>
            <w:shd w:val="clear" w:color="auto" w:fill="auto"/>
          </w:tcPr>
          <w:p w14:paraId="302F4136"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r>
      <w:tr w:rsidR="00C275CB" w:rsidRPr="006B4639" w14:paraId="3C1CCED3" w14:textId="77777777" w:rsidTr="00830879">
        <w:tc>
          <w:tcPr>
            <w:tcW w:w="957" w:type="pct"/>
            <w:gridSpan w:val="2"/>
            <w:vMerge w:val="restart"/>
            <w:shd w:val="clear" w:color="auto" w:fill="auto"/>
          </w:tcPr>
          <w:p w14:paraId="40A31DB3" w14:textId="77777777" w:rsidR="00E13DA2" w:rsidRPr="006B4639" w:rsidRDefault="00830879" w:rsidP="00E13DA2">
            <w:pPr>
              <w:pStyle w:val="TableBodyText"/>
              <w:spacing w:before="20" w:after="40" w:line="240" w:lineRule="auto"/>
              <w:rPr>
                <w:rFonts w:asciiTheme="majorHAnsi" w:hAnsiTheme="majorHAnsi" w:cstheme="majorHAnsi"/>
                <w:sz w:val="16"/>
                <w:szCs w:val="16"/>
              </w:rPr>
            </w:pPr>
            <w:r w:rsidRPr="006B4639">
              <w:rPr>
                <w:rFonts w:asciiTheme="majorHAnsi" w:hAnsiTheme="majorHAnsi" w:cstheme="majorHAnsi"/>
                <w:sz w:val="16"/>
                <w:szCs w:val="16"/>
              </w:rPr>
              <w:t>Standing terms</w:t>
            </w:r>
          </w:p>
        </w:tc>
        <w:tc>
          <w:tcPr>
            <w:tcW w:w="1153" w:type="pct"/>
            <w:gridSpan w:val="2"/>
            <w:shd w:val="clear" w:color="auto" w:fill="auto"/>
          </w:tcPr>
          <w:p w14:paraId="4CB72E39" w14:textId="77777777" w:rsidR="00E13DA2" w:rsidRPr="006B4639" w:rsidRDefault="00E13DA2" w:rsidP="00E13DA2">
            <w:pPr>
              <w:pStyle w:val="TableBodyText"/>
              <w:spacing w:before="20" w:after="40" w:line="240" w:lineRule="auto"/>
              <w:rPr>
                <w:rFonts w:asciiTheme="majorHAnsi" w:eastAsiaTheme="minorEastAsia" w:hAnsiTheme="majorHAnsi" w:cstheme="majorHAnsi"/>
                <w:sz w:val="16"/>
                <w:szCs w:val="16"/>
              </w:rPr>
            </w:pPr>
            <w:r w:rsidRPr="006B4639">
              <w:rPr>
                <w:rFonts w:asciiTheme="majorHAnsi" w:eastAsiaTheme="minorEastAsia" w:hAnsiTheme="majorHAnsi" w:cstheme="majorHAnsi"/>
                <w:sz w:val="16"/>
                <w:szCs w:val="16"/>
              </w:rPr>
              <w:t xml:space="preserve">Standing price and terms and conditions for each service </w:t>
            </w:r>
          </w:p>
        </w:tc>
        <w:tc>
          <w:tcPr>
            <w:tcW w:w="908" w:type="pct"/>
            <w:gridSpan w:val="2"/>
            <w:tcBorders>
              <w:bottom w:val="single" w:sz="4" w:space="0" w:color="auto"/>
            </w:tcBorders>
          </w:tcPr>
          <w:p w14:paraId="2A752483"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AA on SP Website</w:t>
            </w:r>
            <w:r w:rsidRPr="006B4639">
              <w:rPr>
                <w:rFonts w:asciiTheme="majorHAnsi" w:hAnsiTheme="majorHAnsi" w:cstheme="majorHAnsi"/>
                <w:sz w:val="16"/>
                <w:szCs w:val="16"/>
              </w:rPr>
              <w:br/>
              <w:t>(reference services only)</w:t>
            </w:r>
          </w:p>
        </w:tc>
        <w:tc>
          <w:tcPr>
            <w:tcW w:w="488" w:type="pct"/>
            <w:shd w:val="clear" w:color="auto" w:fill="auto"/>
          </w:tcPr>
          <w:p w14:paraId="6B068D54"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450" w:type="pct"/>
            <w:shd w:val="clear" w:color="auto" w:fill="auto"/>
          </w:tcPr>
          <w:p w14:paraId="7568C440"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524" w:type="pct"/>
            <w:shd w:val="clear" w:color="auto" w:fill="auto"/>
          </w:tcPr>
          <w:p w14:paraId="4F3DCB74"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520" w:type="pct"/>
            <w:shd w:val="clear" w:color="auto" w:fill="auto"/>
          </w:tcPr>
          <w:p w14:paraId="10B2F2E4"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r>
      <w:tr w:rsidR="00C275CB" w:rsidRPr="006B4639" w14:paraId="61D6A5F7" w14:textId="77777777" w:rsidTr="00830879">
        <w:trPr>
          <w:cnfStyle w:val="000000010000" w:firstRow="0" w:lastRow="0" w:firstColumn="0" w:lastColumn="0" w:oddVBand="0" w:evenVBand="0" w:oddHBand="0" w:evenHBand="1" w:firstRowFirstColumn="0" w:firstRowLastColumn="0" w:lastRowFirstColumn="0" w:lastRowLastColumn="0"/>
        </w:trPr>
        <w:tc>
          <w:tcPr>
            <w:tcW w:w="957" w:type="pct"/>
            <w:gridSpan w:val="2"/>
            <w:vMerge/>
            <w:shd w:val="clear" w:color="auto" w:fill="auto"/>
          </w:tcPr>
          <w:p w14:paraId="38373EC2" w14:textId="77777777" w:rsidR="00E13DA2" w:rsidRPr="006B4639" w:rsidRDefault="00E13DA2" w:rsidP="00E13DA2">
            <w:pPr>
              <w:pStyle w:val="TableBodyText"/>
              <w:spacing w:before="20" w:after="40" w:line="240" w:lineRule="auto"/>
              <w:rPr>
                <w:rFonts w:asciiTheme="majorHAnsi" w:hAnsiTheme="majorHAnsi" w:cstheme="majorHAnsi"/>
                <w:sz w:val="16"/>
                <w:szCs w:val="16"/>
              </w:rPr>
            </w:pPr>
          </w:p>
        </w:tc>
        <w:tc>
          <w:tcPr>
            <w:tcW w:w="1153" w:type="pct"/>
            <w:gridSpan w:val="2"/>
            <w:shd w:val="clear" w:color="auto" w:fill="auto"/>
          </w:tcPr>
          <w:p w14:paraId="3A6F649B" w14:textId="77777777" w:rsidR="00E13DA2" w:rsidRPr="006B4639" w:rsidRDefault="00E13DA2" w:rsidP="00E13DA2">
            <w:pPr>
              <w:pStyle w:val="TableBodyText"/>
              <w:spacing w:before="20" w:after="40" w:line="240" w:lineRule="auto"/>
              <w:rPr>
                <w:rFonts w:asciiTheme="majorHAnsi" w:eastAsiaTheme="minorEastAsia" w:hAnsiTheme="majorHAnsi" w:cstheme="majorHAnsi"/>
                <w:sz w:val="16"/>
                <w:szCs w:val="16"/>
              </w:rPr>
            </w:pPr>
            <w:r w:rsidRPr="006B4639">
              <w:rPr>
                <w:rFonts w:asciiTheme="majorHAnsi" w:eastAsiaTheme="minorEastAsia" w:hAnsiTheme="majorHAnsi" w:cstheme="majorHAnsi"/>
                <w:sz w:val="16"/>
                <w:szCs w:val="16"/>
              </w:rPr>
              <w:t>Method used to calculate standing price for each service and sufficient information to enable users to understand how price reflects application of method</w:t>
            </w:r>
          </w:p>
        </w:tc>
        <w:tc>
          <w:tcPr>
            <w:tcW w:w="908" w:type="pct"/>
            <w:gridSpan w:val="2"/>
          </w:tcPr>
          <w:p w14:paraId="5E7356C3"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AA on SP Website</w:t>
            </w:r>
            <w:r w:rsidRPr="006B4639">
              <w:rPr>
                <w:rFonts w:asciiTheme="majorHAnsi" w:hAnsiTheme="majorHAnsi" w:cstheme="majorHAnsi"/>
                <w:sz w:val="16"/>
                <w:szCs w:val="16"/>
              </w:rPr>
              <w:br/>
              <w:t>(reference services only)</w:t>
            </w:r>
          </w:p>
        </w:tc>
        <w:tc>
          <w:tcPr>
            <w:tcW w:w="488" w:type="pct"/>
            <w:tcBorders>
              <w:bottom w:val="single" w:sz="4" w:space="0" w:color="auto"/>
            </w:tcBorders>
            <w:shd w:val="clear" w:color="auto" w:fill="auto"/>
          </w:tcPr>
          <w:p w14:paraId="09D4697C"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450" w:type="pct"/>
            <w:shd w:val="clear" w:color="auto" w:fill="auto"/>
          </w:tcPr>
          <w:p w14:paraId="34DF6A14"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524" w:type="pct"/>
            <w:shd w:val="clear" w:color="auto" w:fill="auto"/>
          </w:tcPr>
          <w:p w14:paraId="79F5454C"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520" w:type="pct"/>
            <w:shd w:val="clear" w:color="auto" w:fill="auto"/>
          </w:tcPr>
          <w:p w14:paraId="5170721D"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r>
      <w:tr w:rsidR="005E6EA4" w:rsidRPr="006B4639" w14:paraId="6B38AB33" w14:textId="77777777" w:rsidTr="00830879">
        <w:tc>
          <w:tcPr>
            <w:tcW w:w="957" w:type="pct"/>
            <w:gridSpan w:val="2"/>
            <w:vMerge w:val="restart"/>
            <w:shd w:val="clear" w:color="auto" w:fill="auto"/>
          </w:tcPr>
          <w:p w14:paraId="02A9CFFF" w14:textId="77777777" w:rsidR="005E6EA4" w:rsidRPr="006B4639" w:rsidRDefault="005E6EA4" w:rsidP="005E6EA4">
            <w:pPr>
              <w:pStyle w:val="TableBodyText"/>
              <w:spacing w:before="20" w:after="40" w:line="240" w:lineRule="auto"/>
              <w:rPr>
                <w:rFonts w:asciiTheme="majorHAnsi" w:hAnsiTheme="majorHAnsi" w:cstheme="majorHAnsi"/>
                <w:sz w:val="16"/>
                <w:szCs w:val="16"/>
              </w:rPr>
            </w:pPr>
            <w:r w:rsidRPr="006B4639">
              <w:rPr>
                <w:rFonts w:asciiTheme="majorHAnsi" w:hAnsiTheme="majorHAnsi" w:cstheme="majorHAnsi"/>
                <w:sz w:val="16"/>
                <w:szCs w:val="16"/>
              </w:rPr>
              <w:t>Service availability information</w:t>
            </w:r>
          </w:p>
        </w:tc>
        <w:tc>
          <w:tcPr>
            <w:tcW w:w="1153" w:type="pct"/>
            <w:gridSpan w:val="2"/>
            <w:shd w:val="clear" w:color="auto" w:fill="auto"/>
          </w:tcPr>
          <w:p w14:paraId="479D2641" w14:textId="77777777" w:rsidR="005E6EA4" w:rsidRPr="006B4639" w:rsidRDefault="005E6EA4" w:rsidP="005E6EA4">
            <w:pPr>
              <w:pStyle w:val="TableBodyText"/>
              <w:spacing w:before="20" w:after="40" w:line="240" w:lineRule="auto"/>
              <w:rPr>
                <w:rFonts w:asciiTheme="majorHAnsi" w:eastAsiaTheme="minorEastAsia" w:hAnsiTheme="majorHAnsi" w:cstheme="majorHAnsi"/>
                <w:sz w:val="16"/>
                <w:szCs w:val="16"/>
              </w:rPr>
            </w:pPr>
            <w:r w:rsidRPr="006B4639">
              <w:rPr>
                <w:rFonts w:asciiTheme="majorHAnsi" w:eastAsiaTheme="minorEastAsia" w:hAnsiTheme="majorHAnsi" w:cstheme="majorHAnsi"/>
                <w:sz w:val="16"/>
                <w:szCs w:val="16"/>
              </w:rPr>
              <w:t>Outlook of uncontracted primary capacity for each month in the following 36-mths</w:t>
            </w:r>
          </w:p>
        </w:tc>
        <w:tc>
          <w:tcPr>
            <w:tcW w:w="478" w:type="pct"/>
          </w:tcPr>
          <w:p w14:paraId="72D1636E" w14:textId="58416CA1" w:rsidR="005E6EA4" w:rsidRPr="006B4639" w:rsidRDefault="005E6EA4" w:rsidP="005E6EA4">
            <w:pPr>
              <w:pStyle w:val="TableBodyText"/>
              <w:spacing w:before="20" w:after="40" w:line="240" w:lineRule="auto"/>
              <w:jc w:val="center"/>
              <w:rPr>
                <w:rFonts w:asciiTheme="majorHAnsi" w:hAnsiTheme="majorHAnsi" w:cstheme="majorHAnsi"/>
                <w:sz w:val="16"/>
                <w:szCs w:val="16"/>
              </w:rPr>
            </w:pPr>
            <w:r>
              <w:rPr>
                <w:rFonts w:asciiTheme="majorHAnsi" w:hAnsiTheme="majorHAnsi" w:cstheme="majorHAnsi"/>
                <w:sz w:val="16"/>
                <w:szCs w:val="16"/>
              </w:rPr>
              <w:t xml:space="preserve">BB </w:t>
            </w:r>
          </w:p>
        </w:tc>
        <w:tc>
          <w:tcPr>
            <w:tcW w:w="430" w:type="pct"/>
          </w:tcPr>
          <w:p w14:paraId="65E05F4E" w14:textId="77777777" w:rsidR="005E6EA4" w:rsidRPr="006B4639" w:rsidRDefault="005E6EA4" w:rsidP="005E6EA4">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r w:rsidRPr="006B4639">
              <w:rPr>
                <w:rFonts w:asciiTheme="majorHAnsi" w:eastAsiaTheme="minorEastAsia" w:hAnsiTheme="majorHAnsi" w:cstheme="majorHAnsi"/>
                <w:sz w:val="16"/>
                <w:szCs w:val="16"/>
              </w:rPr>
              <w:t xml:space="preserve"> (large distribution pipelines only)</w:t>
            </w:r>
          </w:p>
        </w:tc>
        <w:tc>
          <w:tcPr>
            <w:tcW w:w="488" w:type="pct"/>
          </w:tcPr>
          <w:p w14:paraId="6BB52659" w14:textId="6D5F31BF" w:rsidR="005E6EA4" w:rsidRPr="006B4639" w:rsidRDefault="005E6EA4" w:rsidP="005E6EA4">
            <w:pPr>
              <w:pStyle w:val="TableBodyText"/>
              <w:spacing w:before="20" w:after="40" w:line="240" w:lineRule="auto"/>
              <w:jc w:val="center"/>
              <w:rPr>
                <w:rFonts w:asciiTheme="majorHAnsi" w:hAnsiTheme="majorHAnsi" w:cstheme="majorHAnsi"/>
                <w:sz w:val="16"/>
                <w:szCs w:val="16"/>
              </w:rPr>
            </w:pPr>
            <w:r>
              <w:rPr>
                <w:rFonts w:asciiTheme="majorHAnsi" w:hAnsiTheme="majorHAnsi" w:cstheme="majorHAnsi"/>
                <w:sz w:val="16"/>
                <w:szCs w:val="16"/>
              </w:rPr>
              <w:t xml:space="preserve">BB </w:t>
            </w:r>
          </w:p>
        </w:tc>
        <w:tc>
          <w:tcPr>
            <w:tcW w:w="450" w:type="pct"/>
          </w:tcPr>
          <w:p w14:paraId="1F8D1D91" w14:textId="77777777" w:rsidR="005E6EA4" w:rsidRPr="006B4639" w:rsidRDefault="005E6EA4" w:rsidP="005E6EA4">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r w:rsidRPr="006B4639">
              <w:rPr>
                <w:rFonts w:asciiTheme="majorHAnsi" w:eastAsiaTheme="minorEastAsia" w:hAnsiTheme="majorHAnsi" w:cstheme="majorHAnsi"/>
                <w:sz w:val="16"/>
                <w:szCs w:val="16"/>
              </w:rPr>
              <w:t xml:space="preserve"> (large distribution pipelines only)</w:t>
            </w:r>
          </w:p>
        </w:tc>
        <w:tc>
          <w:tcPr>
            <w:tcW w:w="524" w:type="pct"/>
            <w:shd w:val="clear" w:color="auto" w:fill="auto"/>
          </w:tcPr>
          <w:p w14:paraId="03B4199F" w14:textId="78045B21" w:rsidR="005E6EA4" w:rsidRPr="006B4639" w:rsidRDefault="005E6EA4" w:rsidP="005E6EA4">
            <w:pPr>
              <w:pStyle w:val="TableBodyText"/>
              <w:spacing w:before="20" w:after="40" w:line="240" w:lineRule="auto"/>
              <w:jc w:val="center"/>
              <w:rPr>
                <w:rFonts w:asciiTheme="majorHAnsi" w:hAnsiTheme="majorHAnsi" w:cstheme="majorHAnsi"/>
                <w:sz w:val="16"/>
                <w:szCs w:val="16"/>
              </w:rPr>
            </w:pPr>
            <w:r w:rsidRPr="00AB75E2">
              <w:rPr>
                <w:rFonts w:asciiTheme="majorHAnsi" w:hAnsiTheme="majorHAnsi" w:cstheme="majorHAnsi"/>
                <w:sz w:val="16"/>
                <w:szCs w:val="16"/>
              </w:rPr>
              <w:t xml:space="preserve">SP Website </w:t>
            </w:r>
            <w:r>
              <w:rPr>
                <w:rFonts w:asciiTheme="majorHAnsi" w:hAnsiTheme="majorHAnsi" w:cstheme="majorHAnsi"/>
                <w:sz w:val="16"/>
                <w:szCs w:val="16"/>
              </w:rPr>
              <w:br/>
            </w:r>
            <w:r w:rsidRPr="00AB75E2">
              <w:rPr>
                <w:rFonts w:asciiTheme="majorHAnsi" w:hAnsiTheme="majorHAnsi" w:cstheme="majorHAnsi"/>
                <w:sz w:val="16"/>
                <w:szCs w:val="16"/>
              </w:rPr>
              <w:t>(or BB or GBB)</w:t>
            </w:r>
          </w:p>
        </w:tc>
        <w:tc>
          <w:tcPr>
            <w:tcW w:w="520" w:type="pct"/>
            <w:shd w:val="clear" w:color="auto" w:fill="auto"/>
          </w:tcPr>
          <w:p w14:paraId="2F47A95A" w14:textId="77777777" w:rsidR="005E6EA4" w:rsidRPr="006B4639" w:rsidRDefault="005E6EA4" w:rsidP="005E6EA4">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r>
      <w:tr w:rsidR="005E6EA4" w:rsidRPr="006B4639" w14:paraId="6DF88DD2" w14:textId="77777777" w:rsidTr="00830879">
        <w:trPr>
          <w:cnfStyle w:val="000000010000" w:firstRow="0" w:lastRow="0" w:firstColumn="0" w:lastColumn="0" w:oddVBand="0" w:evenVBand="0" w:oddHBand="0" w:evenHBand="1" w:firstRowFirstColumn="0" w:firstRowLastColumn="0" w:lastRowFirstColumn="0" w:lastRowLastColumn="0"/>
        </w:trPr>
        <w:tc>
          <w:tcPr>
            <w:tcW w:w="957" w:type="pct"/>
            <w:gridSpan w:val="2"/>
            <w:vMerge/>
            <w:shd w:val="clear" w:color="auto" w:fill="auto"/>
          </w:tcPr>
          <w:p w14:paraId="780CA4A2" w14:textId="77777777" w:rsidR="005E6EA4" w:rsidRPr="006B4639" w:rsidRDefault="005E6EA4" w:rsidP="005E6EA4">
            <w:pPr>
              <w:pStyle w:val="TableBodyText"/>
              <w:spacing w:before="20" w:after="40" w:line="240" w:lineRule="auto"/>
              <w:rPr>
                <w:rFonts w:asciiTheme="majorHAnsi" w:hAnsiTheme="majorHAnsi" w:cstheme="majorHAnsi"/>
                <w:sz w:val="16"/>
                <w:szCs w:val="16"/>
              </w:rPr>
            </w:pPr>
          </w:p>
        </w:tc>
        <w:tc>
          <w:tcPr>
            <w:tcW w:w="1153" w:type="pct"/>
            <w:gridSpan w:val="2"/>
            <w:shd w:val="clear" w:color="auto" w:fill="auto"/>
          </w:tcPr>
          <w:p w14:paraId="1814C447" w14:textId="77777777" w:rsidR="005E6EA4" w:rsidRPr="006B4639" w:rsidRDefault="005E6EA4" w:rsidP="005E6EA4">
            <w:pPr>
              <w:pStyle w:val="TableBodyText"/>
              <w:spacing w:before="20" w:after="40" w:line="240" w:lineRule="auto"/>
              <w:rPr>
                <w:rFonts w:asciiTheme="majorHAnsi" w:eastAsiaTheme="minorEastAsia" w:hAnsiTheme="majorHAnsi" w:cstheme="majorHAnsi"/>
                <w:sz w:val="16"/>
                <w:szCs w:val="16"/>
              </w:rPr>
            </w:pPr>
            <w:r w:rsidRPr="006B4639">
              <w:rPr>
                <w:rFonts w:asciiTheme="majorHAnsi" w:eastAsiaTheme="minorEastAsia" w:hAnsiTheme="majorHAnsi" w:cstheme="majorHAnsi"/>
                <w:sz w:val="16"/>
                <w:szCs w:val="16"/>
              </w:rPr>
              <w:t xml:space="preserve">Information about matters (including planned expansions) expected to affect capacity in the following 12-mths </w:t>
            </w:r>
          </w:p>
        </w:tc>
        <w:tc>
          <w:tcPr>
            <w:tcW w:w="478" w:type="pct"/>
            <w:tcBorders>
              <w:bottom w:val="single" w:sz="4" w:space="0" w:color="auto"/>
            </w:tcBorders>
          </w:tcPr>
          <w:p w14:paraId="6FBAA125" w14:textId="6F11A9B9" w:rsidR="005E6EA4" w:rsidRPr="006B4639" w:rsidRDefault="005E6EA4" w:rsidP="005E6EA4">
            <w:pPr>
              <w:pStyle w:val="TableBodyText"/>
              <w:spacing w:before="20" w:after="40" w:line="240" w:lineRule="auto"/>
              <w:jc w:val="center"/>
              <w:rPr>
                <w:rFonts w:asciiTheme="majorHAnsi" w:hAnsiTheme="majorHAnsi" w:cstheme="majorHAnsi"/>
                <w:sz w:val="16"/>
                <w:szCs w:val="16"/>
              </w:rPr>
            </w:pPr>
            <w:r>
              <w:rPr>
                <w:rFonts w:asciiTheme="majorHAnsi" w:hAnsiTheme="majorHAnsi" w:cstheme="majorHAnsi"/>
                <w:sz w:val="16"/>
                <w:szCs w:val="16"/>
              </w:rPr>
              <w:t>BB and GBB</w:t>
            </w:r>
            <w:r w:rsidRPr="006B4639">
              <w:rPr>
                <w:rFonts w:asciiTheme="majorHAnsi" w:hAnsiTheme="majorHAnsi" w:cstheme="majorHAnsi"/>
                <w:sz w:val="16"/>
                <w:szCs w:val="16"/>
              </w:rPr>
              <w:br/>
            </w:r>
            <w:r w:rsidRPr="006B4639">
              <w:rPr>
                <w:rFonts w:asciiTheme="majorHAnsi" w:eastAsiaTheme="minorEastAsia" w:hAnsiTheme="majorHAnsi" w:cstheme="majorHAnsi"/>
                <w:sz w:val="16"/>
                <w:szCs w:val="16"/>
              </w:rPr>
              <w:t xml:space="preserve">(planned expansions </w:t>
            </w:r>
            <w:r>
              <w:rPr>
                <w:rFonts w:asciiTheme="majorHAnsi" w:eastAsiaTheme="minorEastAsia" w:hAnsiTheme="majorHAnsi" w:cstheme="majorHAnsi"/>
                <w:sz w:val="16"/>
                <w:szCs w:val="16"/>
              </w:rPr>
              <w:t>info only available on BB</w:t>
            </w:r>
            <w:r w:rsidRPr="006B4639">
              <w:rPr>
                <w:rFonts w:asciiTheme="majorHAnsi" w:eastAsiaTheme="minorEastAsia" w:hAnsiTheme="majorHAnsi" w:cstheme="majorHAnsi"/>
                <w:sz w:val="16"/>
                <w:szCs w:val="16"/>
              </w:rPr>
              <w:t>)</w:t>
            </w:r>
          </w:p>
        </w:tc>
        <w:tc>
          <w:tcPr>
            <w:tcW w:w="430" w:type="pct"/>
            <w:tcBorders>
              <w:bottom w:val="single" w:sz="4" w:space="0" w:color="auto"/>
            </w:tcBorders>
          </w:tcPr>
          <w:p w14:paraId="65C501F9" w14:textId="77777777" w:rsidR="005E6EA4" w:rsidRPr="006B4639" w:rsidRDefault="005E6EA4" w:rsidP="005E6EA4">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r w:rsidRPr="006B4639">
              <w:rPr>
                <w:rFonts w:asciiTheme="majorHAnsi" w:eastAsiaTheme="minorEastAsia" w:hAnsiTheme="majorHAnsi" w:cstheme="majorHAnsi"/>
                <w:sz w:val="16"/>
                <w:szCs w:val="16"/>
              </w:rPr>
              <w:t xml:space="preserve"> (large distribution pipelines only)</w:t>
            </w:r>
          </w:p>
        </w:tc>
        <w:tc>
          <w:tcPr>
            <w:tcW w:w="488" w:type="pct"/>
          </w:tcPr>
          <w:p w14:paraId="51E99F46" w14:textId="567CBC72" w:rsidR="005E6EA4" w:rsidRPr="006B4639" w:rsidRDefault="005E6EA4" w:rsidP="005E6EA4">
            <w:pPr>
              <w:pStyle w:val="TableBodyText"/>
              <w:spacing w:before="20" w:after="40" w:line="240" w:lineRule="auto"/>
              <w:jc w:val="center"/>
              <w:rPr>
                <w:rFonts w:asciiTheme="majorHAnsi" w:hAnsiTheme="majorHAnsi" w:cstheme="majorHAnsi"/>
                <w:sz w:val="16"/>
                <w:szCs w:val="16"/>
              </w:rPr>
            </w:pPr>
            <w:r>
              <w:rPr>
                <w:rFonts w:asciiTheme="majorHAnsi" w:hAnsiTheme="majorHAnsi" w:cstheme="majorHAnsi"/>
                <w:sz w:val="16"/>
                <w:szCs w:val="16"/>
              </w:rPr>
              <w:t>BB and GBB</w:t>
            </w:r>
            <w:r w:rsidRPr="006B4639">
              <w:rPr>
                <w:rFonts w:asciiTheme="majorHAnsi" w:hAnsiTheme="majorHAnsi" w:cstheme="majorHAnsi"/>
                <w:sz w:val="16"/>
                <w:szCs w:val="16"/>
              </w:rPr>
              <w:br/>
            </w:r>
            <w:r w:rsidRPr="006B4639">
              <w:rPr>
                <w:rFonts w:asciiTheme="majorHAnsi" w:eastAsiaTheme="minorEastAsia" w:hAnsiTheme="majorHAnsi" w:cstheme="majorHAnsi"/>
                <w:sz w:val="16"/>
                <w:szCs w:val="16"/>
              </w:rPr>
              <w:t xml:space="preserve">(planned expansions </w:t>
            </w:r>
            <w:r>
              <w:rPr>
                <w:rFonts w:asciiTheme="majorHAnsi" w:eastAsiaTheme="minorEastAsia" w:hAnsiTheme="majorHAnsi" w:cstheme="majorHAnsi"/>
                <w:sz w:val="16"/>
                <w:szCs w:val="16"/>
              </w:rPr>
              <w:t>info only available on BB</w:t>
            </w:r>
            <w:r w:rsidRPr="006B4639">
              <w:rPr>
                <w:rFonts w:asciiTheme="majorHAnsi" w:eastAsiaTheme="minorEastAsia" w:hAnsiTheme="majorHAnsi" w:cstheme="majorHAnsi"/>
                <w:sz w:val="16"/>
                <w:szCs w:val="16"/>
              </w:rPr>
              <w:t>)</w:t>
            </w:r>
          </w:p>
        </w:tc>
        <w:tc>
          <w:tcPr>
            <w:tcW w:w="450" w:type="pct"/>
          </w:tcPr>
          <w:p w14:paraId="0A9016E7" w14:textId="77777777" w:rsidR="005E6EA4" w:rsidRPr="006B4639" w:rsidRDefault="005E6EA4" w:rsidP="005E6EA4">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r w:rsidRPr="006B4639">
              <w:rPr>
                <w:rFonts w:asciiTheme="majorHAnsi" w:eastAsiaTheme="minorEastAsia" w:hAnsiTheme="majorHAnsi" w:cstheme="majorHAnsi"/>
                <w:sz w:val="16"/>
                <w:szCs w:val="16"/>
              </w:rPr>
              <w:t xml:space="preserve"> (large distribution pipelines only)</w:t>
            </w:r>
          </w:p>
        </w:tc>
        <w:tc>
          <w:tcPr>
            <w:tcW w:w="524" w:type="pct"/>
            <w:shd w:val="clear" w:color="auto" w:fill="auto"/>
          </w:tcPr>
          <w:p w14:paraId="54CB408F" w14:textId="29069FF8" w:rsidR="005E6EA4" w:rsidRPr="006B4639" w:rsidRDefault="005E6EA4" w:rsidP="005E6EA4">
            <w:pPr>
              <w:pStyle w:val="TableBodyText"/>
              <w:spacing w:before="20" w:after="40" w:line="240" w:lineRule="auto"/>
              <w:jc w:val="center"/>
              <w:rPr>
                <w:rFonts w:asciiTheme="majorHAnsi" w:hAnsiTheme="majorHAnsi" w:cstheme="majorHAnsi"/>
                <w:sz w:val="16"/>
                <w:szCs w:val="16"/>
              </w:rPr>
            </w:pPr>
            <w:r w:rsidRPr="00AB75E2">
              <w:rPr>
                <w:rFonts w:asciiTheme="majorHAnsi" w:hAnsiTheme="majorHAnsi" w:cstheme="majorHAnsi"/>
                <w:sz w:val="16"/>
                <w:szCs w:val="16"/>
              </w:rPr>
              <w:t xml:space="preserve">SP Website </w:t>
            </w:r>
            <w:r>
              <w:rPr>
                <w:rFonts w:asciiTheme="majorHAnsi" w:hAnsiTheme="majorHAnsi" w:cstheme="majorHAnsi"/>
                <w:sz w:val="16"/>
                <w:szCs w:val="16"/>
              </w:rPr>
              <w:br/>
            </w:r>
            <w:r w:rsidRPr="00AB75E2">
              <w:rPr>
                <w:rFonts w:asciiTheme="majorHAnsi" w:hAnsiTheme="majorHAnsi" w:cstheme="majorHAnsi"/>
                <w:sz w:val="16"/>
                <w:szCs w:val="16"/>
              </w:rPr>
              <w:t>(or BB or GBB)</w:t>
            </w:r>
          </w:p>
        </w:tc>
        <w:tc>
          <w:tcPr>
            <w:tcW w:w="520" w:type="pct"/>
            <w:shd w:val="clear" w:color="auto" w:fill="auto"/>
          </w:tcPr>
          <w:p w14:paraId="147880F9" w14:textId="77777777" w:rsidR="005E6EA4" w:rsidRPr="006B4639" w:rsidRDefault="005E6EA4" w:rsidP="005E6EA4">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r>
      <w:tr w:rsidR="00E13DA2" w:rsidRPr="006B4639" w14:paraId="1A0C480C" w14:textId="77777777" w:rsidTr="00830879">
        <w:tc>
          <w:tcPr>
            <w:tcW w:w="464" w:type="pct"/>
            <w:vMerge w:val="restart"/>
            <w:shd w:val="clear" w:color="auto" w:fill="auto"/>
            <w:vAlign w:val="center"/>
          </w:tcPr>
          <w:p w14:paraId="7365A86C" w14:textId="77777777" w:rsidR="00E13DA2" w:rsidRPr="006B4639" w:rsidRDefault="00E13DA2" w:rsidP="00E13DA2">
            <w:pPr>
              <w:pStyle w:val="TableBodyText"/>
              <w:spacing w:before="20" w:after="40" w:line="240" w:lineRule="auto"/>
              <w:rPr>
                <w:rFonts w:asciiTheme="majorHAnsi" w:hAnsiTheme="majorHAnsi" w:cstheme="majorHAnsi"/>
                <w:sz w:val="16"/>
                <w:szCs w:val="16"/>
              </w:rPr>
            </w:pPr>
            <w:r w:rsidRPr="006B4639">
              <w:rPr>
                <w:rFonts w:asciiTheme="majorHAnsi" w:hAnsiTheme="majorHAnsi" w:cstheme="majorHAnsi"/>
                <w:sz w:val="16"/>
                <w:szCs w:val="16"/>
              </w:rPr>
              <w:t>Information used to assess reasonableness of offers</w:t>
            </w:r>
          </w:p>
        </w:tc>
        <w:tc>
          <w:tcPr>
            <w:tcW w:w="493" w:type="pct"/>
            <w:shd w:val="clear" w:color="auto" w:fill="auto"/>
          </w:tcPr>
          <w:p w14:paraId="1DFB303F" w14:textId="77777777" w:rsidR="00E13DA2" w:rsidRPr="006B4639" w:rsidRDefault="00E13DA2" w:rsidP="00E13DA2">
            <w:pPr>
              <w:pStyle w:val="TableBodyText"/>
              <w:spacing w:before="20" w:after="40" w:line="240" w:lineRule="auto"/>
              <w:rPr>
                <w:rFonts w:asciiTheme="majorHAnsi" w:hAnsiTheme="majorHAnsi" w:cstheme="majorHAnsi"/>
                <w:sz w:val="16"/>
                <w:szCs w:val="16"/>
              </w:rPr>
            </w:pPr>
            <w:r w:rsidRPr="006B4639">
              <w:rPr>
                <w:rFonts w:asciiTheme="majorHAnsi" w:hAnsiTheme="majorHAnsi" w:cstheme="majorHAnsi"/>
                <w:sz w:val="16"/>
                <w:szCs w:val="16"/>
              </w:rPr>
              <w:t>Weighted average prices paid for services</w:t>
            </w:r>
          </w:p>
        </w:tc>
        <w:tc>
          <w:tcPr>
            <w:tcW w:w="1153" w:type="pct"/>
            <w:gridSpan w:val="2"/>
            <w:shd w:val="clear" w:color="auto" w:fill="auto"/>
          </w:tcPr>
          <w:p w14:paraId="4876A1D9" w14:textId="77777777" w:rsidR="00E13DA2" w:rsidRPr="006B4639" w:rsidRDefault="00E13DA2" w:rsidP="00E13DA2">
            <w:pPr>
              <w:pStyle w:val="TableBodyText"/>
              <w:spacing w:before="20" w:after="40" w:line="240" w:lineRule="auto"/>
              <w:rPr>
                <w:rFonts w:asciiTheme="majorHAnsi" w:hAnsiTheme="majorHAnsi" w:cstheme="majorHAnsi"/>
                <w:sz w:val="16"/>
                <w:szCs w:val="16"/>
              </w:rPr>
            </w:pPr>
            <w:r w:rsidRPr="006B4639">
              <w:rPr>
                <w:rFonts w:asciiTheme="majorHAnsi" w:hAnsiTheme="majorHAnsi" w:cstheme="majorHAnsi"/>
                <w:sz w:val="16"/>
                <w:szCs w:val="16"/>
              </w:rPr>
              <w:t>Annual reporting of weighted average prices paid by shippers (exemptions available if less than 3 shippers)</w:t>
            </w:r>
          </w:p>
        </w:tc>
        <w:tc>
          <w:tcPr>
            <w:tcW w:w="908" w:type="pct"/>
            <w:gridSpan w:val="2"/>
            <w:tcBorders>
              <w:bottom w:val="single" w:sz="4" w:space="0" w:color="auto"/>
            </w:tcBorders>
          </w:tcPr>
          <w:p w14:paraId="0A2BEE2F"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sym w:font="Wingdings" w:char="F0FB"/>
            </w:r>
          </w:p>
        </w:tc>
        <w:tc>
          <w:tcPr>
            <w:tcW w:w="938" w:type="pct"/>
            <w:gridSpan w:val="2"/>
            <w:tcBorders>
              <w:bottom w:val="single" w:sz="4" w:space="0" w:color="auto"/>
            </w:tcBorders>
            <w:shd w:val="clear" w:color="auto" w:fill="auto"/>
          </w:tcPr>
          <w:p w14:paraId="525D2736"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r w:rsidRPr="006B4639">
              <w:rPr>
                <w:rFonts w:asciiTheme="majorHAnsi" w:hAnsiTheme="majorHAnsi" w:cstheme="majorHAnsi"/>
                <w:sz w:val="16"/>
                <w:szCs w:val="16"/>
              </w:rPr>
              <w:br/>
              <w:t>(reporting to commence 2020)</w:t>
            </w:r>
          </w:p>
        </w:tc>
        <w:tc>
          <w:tcPr>
            <w:tcW w:w="1044" w:type="pct"/>
            <w:gridSpan w:val="2"/>
            <w:shd w:val="clear" w:color="auto" w:fill="auto"/>
          </w:tcPr>
          <w:p w14:paraId="5AB62DEA"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r>
      <w:tr w:rsidR="00C275CB" w:rsidRPr="006B4639" w14:paraId="2B259230" w14:textId="77777777" w:rsidTr="00830879">
        <w:trPr>
          <w:cnfStyle w:val="000000010000" w:firstRow="0" w:lastRow="0" w:firstColumn="0" w:lastColumn="0" w:oddVBand="0" w:evenVBand="0" w:oddHBand="0" w:evenHBand="1" w:firstRowFirstColumn="0" w:firstRowLastColumn="0" w:lastRowFirstColumn="0" w:lastRowLastColumn="0"/>
        </w:trPr>
        <w:tc>
          <w:tcPr>
            <w:tcW w:w="464" w:type="pct"/>
            <w:vMerge/>
            <w:shd w:val="clear" w:color="auto" w:fill="auto"/>
          </w:tcPr>
          <w:p w14:paraId="6434A642" w14:textId="77777777" w:rsidR="00E13DA2" w:rsidRPr="006B4639" w:rsidRDefault="00E13DA2" w:rsidP="00E13DA2">
            <w:pPr>
              <w:pStyle w:val="TableBodyText"/>
              <w:spacing w:before="20" w:after="40" w:line="240" w:lineRule="auto"/>
              <w:rPr>
                <w:rFonts w:asciiTheme="majorHAnsi" w:hAnsiTheme="majorHAnsi" w:cstheme="majorHAnsi"/>
                <w:sz w:val="16"/>
                <w:szCs w:val="16"/>
              </w:rPr>
            </w:pPr>
          </w:p>
        </w:tc>
        <w:tc>
          <w:tcPr>
            <w:tcW w:w="493" w:type="pct"/>
            <w:vMerge w:val="restart"/>
            <w:shd w:val="clear" w:color="auto" w:fill="auto"/>
          </w:tcPr>
          <w:p w14:paraId="52DB3121" w14:textId="77777777" w:rsidR="00E13DA2" w:rsidRPr="006B4639" w:rsidRDefault="00E13DA2" w:rsidP="00E13DA2">
            <w:pPr>
              <w:pStyle w:val="TableBodyText"/>
              <w:spacing w:before="20" w:after="40" w:line="240" w:lineRule="auto"/>
              <w:rPr>
                <w:rFonts w:asciiTheme="majorHAnsi" w:hAnsiTheme="majorHAnsi" w:cstheme="majorHAnsi"/>
                <w:sz w:val="16"/>
                <w:szCs w:val="16"/>
              </w:rPr>
            </w:pPr>
            <w:r w:rsidRPr="006B4639">
              <w:rPr>
                <w:rFonts w:asciiTheme="majorHAnsi" w:hAnsiTheme="majorHAnsi" w:cstheme="majorHAnsi"/>
                <w:sz w:val="16"/>
                <w:szCs w:val="16"/>
              </w:rPr>
              <w:t>Historic</w:t>
            </w:r>
            <w:r w:rsidR="00517663">
              <w:rPr>
                <w:rFonts w:asciiTheme="majorHAnsi" w:hAnsiTheme="majorHAnsi" w:cstheme="majorHAnsi"/>
                <w:sz w:val="16"/>
                <w:szCs w:val="16"/>
              </w:rPr>
              <w:t>al</w:t>
            </w:r>
            <w:r w:rsidRPr="006B4639">
              <w:rPr>
                <w:rFonts w:asciiTheme="majorHAnsi" w:hAnsiTheme="majorHAnsi" w:cstheme="majorHAnsi"/>
                <w:sz w:val="16"/>
                <w:szCs w:val="16"/>
              </w:rPr>
              <w:t xml:space="preserve"> demand (service usage) information</w:t>
            </w:r>
          </w:p>
        </w:tc>
        <w:tc>
          <w:tcPr>
            <w:tcW w:w="1153" w:type="pct"/>
            <w:gridSpan w:val="2"/>
            <w:shd w:val="clear" w:color="auto" w:fill="auto"/>
          </w:tcPr>
          <w:p w14:paraId="3DF8A232" w14:textId="77777777" w:rsidR="00E13DA2" w:rsidRPr="006B4639" w:rsidRDefault="003869AF" w:rsidP="00E13DA2">
            <w:pPr>
              <w:pStyle w:val="TableBodyText"/>
              <w:spacing w:before="20" w:after="40" w:line="240" w:lineRule="auto"/>
              <w:rPr>
                <w:rFonts w:asciiTheme="majorHAnsi" w:eastAsiaTheme="minorEastAsia" w:hAnsiTheme="majorHAnsi" w:cstheme="majorHAnsi"/>
                <w:sz w:val="16"/>
                <w:szCs w:val="16"/>
              </w:rPr>
            </w:pPr>
            <w:r w:rsidRPr="006B4639">
              <w:rPr>
                <w:rFonts w:asciiTheme="majorHAnsi" w:hAnsiTheme="majorHAnsi" w:cstheme="majorHAnsi"/>
                <w:sz w:val="16"/>
                <w:szCs w:val="16"/>
              </w:rPr>
              <w:t>Total demand (t</w:t>
            </w:r>
            <w:r w:rsidR="00E13DA2" w:rsidRPr="006B4639">
              <w:rPr>
                <w:rFonts w:asciiTheme="majorHAnsi" w:hAnsiTheme="majorHAnsi" w:cstheme="majorHAnsi"/>
                <w:sz w:val="16"/>
                <w:szCs w:val="16"/>
              </w:rPr>
              <w:t>otal quantity of gas injected into and withdrawn from the pipeline</w:t>
            </w:r>
            <w:r w:rsidRPr="006B4639">
              <w:rPr>
                <w:rFonts w:asciiTheme="majorHAnsi" w:hAnsiTheme="majorHAnsi" w:cstheme="majorHAnsi"/>
                <w:sz w:val="16"/>
                <w:szCs w:val="16"/>
              </w:rPr>
              <w:t>)</w:t>
            </w:r>
          </w:p>
        </w:tc>
        <w:tc>
          <w:tcPr>
            <w:tcW w:w="478" w:type="pct"/>
            <w:tcBorders>
              <w:bottom w:val="single" w:sz="4" w:space="0" w:color="auto"/>
            </w:tcBorders>
            <w:shd w:val="clear" w:color="auto" w:fill="auto"/>
          </w:tcPr>
          <w:p w14:paraId="06731E87" w14:textId="7E33AF54" w:rsidR="00E13DA2" w:rsidRPr="006B4639" w:rsidRDefault="002E6C06" w:rsidP="00E13DA2">
            <w:pPr>
              <w:pStyle w:val="TableBodyText"/>
              <w:spacing w:before="20" w:after="40" w:line="240" w:lineRule="auto"/>
              <w:jc w:val="center"/>
              <w:rPr>
                <w:rFonts w:asciiTheme="majorHAnsi" w:hAnsiTheme="majorHAnsi" w:cstheme="majorHAnsi"/>
                <w:sz w:val="16"/>
                <w:szCs w:val="16"/>
              </w:rPr>
            </w:pPr>
            <w:r>
              <w:rPr>
                <w:rFonts w:asciiTheme="majorHAnsi" w:hAnsiTheme="majorHAnsi" w:cstheme="majorHAnsi"/>
                <w:sz w:val="16"/>
                <w:szCs w:val="16"/>
              </w:rPr>
              <w:t>BB and GBB</w:t>
            </w:r>
          </w:p>
        </w:tc>
        <w:tc>
          <w:tcPr>
            <w:tcW w:w="430" w:type="pct"/>
            <w:tcBorders>
              <w:bottom w:val="single" w:sz="4" w:space="0" w:color="auto"/>
            </w:tcBorders>
            <w:shd w:val="clear" w:color="auto" w:fill="auto"/>
          </w:tcPr>
          <w:p w14:paraId="0966C3AA"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488" w:type="pct"/>
            <w:tcBorders>
              <w:bottom w:val="single" w:sz="4" w:space="0" w:color="auto"/>
            </w:tcBorders>
            <w:shd w:val="clear" w:color="auto" w:fill="auto"/>
          </w:tcPr>
          <w:p w14:paraId="466D0116" w14:textId="1FDA193C" w:rsidR="00E13DA2" w:rsidRPr="006B4639" w:rsidRDefault="002E6C06" w:rsidP="00E13DA2">
            <w:pPr>
              <w:pStyle w:val="TableBodyText"/>
              <w:spacing w:before="20" w:after="40" w:line="240" w:lineRule="auto"/>
              <w:jc w:val="center"/>
              <w:rPr>
                <w:rFonts w:asciiTheme="majorHAnsi" w:hAnsiTheme="majorHAnsi" w:cstheme="majorHAnsi"/>
                <w:sz w:val="16"/>
                <w:szCs w:val="16"/>
              </w:rPr>
            </w:pPr>
            <w:r>
              <w:rPr>
                <w:rFonts w:asciiTheme="majorHAnsi" w:hAnsiTheme="majorHAnsi" w:cstheme="majorHAnsi"/>
                <w:sz w:val="16"/>
                <w:szCs w:val="16"/>
              </w:rPr>
              <w:t>BB and GBB</w:t>
            </w:r>
          </w:p>
        </w:tc>
        <w:tc>
          <w:tcPr>
            <w:tcW w:w="450" w:type="pct"/>
            <w:tcBorders>
              <w:bottom w:val="single" w:sz="4" w:space="0" w:color="auto"/>
            </w:tcBorders>
            <w:shd w:val="clear" w:color="auto" w:fill="auto"/>
          </w:tcPr>
          <w:p w14:paraId="5ECF88E6"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524" w:type="pct"/>
            <w:shd w:val="clear" w:color="auto" w:fill="auto"/>
          </w:tcPr>
          <w:p w14:paraId="5AC3CC93" w14:textId="0D06E60C"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 xml:space="preserve">SP Website </w:t>
            </w:r>
            <w:r w:rsidR="005E6EA4">
              <w:rPr>
                <w:rFonts w:asciiTheme="majorHAnsi" w:hAnsiTheme="majorHAnsi" w:cstheme="majorHAnsi"/>
                <w:sz w:val="16"/>
                <w:szCs w:val="16"/>
              </w:rPr>
              <w:br/>
            </w:r>
            <w:r w:rsidRPr="006B4639">
              <w:rPr>
                <w:rFonts w:asciiTheme="majorHAnsi" w:hAnsiTheme="majorHAnsi" w:cstheme="majorHAnsi"/>
                <w:sz w:val="16"/>
                <w:szCs w:val="16"/>
              </w:rPr>
              <w:t xml:space="preserve">(or </w:t>
            </w:r>
            <w:r w:rsidR="002E6C06">
              <w:rPr>
                <w:rFonts w:asciiTheme="majorHAnsi" w:hAnsiTheme="majorHAnsi" w:cstheme="majorHAnsi"/>
                <w:sz w:val="16"/>
                <w:szCs w:val="16"/>
              </w:rPr>
              <w:t>BB or GBB</w:t>
            </w:r>
            <w:r w:rsidRPr="006B4639">
              <w:rPr>
                <w:rFonts w:asciiTheme="majorHAnsi" w:hAnsiTheme="majorHAnsi" w:cstheme="majorHAnsi"/>
                <w:sz w:val="16"/>
                <w:szCs w:val="16"/>
              </w:rPr>
              <w:t>)</w:t>
            </w:r>
          </w:p>
        </w:tc>
        <w:tc>
          <w:tcPr>
            <w:tcW w:w="520" w:type="pct"/>
            <w:shd w:val="clear" w:color="auto" w:fill="auto"/>
          </w:tcPr>
          <w:p w14:paraId="248C0842"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r>
      <w:tr w:rsidR="00C275CB" w:rsidRPr="006B4639" w14:paraId="0B6FC800" w14:textId="77777777" w:rsidTr="00830879">
        <w:tc>
          <w:tcPr>
            <w:tcW w:w="464" w:type="pct"/>
            <w:vMerge/>
            <w:shd w:val="clear" w:color="auto" w:fill="auto"/>
          </w:tcPr>
          <w:p w14:paraId="5B65F67B" w14:textId="77777777" w:rsidR="00E13DA2" w:rsidRPr="006B4639" w:rsidRDefault="00E13DA2" w:rsidP="00E13DA2">
            <w:pPr>
              <w:pStyle w:val="TableBodyText"/>
              <w:spacing w:before="20" w:after="40" w:line="240" w:lineRule="auto"/>
              <w:rPr>
                <w:rFonts w:asciiTheme="majorHAnsi" w:hAnsiTheme="majorHAnsi" w:cstheme="majorHAnsi"/>
                <w:sz w:val="16"/>
                <w:szCs w:val="16"/>
              </w:rPr>
            </w:pPr>
          </w:p>
        </w:tc>
        <w:tc>
          <w:tcPr>
            <w:tcW w:w="493" w:type="pct"/>
            <w:vMerge/>
            <w:shd w:val="clear" w:color="auto" w:fill="auto"/>
          </w:tcPr>
          <w:p w14:paraId="71ADAB9D" w14:textId="77777777" w:rsidR="00E13DA2" w:rsidRPr="006B4639" w:rsidRDefault="00E13DA2" w:rsidP="00E13DA2">
            <w:pPr>
              <w:pStyle w:val="TableBodyText"/>
              <w:spacing w:before="20" w:after="40" w:line="240" w:lineRule="auto"/>
              <w:rPr>
                <w:rFonts w:asciiTheme="majorHAnsi" w:hAnsiTheme="majorHAnsi" w:cstheme="majorHAnsi"/>
                <w:sz w:val="16"/>
                <w:szCs w:val="16"/>
              </w:rPr>
            </w:pPr>
          </w:p>
        </w:tc>
        <w:tc>
          <w:tcPr>
            <w:tcW w:w="1153" w:type="pct"/>
            <w:gridSpan w:val="2"/>
            <w:shd w:val="clear" w:color="auto" w:fill="auto"/>
          </w:tcPr>
          <w:p w14:paraId="2E9DAB8F" w14:textId="77777777" w:rsidR="00E13DA2" w:rsidRPr="006B4639" w:rsidRDefault="003869AF" w:rsidP="00E13DA2">
            <w:pPr>
              <w:pStyle w:val="TableBodyText"/>
              <w:spacing w:before="20" w:after="40" w:line="240" w:lineRule="auto"/>
              <w:rPr>
                <w:rFonts w:asciiTheme="majorHAnsi" w:eastAsiaTheme="minorEastAsia" w:hAnsiTheme="majorHAnsi" w:cstheme="majorHAnsi"/>
                <w:sz w:val="16"/>
                <w:szCs w:val="16"/>
              </w:rPr>
            </w:pPr>
            <w:r w:rsidRPr="006B4639">
              <w:rPr>
                <w:rFonts w:asciiTheme="majorHAnsi" w:hAnsiTheme="majorHAnsi" w:cstheme="majorHAnsi"/>
                <w:sz w:val="16"/>
                <w:szCs w:val="16"/>
              </w:rPr>
              <w:t>Demand for each service (t</w:t>
            </w:r>
            <w:r w:rsidR="00E13DA2" w:rsidRPr="006B4639">
              <w:rPr>
                <w:rFonts w:asciiTheme="majorHAnsi" w:hAnsiTheme="majorHAnsi" w:cstheme="majorHAnsi"/>
                <w:sz w:val="16"/>
                <w:szCs w:val="16"/>
              </w:rPr>
              <w:t>otal quantities injected and withdrawn by service type</w:t>
            </w:r>
            <w:r w:rsidRPr="006B4639">
              <w:rPr>
                <w:rFonts w:asciiTheme="majorHAnsi" w:hAnsiTheme="majorHAnsi" w:cstheme="majorHAnsi"/>
                <w:sz w:val="16"/>
                <w:szCs w:val="16"/>
              </w:rPr>
              <w:t>)</w:t>
            </w:r>
            <w:r w:rsidR="00E13DA2" w:rsidRPr="006B4639">
              <w:rPr>
                <w:rFonts w:asciiTheme="majorHAnsi" w:hAnsiTheme="majorHAnsi" w:cstheme="majorHAnsi"/>
                <w:sz w:val="16"/>
                <w:szCs w:val="16"/>
              </w:rPr>
              <w:t xml:space="preserve"> </w:t>
            </w:r>
          </w:p>
        </w:tc>
        <w:tc>
          <w:tcPr>
            <w:tcW w:w="478" w:type="pct"/>
            <w:tcBorders>
              <w:bottom w:val="single" w:sz="4" w:space="0" w:color="auto"/>
            </w:tcBorders>
          </w:tcPr>
          <w:p w14:paraId="71CB5ACC"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sym w:font="Wingdings" w:char="F0FB"/>
            </w:r>
          </w:p>
        </w:tc>
        <w:tc>
          <w:tcPr>
            <w:tcW w:w="430" w:type="pct"/>
            <w:tcBorders>
              <w:bottom w:val="single" w:sz="4" w:space="0" w:color="auto"/>
            </w:tcBorders>
          </w:tcPr>
          <w:p w14:paraId="216739C0"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sym w:font="Wingdings" w:char="F0FB"/>
            </w:r>
          </w:p>
        </w:tc>
        <w:tc>
          <w:tcPr>
            <w:tcW w:w="488" w:type="pct"/>
          </w:tcPr>
          <w:p w14:paraId="101F351F"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sym w:font="Wingdings" w:char="F0FB"/>
            </w:r>
          </w:p>
        </w:tc>
        <w:tc>
          <w:tcPr>
            <w:tcW w:w="450" w:type="pct"/>
          </w:tcPr>
          <w:p w14:paraId="1845ACD9"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sym w:font="Wingdings" w:char="F0FB"/>
            </w:r>
          </w:p>
        </w:tc>
        <w:tc>
          <w:tcPr>
            <w:tcW w:w="524" w:type="pct"/>
            <w:shd w:val="clear" w:color="auto" w:fill="auto"/>
          </w:tcPr>
          <w:p w14:paraId="4404B85B"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c>
          <w:tcPr>
            <w:tcW w:w="520" w:type="pct"/>
            <w:shd w:val="clear" w:color="auto" w:fill="auto"/>
          </w:tcPr>
          <w:p w14:paraId="04214564"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r>
      <w:tr w:rsidR="00E13DA2" w:rsidRPr="006B4639" w14:paraId="517B68EC" w14:textId="77777777" w:rsidTr="00830879">
        <w:trPr>
          <w:cnfStyle w:val="000000010000" w:firstRow="0" w:lastRow="0" w:firstColumn="0" w:lastColumn="0" w:oddVBand="0" w:evenVBand="0" w:oddHBand="0" w:evenHBand="1" w:firstRowFirstColumn="0" w:firstRowLastColumn="0" w:lastRowFirstColumn="0" w:lastRowLastColumn="0"/>
        </w:trPr>
        <w:tc>
          <w:tcPr>
            <w:tcW w:w="464" w:type="pct"/>
            <w:vMerge/>
            <w:shd w:val="clear" w:color="auto" w:fill="auto"/>
          </w:tcPr>
          <w:p w14:paraId="5A586417" w14:textId="77777777" w:rsidR="00E13DA2" w:rsidRPr="006B4639" w:rsidRDefault="00E13DA2" w:rsidP="00E13DA2">
            <w:pPr>
              <w:pStyle w:val="TableBodyText"/>
              <w:spacing w:before="20" w:after="40" w:line="240" w:lineRule="auto"/>
              <w:rPr>
                <w:rFonts w:asciiTheme="majorHAnsi" w:eastAsiaTheme="minorEastAsia" w:hAnsiTheme="majorHAnsi" w:cstheme="majorHAnsi"/>
                <w:sz w:val="16"/>
                <w:szCs w:val="16"/>
              </w:rPr>
            </w:pPr>
          </w:p>
        </w:tc>
        <w:tc>
          <w:tcPr>
            <w:tcW w:w="493" w:type="pct"/>
            <w:shd w:val="clear" w:color="auto" w:fill="auto"/>
          </w:tcPr>
          <w:p w14:paraId="0C04BA20" w14:textId="77777777" w:rsidR="00E13DA2" w:rsidRPr="006B4639" w:rsidRDefault="00E13DA2" w:rsidP="00E13DA2">
            <w:pPr>
              <w:pStyle w:val="TableBodyText"/>
              <w:spacing w:before="20" w:after="40" w:line="240" w:lineRule="auto"/>
              <w:rPr>
                <w:rFonts w:asciiTheme="majorHAnsi" w:eastAsiaTheme="minorEastAsia" w:hAnsiTheme="majorHAnsi" w:cstheme="majorHAnsi"/>
                <w:sz w:val="16"/>
                <w:szCs w:val="16"/>
              </w:rPr>
            </w:pPr>
            <w:r w:rsidRPr="006B4639">
              <w:rPr>
                <w:rFonts w:asciiTheme="majorHAnsi" w:hAnsiTheme="majorHAnsi" w:cstheme="majorHAnsi"/>
                <w:sz w:val="16"/>
                <w:szCs w:val="16"/>
              </w:rPr>
              <w:t>Historic</w:t>
            </w:r>
            <w:r w:rsidR="00517663">
              <w:rPr>
                <w:rFonts w:asciiTheme="majorHAnsi" w:hAnsiTheme="majorHAnsi" w:cstheme="majorHAnsi"/>
                <w:sz w:val="16"/>
                <w:szCs w:val="16"/>
              </w:rPr>
              <w:t>al</w:t>
            </w:r>
            <w:r w:rsidRPr="006B4639">
              <w:rPr>
                <w:rFonts w:asciiTheme="majorHAnsi" w:hAnsiTheme="majorHAnsi" w:cstheme="majorHAnsi"/>
                <w:sz w:val="16"/>
                <w:szCs w:val="16"/>
              </w:rPr>
              <w:t xml:space="preserve"> financial information </w:t>
            </w:r>
          </w:p>
        </w:tc>
        <w:tc>
          <w:tcPr>
            <w:tcW w:w="1153" w:type="pct"/>
            <w:gridSpan w:val="2"/>
            <w:shd w:val="clear" w:color="auto" w:fill="auto"/>
          </w:tcPr>
          <w:p w14:paraId="2C650317" w14:textId="77777777" w:rsidR="00E13DA2" w:rsidRPr="006B4639" w:rsidRDefault="00E13DA2" w:rsidP="00E13DA2">
            <w:pPr>
              <w:pStyle w:val="TableBodyText"/>
              <w:spacing w:before="20" w:after="40" w:line="240" w:lineRule="auto"/>
              <w:rPr>
                <w:rFonts w:asciiTheme="majorHAnsi" w:eastAsiaTheme="minorEastAsia" w:hAnsiTheme="majorHAnsi" w:cstheme="majorHAnsi"/>
                <w:sz w:val="16"/>
                <w:szCs w:val="16"/>
              </w:rPr>
            </w:pPr>
            <w:r w:rsidRPr="006B4639">
              <w:rPr>
                <w:rFonts w:asciiTheme="majorHAnsi" w:hAnsiTheme="majorHAnsi" w:cstheme="majorHAnsi"/>
                <w:sz w:val="16"/>
                <w:szCs w:val="16"/>
              </w:rPr>
              <w:t>Annual statement of revenue and expenses, statement of pipeline assets, financial performance metrics and asset value(s).</w:t>
            </w:r>
          </w:p>
        </w:tc>
        <w:tc>
          <w:tcPr>
            <w:tcW w:w="908" w:type="pct"/>
            <w:gridSpan w:val="2"/>
          </w:tcPr>
          <w:p w14:paraId="3A345C4D"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Some information provided in AA process and may also be required through regulatory information notices (RINs)</w:t>
            </w:r>
          </w:p>
        </w:tc>
        <w:tc>
          <w:tcPr>
            <w:tcW w:w="938" w:type="pct"/>
            <w:gridSpan w:val="2"/>
            <w:tcBorders>
              <w:bottom w:val="single" w:sz="4" w:space="0" w:color="auto"/>
            </w:tcBorders>
            <w:shd w:val="clear" w:color="auto" w:fill="auto"/>
          </w:tcPr>
          <w:p w14:paraId="05C5D2BD"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r w:rsidRPr="006B4639">
              <w:rPr>
                <w:rFonts w:asciiTheme="majorHAnsi" w:hAnsiTheme="majorHAnsi" w:cstheme="majorHAnsi"/>
                <w:sz w:val="16"/>
                <w:szCs w:val="16"/>
              </w:rPr>
              <w:br/>
              <w:t>(reporting to commence 2020)</w:t>
            </w:r>
          </w:p>
        </w:tc>
        <w:tc>
          <w:tcPr>
            <w:tcW w:w="1044" w:type="pct"/>
            <w:gridSpan w:val="2"/>
            <w:tcBorders>
              <w:bottom w:val="single" w:sz="4" w:space="0" w:color="auto"/>
            </w:tcBorders>
            <w:shd w:val="clear" w:color="auto" w:fill="auto"/>
          </w:tcPr>
          <w:p w14:paraId="11324B32"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SP Website</w:t>
            </w:r>
          </w:p>
        </w:tc>
      </w:tr>
      <w:tr w:rsidR="00E13DA2" w:rsidRPr="006B4639" w14:paraId="038753A7" w14:textId="77777777" w:rsidTr="00830879">
        <w:tc>
          <w:tcPr>
            <w:tcW w:w="464" w:type="pct"/>
            <w:vMerge/>
            <w:shd w:val="clear" w:color="auto" w:fill="auto"/>
          </w:tcPr>
          <w:p w14:paraId="06750293" w14:textId="77777777" w:rsidR="00E13DA2" w:rsidRPr="006B4639" w:rsidRDefault="00E13DA2" w:rsidP="00E13DA2">
            <w:pPr>
              <w:pStyle w:val="TableBodyText"/>
              <w:spacing w:before="20" w:after="40" w:line="240" w:lineRule="auto"/>
              <w:rPr>
                <w:rFonts w:asciiTheme="majorHAnsi" w:hAnsiTheme="majorHAnsi" w:cstheme="majorHAnsi"/>
                <w:sz w:val="16"/>
                <w:szCs w:val="16"/>
              </w:rPr>
            </w:pPr>
          </w:p>
        </w:tc>
        <w:tc>
          <w:tcPr>
            <w:tcW w:w="493" w:type="pct"/>
            <w:shd w:val="clear" w:color="auto" w:fill="auto"/>
          </w:tcPr>
          <w:p w14:paraId="51F076E6" w14:textId="77777777" w:rsidR="00E13DA2" w:rsidRPr="006B4639" w:rsidRDefault="00E13DA2" w:rsidP="00E13DA2">
            <w:pPr>
              <w:pStyle w:val="TableBodyText"/>
              <w:spacing w:before="20" w:after="40" w:line="240" w:lineRule="auto"/>
              <w:rPr>
                <w:rFonts w:asciiTheme="majorHAnsi" w:hAnsiTheme="majorHAnsi" w:cstheme="majorHAnsi"/>
                <w:sz w:val="16"/>
                <w:szCs w:val="16"/>
              </w:rPr>
            </w:pPr>
            <w:r w:rsidRPr="006B4639">
              <w:rPr>
                <w:rFonts w:asciiTheme="majorHAnsi" w:hAnsiTheme="majorHAnsi" w:cstheme="majorHAnsi"/>
                <w:sz w:val="16"/>
                <w:szCs w:val="16"/>
              </w:rPr>
              <w:t xml:space="preserve">Forecast costs and demand </w:t>
            </w:r>
          </w:p>
        </w:tc>
        <w:tc>
          <w:tcPr>
            <w:tcW w:w="1153" w:type="pct"/>
            <w:gridSpan w:val="2"/>
            <w:shd w:val="clear" w:color="auto" w:fill="auto"/>
          </w:tcPr>
          <w:p w14:paraId="110E49EC" w14:textId="77777777" w:rsidR="00E13DA2" w:rsidRPr="006B4639" w:rsidRDefault="00E13DA2" w:rsidP="00E13DA2">
            <w:pPr>
              <w:pStyle w:val="TableBodyText"/>
              <w:spacing w:before="20" w:after="40" w:line="240" w:lineRule="auto"/>
              <w:rPr>
                <w:rFonts w:asciiTheme="majorHAnsi" w:hAnsiTheme="majorHAnsi" w:cstheme="majorHAnsi"/>
                <w:sz w:val="16"/>
                <w:szCs w:val="16"/>
              </w:rPr>
            </w:pPr>
            <w:r w:rsidRPr="006B4639">
              <w:rPr>
                <w:rFonts w:asciiTheme="majorHAnsi" w:hAnsiTheme="majorHAnsi" w:cstheme="majorHAnsi"/>
                <w:sz w:val="16"/>
                <w:szCs w:val="16"/>
              </w:rPr>
              <w:t>Forecast expenditure, rate of return, depreciation and demand</w:t>
            </w:r>
          </w:p>
        </w:tc>
        <w:tc>
          <w:tcPr>
            <w:tcW w:w="908" w:type="pct"/>
            <w:gridSpan w:val="2"/>
            <w:tcBorders>
              <w:bottom w:val="single" w:sz="4" w:space="0" w:color="auto"/>
            </w:tcBorders>
            <w:shd w:val="clear" w:color="auto" w:fill="auto"/>
          </w:tcPr>
          <w:p w14:paraId="6C369994"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t>AA on SP Website</w:t>
            </w:r>
            <w:r w:rsidRPr="006B4639">
              <w:rPr>
                <w:rFonts w:asciiTheme="majorHAnsi" w:hAnsiTheme="majorHAnsi" w:cstheme="majorHAnsi"/>
                <w:sz w:val="16"/>
                <w:szCs w:val="16"/>
              </w:rPr>
              <w:br/>
              <w:t>(reference services only)</w:t>
            </w:r>
          </w:p>
        </w:tc>
        <w:tc>
          <w:tcPr>
            <w:tcW w:w="938" w:type="pct"/>
            <w:gridSpan w:val="2"/>
          </w:tcPr>
          <w:p w14:paraId="05AEC179" w14:textId="77777777" w:rsidR="00E13DA2" w:rsidRPr="006B4639" w:rsidRDefault="00E13DA2"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sym w:font="Wingdings" w:char="F0FB"/>
            </w:r>
          </w:p>
        </w:tc>
        <w:tc>
          <w:tcPr>
            <w:tcW w:w="1044" w:type="pct"/>
            <w:gridSpan w:val="2"/>
            <w:tcBorders>
              <w:right w:val="nil"/>
            </w:tcBorders>
          </w:tcPr>
          <w:p w14:paraId="1C40F86E" w14:textId="77777777" w:rsidR="00E13DA2" w:rsidRPr="006B4639" w:rsidRDefault="006327F7" w:rsidP="00E13DA2">
            <w:pPr>
              <w:pStyle w:val="TableBodyText"/>
              <w:spacing w:before="20" w:after="40" w:line="240" w:lineRule="auto"/>
              <w:jc w:val="center"/>
              <w:rPr>
                <w:rFonts w:asciiTheme="majorHAnsi" w:hAnsiTheme="majorHAnsi" w:cstheme="majorHAnsi"/>
                <w:sz w:val="16"/>
                <w:szCs w:val="16"/>
              </w:rPr>
            </w:pPr>
            <w:r w:rsidRPr="006B4639">
              <w:rPr>
                <w:rFonts w:asciiTheme="majorHAnsi" w:hAnsiTheme="majorHAnsi" w:cstheme="majorHAnsi"/>
                <w:sz w:val="16"/>
                <w:szCs w:val="16"/>
              </w:rPr>
              <w:sym w:font="Wingdings" w:char="F0FB"/>
            </w:r>
          </w:p>
        </w:tc>
      </w:tr>
    </w:tbl>
    <w:p w14:paraId="79A0F047" w14:textId="1BBD4B2E" w:rsidR="00E13DA2" w:rsidRPr="006B4639" w:rsidRDefault="00E13DA2" w:rsidP="00E13DA2">
      <w:pPr>
        <w:pStyle w:val="BodyText"/>
        <w:spacing w:before="0" w:after="0" w:line="240" w:lineRule="auto"/>
      </w:pPr>
      <w:r w:rsidRPr="006B4639">
        <w:rPr>
          <w:sz w:val="16"/>
          <w:szCs w:val="16"/>
          <w:lang w:eastAsia="en-US"/>
        </w:rPr>
        <w:t>Sources: Parts 7, 11, 18 and 23 of the NGR.</w:t>
      </w:r>
      <w:r w:rsidRPr="006B4639">
        <w:rPr>
          <w:sz w:val="16"/>
          <w:szCs w:val="16"/>
          <w:lang w:eastAsia="en-US"/>
        </w:rPr>
        <w:br/>
        <w:t xml:space="preserve">Notes: * Additional information must be reported by large distribution pipelines. </w:t>
      </w:r>
      <w:r w:rsidR="00137CA9">
        <w:rPr>
          <w:sz w:val="16"/>
          <w:szCs w:val="16"/>
          <w:lang w:eastAsia="en-US"/>
        </w:rPr>
        <w:br/>
        <w:t xml:space="preserve">** </w:t>
      </w:r>
      <w:r w:rsidR="0084740A">
        <w:rPr>
          <w:sz w:val="16"/>
          <w:szCs w:val="16"/>
          <w:lang w:eastAsia="en-US"/>
        </w:rPr>
        <w:t>Note that t</w:t>
      </w:r>
      <w:r w:rsidR="00137CA9">
        <w:rPr>
          <w:sz w:val="16"/>
          <w:szCs w:val="16"/>
          <w:lang w:eastAsia="en-US"/>
        </w:rPr>
        <w:t xml:space="preserve">here is not a specific requirement </w:t>
      </w:r>
      <w:r w:rsidR="0084740A">
        <w:rPr>
          <w:sz w:val="16"/>
          <w:szCs w:val="16"/>
          <w:lang w:eastAsia="en-US"/>
        </w:rPr>
        <w:t xml:space="preserve">in the BB or GBB </w:t>
      </w:r>
      <w:r w:rsidR="00137CA9">
        <w:rPr>
          <w:sz w:val="16"/>
          <w:szCs w:val="16"/>
          <w:lang w:eastAsia="en-US"/>
        </w:rPr>
        <w:t xml:space="preserve">for </w:t>
      </w:r>
      <w:r w:rsidR="007D058D">
        <w:rPr>
          <w:sz w:val="16"/>
          <w:szCs w:val="16"/>
          <w:lang w:eastAsia="en-US"/>
        </w:rPr>
        <w:t xml:space="preserve">pipelines to publish </w:t>
      </w:r>
      <w:r w:rsidR="00137CA9">
        <w:rPr>
          <w:sz w:val="16"/>
          <w:szCs w:val="16"/>
          <w:lang w:eastAsia="en-US"/>
        </w:rPr>
        <w:t xml:space="preserve">information </w:t>
      </w:r>
      <w:r w:rsidR="0084740A">
        <w:rPr>
          <w:sz w:val="16"/>
          <w:szCs w:val="16"/>
          <w:lang w:eastAsia="en-US"/>
        </w:rPr>
        <w:t>on the technical or physical characteristics that may affect access, use or prices of services to be published. Rather</w:t>
      </w:r>
      <w:r w:rsidR="007D058D">
        <w:rPr>
          <w:sz w:val="16"/>
          <w:szCs w:val="16"/>
          <w:lang w:eastAsia="en-US"/>
        </w:rPr>
        <w:t xml:space="preserve">, it is assumed to be available </w:t>
      </w:r>
      <w:r w:rsidR="006F52EE">
        <w:rPr>
          <w:sz w:val="16"/>
          <w:szCs w:val="16"/>
          <w:lang w:eastAsia="en-US"/>
        </w:rPr>
        <w:t>in the detailed facility information, capacity and capacity outlook information service providers are required by the BB or GBB to report.</w:t>
      </w:r>
    </w:p>
    <w:p w14:paraId="2E2EBFFE" w14:textId="77777777" w:rsidR="00E13DA2" w:rsidRPr="006B4639" w:rsidRDefault="00E13DA2" w:rsidP="00E13DA2">
      <w:pPr>
        <w:pStyle w:val="BodyText"/>
        <w:spacing w:line="240" w:lineRule="auto"/>
        <w:sectPr w:rsidR="00E13DA2" w:rsidRPr="006B4639" w:rsidSect="00795317">
          <w:pgSz w:w="16839" w:h="11907" w:orient="landscape" w:code="9"/>
          <w:pgMar w:top="1135" w:right="1418" w:bottom="851" w:left="1701" w:header="567" w:footer="397" w:gutter="0"/>
          <w:cols w:space="708"/>
          <w:docGrid w:linePitch="360"/>
        </w:sectPr>
      </w:pPr>
    </w:p>
    <w:p w14:paraId="528831D6" w14:textId="12F12F07" w:rsidR="00C63159" w:rsidRPr="006B4639" w:rsidRDefault="00C63159" w:rsidP="00C63159">
      <w:pPr>
        <w:pStyle w:val="BodyText"/>
        <w:spacing w:before="200" w:after="0"/>
      </w:pPr>
      <w:r w:rsidRPr="006B4639">
        <w:lastRenderedPageBreak/>
        <w:t xml:space="preserve">With the exception of the information reported on the </w:t>
      </w:r>
      <w:r w:rsidR="005E6EA4">
        <w:t>BB</w:t>
      </w:r>
      <w:r w:rsidR="008431F6">
        <w:t xml:space="preserve"> in the east coast and NT, the GBB in WA., </w:t>
      </w:r>
      <w:r w:rsidRPr="006B4639">
        <w:t xml:space="preserve">and in AAs, service providers are required to prepare, publish and maintain the information in </w:t>
      </w:r>
      <w:r w:rsidR="00794DE2" w:rsidRPr="006B4639">
        <w:fldChar w:fldCharType="begin" w:fldLock="1"/>
      </w:r>
      <w:r w:rsidR="00794DE2" w:rsidRPr="006B4639">
        <w:instrText xml:space="preserve"> REF _Ref18123577 \h </w:instrText>
      </w:r>
      <w:r w:rsidR="00794DE2" w:rsidRPr="006B4639">
        <w:fldChar w:fldCharType="separate"/>
      </w:r>
      <w:r w:rsidR="00036405" w:rsidRPr="006B4639">
        <w:t xml:space="preserve">Table </w:t>
      </w:r>
      <w:r w:rsidR="00036405">
        <w:rPr>
          <w:noProof/>
        </w:rPr>
        <w:t>6</w:t>
      </w:r>
      <w:r w:rsidR="00036405">
        <w:t>.</w:t>
      </w:r>
      <w:r w:rsidR="00036405">
        <w:rPr>
          <w:noProof/>
        </w:rPr>
        <w:t>1</w:t>
      </w:r>
      <w:r w:rsidR="00794DE2" w:rsidRPr="006B4639">
        <w:fldChar w:fldCharType="end"/>
      </w:r>
      <w:r w:rsidRPr="006B4639">
        <w:t xml:space="preserve"> in accordance with the access information standard set out in Parts 7, 11 and 23 of the NGR. Amongst other things, this standard states that information must not be “false or misleading in a material particular”. Service providers must also update information as soon as practicable after they become aware it does not comply with this standard. </w:t>
      </w:r>
    </w:p>
    <w:p w14:paraId="4DECD248" w14:textId="418A03B5" w:rsidR="00E13DA2" w:rsidRPr="006B4639" w:rsidRDefault="00E13DA2" w:rsidP="00E13DA2">
      <w:pPr>
        <w:pStyle w:val="BodyText"/>
      </w:pPr>
      <w:r w:rsidRPr="006B4639">
        <w:t xml:space="preserve">As the grey shaded cells in </w:t>
      </w:r>
      <w:r w:rsidR="00C63159" w:rsidRPr="006B4639">
        <w:fldChar w:fldCharType="begin" w:fldLock="1"/>
      </w:r>
      <w:r w:rsidR="00C63159" w:rsidRPr="006B4639">
        <w:instrText xml:space="preserve"> REF _Ref18123577 \h </w:instrText>
      </w:r>
      <w:r w:rsidR="00C63159" w:rsidRPr="006B4639">
        <w:fldChar w:fldCharType="separate"/>
      </w:r>
      <w:r w:rsidR="00036405" w:rsidRPr="006B4639">
        <w:t xml:space="preserve">Table </w:t>
      </w:r>
      <w:r w:rsidR="00036405">
        <w:rPr>
          <w:noProof/>
        </w:rPr>
        <w:t>6</w:t>
      </w:r>
      <w:r w:rsidR="00036405">
        <w:t>.</w:t>
      </w:r>
      <w:r w:rsidR="00036405">
        <w:rPr>
          <w:noProof/>
        </w:rPr>
        <w:t>1</w:t>
      </w:r>
      <w:r w:rsidR="00C63159" w:rsidRPr="006B4639">
        <w:fldChar w:fldCharType="end"/>
      </w:r>
      <w:r w:rsidRPr="006B4639">
        <w:t xml:space="preserve"> show, there are number of important differences between the reporting requirements applying to pipelines operating under the alternative forms of regulation. For example:</w:t>
      </w:r>
    </w:p>
    <w:p w14:paraId="114BF172" w14:textId="77777777" w:rsidR="00E13DA2" w:rsidRPr="006B4639" w:rsidRDefault="00935667" w:rsidP="004E273F">
      <w:pPr>
        <w:pStyle w:val="ListBullet"/>
        <w:numPr>
          <w:ilvl w:val="0"/>
          <w:numId w:val="49"/>
        </w:numPr>
        <w:ind w:left="357" w:hanging="357"/>
      </w:pPr>
      <w:bookmarkStart w:id="134" w:name="_Hlk17097314"/>
      <w:bookmarkStart w:id="135" w:name="_Hlk16946079"/>
      <w:r w:rsidRPr="006B4639">
        <w:t>a description of</w:t>
      </w:r>
      <w:r w:rsidR="00E13DA2" w:rsidRPr="006B4639">
        <w:t xml:space="preserve"> </w:t>
      </w:r>
      <w:r w:rsidR="004F1EBF" w:rsidRPr="006B4639">
        <w:t xml:space="preserve">each of </w:t>
      </w:r>
      <w:r w:rsidR="00E13DA2" w:rsidRPr="006B4639">
        <w:t>the services offered</w:t>
      </w:r>
      <w:r w:rsidR="002208F3" w:rsidRPr="006B4639">
        <w:t xml:space="preserve"> by the pipeline</w:t>
      </w:r>
      <w:r w:rsidR="003869AF" w:rsidRPr="006B4639">
        <w:t xml:space="preserve"> </w:t>
      </w:r>
      <w:r w:rsidRPr="006B4639">
        <w:t xml:space="preserve">(pipeline service information) </w:t>
      </w:r>
      <w:r w:rsidR="004F1EBF" w:rsidRPr="006B4639">
        <w:t xml:space="preserve">and </w:t>
      </w:r>
      <w:r w:rsidR="003869AF" w:rsidRPr="006B4639">
        <w:t xml:space="preserve">the </w:t>
      </w:r>
      <w:r w:rsidRPr="006B4639">
        <w:t xml:space="preserve">standing terms for each service </w:t>
      </w:r>
      <w:r w:rsidR="00E13DA2" w:rsidRPr="006B4639">
        <w:t xml:space="preserve">must be published </w:t>
      </w:r>
      <w:r w:rsidR="004F1EBF" w:rsidRPr="006B4639">
        <w:t xml:space="preserve">for </w:t>
      </w:r>
      <w:r w:rsidR="00E13DA2" w:rsidRPr="006B4639">
        <w:t xml:space="preserve">non-scheme pipelines and light regulation pipelines, but </w:t>
      </w:r>
      <w:r w:rsidR="00E13DA2" w:rsidRPr="006B4639">
        <w:rPr>
          <w:rFonts w:asciiTheme="majorHAnsi" w:hAnsiTheme="majorHAnsi" w:cstheme="majorHAnsi"/>
        </w:rPr>
        <w:t xml:space="preserve">full regulation pipelines are only required to disclose </w:t>
      </w:r>
      <w:r w:rsidR="003869AF" w:rsidRPr="006B4639">
        <w:rPr>
          <w:rFonts w:asciiTheme="majorHAnsi" w:hAnsiTheme="majorHAnsi" w:cstheme="majorHAnsi"/>
        </w:rPr>
        <w:t xml:space="preserve">this information </w:t>
      </w:r>
      <w:r w:rsidR="00E13DA2" w:rsidRPr="006B4639">
        <w:rPr>
          <w:rFonts w:asciiTheme="majorHAnsi" w:hAnsiTheme="majorHAnsi" w:cstheme="majorHAnsi"/>
        </w:rPr>
        <w:t>for reference services;</w:t>
      </w:r>
    </w:p>
    <w:p w14:paraId="297A5B5C" w14:textId="39ED02DD" w:rsidR="00E13DA2" w:rsidRPr="006B4639" w:rsidRDefault="00E13DA2" w:rsidP="004E273F">
      <w:pPr>
        <w:pStyle w:val="ListBullet"/>
        <w:numPr>
          <w:ilvl w:val="0"/>
          <w:numId w:val="49"/>
        </w:numPr>
        <w:ind w:left="357" w:hanging="357"/>
      </w:pPr>
      <w:r w:rsidRPr="006B4639">
        <w:t xml:space="preserve">information on </w:t>
      </w:r>
      <w:r w:rsidR="007E276D">
        <w:t xml:space="preserve">the </w:t>
      </w:r>
      <w:r w:rsidRPr="006B4639">
        <w:t xml:space="preserve">weighted average prices </w:t>
      </w:r>
      <w:r w:rsidR="00A43A34" w:rsidRPr="006B4639">
        <w:t>paid by shippers for each service</w:t>
      </w:r>
      <w:r w:rsidR="00370905">
        <w:rPr>
          <w:rFonts w:ascii="ZWAdobeF" w:hAnsi="ZWAdobeF" w:cs="ZWAdobeF"/>
          <w:sz w:val="2"/>
          <w:szCs w:val="2"/>
        </w:rPr>
        <w:t>141F</w:t>
      </w:r>
      <w:r w:rsidR="00A43A34" w:rsidRPr="006B4639">
        <w:rPr>
          <w:rStyle w:val="FootnoteReference"/>
        </w:rPr>
        <w:footnoteReference w:id="143"/>
      </w:r>
      <w:r w:rsidR="00A43A34" w:rsidRPr="006B4639">
        <w:t xml:space="preserve"> </w:t>
      </w:r>
      <w:r w:rsidRPr="006B4639">
        <w:t xml:space="preserve">must be published </w:t>
      </w:r>
      <w:r w:rsidR="003869AF" w:rsidRPr="006B4639">
        <w:t xml:space="preserve">for </w:t>
      </w:r>
      <w:r w:rsidRPr="006B4639">
        <w:t>non-scheme pipelines</w:t>
      </w:r>
      <w:r w:rsidR="003869AF" w:rsidRPr="006B4639">
        <w:t xml:space="preserve"> and light regulation pipelines</w:t>
      </w:r>
      <w:r w:rsidRPr="006B4639">
        <w:t xml:space="preserve">, but </w:t>
      </w:r>
      <w:r w:rsidR="003869AF" w:rsidRPr="006B4639">
        <w:t xml:space="preserve">not for </w:t>
      </w:r>
      <w:r w:rsidRPr="006B4639">
        <w:t>full regulation pipelines;</w:t>
      </w:r>
    </w:p>
    <w:p w14:paraId="560FB40F" w14:textId="77777777" w:rsidR="00E13DA2" w:rsidRPr="006B4639" w:rsidRDefault="00E13DA2" w:rsidP="004E273F">
      <w:pPr>
        <w:pStyle w:val="ListBullet"/>
        <w:numPr>
          <w:ilvl w:val="0"/>
          <w:numId w:val="49"/>
        </w:numPr>
        <w:ind w:left="357" w:hanging="357"/>
      </w:pPr>
      <w:r w:rsidRPr="006B4639">
        <w:t xml:space="preserve">information on the </w:t>
      </w:r>
      <w:r w:rsidR="00517663">
        <w:t>historical demand</w:t>
      </w:r>
      <w:r w:rsidRPr="006B4639">
        <w:t xml:space="preserve"> for each service (e.g. transportation versus storage services, firm versus as available services) must be published </w:t>
      </w:r>
      <w:r w:rsidR="003869AF" w:rsidRPr="006B4639">
        <w:t xml:space="preserve">for </w:t>
      </w:r>
      <w:r w:rsidRPr="006B4639">
        <w:t xml:space="preserve">non-scheme pipelines, but </w:t>
      </w:r>
      <w:r w:rsidR="003869AF" w:rsidRPr="006B4639">
        <w:t xml:space="preserve">not for </w:t>
      </w:r>
      <w:r w:rsidRPr="006B4639">
        <w:t xml:space="preserve">full and light regulation pipelines; </w:t>
      </w:r>
    </w:p>
    <w:p w14:paraId="337B82E9" w14:textId="5493BA5E" w:rsidR="00E13DA2" w:rsidRPr="006B4639" w:rsidRDefault="00517663" w:rsidP="004E273F">
      <w:pPr>
        <w:pStyle w:val="ListBullet"/>
        <w:numPr>
          <w:ilvl w:val="0"/>
          <w:numId w:val="49"/>
        </w:numPr>
        <w:ind w:left="357" w:hanging="357"/>
      </w:pPr>
      <w:r>
        <w:t>historical financial</w:t>
      </w:r>
      <w:r w:rsidR="00E13DA2" w:rsidRPr="006B4639">
        <w:t xml:space="preserve"> information must be published </w:t>
      </w:r>
      <w:r w:rsidR="00063D0E" w:rsidRPr="006B4639">
        <w:t xml:space="preserve">for </w:t>
      </w:r>
      <w:r w:rsidR="00E13DA2" w:rsidRPr="006B4639">
        <w:t xml:space="preserve">non-scheme </w:t>
      </w:r>
      <w:r w:rsidR="003869AF" w:rsidRPr="006B4639">
        <w:t xml:space="preserve">and light regulation </w:t>
      </w:r>
      <w:r w:rsidR="00E13DA2" w:rsidRPr="006B4639">
        <w:t xml:space="preserve">pipelines, but </w:t>
      </w:r>
      <w:r w:rsidR="003869AF" w:rsidRPr="006B4639">
        <w:t xml:space="preserve">this information is only required of full regulation pipelines </w:t>
      </w:r>
      <w:r w:rsidR="00E13DA2" w:rsidRPr="006B4639">
        <w:t xml:space="preserve">if </w:t>
      </w:r>
      <w:r w:rsidR="00D11426" w:rsidRPr="006B4639">
        <w:t xml:space="preserve">a </w:t>
      </w:r>
      <w:r w:rsidR="00E13DA2" w:rsidRPr="006B4639">
        <w:t>regulatory information notice</w:t>
      </w:r>
      <w:r w:rsidR="004F1EBF" w:rsidRPr="006B4639">
        <w:t xml:space="preserve"> is issued</w:t>
      </w:r>
      <w:r w:rsidR="00E13DA2" w:rsidRPr="006B4639">
        <w:t xml:space="preserve">, which has occurred on </w:t>
      </w:r>
      <w:r w:rsidR="00D11426" w:rsidRPr="006B4639">
        <w:t xml:space="preserve">a </w:t>
      </w:r>
      <w:r w:rsidR="00E13DA2" w:rsidRPr="006B4639">
        <w:t xml:space="preserve">limited </w:t>
      </w:r>
      <w:r w:rsidR="00D11426" w:rsidRPr="006B4639">
        <w:t>basis to date</w:t>
      </w:r>
      <w:r w:rsidR="00E13DA2" w:rsidRPr="006B4639">
        <w:t>;</w:t>
      </w:r>
      <w:r w:rsidR="00370905">
        <w:rPr>
          <w:rFonts w:ascii="ZWAdobeF" w:hAnsi="ZWAdobeF" w:cs="ZWAdobeF"/>
          <w:sz w:val="2"/>
          <w:szCs w:val="2"/>
        </w:rPr>
        <w:t>142F</w:t>
      </w:r>
      <w:r w:rsidR="00D11426" w:rsidRPr="006B4639">
        <w:rPr>
          <w:rStyle w:val="FootnoteReference"/>
        </w:rPr>
        <w:footnoteReference w:id="144"/>
      </w:r>
      <w:r w:rsidR="00E13DA2" w:rsidRPr="006B4639">
        <w:t xml:space="preserve"> and</w:t>
      </w:r>
    </w:p>
    <w:bookmarkEnd w:id="134"/>
    <w:p w14:paraId="2459E7DB" w14:textId="77777777" w:rsidR="00E13DA2" w:rsidRPr="006B4639" w:rsidRDefault="00E13DA2" w:rsidP="004E273F">
      <w:pPr>
        <w:pStyle w:val="ListBullet"/>
        <w:numPr>
          <w:ilvl w:val="0"/>
          <w:numId w:val="49"/>
        </w:numPr>
        <w:ind w:left="357" w:hanging="357"/>
      </w:pPr>
      <w:r w:rsidRPr="006B4639">
        <w:t xml:space="preserve">information on the forecast costs and forecast demand must be published for full regulation pipelines, but </w:t>
      </w:r>
      <w:r w:rsidR="003869AF" w:rsidRPr="006B4639">
        <w:t xml:space="preserve">not for </w:t>
      </w:r>
      <w:r w:rsidRPr="006B4639">
        <w:t>non-scheme pipelines.</w:t>
      </w:r>
    </w:p>
    <w:bookmarkEnd w:id="135"/>
    <w:p w14:paraId="282093C7" w14:textId="77777777" w:rsidR="00E13DA2" w:rsidRPr="006B4639" w:rsidRDefault="00E13DA2" w:rsidP="00E13DA2">
      <w:pPr>
        <w:pStyle w:val="BodyText"/>
      </w:pPr>
      <w:r w:rsidRPr="006B4639">
        <w:t>The size threshold used for exemptions also differs across the forms of regulation</w:t>
      </w:r>
      <w:r w:rsidR="00B971F7" w:rsidRPr="006B4639">
        <w:t xml:space="preserve"> and there are some differences in the treatment of distribution pipelines.</w:t>
      </w:r>
    </w:p>
    <w:p w14:paraId="04D1FD42" w14:textId="7F571273" w:rsidR="00E13DA2" w:rsidRDefault="00E13DA2" w:rsidP="00E13DA2">
      <w:pPr>
        <w:pStyle w:val="BodyText"/>
      </w:pPr>
      <w:r w:rsidRPr="006B4639">
        <w:t xml:space="preserve">There are also some differences between the information that service providers subject to the same form of regulation are required to report. For example, transmission pipelines in eastern and northern Australia that are subject to full or light regulation are required to publish information on planned expansions and a 36-month outlook for uncontracted capacity, while their counterparts in Western Australia are not. This is because the obligation to report the information in eastern and northern Australia is set out in the Bulletin Board provisions in the NGR, which do not apply to pipelines in Western Australia. </w:t>
      </w:r>
      <w:r w:rsidR="00522B1D">
        <w:t xml:space="preserve">In Western Australia, the GBB is given effect through the </w:t>
      </w:r>
      <w:r w:rsidR="00522B1D" w:rsidRPr="00EF7DBD">
        <w:rPr>
          <w:i/>
          <w:iCs/>
        </w:rPr>
        <w:t>Gas Services Information Act 2012</w:t>
      </w:r>
      <w:r w:rsidR="00522B1D">
        <w:rPr>
          <w:i/>
          <w:iCs/>
        </w:rPr>
        <w:t xml:space="preserve"> </w:t>
      </w:r>
      <w:r w:rsidR="00522B1D">
        <w:t>(WA), the Gas Services Information Regulations 2012 (WA) and the Gas Services Information Rules.</w:t>
      </w:r>
    </w:p>
    <w:p w14:paraId="06ED76CA" w14:textId="77777777" w:rsidR="00EB218D" w:rsidRPr="006B4639" w:rsidRDefault="00EB218D" w:rsidP="00EB218D">
      <w:pPr>
        <w:pStyle w:val="Heading2"/>
      </w:pPr>
      <w:bookmarkStart w:id="136" w:name="_Toc62219415"/>
      <w:bookmarkStart w:id="137" w:name="_Ref18124549"/>
      <w:r w:rsidRPr="006B4639">
        <w:lastRenderedPageBreak/>
        <w:t>What problem</w:t>
      </w:r>
      <w:r>
        <w:t>s have been identified with this aspect of the regulatory framework and what feedback was provided</w:t>
      </w:r>
      <w:r w:rsidRPr="006B4639">
        <w:t>?</w:t>
      </w:r>
      <w:bookmarkEnd w:id="136"/>
    </w:p>
    <w:bookmarkEnd w:id="137"/>
    <w:p w14:paraId="5EF2E47E" w14:textId="77777777" w:rsidR="00C74643" w:rsidRDefault="00C74643" w:rsidP="004F6EB7">
      <w:pPr>
        <w:pStyle w:val="Heading3"/>
        <w:spacing w:before="200" w:after="120"/>
      </w:pPr>
      <w:r>
        <w:t>Potential problems identified in the Consultation RIS</w:t>
      </w:r>
    </w:p>
    <w:p w14:paraId="2734B00F" w14:textId="77777777" w:rsidR="00E13DA2" w:rsidRPr="006B4639" w:rsidRDefault="00D97E94" w:rsidP="00E13DA2">
      <w:pPr>
        <w:pStyle w:val="BodyText"/>
        <w:spacing w:before="120"/>
      </w:pPr>
      <w:r>
        <w:t xml:space="preserve">In the Consultation RIS, the following </w:t>
      </w:r>
      <w:r w:rsidRPr="00B370BB">
        <w:rPr>
          <w:i/>
          <w:iCs/>
        </w:rPr>
        <w:t>potential</w:t>
      </w:r>
      <w:r>
        <w:t xml:space="preserve"> problems were identified with the information disclosure obligations applying under</w:t>
      </w:r>
      <w:r w:rsidR="00E13DA2" w:rsidRPr="006B4639">
        <w:t>:</w:t>
      </w:r>
    </w:p>
    <w:p w14:paraId="2B52F3B6" w14:textId="77777777" w:rsidR="0065298B" w:rsidRPr="006B4639" w:rsidRDefault="0065298B" w:rsidP="00AD36B8">
      <w:pPr>
        <w:pStyle w:val="ListBullet"/>
      </w:pPr>
      <w:r w:rsidRPr="0065298B">
        <w:rPr>
          <w:b/>
          <w:bCs/>
        </w:rPr>
        <w:t>Full regulation:</w:t>
      </w:r>
      <w:r>
        <w:t xml:space="preserve"> T</w:t>
      </w:r>
      <w:r w:rsidRPr="006B4639">
        <w:t>he</w:t>
      </w:r>
      <w:r>
        <w:t>re is</w:t>
      </w:r>
      <w:r w:rsidRPr="006B4639">
        <w:t xml:space="preserve"> limited information </w:t>
      </w:r>
      <w:r>
        <w:t xml:space="preserve">available </w:t>
      </w:r>
      <w:r w:rsidRPr="006B4639">
        <w:t>to shippers negotiating access to non-reference services on full regulation pipelines</w:t>
      </w:r>
      <w:r w:rsidR="00234D60">
        <w:t>.</w:t>
      </w:r>
    </w:p>
    <w:p w14:paraId="285C52CD" w14:textId="77777777" w:rsidR="0065298B" w:rsidRDefault="0065298B" w:rsidP="00AD36B8">
      <w:pPr>
        <w:pStyle w:val="ListBullet"/>
      </w:pPr>
      <w:r w:rsidRPr="0065298B">
        <w:rPr>
          <w:b/>
          <w:bCs/>
        </w:rPr>
        <w:t>Light regulation and Part 23:</w:t>
      </w:r>
      <w:r>
        <w:t xml:space="preserve"> T</w:t>
      </w:r>
      <w:r w:rsidRPr="006B4639">
        <w:t>he</w:t>
      </w:r>
      <w:r>
        <w:t>re are a number of deficiencies in the</w:t>
      </w:r>
      <w:r w:rsidRPr="006B4639">
        <w:t xml:space="preserve"> information reported by </w:t>
      </w:r>
      <w:r>
        <w:t xml:space="preserve">Part 23 and light regulation </w:t>
      </w:r>
      <w:r w:rsidRPr="006B4639">
        <w:t xml:space="preserve">pipelines </w:t>
      </w:r>
      <w:r>
        <w:t>(including as a result of the availability of exemptions) that are affecting the adequacy, quality and reliability, accessibility and usability of the reported information</w:t>
      </w:r>
      <w:r w:rsidRPr="006B4639">
        <w:t xml:space="preserve">. </w:t>
      </w:r>
    </w:p>
    <w:p w14:paraId="78E15976" w14:textId="77777777" w:rsidR="00D97E94" w:rsidRDefault="00024660" w:rsidP="00AD36B8">
      <w:pPr>
        <w:pStyle w:val="ListBullet"/>
        <w:numPr>
          <w:ilvl w:val="0"/>
          <w:numId w:val="0"/>
        </w:numPr>
      </w:pPr>
      <w:r>
        <w:t xml:space="preserve">The identification of these potential problems was based on the </w:t>
      </w:r>
      <w:r w:rsidR="00D97E94">
        <w:t xml:space="preserve">various reviews of the regulatory framework and the operation of Part 23 that have been undertaken by the </w:t>
      </w:r>
      <w:r>
        <w:t xml:space="preserve">AEMC, </w:t>
      </w:r>
      <w:r w:rsidR="00D97E94">
        <w:t>ACCC, Brattle and OGW (see Appendix B)</w:t>
      </w:r>
      <w:r>
        <w:t xml:space="preserve">. </w:t>
      </w:r>
    </w:p>
    <w:p w14:paraId="7831FFA5" w14:textId="77777777" w:rsidR="00C74643" w:rsidRDefault="00C74643" w:rsidP="004F6EB7">
      <w:pPr>
        <w:pStyle w:val="Heading3"/>
        <w:spacing w:before="200" w:after="120"/>
      </w:pPr>
      <w:r>
        <w:t xml:space="preserve">Stakeholder feedback on the potential problems </w:t>
      </w:r>
    </w:p>
    <w:p w14:paraId="31295FD8" w14:textId="42617912" w:rsidR="000E14B1" w:rsidRDefault="00024660" w:rsidP="00A5776B">
      <w:pPr>
        <w:pStyle w:val="BodyText"/>
      </w:pPr>
      <w:r>
        <w:fldChar w:fldCharType="begin" w:fldLock="1"/>
      </w:r>
      <w:r>
        <w:instrText xml:space="preserve"> REF _Ref52865861 \h </w:instrText>
      </w:r>
      <w:r>
        <w:fldChar w:fldCharType="separate"/>
      </w:r>
      <w:r w:rsidR="00036405">
        <w:t xml:space="preserve">Table </w:t>
      </w:r>
      <w:r w:rsidR="00036405">
        <w:rPr>
          <w:noProof/>
        </w:rPr>
        <w:t>6</w:t>
      </w:r>
      <w:r w:rsidR="00036405">
        <w:t>.</w:t>
      </w:r>
      <w:r w:rsidR="00036405">
        <w:rPr>
          <w:noProof/>
        </w:rPr>
        <w:t>2</w:t>
      </w:r>
      <w:r>
        <w:fldChar w:fldCharType="end"/>
      </w:r>
      <w:r>
        <w:t xml:space="preserve"> sets out the feedback that stakeholders provided in response to these potential problems.</w:t>
      </w:r>
      <w:r w:rsidR="00370905">
        <w:rPr>
          <w:rFonts w:ascii="ZWAdobeF" w:hAnsi="ZWAdobeF" w:cs="ZWAdobeF"/>
          <w:sz w:val="2"/>
          <w:szCs w:val="2"/>
        </w:rPr>
        <w:t>143F</w:t>
      </w:r>
      <w:r w:rsidR="00A5776B">
        <w:rPr>
          <w:rStyle w:val="FootnoteReference"/>
        </w:rPr>
        <w:footnoteReference w:id="145"/>
      </w:r>
      <w:r>
        <w:t xml:space="preserve"> </w:t>
      </w:r>
      <w:r w:rsidR="00A5776B">
        <w:t xml:space="preserve">As this table reveals, </w:t>
      </w:r>
      <w:r w:rsidR="000E14B1">
        <w:t xml:space="preserve">the majority of stakeholders (including a large number of service providers) agreed that the deficiencies in the information disclosed by pipelines subject to light regulation and Part 23 </w:t>
      </w:r>
      <w:r w:rsidR="003C7438">
        <w:t xml:space="preserve">are </w:t>
      </w:r>
      <w:r w:rsidR="000E14B1">
        <w:t xml:space="preserve">a problem with the current framework. </w:t>
      </w:r>
    </w:p>
    <w:p w14:paraId="1B4EA189" w14:textId="77777777" w:rsidR="00186DF9" w:rsidRDefault="000E14B1" w:rsidP="00405280">
      <w:pPr>
        <w:pStyle w:val="BodyText"/>
      </w:pPr>
      <w:r>
        <w:t xml:space="preserve">Mixed </w:t>
      </w:r>
      <w:r w:rsidR="00A5776B">
        <w:t xml:space="preserve">views </w:t>
      </w:r>
      <w:r>
        <w:t xml:space="preserve">were, however, expressed about </w:t>
      </w:r>
      <w:r w:rsidR="0085386A">
        <w:t xml:space="preserve">whether there is a problem with </w:t>
      </w:r>
      <w:r w:rsidR="00A5776B">
        <w:t xml:space="preserve">the information disclosure requirements applying to full regulation pipelines. </w:t>
      </w:r>
      <w:r w:rsidR="009351BB">
        <w:t>That is, w</w:t>
      </w:r>
      <w:r w:rsidR="00A5776B">
        <w:t xml:space="preserve">hile the majority of stakeholders agreed that the limited information on non-reference services was a problem, this view was </w:t>
      </w:r>
      <w:r w:rsidR="00C742CD">
        <w:t xml:space="preserve">questioned </w:t>
      </w:r>
      <w:r w:rsidR="00A5776B">
        <w:t xml:space="preserve">by a number of service providers, who </w:t>
      </w:r>
      <w:r w:rsidR="00F31423">
        <w:t xml:space="preserve">stated </w:t>
      </w:r>
      <w:r w:rsidR="00A5776B">
        <w:t xml:space="preserve">that full regulation pipelines already report a substantial amount of information. </w:t>
      </w:r>
    </w:p>
    <w:p w14:paraId="3297C3DC" w14:textId="77777777" w:rsidR="004307C9" w:rsidRDefault="00C742CD" w:rsidP="00405280">
      <w:pPr>
        <w:pStyle w:val="BodyText"/>
      </w:pPr>
      <w:r>
        <w:t xml:space="preserve">While </w:t>
      </w:r>
      <w:r w:rsidR="004307C9">
        <w:t xml:space="preserve">pipelines subject to </w:t>
      </w:r>
      <w:r w:rsidRPr="00C47F6F">
        <w:t xml:space="preserve">full regulation </w:t>
      </w:r>
      <w:r w:rsidR="004D019E">
        <w:t xml:space="preserve">are required </w:t>
      </w:r>
      <w:r w:rsidR="00695704" w:rsidRPr="00C47F6F">
        <w:t>to publish a range of information</w:t>
      </w:r>
      <w:r w:rsidR="00F31423" w:rsidRPr="00C47F6F">
        <w:t xml:space="preserve">, </w:t>
      </w:r>
      <w:r w:rsidR="007304A6" w:rsidRPr="00C47F6F">
        <w:t>they are not</w:t>
      </w:r>
      <w:r w:rsidR="009D4611">
        <w:t>, as noted in Table 6.1,</w:t>
      </w:r>
      <w:r w:rsidR="007304A6" w:rsidRPr="00C47F6F">
        <w:t xml:space="preserve"> required to publish any information </w:t>
      </w:r>
      <w:r w:rsidR="004307C9">
        <w:t xml:space="preserve">on </w:t>
      </w:r>
      <w:r w:rsidRPr="00C47F6F">
        <w:t xml:space="preserve">non-reference </w:t>
      </w:r>
      <w:r w:rsidRPr="00567BF7">
        <w:t>services</w:t>
      </w:r>
      <w:r w:rsidR="004307C9" w:rsidRPr="00567BF7">
        <w:t>.</w:t>
      </w:r>
      <w:r w:rsidR="003F6263" w:rsidRPr="00567BF7">
        <w:t xml:space="preserve"> There are also some other inconsistencies between the information they are required to report and </w:t>
      </w:r>
      <w:r w:rsidR="00405280" w:rsidRPr="00567BF7">
        <w:t xml:space="preserve">the information that Part 23 and light regulation pipelines are required to report. As a number of stakeholders noted, </w:t>
      </w:r>
      <w:r w:rsidR="000E79E8" w:rsidRPr="00567BF7">
        <w:t xml:space="preserve">the lack of information on non-reference services </w:t>
      </w:r>
      <w:r w:rsidR="00186DF9" w:rsidRPr="00567BF7">
        <w:t>can hinder the ability of shippers to negotiate</w:t>
      </w:r>
      <w:r w:rsidR="000D4385" w:rsidRPr="00567BF7">
        <w:t xml:space="preserve"> effectively</w:t>
      </w:r>
      <w:r w:rsidR="00186DF9" w:rsidRPr="00567BF7">
        <w:t xml:space="preserve">, impose additional search and transaction costs on shippers and make them more susceptible to exercises of market </w:t>
      </w:r>
      <w:r w:rsidR="000D4385" w:rsidRPr="00567BF7">
        <w:t>power</w:t>
      </w:r>
      <w:r w:rsidR="00952FA9" w:rsidRPr="00567BF7">
        <w:t xml:space="preserve">, particularly on </w:t>
      </w:r>
      <w:r w:rsidR="004307C9" w:rsidRPr="00567BF7">
        <w:t xml:space="preserve">transmission pipelines where </w:t>
      </w:r>
      <w:r w:rsidR="00E41F8A" w:rsidRPr="00567BF7">
        <w:t xml:space="preserve">non-reference </w:t>
      </w:r>
      <w:r w:rsidR="004307C9" w:rsidRPr="00567BF7">
        <w:t>services are more common</w:t>
      </w:r>
      <w:r w:rsidR="00405280" w:rsidRPr="00567BF7">
        <w:t xml:space="preserve">place. </w:t>
      </w:r>
      <w:r w:rsidR="00952FA9" w:rsidRPr="00567BF7">
        <w:t xml:space="preserve">Differences in other disclosure requirements can also be gamed by service providers. It is these problems that </w:t>
      </w:r>
      <w:r w:rsidR="00567BF7" w:rsidRPr="00567BF7">
        <w:t>were identified in the Consultation RIS and that the majority of stakeholders agreed should be addressed.</w:t>
      </w:r>
      <w:r w:rsidR="00567BF7">
        <w:t xml:space="preserve"> </w:t>
      </w:r>
    </w:p>
    <w:p w14:paraId="0341A684" w14:textId="77777777" w:rsidR="00C043FB" w:rsidRDefault="00C043FB" w:rsidP="00C043FB">
      <w:pPr>
        <w:pStyle w:val="BodyText"/>
        <w:sectPr w:rsidR="00C043FB" w:rsidSect="00795317">
          <w:headerReference w:type="default" r:id="rId46"/>
          <w:footerReference w:type="default" r:id="rId47"/>
          <w:pgSz w:w="11907" w:h="16839" w:code="9"/>
          <w:pgMar w:top="1361" w:right="1418" w:bottom="992" w:left="1701" w:header="567" w:footer="397" w:gutter="0"/>
          <w:cols w:space="708"/>
          <w:docGrid w:linePitch="360"/>
        </w:sectPr>
      </w:pPr>
    </w:p>
    <w:p w14:paraId="089DD665" w14:textId="4E182C92" w:rsidR="00C043FB" w:rsidRDefault="00C043FB" w:rsidP="00C043FB">
      <w:pPr>
        <w:pStyle w:val="Caption"/>
        <w:spacing w:before="0" w:after="0"/>
      </w:pPr>
      <w:bookmarkStart w:id="138" w:name="_Ref52865861"/>
      <w:r>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6</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2</w:t>
      </w:r>
      <w:r w:rsidR="00F323B2">
        <w:rPr>
          <w:noProof/>
        </w:rPr>
        <w:fldChar w:fldCharType="end"/>
      </w:r>
      <w:bookmarkEnd w:id="138"/>
      <w:r>
        <w:t xml:space="preserve">: Potential problems identified in the </w:t>
      </w:r>
      <w:r w:rsidR="00C30FAF">
        <w:t>Consultation RIS</w:t>
      </w:r>
      <w:r>
        <w:t xml:space="preserve"> and stakeholder feedback on the problems</w:t>
      </w:r>
    </w:p>
    <w:tbl>
      <w:tblPr>
        <w:tblStyle w:val="TableGrid"/>
        <w:tblW w:w="5000" w:type="pct"/>
        <w:tblLayout w:type="fixed"/>
        <w:tblLook w:val="0420" w:firstRow="1" w:lastRow="0" w:firstColumn="0" w:lastColumn="0" w:noHBand="0" w:noVBand="1"/>
      </w:tblPr>
      <w:tblGrid>
        <w:gridCol w:w="544"/>
        <w:gridCol w:w="949"/>
        <w:gridCol w:w="12227"/>
      </w:tblGrid>
      <w:tr w:rsidR="00C043FB" w:rsidRPr="00806C0D" w14:paraId="0C159053" w14:textId="77777777" w:rsidTr="003D7B36">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3"/>
            <w:tcBorders>
              <w:bottom w:val="single" w:sz="4" w:space="0" w:color="auto"/>
            </w:tcBorders>
            <w:shd w:val="clear" w:color="auto" w:fill="002060"/>
          </w:tcPr>
          <w:p w14:paraId="2A369C43" w14:textId="77777777" w:rsidR="00C043FB" w:rsidRPr="00806C0D" w:rsidRDefault="00C043FB" w:rsidP="00CF688C">
            <w:pPr>
              <w:pStyle w:val="TableHeading"/>
              <w:spacing w:before="20" w:after="20"/>
              <w:rPr>
                <w:rFonts w:asciiTheme="majorHAnsi" w:hAnsiTheme="majorHAnsi" w:cstheme="majorHAnsi"/>
                <w:sz w:val="17"/>
                <w:szCs w:val="17"/>
                <w:lang w:eastAsia="fr-CA"/>
              </w:rPr>
            </w:pPr>
            <w:r w:rsidRPr="00806C0D">
              <w:rPr>
                <w:rFonts w:asciiTheme="majorHAnsi" w:hAnsiTheme="majorHAnsi" w:cstheme="majorHAnsi"/>
                <w:sz w:val="17"/>
                <w:szCs w:val="17"/>
                <w:lang w:eastAsia="fr-CA"/>
              </w:rPr>
              <w:t>Detail</w:t>
            </w:r>
          </w:p>
        </w:tc>
      </w:tr>
      <w:tr w:rsidR="00C043FB" w:rsidRPr="00806C0D" w14:paraId="054B1986" w14:textId="77777777" w:rsidTr="003D7B36">
        <w:trPr>
          <w:cantSplit/>
        </w:trPr>
        <w:tc>
          <w:tcPr>
            <w:tcW w:w="5000" w:type="pct"/>
            <w:gridSpan w:val="3"/>
            <w:tcBorders>
              <w:bottom w:val="single" w:sz="4" w:space="0" w:color="auto"/>
            </w:tcBorders>
            <w:shd w:val="clear" w:color="auto" w:fill="65697F" w:themeFill="background2" w:themeFillShade="80"/>
          </w:tcPr>
          <w:p w14:paraId="324E6A27" w14:textId="77777777" w:rsidR="00C043FB" w:rsidRPr="00806C0D" w:rsidRDefault="005D6848" w:rsidP="00CF688C">
            <w:pPr>
              <w:pStyle w:val="TableBodyText"/>
              <w:spacing w:before="20" w:after="20"/>
              <w:jc w:val="center"/>
              <w:rPr>
                <w:rFonts w:asciiTheme="majorHAnsi" w:hAnsiTheme="majorHAnsi" w:cstheme="majorHAnsi"/>
                <w:b/>
                <w:bCs/>
                <w:color w:val="FFFFFF" w:themeColor="background1"/>
                <w:sz w:val="17"/>
                <w:szCs w:val="17"/>
              </w:rPr>
            </w:pPr>
            <w:r w:rsidRPr="00806C0D">
              <w:rPr>
                <w:rFonts w:asciiTheme="majorHAnsi" w:hAnsiTheme="majorHAnsi" w:cstheme="majorHAnsi"/>
                <w:b/>
                <w:bCs/>
                <w:color w:val="FFFFFF" w:themeColor="background1"/>
                <w:sz w:val="17"/>
                <w:szCs w:val="17"/>
              </w:rPr>
              <w:t xml:space="preserve">Limited information </w:t>
            </w:r>
            <w:r w:rsidR="00D069CF">
              <w:rPr>
                <w:rFonts w:asciiTheme="majorHAnsi" w:hAnsiTheme="majorHAnsi" w:cstheme="majorHAnsi"/>
                <w:b/>
                <w:bCs/>
                <w:color w:val="FFFFFF" w:themeColor="background1"/>
                <w:sz w:val="17"/>
                <w:szCs w:val="17"/>
              </w:rPr>
              <w:t>available</w:t>
            </w:r>
            <w:r w:rsidRPr="00806C0D">
              <w:rPr>
                <w:rFonts w:asciiTheme="majorHAnsi" w:hAnsiTheme="majorHAnsi" w:cstheme="majorHAnsi"/>
                <w:b/>
                <w:bCs/>
                <w:color w:val="FFFFFF" w:themeColor="background1"/>
                <w:sz w:val="17"/>
                <w:szCs w:val="17"/>
              </w:rPr>
              <w:t xml:space="preserve"> on non-reference services </w:t>
            </w:r>
          </w:p>
        </w:tc>
      </w:tr>
      <w:tr w:rsidR="00C043FB" w:rsidRPr="00806C0D" w14:paraId="52FAA3E9" w14:textId="77777777" w:rsidTr="003D7B36">
        <w:trPr>
          <w:cnfStyle w:val="000000010000" w:firstRow="0" w:lastRow="0" w:firstColumn="0" w:lastColumn="0" w:oddVBand="0" w:evenVBand="0" w:oddHBand="0" w:evenHBand="1" w:firstRowFirstColumn="0" w:firstRowLastColumn="0" w:lastRowFirstColumn="0" w:lastRowLastColumn="0"/>
          <w:cantSplit/>
        </w:trPr>
        <w:tc>
          <w:tcPr>
            <w:tcW w:w="544" w:type="pct"/>
            <w:gridSpan w:val="2"/>
            <w:shd w:val="clear" w:color="auto" w:fill="FFFFFF" w:themeFill="background1"/>
          </w:tcPr>
          <w:p w14:paraId="2D1EE01E" w14:textId="77777777" w:rsidR="00C043FB" w:rsidRPr="00806C0D" w:rsidRDefault="00C043FB" w:rsidP="0034457D">
            <w:pPr>
              <w:pStyle w:val="TableBodyText"/>
              <w:spacing w:before="20" w:after="20"/>
              <w:rPr>
                <w:rFonts w:asciiTheme="majorHAnsi" w:hAnsiTheme="majorHAnsi" w:cstheme="majorHAnsi"/>
                <w:sz w:val="17"/>
                <w:szCs w:val="17"/>
              </w:rPr>
            </w:pPr>
            <w:r w:rsidRPr="00806C0D">
              <w:rPr>
                <w:rFonts w:asciiTheme="majorHAnsi" w:hAnsiTheme="majorHAnsi" w:cstheme="majorHAnsi"/>
                <w:sz w:val="17"/>
                <w:szCs w:val="17"/>
              </w:rPr>
              <w:t>Description of potential problem</w:t>
            </w:r>
          </w:p>
        </w:tc>
        <w:tc>
          <w:tcPr>
            <w:tcW w:w="4456" w:type="pct"/>
            <w:shd w:val="clear" w:color="auto" w:fill="FFFFFF" w:themeFill="background1"/>
          </w:tcPr>
          <w:p w14:paraId="1488A419" w14:textId="21528170" w:rsidR="001F1A6F" w:rsidRPr="00806C0D" w:rsidRDefault="00787D5D" w:rsidP="0034457D">
            <w:pPr>
              <w:pStyle w:val="TableBullet10"/>
              <w:numPr>
                <w:ilvl w:val="0"/>
                <w:numId w:val="0"/>
              </w:numPr>
              <w:spacing w:before="20" w:after="20"/>
              <w:ind w:left="85"/>
              <w:rPr>
                <w:sz w:val="17"/>
                <w:szCs w:val="17"/>
              </w:rPr>
            </w:pPr>
            <w:r w:rsidRPr="00806C0D">
              <w:rPr>
                <w:rFonts w:asciiTheme="majorHAnsi" w:hAnsiTheme="majorHAnsi" w:cstheme="majorHAnsi"/>
                <w:sz w:val="17"/>
                <w:szCs w:val="17"/>
              </w:rPr>
              <w:t xml:space="preserve">As </w:t>
            </w:r>
            <w:r w:rsidRPr="00806C0D">
              <w:rPr>
                <w:rFonts w:asciiTheme="majorHAnsi" w:hAnsiTheme="majorHAnsi" w:cstheme="majorHAnsi"/>
                <w:sz w:val="17"/>
                <w:szCs w:val="17"/>
              </w:rPr>
              <w:fldChar w:fldCharType="begin" w:fldLock="1"/>
            </w:r>
            <w:r w:rsidRPr="00806C0D">
              <w:rPr>
                <w:rFonts w:asciiTheme="majorHAnsi" w:hAnsiTheme="majorHAnsi" w:cstheme="majorHAnsi"/>
                <w:sz w:val="17"/>
                <w:szCs w:val="17"/>
              </w:rPr>
              <w:instrText xml:space="preserve"> REF _Ref18123577 \h </w:instrText>
            </w:r>
            <w:r w:rsidR="00285ADC" w:rsidRPr="00806C0D">
              <w:rPr>
                <w:rFonts w:asciiTheme="majorHAnsi" w:hAnsiTheme="majorHAnsi" w:cstheme="majorHAnsi"/>
                <w:sz w:val="17"/>
                <w:szCs w:val="17"/>
              </w:rPr>
              <w:instrText xml:space="preserve"> \* MERGEFORMAT </w:instrText>
            </w:r>
            <w:r w:rsidRPr="00806C0D">
              <w:rPr>
                <w:rFonts w:asciiTheme="majorHAnsi" w:hAnsiTheme="majorHAnsi" w:cstheme="majorHAnsi"/>
                <w:sz w:val="17"/>
                <w:szCs w:val="17"/>
              </w:rPr>
            </w:r>
            <w:r w:rsidRPr="00806C0D">
              <w:rPr>
                <w:rFonts w:asciiTheme="majorHAnsi" w:hAnsiTheme="majorHAnsi" w:cstheme="majorHAnsi"/>
                <w:sz w:val="17"/>
                <w:szCs w:val="17"/>
              </w:rPr>
              <w:fldChar w:fldCharType="separate"/>
            </w:r>
            <w:r w:rsidR="00036405" w:rsidRPr="00036405">
              <w:rPr>
                <w:sz w:val="17"/>
                <w:szCs w:val="17"/>
              </w:rPr>
              <w:t xml:space="preserve">Table </w:t>
            </w:r>
            <w:r w:rsidR="00036405" w:rsidRPr="00036405">
              <w:rPr>
                <w:noProof/>
                <w:sz w:val="17"/>
                <w:szCs w:val="17"/>
              </w:rPr>
              <w:t>6.1</w:t>
            </w:r>
            <w:r w:rsidRPr="00806C0D">
              <w:rPr>
                <w:rFonts w:asciiTheme="majorHAnsi" w:hAnsiTheme="majorHAnsi" w:cstheme="majorHAnsi"/>
                <w:sz w:val="17"/>
                <w:szCs w:val="17"/>
              </w:rPr>
              <w:fldChar w:fldCharType="end"/>
            </w:r>
            <w:r w:rsidRPr="00806C0D">
              <w:rPr>
                <w:rFonts w:asciiTheme="majorHAnsi" w:hAnsiTheme="majorHAnsi" w:cstheme="majorHAnsi"/>
                <w:sz w:val="17"/>
                <w:szCs w:val="17"/>
              </w:rPr>
              <w:t xml:space="preserve"> shows, </w:t>
            </w:r>
            <w:r w:rsidR="001F1A6F" w:rsidRPr="00806C0D">
              <w:rPr>
                <w:sz w:val="17"/>
                <w:szCs w:val="17"/>
              </w:rPr>
              <w:t>there are some differences between the information disclosure requirements prevailing under the alternative forms of regulation. While some differences are to be expected given the nature of the alternative forms of regulation, the rationale for requiring pipelines subject to light regulation and Part 23 to report the following information for all the services offered, but not full regulation pipelines is less clear given shippers using these pipelines have to negotiate access to both reference and non-reference services:</w:t>
            </w:r>
          </w:p>
          <w:p w14:paraId="590C0FF6" w14:textId="77777777" w:rsidR="001F1A6F" w:rsidRPr="00806C0D" w:rsidRDefault="001F1A6F" w:rsidP="004E273F">
            <w:pPr>
              <w:pStyle w:val="ListBullet"/>
              <w:numPr>
                <w:ilvl w:val="0"/>
                <w:numId w:val="103"/>
              </w:numPr>
              <w:spacing w:before="20" w:after="20"/>
              <w:ind w:left="442" w:hanging="357"/>
            </w:pPr>
            <w:r w:rsidRPr="00806C0D">
              <w:t>a description of each of the services offered by the pipeline (pipeline service information);</w:t>
            </w:r>
          </w:p>
          <w:p w14:paraId="3ECD2D64" w14:textId="77777777" w:rsidR="001F1A6F" w:rsidRPr="00806C0D" w:rsidRDefault="001F1A6F" w:rsidP="004E273F">
            <w:pPr>
              <w:pStyle w:val="ListBullet"/>
              <w:numPr>
                <w:ilvl w:val="0"/>
                <w:numId w:val="103"/>
              </w:numPr>
              <w:spacing w:before="20" w:after="20"/>
              <w:ind w:left="442" w:hanging="357"/>
            </w:pPr>
            <w:r w:rsidRPr="00806C0D">
              <w:t xml:space="preserve">the standing terms for each service (i.e. the standing prices, standard terms and conditions and methods used to calculate standing prices); </w:t>
            </w:r>
          </w:p>
          <w:p w14:paraId="60532F64" w14:textId="77777777" w:rsidR="001F1A6F" w:rsidRPr="00806C0D" w:rsidRDefault="001F1A6F" w:rsidP="004E273F">
            <w:pPr>
              <w:pStyle w:val="ListBullet"/>
              <w:numPr>
                <w:ilvl w:val="0"/>
                <w:numId w:val="103"/>
              </w:numPr>
              <w:spacing w:before="20" w:after="20"/>
              <w:ind w:left="442" w:hanging="357"/>
            </w:pPr>
            <w:r w:rsidRPr="00806C0D">
              <w:t>information on prices paid by other shippers for services provided by the pipeline;</w:t>
            </w:r>
          </w:p>
          <w:p w14:paraId="724DF5E7" w14:textId="77777777" w:rsidR="001F1A6F" w:rsidRPr="00806C0D" w:rsidRDefault="001F1A6F" w:rsidP="004E273F">
            <w:pPr>
              <w:pStyle w:val="ListBullet"/>
              <w:numPr>
                <w:ilvl w:val="0"/>
                <w:numId w:val="103"/>
              </w:numPr>
              <w:spacing w:before="20" w:after="20"/>
              <w:ind w:left="442" w:hanging="357"/>
            </w:pPr>
            <w:r w:rsidRPr="00806C0D">
              <w:t xml:space="preserve">information on the </w:t>
            </w:r>
            <w:r w:rsidR="00517663">
              <w:t>historical demand</w:t>
            </w:r>
            <w:r w:rsidRPr="00806C0D">
              <w:t xml:space="preserve"> for each service provided by the pipeline; and</w:t>
            </w:r>
          </w:p>
          <w:p w14:paraId="33DF924F" w14:textId="77777777" w:rsidR="001F1A6F" w:rsidRPr="00806C0D" w:rsidRDefault="00517663" w:rsidP="000A3668">
            <w:pPr>
              <w:pStyle w:val="TableBullet10"/>
              <w:numPr>
                <w:ilvl w:val="0"/>
                <w:numId w:val="103"/>
              </w:numPr>
              <w:spacing w:before="20" w:after="20"/>
              <w:ind w:left="442" w:hanging="357"/>
              <w:rPr>
                <w:rFonts w:asciiTheme="majorHAnsi" w:hAnsiTheme="majorHAnsi" w:cstheme="majorHAnsi"/>
                <w:sz w:val="17"/>
                <w:szCs w:val="17"/>
              </w:rPr>
            </w:pPr>
            <w:r>
              <w:rPr>
                <w:sz w:val="17"/>
                <w:szCs w:val="17"/>
              </w:rPr>
              <w:t>historical financial</w:t>
            </w:r>
            <w:r w:rsidR="001F1A6F" w:rsidRPr="00806C0D">
              <w:rPr>
                <w:sz w:val="17"/>
                <w:szCs w:val="17"/>
              </w:rPr>
              <w:t xml:space="preserve"> information published on an annual basis in accordance with the relevant regulator’s financial reporting guideline.</w:t>
            </w:r>
          </w:p>
          <w:p w14:paraId="22FCB00D" w14:textId="306E87F9" w:rsidR="00471200" w:rsidRPr="00806C0D" w:rsidRDefault="00471200" w:rsidP="0034457D">
            <w:pPr>
              <w:pStyle w:val="BodyText"/>
              <w:spacing w:before="20" w:after="20"/>
              <w:rPr>
                <w:sz w:val="17"/>
                <w:szCs w:val="17"/>
              </w:rPr>
            </w:pPr>
            <w:r w:rsidRPr="00806C0D">
              <w:rPr>
                <w:sz w:val="17"/>
                <w:szCs w:val="17"/>
              </w:rPr>
              <w:t>The concern in this case is that the limited information available under full regulation, particularly in relation to non-reference services, could</w:t>
            </w:r>
            <w:r w:rsidR="0010153B" w:rsidRPr="00806C0D">
              <w:rPr>
                <w:sz w:val="17"/>
                <w:szCs w:val="17"/>
              </w:rPr>
              <w:t xml:space="preserve"> </w:t>
            </w:r>
            <w:r w:rsidRPr="00806C0D">
              <w:rPr>
                <w:sz w:val="17"/>
                <w:szCs w:val="17"/>
              </w:rPr>
              <w:t>hinder the ability of shippers to negotiate effectively with service providers;</w:t>
            </w:r>
            <w:r w:rsidR="0010153B" w:rsidRPr="00806C0D">
              <w:rPr>
                <w:sz w:val="17"/>
                <w:szCs w:val="17"/>
              </w:rPr>
              <w:t xml:space="preserve"> </w:t>
            </w:r>
            <w:r w:rsidRPr="00806C0D">
              <w:rPr>
                <w:sz w:val="17"/>
                <w:szCs w:val="17"/>
              </w:rPr>
              <w:t>impose additional search and transaction costs on shippers seeking access to these pipelines</w:t>
            </w:r>
            <w:r w:rsidR="00EC62E8" w:rsidRPr="00806C0D">
              <w:rPr>
                <w:sz w:val="17"/>
                <w:szCs w:val="17"/>
              </w:rPr>
              <w:t xml:space="preserve"> and make them more susceptible to exercises of market power</w:t>
            </w:r>
            <w:r w:rsidRPr="00806C0D">
              <w:rPr>
                <w:sz w:val="17"/>
                <w:szCs w:val="17"/>
              </w:rPr>
              <w:t xml:space="preserve">; </w:t>
            </w:r>
            <w:r w:rsidR="00EC62E8" w:rsidRPr="00806C0D">
              <w:rPr>
                <w:sz w:val="17"/>
                <w:szCs w:val="17"/>
              </w:rPr>
              <w:t xml:space="preserve">and </w:t>
            </w:r>
            <w:r w:rsidRPr="00806C0D">
              <w:rPr>
                <w:sz w:val="17"/>
                <w:szCs w:val="17"/>
              </w:rPr>
              <w:t>be gamed by service providers operating under the different forms of regulation.</w:t>
            </w:r>
            <w:r w:rsidR="00370905">
              <w:rPr>
                <w:rFonts w:ascii="ZWAdobeF" w:hAnsi="ZWAdobeF" w:cs="ZWAdobeF"/>
                <w:sz w:val="2"/>
                <w:szCs w:val="2"/>
              </w:rPr>
              <w:t>144F</w:t>
            </w:r>
            <w:r w:rsidRPr="00806C0D">
              <w:rPr>
                <w:rStyle w:val="FootnoteReference"/>
                <w:sz w:val="17"/>
                <w:szCs w:val="17"/>
              </w:rPr>
              <w:footnoteReference w:id="146"/>
            </w:r>
          </w:p>
        </w:tc>
      </w:tr>
      <w:tr w:rsidR="008B6354" w:rsidRPr="00806C0D" w14:paraId="163167DD" w14:textId="77777777" w:rsidTr="003D7B36">
        <w:trPr>
          <w:cantSplit/>
        </w:trPr>
        <w:tc>
          <w:tcPr>
            <w:tcW w:w="198" w:type="pct"/>
            <w:vMerge w:val="restart"/>
            <w:tcBorders>
              <w:top w:val="nil"/>
              <w:bottom w:val="nil"/>
              <w:right w:val="single" w:sz="4" w:space="0" w:color="auto"/>
            </w:tcBorders>
            <w:shd w:val="clear" w:color="auto" w:fill="FFFFFF" w:themeFill="background1"/>
            <w:textDirection w:val="btLr"/>
          </w:tcPr>
          <w:p w14:paraId="746EFC88" w14:textId="77777777" w:rsidR="00743365" w:rsidRPr="00806C0D" w:rsidRDefault="00743365" w:rsidP="00743365">
            <w:pPr>
              <w:pStyle w:val="TableBodyText"/>
              <w:spacing w:before="20" w:after="20"/>
              <w:jc w:val="center"/>
              <w:rPr>
                <w:rFonts w:asciiTheme="majorHAnsi" w:hAnsiTheme="majorHAnsi" w:cstheme="majorHAnsi"/>
                <w:sz w:val="17"/>
                <w:szCs w:val="17"/>
              </w:rPr>
            </w:pPr>
            <w:r w:rsidRPr="00806C0D">
              <w:rPr>
                <w:rFonts w:asciiTheme="majorHAnsi" w:hAnsiTheme="majorHAnsi" w:cstheme="majorHAnsi"/>
                <w:sz w:val="17"/>
                <w:szCs w:val="17"/>
              </w:rPr>
              <w:t>Stakeholder feedback</w:t>
            </w:r>
          </w:p>
        </w:tc>
        <w:tc>
          <w:tcPr>
            <w:tcW w:w="346" w:type="pct"/>
            <w:tcBorders>
              <w:left w:val="single" w:sz="4" w:space="0" w:color="auto"/>
              <w:bottom w:val="single" w:sz="4" w:space="0" w:color="auto"/>
            </w:tcBorders>
            <w:shd w:val="clear" w:color="auto" w:fill="BFF9D6"/>
          </w:tcPr>
          <w:p w14:paraId="60DAD3E8" w14:textId="77777777" w:rsidR="00743365" w:rsidRPr="00806C0D" w:rsidRDefault="00743365" w:rsidP="00743365">
            <w:pPr>
              <w:pStyle w:val="TableBodyText"/>
              <w:spacing w:before="20" w:after="20"/>
              <w:rPr>
                <w:rFonts w:asciiTheme="majorHAnsi" w:hAnsiTheme="majorHAnsi" w:cstheme="majorHAnsi"/>
                <w:sz w:val="17"/>
                <w:szCs w:val="17"/>
              </w:rPr>
            </w:pPr>
            <w:r w:rsidRPr="00806C0D">
              <w:rPr>
                <w:rFonts w:asciiTheme="majorHAnsi" w:hAnsiTheme="majorHAnsi" w:cstheme="majorHAnsi"/>
                <w:sz w:val="17"/>
                <w:szCs w:val="17"/>
              </w:rPr>
              <w:t>Agree</w:t>
            </w:r>
          </w:p>
        </w:tc>
        <w:tc>
          <w:tcPr>
            <w:tcW w:w="4456" w:type="pct"/>
            <w:tcBorders>
              <w:bottom w:val="single" w:sz="4" w:space="0" w:color="auto"/>
            </w:tcBorders>
            <w:shd w:val="clear" w:color="auto" w:fill="BFF9D6"/>
          </w:tcPr>
          <w:p w14:paraId="460057B4" w14:textId="77777777" w:rsidR="00743365" w:rsidRPr="00806C0D" w:rsidRDefault="00743365" w:rsidP="00743365">
            <w:pPr>
              <w:pStyle w:val="TableBullet10"/>
              <w:spacing w:before="20" w:after="20"/>
              <w:rPr>
                <w:sz w:val="17"/>
                <w:szCs w:val="17"/>
              </w:rPr>
            </w:pPr>
            <w:r w:rsidRPr="00806C0D">
              <w:rPr>
                <w:rFonts w:asciiTheme="majorHAnsi" w:hAnsiTheme="majorHAnsi" w:cstheme="majorHAnsi"/>
                <w:sz w:val="17"/>
                <w:szCs w:val="17"/>
              </w:rPr>
              <w:t xml:space="preserve">The </w:t>
            </w:r>
            <w:r w:rsidRPr="00806C0D">
              <w:rPr>
                <w:rFonts w:asciiTheme="majorHAnsi" w:hAnsiTheme="majorHAnsi" w:cstheme="majorHAnsi"/>
                <w:color w:val="FF0000"/>
                <w:sz w:val="17"/>
                <w:szCs w:val="17"/>
              </w:rPr>
              <w:t>ACCC</w:t>
            </w:r>
            <w:r w:rsidRPr="00806C0D">
              <w:rPr>
                <w:rFonts w:asciiTheme="majorHAnsi" w:hAnsiTheme="majorHAnsi" w:cstheme="majorHAnsi"/>
                <w:sz w:val="17"/>
                <w:szCs w:val="17"/>
              </w:rPr>
              <w:t xml:space="preserve">, </w:t>
            </w:r>
            <w:r w:rsidRPr="00806C0D">
              <w:rPr>
                <w:rFonts w:asciiTheme="majorHAnsi" w:hAnsiTheme="majorHAnsi" w:cstheme="majorHAnsi"/>
                <w:color w:val="0000FF"/>
                <w:sz w:val="17"/>
                <w:szCs w:val="17"/>
              </w:rPr>
              <w:t xml:space="preserve">EUAA, NSW </w:t>
            </w:r>
            <w:r w:rsidR="00806C0D" w:rsidRPr="00806C0D">
              <w:rPr>
                <w:rFonts w:asciiTheme="majorHAnsi" w:hAnsiTheme="majorHAnsi" w:cstheme="majorHAnsi"/>
                <w:color w:val="0000FF"/>
                <w:sz w:val="17"/>
                <w:szCs w:val="17"/>
              </w:rPr>
              <w:t>BC</w:t>
            </w:r>
            <w:r w:rsidRPr="00806C0D">
              <w:rPr>
                <w:rFonts w:asciiTheme="majorHAnsi" w:hAnsiTheme="majorHAnsi" w:cstheme="majorHAnsi"/>
                <w:color w:val="0000FF"/>
                <w:sz w:val="17"/>
                <w:szCs w:val="17"/>
              </w:rPr>
              <w:t>, Chemistry Australia, MEU</w:t>
            </w:r>
            <w:r w:rsidR="00122CDE" w:rsidRPr="00806C0D">
              <w:rPr>
                <w:rFonts w:asciiTheme="majorHAnsi" w:hAnsiTheme="majorHAnsi" w:cstheme="majorHAnsi"/>
                <w:color w:val="0000FF"/>
                <w:sz w:val="17"/>
                <w:szCs w:val="17"/>
              </w:rPr>
              <w:t>,</w:t>
            </w:r>
            <w:r w:rsidRPr="00806C0D">
              <w:rPr>
                <w:rFonts w:asciiTheme="majorHAnsi" w:hAnsiTheme="majorHAnsi" w:cstheme="majorHAnsi"/>
                <w:color w:val="0000FF"/>
                <w:sz w:val="17"/>
                <w:szCs w:val="17"/>
              </w:rPr>
              <w:t xml:space="preserve"> Qenos</w:t>
            </w:r>
            <w:r w:rsidR="00122CDE" w:rsidRPr="00806C0D">
              <w:rPr>
                <w:rFonts w:asciiTheme="majorHAnsi" w:hAnsiTheme="majorHAnsi" w:cstheme="majorHAnsi"/>
                <w:color w:val="0000FF"/>
                <w:sz w:val="17"/>
                <w:szCs w:val="17"/>
              </w:rPr>
              <w:t>,</w:t>
            </w:r>
            <w:r w:rsidRPr="00806C0D">
              <w:rPr>
                <w:rFonts w:asciiTheme="majorHAnsi" w:hAnsiTheme="majorHAnsi" w:cstheme="majorHAnsi"/>
                <w:color w:val="0000FF"/>
                <w:sz w:val="17"/>
                <w:szCs w:val="17"/>
              </w:rPr>
              <w:t xml:space="preserve"> </w:t>
            </w:r>
            <w:r w:rsidR="00122CDE" w:rsidRPr="00806C0D">
              <w:rPr>
                <w:rFonts w:asciiTheme="majorHAnsi" w:hAnsiTheme="majorHAnsi" w:cstheme="majorHAnsi"/>
                <w:color w:val="00B0F0"/>
                <w:sz w:val="17"/>
                <w:szCs w:val="17"/>
              </w:rPr>
              <w:t>EnergyAustralia</w:t>
            </w:r>
            <w:r w:rsidR="00122CDE" w:rsidRPr="00806C0D">
              <w:rPr>
                <w:rFonts w:asciiTheme="majorHAnsi" w:hAnsiTheme="majorHAnsi" w:cstheme="majorHAnsi"/>
                <w:sz w:val="17"/>
                <w:szCs w:val="17"/>
              </w:rPr>
              <w:t xml:space="preserve">, </w:t>
            </w:r>
            <w:r w:rsidR="00122CDE" w:rsidRPr="00806C0D">
              <w:rPr>
                <w:rFonts w:asciiTheme="majorHAnsi" w:hAnsiTheme="majorHAnsi" w:cstheme="majorHAnsi"/>
                <w:color w:val="D60093"/>
                <w:sz w:val="17"/>
                <w:szCs w:val="17"/>
              </w:rPr>
              <w:t xml:space="preserve">APLNG </w:t>
            </w:r>
            <w:r w:rsidR="00122CDE" w:rsidRPr="00806C0D">
              <w:rPr>
                <w:rFonts w:asciiTheme="majorHAnsi" w:hAnsiTheme="majorHAnsi" w:cstheme="majorHAnsi"/>
                <w:sz w:val="17"/>
                <w:szCs w:val="17"/>
              </w:rPr>
              <w:t>and</w:t>
            </w:r>
            <w:r w:rsidR="00122CDE" w:rsidRPr="00806C0D">
              <w:rPr>
                <w:rFonts w:asciiTheme="majorHAnsi" w:hAnsiTheme="majorHAnsi" w:cstheme="majorHAnsi"/>
                <w:color w:val="D60093"/>
                <w:sz w:val="17"/>
                <w:szCs w:val="17"/>
              </w:rPr>
              <w:t xml:space="preserve"> COPA</w:t>
            </w:r>
            <w:r w:rsidR="00122CDE" w:rsidRPr="00806C0D">
              <w:rPr>
                <w:rFonts w:asciiTheme="majorHAnsi" w:hAnsiTheme="majorHAnsi" w:cstheme="majorHAnsi"/>
                <w:sz w:val="17"/>
                <w:szCs w:val="17"/>
              </w:rPr>
              <w:t xml:space="preserve"> </w:t>
            </w:r>
            <w:r w:rsidRPr="00806C0D">
              <w:rPr>
                <w:rFonts w:asciiTheme="majorHAnsi" w:hAnsiTheme="majorHAnsi" w:cstheme="majorHAnsi"/>
                <w:sz w:val="17"/>
                <w:szCs w:val="17"/>
              </w:rPr>
              <w:t xml:space="preserve">agreed that the limited information available to shippers negotiating access to non-reference services could give rise to the issues identified in the </w:t>
            </w:r>
            <w:r w:rsidR="007E276D">
              <w:rPr>
                <w:rFonts w:asciiTheme="majorHAnsi" w:hAnsiTheme="majorHAnsi" w:cstheme="majorHAnsi"/>
                <w:sz w:val="17"/>
                <w:szCs w:val="17"/>
              </w:rPr>
              <w:t>preceding r</w:t>
            </w:r>
            <w:r w:rsidR="00404A9E">
              <w:rPr>
                <w:rFonts w:asciiTheme="majorHAnsi" w:hAnsiTheme="majorHAnsi" w:cstheme="majorHAnsi"/>
                <w:sz w:val="17"/>
                <w:szCs w:val="17"/>
              </w:rPr>
              <w:t>ow.</w:t>
            </w:r>
            <w:r w:rsidRPr="00806C0D">
              <w:rPr>
                <w:rFonts w:asciiTheme="majorHAnsi" w:hAnsiTheme="majorHAnsi" w:cstheme="majorHAnsi"/>
                <w:sz w:val="17"/>
                <w:szCs w:val="17"/>
              </w:rPr>
              <w:t xml:space="preserve"> </w:t>
            </w:r>
          </w:p>
        </w:tc>
      </w:tr>
      <w:tr w:rsidR="008B6354" w:rsidRPr="00806C0D" w14:paraId="5B819300" w14:textId="77777777" w:rsidTr="003D7B36">
        <w:trPr>
          <w:cnfStyle w:val="000000010000" w:firstRow="0" w:lastRow="0" w:firstColumn="0" w:lastColumn="0" w:oddVBand="0" w:evenVBand="0" w:oddHBand="0" w:evenHBand="1" w:firstRowFirstColumn="0" w:firstRowLastColumn="0" w:lastRowFirstColumn="0" w:lastRowLastColumn="0"/>
          <w:cantSplit/>
        </w:trPr>
        <w:tc>
          <w:tcPr>
            <w:tcW w:w="198" w:type="pct"/>
            <w:vMerge/>
            <w:tcBorders>
              <w:top w:val="nil"/>
              <w:bottom w:val="nil"/>
              <w:right w:val="single" w:sz="4" w:space="0" w:color="auto"/>
            </w:tcBorders>
            <w:shd w:val="clear" w:color="auto" w:fill="FFFFFF" w:themeFill="background1"/>
          </w:tcPr>
          <w:p w14:paraId="006A4A1A" w14:textId="77777777" w:rsidR="00743365" w:rsidRPr="00806C0D" w:rsidRDefault="00743365" w:rsidP="00743365">
            <w:pPr>
              <w:pStyle w:val="TableBodyText"/>
              <w:spacing w:before="20" w:after="20"/>
              <w:rPr>
                <w:rFonts w:asciiTheme="majorHAnsi" w:hAnsiTheme="majorHAnsi" w:cstheme="majorHAnsi"/>
                <w:sz w:val="17"/>
                <w:szCs w:val="17"/>
              </w:rPr>
            </w:pPr>
          </w:p>
        </w:tc>
        <w:tc>
          <w:tcPr>
            <w:tcW w:w="346" w:type="pct"/>
            <w:tcBorders>
              <w:left w:val="single" w:sz="4" w:space="0" w:color="auto"/>
              <w:bottom w:val="single" w:sz="4" w:space="0" w:color="auto"/>
            </w:tcBorders>
            <w:shd w:val="clear" w:color="auto" w:fill="FFD9DC"/>
          </w:tcPr>
          <w:p w14:paraId="08A97F7F" w14:textId="77777777" w:rsidR="00743365" w:rsidRPr="00806C0D" w:rsidRDefault="00743365" w:rsidP="00743365">
            <w:pPr>
              <w:pStyle w:val="TableBodyText"/>
              <w:spacing w:before="20" w:after="20"/>
              <w:rPr>
                <w:rFonts w:asciiTheme="majorHAnsi" w:hAnsiTheme="majorHAnsi" w:cstheme="majorHAnsi"/>
                <w:sz w:val="17"/>
                <w:szCs w:val="17"/>
              </w:rPr>
            </w:pPr>
            <w:r w:rsidRPr="00806C0D">
              <w:rPr>
                <w:rFonts w:asciiTheme="majorHAnsi" w:hAnsiTheme="majorHAnsi" w:cstheme="majorHAnsi"/>
                <w:sz w:val="17"/>
                <w:szCs w:val="17"/>
              </w:rPr>
              <w:t>Disagree</w:t>
            </w:r>
          </w:p>
        </w:tc>
        <w:tc>
          <w:tcPr>
            <w:tcW w:w="4456" w:type="pct"/>
            <w:tcBorders>
              <w:bottom w:val="single" w:sz="4" w:space="0" w:color="auto"/>
            </w:tcBorders>
            <w:shd w:val="clear" w:color="auto" w:fill="FFD9DC"/>
            <w:vAlign w:val="center"/>
          </w:tcPr>
          <w:p w14:paraId="698CD984" w14:textId="77777777" w:rsidR="00743365" w:rsidRPr="00806C0D" w:rsidRDefault="00743365" w:rsidP="00743365">
            <w:pPr>
              <w:pStyle w:val="TableBullet10"/>
              <w:spacing w:before="20" w:after="20"/>
              <w:rPr>
                <w:sz w:val="17"/>
                <w:szCs w:val="17"/>
              </w:rPr>
            </w:pPr>
            <w:r w:rsidRPr="00806C0D">
              <w:rPr>
                <w:rFonts w:asciiTheme="majorHAnsi" w:hAnsiTheme="majorHAnsi" w:cstheme="majorHAnsi"/>
                <w:color w:val="7030A0"/>
                <w:sz w:val="17"/>
                <w:szCs w:val="17"/>
              </w:rPr>
              <w:t xml:space="preserve">APGA, AGIG </w:t>
            </w:r>
            <w:r w:rsidRPr="00806C0D">
              <w:rPr>
                <w:rFonts w:asciiTheme="majorHAnsi" w:hAnsiTheme="majorHAnsi" w:cstheme="majorHAnsi"/>
                <w:color w:val="000000" w:themeColor="text1"/>
                <w:sz w:val="17"/>
                <w:szCs w:val="17"/>
              </w:rPr>
              <w:t xml:space="preserve">and </w:t>
            </w:r>
            <w:r w:rsidRPr="00806C0D">
              <w:rPr>
                <w:rFonts w:asciiTheme="majorHAnsi" w:hAnsiTheme="majorHAnsi" w:cstheme="majorHAnsi"/>
                <w:color w:val="7030A0"/>
                <w:sz w:val="17"/>
                <w:szCs w:val="17"/>
              </w:rPr>
              <w:t xml:space="preserve">ATCO </w:t>
            </w:r>
            <w:r w:rsidRPr="00806C0D">
              <w:rPr>
                <w:rFonts w:asciiTheme="majorHAnsi" w:hAnsiTheme="majorHAnsi" w:cstheme="majorHAnsi"/>
                <w:sz w:val="17"/>
                <w:szCs w:val="17"/>
              </w:rPr>
              <w:t xml:space="preserve">did not agree that this constituted a problem. </w:t>
            </w:r>
            <w:r w:rsidRPr="00806C0D">
              <w:rPr>
                <w:rFonts w:asciiTheme="majorHAnsi" w:hAnsiTheme="majorHAnsi" w:cstheme="majorHAnsi"/>
                <w:color w:val="7030A0"/>
                <w:sz w:val="17"/>
                <w:szCs w:val="17"/>
              </w:rPr>
              <w:t>AGIG</w:t>
            </w:r>
            <w:r w:rsidRPr="00806C0D">
              <w:rPr>
                <w:rFonts w:asciiTheme="majorHAnsi" w:hAnsiTheme="majorHAnsi" w:cstheme="majorHAnsi"/>
                <w:sz w:val="17"/>
                <w:szCs w:val="17"/>
              </w:rPr>
              <w:t>, for example,</w:t>
            </w:r>
            <w:r w:rsidRPr="00806C0D">
              <w:rPr>
                <w:rFonts w:asciiTheme="majorHAnsi" w:hAnsiTheme="majorHAnsi" w:cstheme="majorHAnsi"/>
                <w:color w:val="7030A0"/>
                <w:sz w:val="17"/>
                <w:szCs w:val="17"/>
              </w:rPr>
              <w:t xml:space="preserve"> </w:t>
            </w:r>
            <w:r w:rsidRPr="00806C0D">
              <w:rPr>
                <w:rFonts w:asciiTheme="majorHAnsi" w:hAnsiTheme="majorHAnsi" w:cstheme="majorHAnsi"/>
                <w:sz w:val="17"/>
                <w:szCs w:val="17"/>
              </w:rPr>
              <w:t xml:space="preserve">noted that significant information is already reported by full regulation pipelines and </w:t>
            </w:r>
            <w:r w:rsidRPr="00806C0D">
              <w:rPr>
                <w:sz w:val="17"/>
                <w:szCs w:val="17"/>
              </w:rPr>
              <w:t xml:space="preserve">pointed to the regulator’s existing information gathering powers, which enable it to collect all the information contemplated, including for non-reference services. </w:t>
            </w:r>
            <w:r w:rsidRPr="00806C0D">
              <w:rPr>
                <w:color w:val="7030A0"/>
                <w:sz w:val="17"/>
                <w:szCs w:val="17"/>
              </w:rPr>
              <w:t>ATCO</w:t>
            </w:r>
            <w:r w:rsidR="007326B1">
              <w:rPr>
                <w:color w:val="7030A0"/>
                <w:sz w:val="17"/>
                <w:szCs w:val="17"/>
              </w:rPr>
              <w:t xml:space="preserve"> </w:t>
            </w:r>
            <w:r w:rsidR="00B979CC" w:rsidRPr="00806C0D">
              <w:rPr>
                <w:sz w:val="17"/>
                <w:szCs w:val="17"/>
              </w:rPr>
              <w:t>added</w:t>
            </w:r>
            <w:r w:rsidRPr="00806C0D">
              <w:rPr>
                <w:sz w:val="17"/>
                <w:szCs w:val="17"/>
              </w:rPr>
              <w:t xml:space="preserve"> that information on non-reference services </w:t>
            </w:r>
            <w:r w:rsidR="007326B1">
              <w:rPr>
                <w:sz w:val="17"/>
                <w:szCs w:val="17"/>
              </w:rPr>
              <w:t xml:space="preserve">for distribution networks </w:t>
            </w:r>
            <w:r w:rsidRPr="00806C0D">
              <w:rPr>
                <w:sz w:val="17"/>
                <w:szCs w:val="17"/>
              </w:rPr>
              <w:t>would be “of trivial or no value to a retailer seeking access to a non-reference service”.</w:t>
            </w:r>
          </w:p>
        </w:tc>
      </w:tr>
      <w:tr w:rsidR="00C043FB" w:rsidRPr="00806C0D" w14:paraId="30988DC1" w14:textId="77777777" w:rsidTr="003D7B36">
        <w:trPr>
          <w:cantSplit/>
        </w:trPr>
        <w:tc>
          <w:tcPr>
            <w:tcW w:w="198" w:type="pct"/>
            <w:vMerge/>
            <w:tcBorders>
              <w:top w:val="nil"/>
              <w:bottom w:val="nil"/>
              <w:right w:val="single" w:sz="4" w:space="0" w:color="auto"/>
            </w:tcBorders>
            <w:shd w:val="clear" w:color="auto" w:fill="FFFFFF" w:themeFill="background1"/>
          </w:tcPr>
          <w:p w14:paraId="14F15AB1" w14:textId="77777777" w:rsidR="00C043FB" w:rsidRPr="00806C0D" w:rsidRDefault="00C043FB" w:rsidP="00CF688C">
            <w:pPr>
              <w:pStyle w:val="TableBodyText"/>
              <w:spacing w:before="20" w:after="20"/>
              <w:rPr>
                <w:rFonts w:asciiTheme="majorHAnsi" w:hAnsiTheme="majorHAnsi" w:cstheme="majorHAnsi"/>
                <w:sz w:val="17"/>
                <w:szCs w:val="17"/>
              </w:rPr>
            </w:pPr>
          </w:p>
        </w:tc>
        <w:tc>
          <w:tcPr>
            <w:tcW w:w="346" w:type="pct"/>
            <w:tcBorders>
              <w:left w:val="single" w:sz="4" w:space="0" w:color="auto"/>
              <w:bottom w:val="single" w:sz="4" w:space="0" w:color="auto"/>
            </w:tcBorders>
            <w:shd w:val="clear" w:color="auto" w:fill="E1E2E7" w:themeFill="background2"/>
          </w:tcPr>
          <w:p w14:paraId="0A30FD2A" w14:textId="77777777" w:rsidR="00C043FB" w:rsidRPr="00806C0D" w:rsidRDefault="00C043FB" w:rsidP="00CF688C">
            <w:pPr>
              <w:pStyle w:val="TableBodyText"/>
              <w:spacing w:before="20" w:after="20"/>
              <w:rPr>
                <w:rFonts w:asciiTheme="majorHAnsi" w:hAnsiTheme="majorHAnsi" w:cstheme="majorHAnsi"/>
                <w:sz w:val="17"/>
                <w:szCs w:val="17"/>
              </w:rPr>
            </w:pPr>
            <w:r w:rsidRPr="00806C0D">
              <w:rPr>
                <w:rFonts w:asciiTheme="majorHAnsi" w:hAnsiTheme="majorHAnsi" w:cstheme="majorHAnsi"/>
                <w:sz w:val="17"/>
                <w:szCs w:val="17"/>
              </w:rPr>
              <w:t xml:space="preserve">Other </w:t>
            </w:r>
          </w:p>
        </w:tc>
        <w:tc>
          <w:tcPr>
            <w:tcW w:w="4456" w:type="pct"/>
            <w:tcBorders>
              <w:bottom w:val="single" w:sz="4" w:space="0" w:color="auto"/>
            </w:tcBorders>
            <w:shd w:val="clear" w:color="auto" w:fill="E1E2E7" w:themeFill="background2"/>
            <w:vAlign w:val="center"/>
          </w:tcPr>
          <w:p w14:paraId="146CE4F7" w14:textId="77777777" w:rsidR="00C043FB" w:rsidRPr="00806C0D" w:rsidRDefault="00122CDE" w:rsidP="00122CDE">
            <w:pPr>
              <w:pStyle w:val="TableBullet10"/>
              <w:spacing w:before="20" w:after="20"/>
              <w:rPr>
                <w:sz w:val="17"/>
                <w:szCs w:val="17"/>
              </w:rPr>
            </w:pPr>
            <w:r w:rsidRPr="00806C0D">
              <w:rPr>
                <w:rFonts w:asciiTheme="majorHAnsi" w:hAnsiTheme="majorHAnsi"/>
                <w:sz w:val="17"/>
                <w:szCs w:val="17"/>
              </w:rPr>
              <w:t>Other stakeholders did not express a view on whether this constituted a problem.</w:t>
            </w:r>
          </w:p>
        </w:tc>
      </w:tr>
      <w:tr w:rsidR="00C043FB" w:rsidRPr="00806C0D" w14:paraId="27450AC6" w14:textId="77777777" w:rsidTr="003D7B36">
        <w:trPr>
          <w:cnfStyle w:val="000000010000" w:firstRow="0" w:lastRow="0" w:firstColumn="0" w:lastColumn="0" w:oddVBand="0" w:evenVBand="0" w:oddHBand="0" w:evenHBand="1" w:firstRowFirstColumn="0" w:firstRowLastColumn="0" w:lastRowFirstColumn="0" w:lastRowLastColumn="0"/>
          <w:cantSplit/>
        </w:trPr>
        <w:tc>
          <w:tcPr>
            <w:tcW w:w="5000" w:type="pct"/>
            <w:gridSpan w:val="3"/>
            <w:shd w:val="clear" w:color="auto" w:fill="65697F" w:themeFill="background2" w:themeFillShade="80"/>
          </w:tcPr>
          <w:p w14:paraId="6782FD87" w14:textId="77777777" w:rsidR="00C043FB" w:rsidRPr="00806C0D" w:rsidRDefault="005D6848" w:rsidP="00CF688C">
            <w:pPr>
              <w:pStyle w:val="TableBodyText"/>
              <w:spacing w:before="20" w:after="20"/>
              <w:jc w:val="center"/>
              <w:rPr>
                <w:rFonts w:asciiTheme="majorHAnsi" w:hAnsiTheme="majorHAnsi" w:cstheme="majorHAnsi"/>
                <w:b/>
                <w:bCs/>
                <w:color w:val="FFFFFF" w:themeColor="background1"/>
                <w:sz w:val="17"/>
                <w:szCs w:val="17"/>
                <w:lang w:eastAsia="fr-CA"/>
              </w:rPr>
            </w:pPr>
            <w:r w:rsidRPr="00806C0D">
              <w:rPr>
                <w:rFonts w:asciiTheme="majorHAnsi" w:hAnsiTheme="majorHAnsi" w:cstheme="majorHAnsi"/>
                <w:b/>
                <w:bCs/>
                <w:color w:val="FFFFFF" w:themeColor="background1"/>
                <w:sz w:val="17"/>
                <w:szCs w:val="17"/>
              </w:rPr>
              <w:t xml:space="preserve">Deficiencies in information reported by pipelines subject to light regulation and Part 23 </w:t>
            </w:r>
          </w:p>
        </w:tc>
      </w:tr>
      <w:tr w:rsidR="00C043FB" w:rsidRPr="00806C0D" w14:paraId="6E79EDCB" w14:textId="77777777" w:rsidTr="003D7B36">
        <w:trPr>
          <w:cantSplit/>
        </w:trPr>
        <w:tc>
          <w:tcPr>
            <w:tcW w:w="544" w:type="pct"/>
            <w:gridSpan w:val="2"/>
            <w:shd w:val="clear" w:color="auto" w:fill="FFFFFF" w:themeFill="background1"/>
          </w:tcPr>
          <w:p w14:paraId="1EBB0288" w14:textId="77777777" w:rsidR="00C043FB" w:rsidRPr="00806C0D" w:rsidRDefault="00C043FB" w:rsidP="00CF688C">
            <w:pPr>
              <w:pStyle w:val="TableBodyText"/>
              <w:spacing w:before="20" w:after="20"/>
              <w:rPr>
                <w:rFonts w:asciiTheme="majorHAnsi" w:hAnsiTheme="majorHAnsi" w:cstheme="majorHAnsi"/>
                <w:sz w:val="17"/>
                <w:szCs w:val="17"/>
              </w:rPr>
            </w:pPr>
            <w:r w:rsidRPr="00806C0D">
              <w:rPr>
                <w:rFonts w:asciiTheme="majorHAnsi" w:hAnsiTheme="majorHAnsi" w:cstheme="majorHAnsi"/>
                <w:sz w:val="17"/>
                <w:szCs w:val="17"/>
              </w:rPr>
              <w:t>Description of potential problem</w:t>
            </w:r>
          </w:p>
        </w:tc>
        <w:tc>
          <w:tcPr>
            <w:tcW w:w="4456" w:type="pct"/>
            <w:shd w:val="clear" w:color="auto" w:fill="FFFFFF" w:themeFill="background1"/>
          </w:tcPr>
          <w:p w14:paraId="075CE284" w14:textId="77777777" w:rsidR="004D5AEC" w:rsidRPr="00806C0D" w:rsidRDefault="0034457D" w:rsidP="004E273F">
            <w:pPr>
              <w:pStyle w:val="ListBullet"/>
              <w:numPr>
                <w:ilvl w:val="0"/>
                <w:numId w:val="0"/>
              </w:numPr>
              <w:spacing w:before="0" w:after="0"/>
              <w:ind w:left="85"/>
            </w:pPr>
            <w:r w:rsidRPr="00806C0D">
              <w:t>Through recent reviews of the operation of Part 23</w:t>
            </w:r>
            <w:r w:rsidR="00067BEC" w:rsidRPr="00806C0D">
              <w:t xml:space="preserve"> by the ACCC, Brattle and OGW</w:t>
            </w:r>
            <w:r w:rsidRPr="00806C0D">
              <w:t xml:space="preserve"> a number of deficiencies have been identified with</w:t>
            </w:r>
            <w:r w:rsidR="004D5AEC" w:rsidRPr="00806C0D">
              <w:t xml:space="preserve"> the information reported by pipelines subject to Part 23 and light regulation, with specific concerns raised about:</w:t>
            </w:r>
          </w:p>
          <w:p w14:paraId="116AA3E5" w14:textId="77777777" w:rsidR="004D5AEC" w:rsidRPr="00806C0D" w:rsidRDefault="004D5AEC" w:rsidP="00DB7D1B">
            <w:pPr>
              <w:pStyle w:val="TableBullet10"/>
              <w:spacing w:before="20" w:after="20"/>
              <w:rPr>
                <w:sz w:val="17"/>
                <w:szCs w:val="17"/>
              </w:rPr>
            </w:pPr>
            <w:r w:rsidRPr="00806C0D">
              <w:rPr>
                <w:sz w:val="17"/>
                <w:szCs w:val="17"/>
              </w:rPr>
              <w:t xml:space="preserve">the adequacy of the information </w:t>
            </w:r>
            <w:r w:rsidR="00D069CF">
              <w:rPr>
                <w:sz w:val="17"/>
                <w:szCs w:val="17"/>
              </w:rPr>
              <w:t>available</w:t>
            </w:r>
            <w:r w:rsidRPr="00806C0D">
              <w:rPr>
                <w:sz w:val="17"/>
                <w:szCs w:val="17"/>
              </w:rPr>
              <w:t xml:space="preserve"> to shippers to assess the reasonableness of prices offered by service providers and, in particular, the </w:t>
            </w:r>
            <w:r w:rsidR="00800E2F" w:rsidRPr="00806C0D">
              <w:rPr>
                <w:sz w:val="17"/>
                <w:szCs w:val="17"/>
              </w:rPr>
              <w:t xml:space="preserve">description of the </w:t>
            </w:r>
            <w:r w:rsidRPr="00806C0D">
              <w:rPr>
                <w:sz w:val="17"/>
                <w:szCs w:val="17"/>
              </w:rPr>
              <w:t>methodologies</w:t>
            </w:r>
            <w:r w:rsidR="00800E2F" w:rsidRPr="00806C0D">
              <w:rPr>
                <w:sz w:val="17"/>
                <w:szCs w:val="17"/>
              </w:rPr>
              <w:t xml:space="preserve"> used to calculate standing prices</w:t>
            </w:r>
            <w:r w:rsidRPr="00806C0D">
              <w:rPr>
                <w:sz w:val="17"/>
                <w:szCs w:val="17"/>
              </w:rPr>
              <w:t xml:space="preserve">, </w:t>
            </w:r>
            <w:r w:rsidR="00800E2F" w:rsidRPr="00806C0D">
              <w:rPr>
                <w:sz w:val="17"/>
                <w:szCs w:val="17"/>
              </w:rPr>
              <w:t xml:space="preserve">the </w:t>
            </w:r>
            <w:r w:rsidRPr="00806C0D">
              <w:rPr>
                <w:sz w:val="17"/>
                <w:szCs w:val="17"/>
              </w:rPr>
              <w:t xml:space="preserve">financial information and </w:t>
            </w:r>
            <w:r w:rsidR="00800E2F" w:rsidRPr="00806C0D">
              <w:rPr>
                <w:sz w:val="17"/>
                <w:szCs w:val="17"/>
              </w:rPr>
              <w:t xml:space="preserve">the </w:t>
            </w:r>
            <w:r w:rsidRPr="00806C0D">
              <w:rPr>
                <w:sz w:val="17"/>
                <w:szCs w:val="17"/>
              </w:rPr>
              <w:t xml:space="preserve">weighted average prices </w:t>
            </w:r>
            <w:r w:rsidR="00800E2F" w:rsidRPr="00806C0D">
              <w:rPr>
                <w:sz w:val="17"/>
                <w:szCs w:val="17"/>
              </w:rPr>
              <w:t>reported by service providers</w:t>
            </w:r>
            <w:r w:rsidRPr="00806C0D">
              <w:rPr>
                <w:sz w:val="17"/>
                <w:szCs w:val="17"/>
              </w:rPr>
              <w:t>;</w:t>
            </w:r>
          </w:p>
          <w:p w14:paraId="431E35AC" w14:textId="77777777" w:rsidR="004D5AEC" w:rsidRPr="00806C0D" w:rsidRDefault="004D5AEC" w:rsidP="00DB7D1B">
            <w:pPr>
              <w:pStyle w:val="TableBullet10"/>
              <w:spacing w:before="20" w:after="20"/>
              <w:rPr>
                <w:sz w:val="17"/>
                <w:szCs w:val="17"/>
              </w:rPr>
            </w:pPr>
            <w:r w:rsidRPr="00806C0D">
              <w:rPr>
                <w:sz w:val="17"/>
                <w:szCs w:val="17"/>
              </w:rPr>
              <w:t>the quality and reliability of some of the information that must be disclosed by service providers and the access information standard, which may be setting too low a standard for the reported information;</w:t>
            </w:r>
          </w:p>
          <w:p w14:paraId="78FDEB23" w14:textId="77777777" w:rsidR="004D5AEC" w:rsidRPr="00806C0D" w:rsidRDefault="004D5AEC" w:rsidP="00DB7D1B">
            <w:pPr>
              <w:pStyle w:val="TableBullet10"/>
              <w:spacing w:before="20" w:after="20"/>
              <w:rPr>
                <w:sz w:val="17"/>
                <w:szCs w:val="17"/>
              </w:rPr>
            </w:pPr>
            <w:r w:rsidRPr="00806C0D">
              <w:rPr>
                <w:sz w:val="17"/>
                <w:szCs w:val="17"/>
              </w:rPr>
              <w:t xml:space="preserve">the accessibility of the information reported by service providers </w:t>
            </w:r>
            <w:r w:rsidR="00443711" w:rsidRPr="00806C0D">
              <w:rPr>
                <w:sz w:val="17"/>
                <w:szCs w:val="17"/>
              </w:rPr>
              <w:t xml:space="preserve">(with a number of participants in the OGW survey noting that it can be difficult to locate the information) </w:t>
            </w:r>
            <w:r w:rsidRPr="00806C0D">
              <w:rPr>
                <w:sz w:val="17"/>
                <w:szCs w:val="17"/>
              </w:rPr>
              <w:t>and the ease with which it can be used by shippers; and</w:t>
            </w:r>
          </w:p>
          <w:p w14:paraId="40328DE2" w14:textId="77777777" w:rsidR="00C043FB" w:rsidRPr="00806C0D" w:rsidRDefault="004D5AEC" w:rsidP="00DB7D1B">
            <w:pPr>
              <w:pStyle w:val="TableBullet10"/>
              <w:spacing w:before="20" w:after="20"/>
              <w:rPr>
                <w:rFonts w:cs="Times New Roman"/>
                <w:sz w:val="17"/>
                <w:szCs w:val="17"/>
              </w:rPr>
            </w:pPr>
            <w:r w:rsidRPr="00806C0D">
              <w:rPr>
                <w:sz w:val="17"/>
                <w:szCs w:val="17"/>
              </w:rPr>
              <w:t>the exemptions that are available from the obligation to publish basic information, such as standing prices and standard terms and conditions.</w:t>
            </w:r>
            <w:r w:rsidR="0034457D" w:rsidRPr="00806C0D">
              <w:rPr>
                <w:rFonts w:asciiTheme="majorHAnsi" w:hAnsiTheme="majorHAnsi" w:cstheme="majorHAnsi"/>
                <w:sz w:val="17"/>
                <w:szCs w:val="17"/>
              </w:rPr>
              <w:t xml:space="preserve"> </w:t>
            </w:r>
          </w:p>
        </w:tc>
      </w:tr>
      <w:tr w:rsidR="001D4905" w:rsidRPr="00806C0D" w14:paraId="7A0FA51A" w14:textId="77777777" w:rsidTr="003D7B36">
        <w:trPr>
          <w:cnfStyle w:val="000000010000" w:firstRow="0" w:lastRow="0" w:firstColumn="0" w:lastColumn="0" w:oddVBand="0" w:evenVBand="0" w:oddHBand="0" w:evenHBand="1" w:firstRowFirstColumn="0" w:firstRowLastColumn="0" w:lastRowFirstColumn="0" w:lastRowLastColumn="0"/>
          <w:cantSplit/>
        </w:trPr>
        <w:tc>
          <w:tcPr>
            <w:tcW w:w="198" w:type="pct"/>
            <w:vMerge w:val="restart"/>
            <w:tcBorders>
              <w:top w:val="nil"/>
              <w:right w:val="single" w:sz="4" w:space="0" w:color="auto"/>
            </w:tcBorders>
            <w:shd w:val="clear" w:color="auto" w:fill="FFFFFF" w:themeFill="background1"/>
            <w:textDirection w:val="btLr"/>
          </w:tcPr>
          <w:p w14:paraId="56A464A7" w14:textId="77777777" w:rsidR="001D4905" w:rsidRPr="00806C0D" w:rsidRDefault="001D4905" w:rsidP="001D4905">
            <w:pPr>
              <w:pStyle w:val="TableBodyText"/>
              <w:spacing w:before="20" w:after="20"/>
              <w:jc w:val="center"/>
              <w:rPr>
                <w:rFonts w:asciiTheme="majorHAnsi" w:hAnsiTheme="majorHAnsi" w:cstheme="majorHAnsi"/>
                <w:sz w:val="17"/>
                <w:szCs w:val="17"/>
              </w:rPr>
            </w:pPr>
            <w:r w:rsidRPr="00806C0D">
              <w:rPr>
                <w:rFonts w:asciiTheme="majorHAnsi" w:hAnsiTheme="majorHAnsi" w:cstheme="majorHAnsi"/>
                <w:sz w:val="17"/>
                <w:szCs w:val="17"/>
              </w:rPr>
              <w:t>Stakeholder feedback</w:t>
            </w:r>
          </w:p>
        </w:tc>
        <w:tc>
          <w:tcPr>
            <w:tcW w:w="346" w:type="pct"/>
            <w:tcBorders>
              <w:left w:val="single" w:sz="4" w:space="0" w:color="auto"/>
              <w:bottom w:val="single" w:sz="4" w:space="0" w:color="auto"/>
            </w:tcBorders>
            <w:shd w:val="clear" w:color="auto" w:fill="BFF9D6"/>
          </w:tcPr>
          <w:p w14:paraId="7BB647AF" w14:textId="77777777" w:rsidR="001D4905" w:rsidRPr="00806C0D" w:rsidRDefault="001D4905" w:rsidP="0093287C">
            <w:pPr>
              <w:pStyle w:val="TableBodyText"/>
              <w:spacing w:before="20" w:after="20"/>
              <w:rPr>
                <w:rFonts w:asciiTheme="majorHAnsi" w:hAnsiTheme="majorHAnsi" w:cstheme="majorHAnsi"/>
                <w:sz w:val="17"/>
                <w:szCs w:val="17"/>
              </w:rPr>
            </w:pPr>
            <w:r w:rsidRPr="00806C0D">
              <w:rPr>
                <w:rFonts w:asciiTheme="majorHAnsi" w:hAnsiTheme="majorHAnsi" w:cstheme="majorHAnsi"/>
                <w:sz w:val="17"/>
                <w:szCs w:val="17"/>
              </w:rPr>
              <w:t>Agree</w:t>
            </w:r>
          </w:p>
        </w:tc>
        <w:tc>
          <w:tcPr>
            <w:tcW w:w="4456" w:type="pct"/>
            <w:tcBorders>
              <w:bottom w:val="single" w:sz="4" w:space="0" w:color="auto"/>
            </w:tcBorders>
            <w:shd w:val="clear" w:color="auto" w:fill="BFF9D6"/>
          </w:tcPr>
          <w:p w14:paraId="1AE90FCB" w14:textId="77777777" w:rsidR="001D4905" w:rsidRPr="00806C0D" w:rsidRDefault="001D4905" w:rsidP="0093287C">
            <w:pPr>
              <w:pStyle w:val="TableBullet10"/>
              <w:spacing w:before="20"/>
              <w:rPr>
                <w:sz w:val="17"/>
                <w:szCs w:val="17"/>
              </w:rPr>
            </w:pPr>
            <w:r w:rsidRPr="00806C0D">
              <w:rPr>
                <w:sz w:val="17"/>
                <w:szCs w:val="17"/>
              </w:rPr>
              <w:t xml:space="preserve">The </w:t>
            </w:r>
            <w:r w:rsidRPr="00806C0D">
              <w:rPr>
                <w:color w:val="FF0000"/>
                <w:sz w:val="17"/>
                <w:szCs w:val="17"/>
              </w:rPr>
              <w:t>ACCC</w:t>
            </w:r>
            <w:r w:rsidRPr="00806C0D">
              <w:rPr>
                <w:sz w:val="17"/>
                <w:szCs w:val="17"/>
              </w:rPr>
              <w:t xml:space="preserve">, </w:t>
            </w:r>
            <w:r w:rsidRPr="00806C0D">
              <w:rPr>
                <w:color w:val="0000FF"/>
                <w:sz w:val="17"/>
                <w:szCs w:val="17"/>
              </w:rPr>
              <w:t xml:space="preserve">EUAA, NSW </w:t>
            </w:r>
            <w:r w:rsidR="00806C0D" w:rsidRPr="00806C0D">
              <w:rPr>
                <w:color w:val="0000FF"/>
                <w:sz w:val="17"/>
                <w:szCs w:val="17"/>
              </w:rPr>
              <w:t>BC</w:t>
            </w:r>
            <w:r w:rsidRPr="00806C0D">
              <w:rPr>
                <w:color w:val="0000FF"/>
                <w:sz w:val="17"/>
                <w:szCs w:val="17"/>
              </w:rPr>
              <w:t>, Chemistry Australia, MEU</w:t>
            </w:r>
            <w:r w:rsidR="006A36E5" w:rsidRPr="00806C0D">
              <w:rPr>
                <w:color w:val="0000FF"/>
                <w:sz w:val="17"/>
                <w:szCs w:val="17"/>
              </w:rPr>
              <w:t>,</w:t>
            </w:r>
            <w:r w:rsidRPr="00806C0D">
              <w:rPr>
                <w:color w:val="0000FF"/>
                <w:sz w:val="17"/>
                <w:szCs w:val="17"/>
              </w:rPr>
              <w:t xml:space="preserve"> Qenos</w:t>
            </w:r>
            <w:r w:rsidR="006A36E5" w:rsidRPr="00806C0D">
              <w:rPr>
                <w:color w:val="0000FF"/>
                <w:sz w:val="17"/>
                <w:szCs w:val="17"/>
              </w:rPr>
              <w:t>,</w:t>
            </w:r>
            <w:r w:rsidRPr="00806C0D">
              <w:rPr>
                <w:sz w:val="17"/>
                <w:szCs w:val="17"/>
              </w:rPr>
              <w:t xml:space="preserve"> </w:t>
            </w:r>
            <w:r w:rsidR="006A36E5" w:rsidRPr="00806C0D">
              <w:rPr>
                <w:color w:val="00B0F0"/>
                <w:sz w:val="17"/>
                <w:szCs w:val="17"/>
              </w:rPr>
              <w:t>EnergyAustralia</w:t>
            </w:r>
            <w:r w:rsidR="006A36E5" w:rsidRPr="00806C0D">
              <w:rPr>
                <w:sz w:val="17"/>
                <w:szCs w:val="17"/>
              </w:rPr>
              <w:t xml:space="preserve">, </w:t>
            </w:r>
            <w:r w:rsidR="006A36E5" w:rsidRPr="00806C0D">
              <w:rPr>
                <w:color w:val="D60093"/>
                <w:sz w:val="17"/>
                <w:szCs w:val="17"/>
              </w:rPr>
              <w:t>APPEA, APLNG</w:t>
            </w:r>
            <w:r w:rsidR="0093287C" w:rsidRPr="00806C0D">
              <w:rPr>
                <w:color w:val="D60093"/>
                <w:sz w:val="17"/>
                <w:szCs w:val="17"/>
              </w:rPr>
              <w:t xml:space="preserve"> </w:t>
            </w:r>
            <w:r w:rsidR="0093287C" w:rsidRPr="00806C0D">
              <w:rPr>
                <w:sz w:val="17"/>
                <w:szCs w:val="17"/>
              </w:rPr>
              <w:t>and</w:t>
            </w:r>
            <w:r w:rsidR="006A36E5" w:rsidRPr="00806C0D">
              <w:rPr>
                <w:color w:val="FF19FF" w:themeColor="accent6" w:themeTint="99"/>
                <w:sz w:val="17"/>
                <w:szCs w:val="17"/>
              </w:rPr>
              <w:t xml:space="preserve"> </w:t>
            </w:r>
            <w:r w:rsidR="006A36E5" w:rsidRPr="00806C0D">
              <w:rPr>
                <w:color w:val="D60093"/>
                <w:sz w:val="17"/>
                <w:szCs w:val="17"/>
              </w:rPr>
              <w:t>COPA</w:t>
            </w:r>
            <w:r w:rsidR="006A36E5" w:rsidRPr="00806C0D">
              <w:rPr>
                <w:sz w:val="17"/>
                <w:szCs w:val="17"/>
              </w:rPr>
              <w:t xml:space="preserve">, </w:t>
            </w:r>
            <w:r w:rsidRPr="00806C0D">
              <w:rPr>
                <w:sz w:val="17"/>
                <w:szCs w:val="17"/>
              </w:rPr>
              <w:t xml:space="preserve">agreed that deficiencies in the information reported by light regulation and Part 23 pipelines could give rise to </w:t>
            </w:r>
            <w:r w:rsidR="0093287C" w:rsidRPr="00806C0D">
              <w:rPr>
                <w:sz w:val="17"/>
                <w:szCs w:val="17"/>
              </w:rPr>
              <w:t>higher search and transaction costs, hinder the ability of shippers to negotiate access to services and make shippers more susceptible to exercises of market power.</w:t>
            </w:r>
          </w:p>
        </w:tc>
      </w:tr>
      <w:tr w:rsidR="001D4905" w:rsidRPr="00806C0D" w14:paraId="29607327" w14:textId="77777777" w:rsidTr="003D7B36">
        <w:trPr>
          <w:cantSplit/>
        </w:trPr>
        <w:tc>
          <w:tcPr>
            <w:tcW w:w="198" w:type="pct"/>
            <w:vMerge/>
            <w:tcBorders>
              <w:right w:val="single" w:sz="4" w:space="0" w:color="auto"/>
            </w:tcBorders>
            <w:shd w:val="clear" w:color="auto" w:fill="FFFFFF" w:themeFill="background1"/>
          </w:tcPr>
          <w:p w14:paraId="453DC5CA" w14:textId="77777777" w:rsidR="001D4905" w:rsidRPr="00806C0D" w:rsidRDefault="001D4905" w:rsidP="001D4905">
            <w:pPr>
              <w:pStyle w:val="TableBodyText"/>
              <w:spacing w:before="20" w:after="20"/>
              <w:rPr>
                <w:rFonts w:asciiTheme="majorHAnsi" w:hAnsiTheme="majorHAnsi" w:cstheme="majorHAnsi"/>
                <w:sz w:val="17"/>
                <w:szCs w:val="17"/>
              </w:rPr>
            </w:pPr>
          </w:p>
        </w:tc>
        <w:tc>
          <w:tcPr>
            <w:tcW w:w="346" w:type="pct"/>
            <w:tcBorders>
              <w:left w:val="single" w:sz="4" w:space="0" w:color="auto"/>
              <w:bottom w:val="single" w:sz="4" w:space="0" w:color="auto"/>
            </w:tcBorders>
            <w:shd w:val="clear" w:color="auto" w:fill="FFD9DC"/>
          </w:tcPr>
          <w:p w14:paraId="6DD9AD39" w14:textId="77777777" w:rsidR="001D4905" w:rsidRPr="00806C0D" w:rsidRDefault="001D4905" w:rsidP="001D4905">
            <w:pPr>
              <w:pStyle w:val="TableBodyText"/>
              <w:spacing w:before="20" w:after="20"/>
              <w:rPr>
                <w:rFonts w:asciiTheme="majorHAnsi" w:hAnsiTheme="majorHAnsi" w:cstheme="majorHAnsi"/>
                <w:sz w:val="17"/>
                <w:szCs w:val="17"/>
              </w:rPr>
            </w:pPr>
            <w:r w:rsidRPr="00806C0D">
              <w:rPr>
                <w:rFonts w:asciiTheme="majorHAnsi" w:hAnsiTheme="majorHAnsi" w:cstheme="majorHAnsi"/>
                <w:sz w:val="17"/>
                <w:szCs w:val="17"/>
              </w:rPr>
              <w:t>Disagree</w:t>
            </w:r>
          </w:p>
        </w:tc>
        <w:tc>
          <w:tcPr>
            <w:tcW w:w="4456" w:type="pct"/>
            <w:tcBorders>
              <w:bottom w:val="single" w:sz="4" w:space="0" w:color="auto"/>
            </w:tcBorders>
            <w:shd w:val="clear" w:color="auto" w:fill="FFD9DC"/>
          </w:tcPr>
          <w:p w14:paraId="52D7518D" w14:textId="77777777" w:rsidR="001D4905" w:rsidRPr="00806C0D" w:rsidRDefault="001D4905" w:rsidP="001D4905">
            <w:pPr>
              <w:pStyle w:val="TableBullet10"/>
              <w:spacing w:before="20" w:after="20"/>
              <w:rPr>
                <w:rFonts w:eastAsia="Calibri"/>
                <w:sz w:val="17"/>
                <w:szCs w:val="17"/>
              </w:rPr>
            </w:pPr>
            <w:r w:rsidRPr="00806C0D">
              <w:rPr>
                <w:sz w:val="17"/>
                <w:szCs w:val="17"/>
              </w:rPr>
              <w:t>Nil</w:t>
            </w:r>
          </w:p>
        </w:tc>
      </w:tr>
      <w:tr w:rsidR="00B62515" w:rsidRPr="00806C0D" w14:paraId="0C4D23DD" w14:textId="77777777" w:rsidTr="003D7B36">
        <w:trPr>
          <w:cnfStyle w:val="000000010000" w:firstRow="0" w:lastRow="0" w:firstColumn="0" w:lastColumn="0" w:oddVBand="0" w:evenVBand="0" w:oddHBand="0" w:evenHBand="1" w:firstRowFirstColumn="0" w:firstRowLastColumn="0" w:lastRowFirstColumn="0" w:lastRowLastColumn="0"/>
          <w:cantSplit/>
        </w:trPr>
        <w:tc>
          <w:tcPr>
            <w:tcW w:w="198" w:type="pct"/>
            <w:vMerge/>
            <w:tcBorders>
              <w:bottom w:val="nil"/>
              <w:right w:val="single" w:sz="4" w:space="0" w:color="auto"/>
            </w:tcBorders>
            <w:shd w:val="clear" w:color="auto" w:fill="FFFFFF" w:themeFill="background1"/>
          </w:tcPr>
          <w:p w14:paraId="742E6C57" w14:textId="77777777" w:rsidR="00B62515" w:rsidRPr="00806C0D" w:rsidRDefault="00B62515" w:rsidP="00CF688C">
            <w:pPr>
              <w:pStyle w:val="TableBodyText"/>
              <w:spacing w:before="20" w:after="20"/>
              <w:rPr>
                <w:rFonts w:asciiTheme="majorHAnsi" w:hAnsiTheme="majorHAnsi" w:cstheme="majorHAnsi"/>
                <w:sz w:val="17"/>
                <w:szCs w:val="17"/>
              </w:rPr>
            </w:pPr>
          </w:p>
        </w:tc>
        <w:tc>
          <w:tcPr>
            <w:tcW w:w="346" w:type="pct"/>
            <w:tcBorders>
              <w:left w:val="single" w:sz="4" w:space="0" w:color="auto"/>
              <w:bottom w:val="single" w:sz="4" w:space="0" w:color="auto"/>
            </w:tcBorders>
          </w:tcPr>
          <w:p w14:paraId="33FF4941" w14:textId="77777777" w:rsidR="00B62515" w:rsidRPr="00806C0D" w:rsidRDefault="00B62515" w:rsidP="00CF688C">
            <w:pPr>
              <w:pStyle w:val="TableBodyText"/>
              <w:spacing w:before="20" w:after="20"/>
              <w:rPr>
                <w:rFonts w:asciiTheme="majorHAnsi" w:hAnsiTheme="majorHAnsi" w:cstheme="majorHAnsi"/>
                <w:sz w:val="17"/>
                <w:szCs w:val="17"/>
              </w:rPr>
            </w:pPr>
            <w:r w:rsidRPr="00806C0D">
              <w:rPr>
                <w:rFonts w:asciiTheme="majorHAnsi" w:hAnsiTheme="majorHAnsi" w:cstheme="majorHAnsi"/>
                <w:sz w:val="17"/>
                <w:szCs w:val="17"/>
              </w:rPr>
              <w:t xml:space="preserve">Other </w:t>
            </w:r>
          </w:p>
        </w:tc>
        <w:tc>
          <w:tcPr>
            <w:tcW w:w="4456" w:type="pct"/>
            <w:tcBorders>
              <w:bottom w:val="single" w:sz="4" w:space="0" w:color="auto"/>
            </w:tcBorders>
          </w:tcPr>
          <w:p w14:paraId="63AA21FF" w14:textId="77777777" w:rsidR="00B62515" w:rsidRPr="007326B1" w:rsidRDefault="00874CD2" w:rsidP="00465252">
            <w:pPr>
              <w:pStyle w:val="TableBullet10"/>
              <w:spacing w:before="20" w:after="20"/>
              <w:rPr>
                <w:rFonts w:asciiTheme="majorHAnsi" w:eastAsia="Calibri" w:hAnsiTheme="majorHAnsi" w:cstheme="majorHAnsi"/>
                <w:i/>
                <w:iCs/>
                <w:sz w:val="17"/>
                <w:szCs w:val="17"/>
              </w:rPr>
            </w:pPr>
            <w:r w:rsidRPr="00806C0D">
              <w:rPr>
                <w:color w:val="7030A0"/>
                <w:sz w:val="17"/>
                <w:szCs w:val="17"/>
              </w:rPr>
              <w:t>APGA, AGIG</w:t>
            </w:r>
            <w:r w:rsidR="009274CB" w:rsidRPr="00806C0D">
              <w:rPr>
                <w:color w:val="7030A0"/>
                <w:sz w:val="17"/>
                <w:szCs w:val="17"/>
              </w:rPr>
              <w:t>, APA</w:t>
            </w:r>
            <w:r w:rsidRPr="00806C0D">
              <w:rPr>
                <w:color w:val="7030A0"/>
                <w:sz w:val="17"/>
                <w:szCs w:val="17"/>
              </w:rPr>
              <w:t xml:space="preserve"> </w:t>
            </w:r>
            <w:r w:rsidRPr="00806C0D">
              <w:rPr>
                <w:sz w:val="17"/>
                <w:szCs w:val="17"/>
              </w:rPr>
              <w:t xml:space="preserve">and </w:t>
            </w:r>
            <w:r w:rsidRPr="00806C0D">
              <w:rPr>
                <w:color w:val="7030A0"/>
                <w:sz w:val="17"/>
                <w:szCs w:val="17"/>
              </w:rPr>
              <w:t xml:space="preserve">Epic </w:t>
            </w:r>
            <w:r w:rsidRPr="00806C0D">
              <w:rPr>
                <w:sz w:val="17"/>
                <w:szCs w:val="17"/>
              </w:rPr>
              <w:t>agreed with some of the identified deficiencies but were silent on others</w:t>
            </w:r>
            <w:r w:rsidR="00B164C9" w:rsidRPr="00806C0D">
              <w:rPr>
                <w:sz w:val="17"/>
                <w:szCs w:val="17"/>
              </w:rPr>
              <w:t xml:space="preserve">, while </w:t>
            </w:r>
            <w:r w:rsidRPr="00806C0D">
              <w:rPr>
                <w:color w:val="7030A0"/>
                <w:sz w:val="17"/>
                <w:szCs w:val="17"/>
              </w:rPr>
              <w:t xml:space="preserve">Jemena </w:t>
            </w:r>
            <w:r w:rsidRPr="00806C0D">
              <w:rPr>
                <w:sz w:val="17"/>
                <w:szCs w:val="17"/>
              </w:rPr>
              <w:t xml:space="preserve">agreed with some of the deficiencies, but did not consider them material. </w:t>
            </w:r>
          </w:p>
          <w:p w14:paraId="10E7163F" w14:textId="77777777" w:rsidR="007326B1" w:rsidRPr="00806C0D" w:rsidRDefault="007326B1" w:rsidP="00465252">
            <w:pPr>
              <w:pStyle w:val="TableBullet10"/>
              <w:spacing w:before="20" w:after="20"/>
              <w:rPr>
                <w:rFonts w:asciiTheme="majorHAnsi" w:eastAsia="Calibri" w:hAnsiTheme="majorHAnsi" w:cstheme="majorHAnsi"/>
                <w:i/>
                <w:iCs/>
                <w:sz w:val="17"/>
                <w:szCs w:val="17"/>
              </w:rPr>
            </w:pPr>
            <w:r w:rsidRPr="00806C0D">
              <w:rPr>
                <w:rFonts w:asciiTheme="majorHAnsi" w:hAnsiTheme="majorHAnsi"/>
                <w:sz w:val="17"/>
                <w:szCs w:val="17"/>
              </w:rPr>
              <w:t>Other stakeholders did not express a view on whether this constituted a problem.</w:t>
            </w:r>
          </w:p>
        </w:tc>
      </w:tr>
    </w:tbl>
    <w:p w14:paraId="066598E0" w14:textId="77777777" w:rsidR="00EF5A17" w:rsidRDefault="00EF5A17" w:rsidP="00C043FB">
      <w:pPr>
        <w:pStyle w:val="BodyText"/>
        <w:sectPr w:rsidR="00EF5A17" w:rsidSect="008B6354">
          <w:headerReference w:type="default" r:id="rId48"/>
          <w:footerReference w:type="default" r:id="rId49"/>
          <w:pgSz w:w="16839" w:h="11907" w:orient="landscape" w:code="9"/>
          <w:pgMar w:top="993" w:right="1418" w:bottom="992" w:left="1701" w:header="567" w:footer="397" w:gutter="0"/>
          <w:cols w:space="708"/>
          <w:docGrid w:linePitch="360"/>
        </w:sectPr>
      </w:pPr>
    </w:p>
    <w:p w14:paraId="02A676B6" w14:textId="4153EAE7" w:rsidR="00851D00" w:rsidRDefault="00851D00" w:rsidP="00851D00">
      <w:pPr>
        <w:pStyle w:val="BodyText"/>
      </w:pPr>
      <w:bookmarkStart w:id="139" w:name="_Ref60387325"/>
      <w:r>
        <w:lastRenderedPageBreak/>
        <w:t xml:space="preserve">While not shown in </w:t>
      </w:r>
      <w:r>
        <w:fldChar w:fldCharType="begin" w:fldLock="1"/>
      </w:r>
      <w:r>
        <w:instrText xml:space="preserve"> REF _Ref52865861 \h </w:instrText>
      </w:r>
      <w:r>
        <w:fldChar w:fldCharType="separate"/>
      </w:r>
      <w:r w:rsidR="00036405">
        <w:t xml:space="preserve">Table </w:t>
      </w:r>
      <w:r w:rsidR="00036405">
        <w:rPr>
          <w:noProof/>
        </w:rPr>
        <w:t>6</w:t>
      </w:r>
      <w:r w:rsidR="00036405">
        <w:t>.</w:t>
      </w:r>
      <w:r w:rsidR="00036405">
        <w:rPr>
          <w:noProof/>
        </w:rPr>
        <w:t>2</w:t>
      </w:r>
      <w:r>
        <w:fldChar w:fldCharType="end"/>
      </w:r>
      <w:r>
        <w:t xml:space="preserve">, AGL, Alinta and APPEA noted the importance of getting the balance right between information disclosure and administrative burden, because the costs incurred by service providers are likely to be passed directly on to shippers and, in turn, end-users of gas. The </w:t>
      </w:r>
      <w:r w:rsidRPr="00880454">
        <w:t>ECA</w:t>
      </w:r>
      <w:r>
        <w:t xml:space="preserve">, on the other hand, noted that the </w:t>
      </w:r>
      <w:r w:rsidRPr="00880454">
        <w:t>disclosure</w:t>
      </w:r>
      <w:r>
        <w:t xml:space="preserve"> requirements</w:t>
      </w:r>
      <w:r w:rsidRPr="00880454">
        <w:t xml:space="preserve"> should be a relatively costless change for industry </w:t>
      </w:r>
      <w:r>
        <w:t xml:space="preserve">because </w:t>
      </w:r>
      <w:r w:rsidRPr="00880454">
        <w:t xml:space="preserve">most service providers would </w:t>
      </w:r>
      <w:r>
        <w:t xml:space="preserve">already </w:t>
      </w:r>
      <w:r w:rsidRPr="00880454">
        <w:t xml:space="preserve">retain similar kinds of information, regardless of the form of </w:t>
      </w:r>
      <w:r>
        <w:t>regulation they are subject to</w:t>
      </w:r>
      <w:r w:rsidRPr="00880454">
        <w:t xml:space="preserve">. </w:t>
      </w:r>
      <w:r>
        <w:t xml:space="preserve">The ECA also noted that making </w:t>
      </w:r>
      <w:r w:rsidRPr="00880454">
        <w:t xml:space="preserve">a consistent level of </w:t>
      </w:r>
      <w:r>
        <w:t>information available across pipelines should</w:t>
      </w:r>
      <w:r w:rsidRPr="00880454">
        <w:t xml:space="preserve"> lead to more timely access to services.</w:t>
      </w:r>
      <w:r>
        <w:t xml:space="preserve"> </w:t>
      </w:r>
    </w:p>
    <w:p w14:paraId="4724D379" w14:textId="77777777" w:rsidR="00851D00" w:rsidRDefault="00851D00" w:rsidP="00851D00">
      <w:pPr>
        <w:pStyle w:val="BodyText"/>
      </w:pPr>
      <w:r>
        <w:t>The need for more consistent information was also raised by EnergyAustralia who noted that the current information requirements are overly complex and confusing for both service providers and shippers, with differences in exemptions adding another layer of complexity, which in its view “further warrants a case for change”.</w:t>
      </w:r>
    </w:p>
    <w:p w14:paraId="6AD19B01" w14:textId="77777777" w:rsidR="00851D00" w:rsidRDefault="00851D00" w:rsidP="00851D00">
      <w:pPr>
        <w:pStyle w:val="BodyText"/>
      </w:pPr>
      <w:r w:rsidRPr="00715484">
        <w:rPr>
          <w:lang w:eastAsia="fr-CA"/>
        </w:rPr>
        <w:t xml:space="preserve">The MEU </w:t>
      </w:r>
      <w:r>
        <w:rPr>
          <w:lang w:eastAsia="fr-CA"/>
        </w:rPr>
        <w:t xml:space="preserve">also referred to </w:t>
      </w:r>
      <w:r w:rsidRPr="00715484">
        <w:rPr>
          <w:lang w:eastAsia="fr-CA"/>
        </w:rPr>
        <w:t xml:space="preserve">the difficulties that shippers </w:t>
      </w:r>
      <w:r>
        <w:rPr>
          <w:lang w:eastAsia="fr-CA"/>
        </w:rPr>
        <w:t xml:space="preserve">can </w:t>
      </w:r>
      <w:r w:rsidRPr="00715484">
        <w:rPr>
          <w:lang w:eastAsia="fr-CA"/>
        </w:rPr>
        <w:t>face when trying to obtain information from service providers during negotiations and pointed to the difficul</w:t>
      </w:r>
      <w:r w:rsidRPr="00715484">
        <w:rPr>
          <w:rFonts w:asciiTheme="majorHAnsi" w:hAnsiTheme="majorHAnsi" w:cstheme="majorHAnsi"/>
          <w:lang w:eastAsia="fr-CA"/>
        </w:rPr>
        <w:t xml:space="preserve">ties that the ACCC and AER have had in “extracting meaningful information from service providers” as further demonstration of the difficulties faced by shippers. </w:t>
      </w:r>
      <w:r>
        <w:rPr>
          <w:rFonts w:asciiTheme="majorHAnsi" w:hAnsiTheme="majorHAnsi" w:cstheme="majorHAnsi"/>
          <w:lang w:eastAsia="fr-CA"/>
        </w:rPr>
        <w:t xml:space="preserve"> </w:t>
      </w:r>
    </w:p>
    <w:p w14:paraId="0634623D" w14:textId="77777777" w:rsidR="009D604C" w:rsidRDefault="009D604C" w:rsidP="00C74643">
      <w:pPr>
        <w:pStyle w:val="Heading3"/>
      </w:pPr>
      <w:bookmarkStart w:id="140" w:name="_Ref60420315"/>
      <w:r>
        <w:t>Conclusion on problems with this aspect of the regulatory framework</w:t>
      </w:r>
      <w:bookmarkEnd w:id="139"/>
      <w:bookmarkEnd w:id="140"/>
    </w:p>
    <w:p w14:paraId="22A96ECA" w14:textId="77777777" w:rsidR="00991D12" w:rsidRDefault="00FF26CE" w:rsidP="004441A5">
      <w:pPr>
        <w:pStyle w:val="BodyText"/>
      </w:pPr>
      <w:r>
        <w:t>Having regard to the results of prior reviews and the feedback provided by stakeholders through this process, it would appear</w:t>
      </w:r>
      <w:r w:rsidR="00053644">
        <w:t xml:space="preserve"> that</w:t>
      </w:r>
      <w:r w:rsidR="005920FF">
        <w:t xml:space="preserve"> the </w:t>
      </w:r>
      <w:r w:rsidR="00243D32">
        <w:t xml:space="preserve">deficiencies identified </w:t>
      </w:r>
      <w:r w:rsidR="005238F1">
        <w:t xml:space="preserve">in the </w:t>
      </w:r>
      <w:r w:rsidR="0022568B">
        <w:t xml:space="preserve">information disclosure obligations currently applying under full regulation and under light regulation/Part 23 </w:t>
      </w:r>
      <w:r w:rsidR="00177B8D">
        <w:t xml:space="preserve">are </w:t>
      </w:r>
      <w:r w:rsidR="004441A5">
        <w:t xml:space="preserve">in fact </w:t>
      </w:r>
      <w:r w:rsidR="00177B8D">
        <w:t xml:space="preserve">problems with the current </w:t>
      </w:r>
      <w:r w:rsidR="00E27492">
        <w:t xml:space="preserve">regulatory </w:t>
      </w:r>
      <w:r w:rsidR="00177B8D">
        <w:t>framework</w:t>
      </w:r>
      <w:r w:rsidR="00991D12">
        <w:t xml:space="preserve">. </w:t>
      </w:r>
    </w:p>
    <w:p w14:paraId="590C10CD" w14:textId="77777777" w:rsidR="00991D12" w:rsidRDefault="00991D12" w:rsidP="00991D12">
      <w:pPr>
        <w:pStyle w:val="BodyText"/>
        <w:spacing w:before="120"/>
      </w:pPr>
      <w:r>
        <w:t>While it has not been possible to quantify the effect of these problems with the existing regulatory framework, they can be expected to have a detrimental effect on economic efficiency, consumers and the broader economy, because they are:</w:t>
      </w:r>
    </w:p>
    <w:p w14:paraId="3EED6502" w14:textId="77777777" w:rsidR="00141AD0" w:rsidRDefault="00D378AB" w:rsidP="00AD36B8">
      <w:pPr>
        <w:pStyle w:val="ListBullet"/>
      </w:pPr>
      <w:r w:rsidRPr="006B4639">
        <w:t>hinder</w:t>
      </w:r>
      <w:r w:rsidR="00991D12">
        <w:t>ing</w:t>
      </w:r>
      <w:r w:rsidRPr="006B4639">
        <w:t xml:space="preserve"> </w:t>
      </w:r>
      <w:r w:rsidR="00141AD0">
        <w:t xml:space="preserve">the </w:t>
      </w:r>
      <w:r w:rsidRPr="006B4639">
        <w:t xml:space="preserve">ability </w:t>
      </w:r>
      <w:r w:rsidR="00141AD0">
        <w:t xml:space="preserve">of shippers </w:t>
      </w:r>
      <w:r w:rsidRPr="006B4639">
        <w:t xml:space="preserve">to negotiate effectively with service providers and </w:t>
      </w:r>
      <w:r w:rsidR="001A6E3E">
        <w:t>imposing additional search and transaction costs on shippers</w:t>
      </w:r>
      <w:r w:rsidR="00514CE1">
        <w:t xml:space="preserve">, </w:t>
      </w:r>
      <w:r w:rsidRPr="006B4639">
        <w:t xml:space="preserve">with consequential effects for </w:t>
      </w:r>
      <w:r>
        <w:t xml:space="preserve">economic </w:t>
      </w:r>
      <w:r w:rsidRPr="006B4639">
        <w:t xml:space="preserve">efficiency </w:t>
      </w:r>
      <w:r w:rsidR="003A5688">
        <w:t xml:space="preserve">across the market </w:t>
      </w:r>
      <w:r w:rsidRPr="006B4639">
        <w:t xml:space="preserve">and </w:t>
      </w:r>
      <w:r w:rsidR="003A5688">
        <w:t xml:space="preserve">the </w:t>
      </w:r>
      <w:r w:rsidRPr="006B4639">
        <w:t>broader economy</w:t>
      </w:r>
      <w:r w:rsidR="00141AD0">
        <w:t>;</w:t>
      </w:r>
      <w:r w:rsidR="00991D12">
        <w:t xml:space="preserve"> and</w:t>
      </w:r>
    </w:p>
    <w:p w14:paraId="3448E414" w14:textId="77777777" w:rsidR="00141AD0" w:rsidRDefault="00D378AB" w:rsidP="00AD36B8">
      <w:pPr>
        <w:pStyle w:val="ListBullet"/>
      </w:pPr>
      <w:r w:rsidRPr="006B4639">
        <w:t>mak</w:t>
      </w:r>
      <w:r w:rsidR="00991D12">
        <w:t>ing</w:t>
      </w:r>
      <w:r w:rsidRPr="006B4639">
        <w:t xml:space="preserve"> shippers more susceptible to exercises of market power by service providers, which could </w:t>
      </w:r>
      <w:r w:rsidR="00141AD0">
        <w:t xml:space="preserve">also </w:t>
      </w:r>
      <w:r w:rsidRPr="006B4639">
        <w:t xml:space="preserve">have a detrimental effect on economic efficiency and on consumers more generally. </w:t>
      </w:r>
    </w:p>
    <w:p w14:paraId="6B62B1BF" w14:textId="77777777" w:rsidR="00664650" w:rsidRDefault="00D378AB" w:rsidP="00141AD0">
      <w:pPr>
        <w:pStyle w:val="BodyText"/>
        <w:spacing w:line="252" w:lineRule="auto"/>
      </w:pPr>
      <w:r w:rsidRPr="006B4639">
        <w:t>There is also a risk that differences in reporting obligations across the forms of regulation may impose unnecessary costs on service providers and shippers.</w:t>
      </w:r>
      <w:r w:rsidR="000317ED">
        <w:t xml:space="preserve"> </w:t>
      </w:r>
    </w:p>
    <w:p w14:paraId="4449EE76" w14:textId="407F6FE1" w:rsidR="00FF26CE" w:rsidRDefault="00FF26CE" w:rsidP="000317ED">
      <w:pPr>
        <w:pStyle w:val="BodyText"/>
        <w:rPr>
          <w:rFonts w:asciiTheme="majorHAnsi" w:hAnsiTheme="majorHAnsi" w:cstheme="majorHAnsi"/>
        </w:rPr>
      </w:pPr>
      <w:r>
        <w:t xml:space="preserve">These problems can </w:t>
      </w:r>
      <w:r w:rsidR="003A5688">
        <w:t xml:space="preserve">therefore </w:t>
      </w:r>
      <w:r>
        <w:t xml:space="preserve">be viewed as </w:t>
      </w:r>
      <w:r w:rsidR="00055A96">
        <w:t xml:space="preserve">both a </w:t>
      </w:r>
      <w:r w:rsidRPr="006B4639">
        <w:t xml:space="preserve">market </w:t>
      </w:r>
      <w:r w:rsidR="00055A96">
        <w:t xml:space="preserve">failure </w:t>
      </w:r>
      <w:r w:rsidR="0072037A">
        <w:t xml:space="preserve">and </w:t>
      </w:r>
      <w:r w:rsidR="00055A96">
        <w:t xml:space="preserve">a </w:t>
      </w:r>
      <w:r w:rsidR="0072037A">
        <w:t xml:space="preserve">regulatory </w:t>
      </w:r>
      <w:r w:rsidR="00055A96">
        <w:t xml:space="preserve">issue </w:t>
      </w:r>
      <w:r>
        <w:t xml:space="preserve">that warrant </w:t>
      </w:r>
      <w:r>
        <w:rPr>
          <w:rFonts w:asciiTheme="majorHAnsi" w:hAnsiTheme="majorHAnsi" w:cstheme="majorHAnsi"/>
        </w:rPr>
        <w:t xml:space="preserve">further action by the </w:t>
      </w:r>
      <w:r w:rsidRPr="00807EA1">
        <w:t>Energy National Cabinet Reform Committee</w:t>
      </w:r>
      <w:r w:rsidRPr="006B4639">
        <w:rPr>
          <w:rFonts w:asciiTheme="majorHAnsi" w:hAnsiTheme="majorHAnsi" w:cstheme="majorHAnsi"/>
        </w:rPr>
        <w:t>.</w:t>
      </w:r>
    </w:p>
    <w:p w14:paraId="634E0B4B" w14:textId="77777777" w:rsidR="006C72B6" w:rsidRDefault="006C72B6" w:rsidP="00664650">
      <w:pPr>
        <w:pStyle w:val="Heading2"/>
        <w:spacing w:before="240" w:after="80"/>
      </w:pPr>
      <w:bookmarkStart w:id="141" w:name="_Toc62219416"/>
      <w:r>
        <w:t>What options were identified in the Consultation RIS to address the problems and what feedback was provided</w:t>
      </w:r>
      <w:r w:rsidRPr="006B4639">
        <w:t>?</w:t>
      </w:r>
      <w:bookmarkEnd w:id="141"/>
    </w:p>
    <w:p w14:paraId="441421B3" w14:textId="77777777" w:rsidR="00E415FA" w:rsidRDefault="00E415FA" w:rsidP="00664650">
      <w:pPr>
        <w:pStyle w:val="Heading3"/>
        <w:spacing w:before="0" w:after="120"/>
      </w:pPr>
      <w:r>
        <w:t>Options identified in the Consultation RIS</w:t>
      </w:r>
    </w:p>
    <w:p w14:paraId="535DA79E" w14:textId="3A0109A3" w:rsidR="00732F5A" w:rsidRDefault="00732F5A" w:rsidP="00732F5A">
      <w:pPr>
        <w:pStyle w:val="BodyText"/>
      </w:pPr>
      <w:r>
        <w:fldChar w:fldCharType="begin" w:fldLock="1"/>
      </w:r>
      <w:r>
        <w:instrText xml:space="preserve"> REF _Ref52950093 \h </w:instrText>
      </w:r>
      <w:r>
        <w:fldChar w:fldCharType="separate"/>
      </w:r>
      <w:r w:rsidR="00036405" w:rsidRPr="006B4639">
        <w:t xml:space="preserve">Table </w:t>
      </w:r>
      <w:r w:rsidR="00036405">
        <w:rPr>
          <w:noProof/>
        </w:rPr>
        <w:t>6</w:t>
      </w:r>
      <w:r w:rsidR="00036405">
        <w:t>.</w:t>
      </w:r>
      <w:r w:rsidR="00036405">
        <w:rPr>
          <w:noProof/>
        </w:rPr>
        <w:t>3</w:t>
      </w:r>
      <w:r>
        <w:fldChar w:fldCharType="end"/>
      </w:r>
      <w:r>
        <w:t xml:space="preserve"> </w:t>
      </w:r>
      <w:r w:rsidRPr="006B4639">
        <w:t xml:space="preserve">provides a summary of the options </w:t>
      </w:r>
      <w:r>
        <w:t xml:space="preserve">to address the potential problems </w:t>
      </w:r>
      <w:r w:rsidRPr="006B4639">
        <w:t xml:space="preserve">that </w:t>
      </w:r>
      <w:r>
        <w:t xml:space="preserve">were identified in the Consultation RIS. </w:t>
      </w:r>
    </w:p>
    <w:p w14:paraId="4AF43F33" w14:textId="53B34E0D" w:rsidR="00732F5A" w:rsidRPr="006B4639" w:rsidDel="00E200E0" w:rsidRDefault="00732F5A" w:rsidP="00732F5A">
      <w:pPr>
        <w:pStyle w:val="Caption"/>
        <w:spacing w:after="0"/>
      </w:pPr>
      <w:bookmarkStart w:id="142" w:name="_Ref52950093"/>
      <w:bookmarkStart w:id="143" w:name="_Hlk17051619"/>
      <w:r w:rsidRPr="006B4639">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6</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3</w:t>
      </w:r>
      <w:r w:rsidR="00F323B2">
        <w:rPr>
          <w:noProof/>
        </w:rPr>
        <w:fldChar w:fldCharType="end"/>
      </w:r>
      <w:bookmarkEnd w:id="142"/>
      <w:r w:rsidRPr="006B4639">
        <w:t xml:space="preserve">: </w:t>
      </w:r>
      <w:r>
        <w:t>O</w:t>
      </w:r>
      <w:r w:rsidRPr="006B4639">
        <w:t>ptions</w:t>
      </w:r>
      <w:r>
        <w:t xml:space="preserve"> identified in the Consultation RIS </w:t>
      </w:r>
    </w:p>
    <w:tbl>
      <w:tblPr>
        <w:tblStyle w:val="TableGrid"/>
        <w:tblW w:w="5119" w:type="pct"/>
        <w:tblLayout w:type="fixed"/>
        <w:tblLook w:val="04A0" w:firstRow="1" w:lastRow="0" w:firstColumn="1" w:lastColumn="0" w:noHBand="0" w:noVBand="1"/>
      </w:tblPr>
      <w:tblGrid>
        <w:gridCol w:w="1900"/>
        <w:gridCol w:w="7097"/>
      </w:tblGrid>
      <w:tr w:rsidR="00D57C97" w:rsidRPr="006B4639" w14:paraId="130B11E0" w14:textId="77777777" w:rsidTr="00487934">
        <w:trPr>
          <w:cnfStyle w:val="100000000000" w:firstRow="1" w:lastRow="0" w:firstColumn="0" w:lastColumn="0" w:oddVBand="0" w:evenVBand="0" w:oddHBand="0" w:evenHBand="0" w:firstRowFirstColumn="0" w:firstRowLastColumn="0" w:lastRowFirstColumn="0" w:lastRowLastColumn="0"/>
          <w:trHeight w:val="73"/>
          <w:tblHeader/>
        </w:trPr>
        <w:tc>
          <w:tcPr>
            <w:tcW w:w="1900" w:type="dxa"/>
            <w:shd w:val="clear" w:color="auto" w:fill="002060"/>
          </w:tcPr>
          <w:p w14:paraId="17296976" w14:textId="77777777" w:rsidR="004C1E38" w:rsidRPr="006B4639" w:rsidRDefault="004113A8" w:rsidP="00851D00">
            <w:pPr>
              <w:pStyle w:val="BodyText"/>
              <w:keepNext/>
              <w:spacing w:before="20" w:after="20" w:line="240" w:lineRule="auto"/>
              <w:rPr>
                <w:rFonts w:asciiTheme="majorHAnsi" w:hAnsiTheme="majorHAnsi" w:cstheme="majorHAnsi"/>
                <w:bCs/>
                <w:szCs w:val="18"/>
              </w:rPr>
            </w:pPr>
            <w:r>
              <w:rPr>
                <w:rFonts w:asciiTheme="majorHAnsi" w:hAnsiTheme="majorHAnsi" w:cstheme="majorHAnsi"/>
                <w:bCs/>
                <w:szCs w:val="18"/>
              </w:rPr>
              <w:t xml:space="preserve">Potential </w:t>
            </w:r>
            <w:r w:rsidR="004C1E38" w:rsidRPr="006B4639">
              <w:rPr>
                <w:rFonts w:asciiTheme="majorHAnsi" w:hAnsiTheme="majorHAnsi" w:cstheme="majorHAnsi"/>
                <w:bCs/>
                <w:szCs w:val="18"/>
              </w:rPr>
              <w:t>Problem</w:t>
            </w:r>
          </w:p>
        </w:tc>
        <w:tc>
          <w:tcPr>
            <w:tcW w:w="7097" w:type="dxa"/>
            <w:shd w:val="clear" w:color="auto" w:fill="002060"/>
          </w:tcPr>
          <w:p w14:paraId="2ABF96DB" w14:textId="77777777" w:rsidR="004C1E38" w:rsidRPr="006B4639" w:rsidRDefault="004C1E38" w:rsidP="00851D00">
            <w:pPr>
              <w:pStyle w:val="BodyText"/>
              <w:keepNext/>
              <w:spacing w:before="20" w:after="20" w:line="240" w:lineRule="auto"/>
              <w:rPr>
                <w:rFonts w:asciiTheme="majorHAnsi" w:hAnsiTheme="majorHAnsi" w:cstheme="majorHAnsi"/>
                <w:szCs w:val="18"/>
              </w:rPr>
            </w:pPr>
            <w:r w:rsidRPr="006B4639">
              <w:rPr>
                <w:rFonts w:asciiTheme="majorHAnsi" w:hAnsiTheme="majorHAnsi" w:cstheme="majorHAnsi"/>
                <w:szCs w:val="18"/>
              </w:rPr>
              <w:t xml:space="preserve">Potential solutions </w:t>
            </w:r>
          </w:p>
        </w:tc>
      </w:tr>
      <w:tr w:rsidR="00302CA2" w:rsidRPr="00753DD9" w14:paraId="25E47A4B" w14:textId="77777777" w:rsidTr="00302CA2">
        <w:trPr>
          <w:trHeight w:val="299"/>
        </w:trPr>
        <w:tc>
          <w:tcPr>
            <w:tcW w:w="8997" w:type="dxa"/>
            <w:gridSpan w:val="2"/>
            <w:tcBorders>
              <w:bottom w:val="single" w:sz="4" w:space="0" w:color="auto"/>
            </w:tcBorders>
            <w:shd w:val="clear" w:color="auto" w:fill="65697F" w:themeFill="background2" w:themeFillShade="80"/>
          </w:tcPr>
          <w:p w14:paraId="2AB96856" w14:textId="77777777" w:rsidR="00302CA2" w:rsidRPr="00753DD9" w:rsidRDefault="00302CA2" w:rsidP="00851D00">
            <w:pPr>
              <w:pStyle w:val="TableListNumber"/>
              <w:keepNext/>
              <w:numPr>
                <w:ilvl w:val="0"/>
                <w:numId w:val="0"/>
              </w:numPr>
              <w:spacing w:line="240" w:lineRule="auto"/>
              <w:ind w:left="442"/>
              <w:jc w:val="center"/>
              <w:rPr>
                <w:b/>
                <w:color w:val="FFFFFF" w:themeColor="background1"/>
                <w:szCs w:val="18"/>
              </w:rPr>
            </w:pPr>
            <w:r w:rsidRPr="00753DD9">
              <w:rPr>
                <w:b/>
                <w:color w:val="FFFFFF" w:themeColor="background1"/>
                <w:szCs w:val="18"/>
              </w:rPr>
              <w:t xml:space="preserve">Full regulation pipelines reporting requirements </w:t>
            </w:r>
          </w:p>
        </w:tc>
      </w:tr>
      <w:tr w:rsidR="00D57C97" w:rsidRPr="006B4639" w14:paraId="2F84E100" w14:textId="77777777" w:rsidTr="00302CA2">
        <w:trPr>
          <w:cnfStyle w:val="000000010000" w:firstRow="0" w:lastRow="0" w:firstColumn="0" w:lastColumn="0" w:oddVBand="0" w:evenVBand="0" w:oddHBand="0" w:evenHBand="1" w:firstRowFirstColumn="0" w:firstRowLastColumn="0" w:lastRowFirstColumn="0" w:lastRowLastColumn="0"/>
          <w:trHeight w:val="716"/>
        </w:trPr>
        <w:tc>
          <w:tcPr>
            <w:tcW w:w="1900" w:type="dxa"/>
            <w:tcBorders>
              <w:bottom w:val="single" w:sz="4" w:space="0" w:color="auto"/>
            </w:tcBorders>
            <w:shd w:val="clear" w:color="auto" w:fill="FFFFFF" w:themeFill="background1"/>
          </w:tcPr>
          <w:p w14:paraId="49345AEC" w14:textId="77777777" w:rsidR="004C1E38" w:rsidRPr="00283389" w:rsidRDefault="00761E58" w:rsidP="00BF04A0">
            <w:pPr>
              <w:pStyle w:val="BodyText"/>
              <w:spacing w:before="20" w:after="20" w:line="240" w:lineRule="auto"/>
              <w:rPr>
                <w:rFonts w:asciiTheme="majorHAnsi" w:hAnsiTheme="majorHAnsi" w:cstheme="majorHAnsi"/>
                <w:szCs w:val="18"/>
              </w:rPr>
            </w:pPr>
            <w:r>
              <w:rPr>
                <w:rFonts w:asciiTheme="majorHAnsi" w:hAnsiTheme="majorHAnsi" w:cstheme="majorHAnsi"/>
                <w:szCs w:val="18"/>
              </w:rPr>
              <w:t xml:space="preserve">Limited </w:t>
            </w:r>
            <w:r w:rsidR="004C1E38" w:rsidRPr="00283389">
              <w:rPr>
                <w:rFonts w:asciiTheme="majorHAnsi" w:hAnsiTheme="majorHAnsi" w:cstheme="majorHAnsi"/>
                <w:szCs w:val="18"/>
              </w:rPr>
              <w:t xml:space="preserve">information available to shippers negotiating </w:t>
            </w:r>
            <w:r w:rsidR="004113A8">
              <w:rPr>
                <w:rFonts w:asciiTheme="majorHAnsi" w:hAnsiTheme="majorHAnsi" w:cstheme="majorHAnsi"/>
                <w:szCs w:val="18"/>
              </w:rPr>
              <w:t xml:space="preserve">on </w:t>
            </w:r>
            <w:r w:rsidR="004C1E38" w:rsidRPr="00283389">
              <w:rPr>
                <w:rFonts w:asciiTheme="majorHAnsi" w:hAnsiTheme="majorHAnsi" w:cstheme="majorHAnsi"/>
                <w:szCs w:val="18"/>
              </w:rPr>
              <w:t>full regulation pipelines</w:t>
            </w:r>
          </w:p>
        </w:tc>
        <w:tc>
          <w:tcPr>
            <w:tcW w:w="7097" w:type="dxa"/>
            <w:tcBorders>
              <w:bottom w:val="single" w:sz="4" w:space="0" w:color="auto"/>
            </w:tcBorders>
            <w:shd w:val="clear" w:color="auto" w:fill="FFFFFF" w:themeFill="background1"/>
          </w:tcPr>
          <w:p w14:paraId="7890FB1A" w14:textId="77777777" w:rsidR="004C1E38" w:rsidRPr="006B4639" w:rsidRDefault="004C1E38" w:rsidP="000A3668">
            <w:pPr>
              <w:pStyle w:val="TableBullet10"/>
              <w:numPr>
                <w:ilvl w:val="0"/>
                <w:numId w:val="150"/>
              </w:numPr>
              <w:ind w:left="442" w:hanging="357"/>
            </w:pPr>
            <w:r w:rsidRPr="006B4639">
              <w:t>Maintain existing reporting requirements for full regulation pipelines (status quo).</w:t>
            </w:r>
          </w:p>
          <w:p w14:paraId="6CFE1FCF" w14:textId="77777777" w:rsidR="00DC6A0E" w:rsidRPr="00DC6A0E" w:rsidRDefault="00437FEA" w:rsidP="000A3668">
            <w:pPr>
              <w:pStyle w:val="TableBullet10"/>
              <w:numPr>
                <w:ilvl w:val="0"/>
                <w:numId w:val="150"/>
              </w:numPr>
              <w:ind w:left="442" w:hanging="357"/>
              <w:rPr>
                <w:rFonts w:asciiTheme="majorHAnsi" w:hAnsiTheme="majorHAnsi" w:cstheme="majorHAnsi"/>
              </w:rPr>
            </w:pPr>
            <w:r>
              <w:t xml:space="preserve">Address the </w:t>
            </w:r>
            <w:r w:rsidR="00CB615B">
              <w:t xml:space="preserve">problems that have been identified by requiring </w:t>
            </w:r>
            <w:r w:rsidR="004C1E38" w:rsidRPr="006B4639">
              <w:t xml:space="preserve">full regulation pipelines to </w:t>
            </w:r>
            <w:r w:rsidR="00935667" w:rsidRPr="006B4639">
              <w:t>publish</w:t>
            </w:r>
            <w:r w:rsidR="00A80633">
              <w:t xml:space="preserve"> equivalent information to light regulation and Part 23 pipelines</w:t>
            </w:r>
            <w:r w:rsidR="00DC6A0E">
              <w:t xml:space="preserve">, which includes: </w:t>
            </w:r>
          </w:p>
          <w:p w14:paraId="6C1742B4" w14:textId="77777777" w:rsidR="003B0C00" w:rsidRPr="003B0C00" w:rsidRDefault="00DC6A0E" w:rsidP="004E273F">
            <w:pPr>
              <w:pStyle w:val="TableBodyText"/>
              <w:numPr>
                <w:ilvl w:val="2"/>
                <w:numId w:val="162"/>
              </w:numPr>
              <w:ind w:left="799" w:hanging="357"/>
              <w:rPr>
                <w:rFonts w:asciiTheme="majorHAnsi" w:hAnsiTheme="majorHAnsi" w:cstheme="majorHAnsi"/>
              </w:rPr>
            </w:pPr>
            <w:r>
              <w:t xml:space="preserve">a set of Basic Information </w:t>
            </w:r>
            <w:r w:rsidR="003B0C00">
              <w:t xml:space="preserve">comprising </w:t>
            </w:r>
            <w:r w:rsidR="003B0C00" w:rsidRPr="00996793">
              <w:t>pipeline information</w:t>
            </w:r>
            <w:r w:rsidR="003B0C00">
              <w:t xml:space="preserve">, </w:t>
            </w:r>
            <w:r w:rsidR="003B0C00" w:rsidRPr="00996793">
              <w:t>pipeline service information</w:t>
            </w:r>
            <w:r w:rsidR="003B0C00">
              <w:rPr>
                <w:rFonts w:asciiTheme="majorHAnsi" w:hAnsiTheme="majorHAnsi" w:cstheme="majorHAnsi"/>
              </w:rPr>
              <w:t xml:space="preserve">, </w:t>
            </w:r>
            <w:r w:rsidR="003B0C00" w:rsidRPr="00996793">
              <w:t>the standing terms for each service offered by the pipeline (i.e. the standard terms and conditions, standing prices and the method used to calculate standing prices)</w:t>
            </w:r>
            <w:r w:rsidR="003B0C00">
              <w:t xml:space="preserve">, </w:t>
            </w:r>
            <w:r w:rsidR="003B0C00" w:rsidRPr="00996793">
              <w:t>service availability information</w:t>
            </w:r>
            <w:r w:rsidR="003B0C00">
              <w:t>,</w:t>
            </w:r>
            <w:r w:rsidR="003B0C00" w:rsidRPr="00996793">
              <w:t xml:space="preserve"> service usage information</w:t>
            </w:r>
            <w:r w:rsidR="003B0C00">
              <w:t xml:space="preserve"> and information on the prices actually paid by other shippers; and</w:t>
            </w:r>
          </w:p>
          <w:p w14:paraId="5366F2FE" w14:textId="77777777" w:rsidR="003B0C00" w:rsidRPr="00A80633" w:rsidRDefault="00517663" w:rsidP="004E273F">
            <w:pPr>
              <w:pStyle w:val="TableBodyText"/>
              <w:numPr>
                <w:ilvl w:val="2"/>
                <w:numId w:val="162"/>
              </w:numPr>
              <w:ind w:left="799" w:hanging="357"/>
            </w:pPr>
            <w:r>
              <w:t>historical financial</w:t>
            </w:r>
            <w:r w:rsidR="003B0C00">
              <w:t xml:space="preserve"> and demand</w:t>
            </w:r>
            <w:r>
              <w:t xml:space="preserve"> information</w:t>
            </w:r>
            <w:r w:rsidR="003D0A79">
              <w:t xml:space="preserve">. </w:t>
            </w:r>
          </w:p>
        </w:tc>
      </w:tr>
      <w:tr w:rsidR="00CF7F5A" w:rsidRPr="00753DD9" w14:paraId="1FAAA5D7" w14:textId="77777777" w:rsidTr="004109AF">
        <w:trPr>
          <w:trHeight w:val="56"/>
        </w:trPr>
        <w:tc>
          <w:tcPr>
            <w:tcW w:w="8997" w:type="dxa"/>
            <w:gridSpan w:val="2"/>
            <w:tcBorders>
              <w:bottom w:val="single" w:sz="4" w:space="0" w:color="auto"/>
            </w:tcBorders>
            <w:shd w:val="clear" w:color="auto" w:fill="65697F" w:themeFill="background2" w:themeFillShade="80"/>
          </w:tcPr>
          <w:p w14:paraId="17B897F7" w14:textId="77777777" w:rsidR="001C146F" w:rsidRPr="00753DD9" w:rsidRDefault="00851D00" w:rsidP="004109AF">
            <w:pPr>
              <w:pStyle w:val="TableListNumber"/>
              <w:numPr>
                <w:ilvl w:val="0"/>
                <w:numId w:val="0"/>
              </w:numPr>
              <w:spacing w:before="0" w:after="0" w:line="240" w:lineRule="auto"/>
              <w:ind w:left="442"/>
              <w:jc w:val="center"/>
              <w:rPr>
                <w:b/>
                <w:color w:val="FFFFFF" w:themeColor="background1"/>
                <w:szCs w:val="18"/>
              </w:rPr>
            </w:pPr>
            <w:r>
              <w:rPr>
                <w:b/>
                <w:color w:val="FFFFFF" w:themeColor="background1"/>
                <w:szCs w:val="18"/>
              </w:rPr>
              <w:t>Form of price reporting</w:t>
            </w:r>
          </w:p>
        </w:tc>
      </w:tr>
      <w:tr w:rsidR="00630F2D" w:rsidRPr="006B4639" w14:paraId="06585819" w14:textId="77777777" w:rsidTr="00302CA2">
        <w:trPr>
          <w:cnfStyle w:val="000000010000" w:firstRow="0" w:lastRow="0" w:firstColumn="0" w:lastColumn="0" w:oddVBand="0" w:evenVBand="0" w:oddHBand="0" w:evenHBand="1" w:firstRowFirstColumn="0" w:firstRowLastColumn="0" w:lastRowFirstColumn="0" w:lastRowLastColumn="0"/>
          <w:trHeight w:val="299"/>
        </w:trPr>
        <w:tc>
          <w:tcPr>
            <w:tcW w:w="1900" w:type="dxa"/>
            <w:tcBorders>
              <w:bottom w:val="single" w:sz="4" w:space="0" w:color="auto"/>
            </w:tcBorders>
          </w:tcPr>
          <w:p w14:paraId="70A8EB0A" w14:textId="77777777" w:rsidR="00630F2D" w:rsidRPr="00283389" w:rsidRDefault="00AD5F5F" w:rsidP="004109AF">
            <w:pPr>
              <w:pStyle w:val="BodyText"/>
              <w:spacing w:before="20" w:after="0" w:line="240" w:lineRule="auto"/>
              <w:rPr>
                <w:rFonts w:asciiTheme="majorHAnsi" w:hAnsiTheme="majorHAnsi" w:cstheme="majorHAnsi"/>
                <w:bCs/>
                <w:szCs w:val="18"/>
              </w:rPr>
            </w:pPr>
            <w:r>
              <w:rPr>
                <w:rFonts w:asciiTheme="majorHAnsi" w:hAnsiTheme="majorHAnsi" w:cstheme="majorHAnsi"/>
                <w:bCs/>
                <w:szCs w:val="18"/>
              </w:rPr>
              <w:t>Form of price reporting</w:t>
            </w:r>
            <w:r w:rsidR="00F22916">
              <w:rPr>
                <w:rFonts w:asciiTheme="majorHAnsi" w:hAnsiTheme="majorHAnsi" w:cstheme="majorHAnsi"/>
                <w:bCs/>
                <w:szCs w:val="18"/>
              </w:rPr>
              <w:t xml:space="preserve"> </w:t>
            </w:r>
          </w:p>
        </w:tc>
        <w:tc>
          <w:tcPr>
            <w:tcW w:w="7097" w:type="dxa"/>
            <w:tcBorders>
              <w:bottom w:val="single" w:sz="4" w:space="0" w:color="auto"/>
            </w:tcBorders>
          </w:tcPr>
          <w:p w14:paraId="1B4DD8D8" w14:textId="77777777" w:rsidR="00630F2D" w:rsidRPr="006B4639" w:rsidRDefault="00630F2D" w:rsidP="000A3668">
            <w:pPr>
              <w:pStyle w:val="TableBodyText"/>
              <w:numPr>
                <w:ilvl w:val="0"/>
                <w:numId w:val="121"/>
              </w:numPr>
              <w:spacing w:before="20" w:after="0"/>
              <w:ind w:left="442" w:hanging="357"/>
            </w:pPr>
            <w:r w:rsidRPr="006B4639">
              <w:t>Maintain the existing approach to reporting on the prices paid by shippers for services (i.e. reporting the weighted average prices) (status quo).</w:t>
            </w:r>
          </w:p>
          <w:p w14:paraId="148493D7" w14:textId="77777777" w:rsidR="00630F2D" w:rsidRPr="006B4639" w:rsidRDefault="00630F2D" w:rsidP="000A3668">
            <w:pPr>
              <w:pStyle w:val="TableBodyText"/>
              <w:numPr>
                <w:ilvl w:val="0"/>
                <w:numId w:val="121"/>
              </w:numPr>
              <w:spacing w:before="20" w:after="0"/>
              <w:ind w:left="442" w:hanging="357"/>
            </w:pPr>
            <w:r w:rsidRPr="006B4639">
              <w:t>Amend the NGR to require service providers to:</w:t>
            </w:r>
          </w:p>
          <w:p w14:paraId="3D284984" w14:textId="77777777" w:rsidR="00630F2D" w:rsidRDefault="00630F2D" w:rsidP="000A3668">
            <w:pPr>
              <w:pStyle w:val="TableListNumber"/>
              <w:numPr>
                <w:ilvl w:val="0"/>
                <w:numId w:val="64"/>
              </w:numPr>
              <w:spacing w:after="0" w:line="240" w:lineRule="auto"/>
              <w:ind w:left="799" w:hanging="357"/>
              <w:rPr>
                <w:szCs w:val="18"/>
              </w:rPr>
            </w:pPr>
            <w:r w:rsidRPr="006B4639">
              <w:rPr>
                <w:rFonts w:asciiTheme="majorHAnsi" w:hAnsiTheme="majorHAnsi" w:cstheme="majorHAnsi"/>
                <w:szCs w:val="18"/>
              </w:rPr>
              <w:t xml:space="preserve">report the individual prices (plus key terms and conditions) paid by each shipper rather than weighted average prices; or </w:t>
            </w:r>
          </w:p>
          <w:p w14:paraId="4D991F73" w14:textId="77777777" w:rsidR="00630F2D" w:rsidRPr="00630F2D" w:rsidRDefault="00630F2D" w:rsidP="000A3668">
            <w:pPr>
              <w:pStyle w:val="TableListNumber"/>
              <w:numPr>
                <w:ilvl w:val="0"/>
                <w:numId w:val="64"/>
              </w:numPr>
              <w:spacing w:after="0" w:line="240" w:lineRule="auto"/>
              <w:ind w:left="799" w:hanging="357"/>
              <w:rPr>
                <w:szCs w:val="18"/>
              </w:rPr>
            </w:pPr>
            <w:r w:rsidRPr="00630F2D">
              <w:rPr>
                <w:rFonts w:asciiTheme="majorHAnsi" w:hAnsiTheme="majorHAnsi" w:cstheme="majorHAnsi"/>
                <w:szCs w:val="18"/>
              </w:rPr>
              <w:t>publish the weighted average prices for each service as well as the minimum and maximum prices paid for each service.</w:t>
            </w:r>
          </w:p>
        </w:tc>
      </w:tr>
      <w:tr w:rsidR="00851D00" w:rsidRPr="00753DD9" w14:paraId="3A93E1B2" w14:textId="77777777" w:rsidTr="00857981">
        <w:trPr>
          <w:trHeight w:val="56"/>
        </w:trPr>
        <w:tc>
          <w:tcPr>
            <w:tcW w:w="8997" w:type="dxa"/>
            <w:gridSpan w:val="2"/>
            <w:tcBorders>
              <w:bottom w:val="single" w:sz="4" w:space="0" w:color="auto"/>
            </w:tcBorders>
            <w:shd w:val="clear" w:color="auto" w:fill="65697F" w:themeFill="background2" w:themeFillShade="80"/>
          </w:tcPr>
          <w:p w14:paraId="063857FB" w14:textId="77777777" w:rsidR="00851D00" w:rsidRPr="00753DD9" w:rsidRDefault="00851D00" w:rsidP="00857981">
            <w:pPr>
              <w:pStyle w:val="TableListNumber"/>
              <w:numPr>
                <w:ilvl w:val="0"/>
                <w:numId w:val="0"/>
              </w:numPr>
              <w:spacing w:before="0" w:after="0" w:line="240" w:lineRule="auto"/>
              <w:ind w:left="442"/>
              <w:jc w:val="center"/>
              <w:rPr>
                <w:b/>
                <w:color w:val="FFFFFF" w:themeColor="background1"/>
                <w:szCs w:val="18"/>
              </w:rPr>
            </w:pPr>
            <w:r w:rsidRPr="00753DD9">
              <w:rPr>
                <w:b/>
                <w:color w:val="FFFFFF" w:themeColor="background1"/>
                <w:szCs w:val="18"/>
              </w:rPr>
              <w:t>Deficiencies in information reported by Part 23 and light regulation pipelines</w:t>
            </w:r>
          </w:p>
        </w:tc>
      </w:tr>
      <w:tr w:rsidR="00630F2D" w:rsidRPr="006B4639" w14:paraId="56FECF01" w14:textId="77777777" w:rsidTr="00302CA2">
        <w:trPr>
          <w:cnfStyle w:val="000000010000" w:firstRow="0" w:lastRow="0" w:firstColumn="0" w:lastColumn="0" w:oddVBand="0" w:evenVBand="0" w:oddHBand="0" w:evenHBand="1" w:firstRowFirstColumn="0" w:firstRowLastColumn="0" w:lastRowFirstColumn="0" w:lastRowLastColumn="0"/>
          <w:trHeight w:val="299"/>
        </w:trPr>
        <w:tc>
          <w:tcPr>
            <w:tcW w:w="1900" w:type="dxa"/>
            <w:tcBorders>
              <w:bottom w:val="single" w:sz="4" w:space="0" w:color="auto"/>
            </w:tcBorders>
            <w:shd w:val="clear" w:color="auto" w:fill="FFFFFF" w:themeFill="background1"/>
          </w:tcPr>
          <w:p w14:paraId="56463544" w14:textId="77777777" w:rsidR="00630F2D" w:rsidRPr="00283389" w:rsidRDefault="00AD5F5F" w:rsidP="004109AF">
            <w:pPr>
              <w:pStyle w:val="BodyText"/>
              <w:spacing w:before="20" w:after="0" w:line="240" w:lineRule="auto"/>
              <w:rPr>
                <w:rFonts w:asciiTheme="majorHAnsi" w:hAnsiTheme="majorHAnsi" w:cstheme="majorHAnsi"/>
                <w:bCs/>
                <w:szCs w:val="18"/>
              </w:rPr>
            </w:pPr>
            <w:r>
              <w:rPr>
                <w:rFonts w:asciiTheme="majorHAnsi" w:hAnsiTheme="majorHAnsi" w:cstheme="majorHAnsi"/>
                <w:bCs/>
                <w:szCs w:val="18"/>
              </w:rPr>
              <w:t>D</w:t>
            </w:r>
            <w:r w:rsidR="00F22916">
              <w:rPr>
                <w:rFonts w:asciiTheme="majorHAnsi" w:hAnsiTheme="majorHAnsi" w:cstheme="majorHAnsi"/>
                <w:bCs/>
                <w:szCs w:val="18"/>
              </w:rPr>
              <w:t xml:space="preserve">eficiencies in </w:t>
            </w:r>
            <w:r w:rsidR="00302CA2">
              <w:rPr>
                <w:rFonts w:asciiTheme="majorHAnsi" w:hAnsiTheme="majorHAnsi" w:cstheme="majorHAnsi"/>
                <w:bCs/>
                <w:szCs w:val="18"/>
              </w:rPr>
              <w:t xml:space="preserve">pricing methodologies and </w:t>
            </w:r>
            <w:r w:rsidR="00F22916">
              <w:rPr>
                <w:rFonts w:asciiTheme="majorHAnsi" w:hAnsiTheme="majorHAnsi" w:cstheme="majorHAnsi"/>
                <w:bCs/>
                <w:szCs w:val="18"/>
              </w:rPr>
              <w:t xml:space="preserve">financial </w:t>
            </w:r>
            <w:r w:rsidR="00302CA2">
              <w:rPr>
                <w:rFonts w:asciiTheme="majorHAnsi" w:hAnsiTheme="majorHAnsi" w:cstheme="majorHAnsi"/>
                <w:bCs/>
                <w:szCs w:val="18"/>
              </w:rPr>
              <w:t xml:space="preserve">reporting </w:t>
            </w:r>
          </w:p>
        </w:tc>
        <w:tc>
          <w:tcPr>
            <w:tcW w:w="7097" w:type="dxa"/>
            <w:tcBorders>
              <w:bottom w:val="single" w:sz="4" w:space="0" w:color="auto"/>
            </w:tcBorders>
            <w:shd w:val="clear" w:color="auto" w:fill="FFFFFF" w:themeFill="background1"/>
          </w:tcPr>
          <w:p w14:paraId="5E76561B" w14:textId="77777777" w:rsidR="00630F2D" w:rsidRPr="006B4639" w:rsidRDefault="00630F2D" w:rsidP="000A3668">
            <w:pPr>
              <w:pStyle w:val="TableBodyText"/>
              <w:keepNext/>
              <w:numPr>
                <w:ilvl w:val="0"/>
                <w:numId w:val="122"/>
              </w:numPr>
              <w:spacing w:before="20" w:after="0"/>
              <w:ind w:left="442" w:hanging="357"/>
            </w:pPr>
            <w:r w:rsidRPr="006B4639">
              <w:t>Maintain the existing approach to reporting on the pricing methods used to calculate standing prices</w:t>
            </w:r>
            <w:r>
              <w:t xml:space="preserve"> and reporting </w:t>
            </w:r>
            <w:r w:rsidR="00517663">
              <w:t>historical financial</w:t>
            </w:r>
            <w:r>
              <w:t xml:space="preserve"> information </w:t>
            </w:r>
            <w:r w:rsidRPr="006B4639">
              <w:t>(status quo).</w:t>
            </w:r>
          </w:p>
          <w:p w14:paraId="7CD232EE" w14:textId="77777777" w:rsidR="00630F2D" w:rsidRDefault="00630F2D" w:rsidP="000A3668">
            <w:pPr>
              <w:pStyle w:val="TableBodyText"/>
              <w:keepNext/>
              <w:numPr>
                <w:ilvl w:val="0"/>
                <w:numId w:val="122"/>
              </w:numPr>
              <w:spacing w:before="20" w:after="0"/>
              <w:ind w:left="442" w:hanging="357"/>
            </w:pPr>
            <w:r>
              <w:t xml:space="preserve">Address the identified deficiencies by amending the NGR and/or </w:t>
            </w:r>
            <w:r w:rsidR="00996793">
              <w:t>the relevant regulator’s f</w:t>
            </w:r>
            <w:r>
              <w:t xml:space="preserve">inancial </w:t>
            </w:r>
            <w:r w:rsidR="00996793">
              <w:t>r</w:t>
            </w:r>
            <w:r>
              <w:t xml:space="preserve">eporting </w:t>
            </w:r>
            <w:r w:rsidR="00996793">
              <w:t>g</w:t>
            </w:r>
            <w:r>
              <w:t xml:space="preserve">uideline </w:t>
            </w:r>
            <w:r w:rsidR="00D125C2">
              <w:t>by requiring</w:t>
            </w:r>
            <w:r>
              <w:t>:</w:t>
            </w:r>
          </w:p>
          <w:p w14:paraId="26F8CE99" w14:textId="77777777" w:rsidR="00630F2D" w:rsidRPr="00CF4CB1" w:rsidRDefault="00630F2D" w:rsidP="000A3668">
            <w:pPr>
              <w:pStyle w:val="TableListNumber"/>
              <w:numPr>
                <w:ilvl w:val="0"/>
                <w:numId w:val="63"/>
              </w:numPr>
              <w:spacing w:after="0" w:line="240" w:lineRule="auto"/>
              <w:rPr>
                <w:szCs w:val="18"/>
              </w:rPr>
            </w:pPr>
            <w:r w:rsidRPr="006B4639">
              <w:t xml:space="preserve">service providers to publish the inputs used to calculate the standing prices; </w:t>
            </w:r>
          </w:p>
          <w:p w14:paraId="321A7A0E" w14:textId="77777777" w:rsidR="00630F2D" w:rsidRPr="004113A8" w:rsidRDefault="00630F2D" w:rsidP="000A3668">
            <w:pPr>
              <w:pStyle w:val="TableListNumber"/>
              <w:numPr>
                <w:ilvl w:val="0"/>
                <w:numId w:val="63"/>
              </w:numPr>
              <w:spacing w:after="0" w:line="240" w:lineRule="auto"/>
              <w:rPr>
                <w:szCs w:val="18"/>
              </w:rPr>
            </w:pPr>
            <w:r w:rsidRPr="006B4639">
              <w:t xml:space="preserve">the relevant regulator to publish a guide that sets out what information, at a minimum, a service provider’s pricing methodology </w:t>
            </w:r>
            <w:r>
              <w:t xml:space="preserve">description </w:t>
            </w:r>
            <w:r w:rsidRPr="006B4639">
              <w:t>should include</w:t>
            </w:r>
            <w:r>
              <w:t xml:space="preserve">; </w:t>
            </w:r>
          </w:p>
          <w:p w14:paraId="3CC946F3" w14:textId="77777777" w:rsidR="00483F25" w:rsidRPr="00363FF8" w:rsidRDefault="00483F25" w:rsidP="000A3668">
            <w:pPr>
              <w:pStyle w:val="TableListNumber"/>
              <w:numPr>
                <w:ilvl w:val="0"/>
                <w:numId w:val="63"/>
              </w:numPr>
              <w:spacing w:after="0" w:line="240" w:lineRule="auto"/>
              <w:rPr>
                <w:szCs w:val="18"/>
              </w:rPr>
            </w:pPr>
            <w:r>
              <w:t xml:space="preserve">service providers to report on </w:t>
            </w:r>
            <w:r w:rsidR="00517663">
              <w:t>historical demand</w:t>
            </w:r>
            <w:r>
              <w:t xml:space="preserve"> information</w:t>
            </w:r>
            <w:r w:rsidR="00363FF8">
              <w:t>; and/or</w:t>
            </w:r>
          </w:p>
          <w:p w14:paraId="10B3A648" w14:textId="77777777" w:rsidR="00363FF8" w:rsidRPr="004113A8" w:rsidRDefault="00363FF8" w:rsidP="000A3668">
            <w:pPr>
              <w:pStyle w:val="TableListNumber"/>
              <w:numPr>
                <w:ilvl w:val="0"/>
                <w:numId w:val="63"/>
              </w:numPr>
              <w:spacing w:after="0" w:line="240" w:lineRule="auto"/>
              <w:rPr>
                <w:szCs w:val="18"/>
              </w:rPr>
            </w:pPr>
            <w:r w:rsidRPr="004113A8">
              <w:rPr>
                <w:szCs w:val="18"/>
              </w:rPr>
              <w:t xml:space="preserve">service providers to report </w:t>
            </w:r>
            <w:r w:rsidRPr="004113A8">
              <w:rPr>
                <w:rFonts w:asciiTheme="majorHAnsi" w:hAnsiTheme="majorHAnsi" w:cstheme="majorHAnsi"/>
                <w:szCs w:val="18"/>
              </w:rPr>
              <w:t>on the extent to which future costs are likely to be in line with historic costs</w:t>
            </w:r>
            <w:r>
              <w:t xml:space="preserve">. </w:t>
            </w:r>
          </w:p>
        </w:tc>
      </w:tr>
      <w:tr w:rsidR="00D57C97" w:rsidRPr="006B4639" w14:paraId="51BFEA35" w14:textId="77777777" w:rsidTr="00302CA2">
        <w:trPr>
          <w:trHeight w:val="272"/>
        </w:trPr>
        <w:tc>
          <w:tcPr>
            <w:tcW w:w="1900" w:type="dxa"/>
            <w:tcBorders>
              <w:bottom w:val="single" w:sz="4" w:space="0" w:color="auto"/>
            </w:tcBorders>
          </w:tcPr>
          <w:p w14:paraId="085831B5" w14:textId="77777777" w:rsidR="004C1E38" w:rsidRPr="00283389" w:rsidRDefault="004C1E38" w:rsidP="004109AF">
            <w:pPr>
              <w:pStyle w:val="BodyText"/>
              <w:spacing w:before="20" w:after="0" w:line="240" w:lineRule="auto"/>
              <w:rPr>
                <w:rFonts w:asciiTheme="majorHAnsi" w:hAnsiTheme="majorHAnsi" w:cstheme="majorHAnsi"/>
                <w:bCs/>
                <w:szCs w:val="18"/>
              </w:rPr>
            </w:pPr>
            <w:r w:rsidRPr="00283389">
              <w:rPr>
                <w:rFonts w:asciiTheme="majorHAnsi" w:hAnsiTheme="majorHAnsi" w:cstheme="majorHAnsi"/>
                <w:bCs/>
                <w:szCs w:val="18"/>
              </w:rPr>
              <w:t>Quality and reliability of information reported by service providers</w:t>
            </w:r>
          </w:p>
        </w:tc>
        <w:tc>
          <w:tcPr>
            <w:tcW w:w="7097" w:type="dxa"/>
            <w:tcBorders>
              <w:bottom w:val="single" w:sz="4" w:space="0" w:color="auto"/>
            </w:tcBorders>
          </w:tcPr>
          <w:p w14:paraId="3A77A626" w14:textId="77777777" w:rsidR="004C1E38" w:rsidRPr="006B4639" w:rsidRDefault="004C1E38" w:rsidP="000A3668">
            <w:pPr>
              <w:pStyle w:val="TableBodyText"/>
              <w:numPr>
                <w:ilvl w:val="0"/>
                <w:numId w:val="123"/>
              </w:numPr>
              <w:spacing w:before="20" w:after="0"/>
              <w:ind w:left="442" w:hanging="357"/>
            </w:pPr>
            <w:r w:rsidRPr="006B4639">
              <w:t>Maintain the existing approach (status quo).</w:t>
            </w:r>
          </w:p>
          <w:p w14:paraId="1B2DDEE4" w14:textId="77777777" w:rsidR="00D3493F" w:rsidRPr="00D3493F" w:rsidRDefault="00D3493F" w:rsidP="000A3668">
            <w:pPr>
              <w:pStyle w:val="TableBodyText"/>
              <w:numPr>
                <w:ilvl w:val="0"/>
                <w:numId w:val="123"/>
              </w:numPr>
              <w:spacing w:before="20" w:after="0"/>
              <w:ind w:left="442" w:hanging="357"/>
              <w:rPr>
                <w:rFonts w:asciiTheme="majorHAnsi" w:hAnsiTheme="majorHAnsi" w:cstheme="majorHAnsi"/>
              </w:rPr>
            </w:pPr>
            <w:r>
              <w:t>Improve the quality and reliability of information reported by:</w:t>
            </w:r>
          </w:p>
          <w:p w14:paraId="49CC978F" w14:textId="77777777" w:rsidR="004C1E38" w:rsidRPr="006B4639" w:rsidRDefault="00D3493F" w:rsidP="000A3668">
            <w:pPr>
              <w:pStyle w:val="TableListNumber"/>
              <w:numPr>
                <w:ilvl w:val="0"/>
                <w:numId w:val="65"/>
              </w:numPr>
              <w:spacing w:after="0" w:line="240" w:lineRule="auto"/>
              <w:ind w:left="799" w:hanging="357"/>
              <w:rPr>
                <w:rFonts w:asciiTheme="majorHAnsi" w:hAnsiTheme="majorHAnsi" w:cstheme="majorHAnsi"/>
                <w:szCs w:val="18"/>
              </w:rPr>
            </w:pPr>
            <w:r>
              <w:rPr>
                <w:rFonts w:asciiTheme="majorHAnsi" w:hAnsiTheme="majorHAnsi" w:cstheme="majorHAnsi"/>
                <w:szCs w:val="18"/>
              </w:rPr>
              <w:t>a</w:t>
            </w:r>
            <w:r w:rsidR="004C1E38" w:rsidRPr="00D3493F">
              <w:rPr>
                <w:rFonts w:asciiTheme="majorHAnsi" w:hAnsiTheme="majorHAnsi" w:cstheme="majorHAnsi"/>
                <w:szCs w:val="18"/>
              </w:rPr>
              <w:t>mend</w:t>
            </w:r>
            <w:r>
              <w:rPr>
                <w:rFonts w:asciiTheme="majorHAnsi" w:hAnsiTheme="majorHAnsi" w:cstheme="majorHAnsi"/>
                <w:szCs w:val="18"/>
              </w:rPr>
              <w:t>ing</w:t>
            </w:r>
            <w:r w:rsidR="004C1E38" w:rsidRPr="00D3493F">
              <w:rPr>
                <w:rFonts w:asciiTheme="majorHAnsi" w:hAnsiTheme="majorHAnsi" w:cstheme="majorHAnsi"/>
                <w:szCs w:val="18"/>
              </w:rPr>
              <w:t xml:space="preserve"> </w:t>
            </w:r>
            <w:r w:rsidR="004C1E38" w:rsidRPr="006B4639">
              <w:rPr>
                <w:rFonts w:asciiTheme="majorHAnsi" w:hAnsiTheme="majorHAnsi" w:cstheme="majorHAnsi"/>
                <w:szCs w:val="18"/>
              </w:rPr>
              <w:t>the NGR to provide for greater regulatory oversight of the financial information reported by service providers and information on the prices paid by shippers</w:t>
            </w:r>
            <w:r>
              <w:rPr>
                <w:rFonts w:asciiTheme="majorHAnsi" w:hAnsiTheme="majorHAnsi" w:cstheme="majorHAnsi"/>
                <w:szCs w:val="18"/>
              </w:rPr>
              <w:t>;</w:t>
            </w:r>
          </w:p>
          <w:p w14:paraId="48DF34C5" w14:textId="77777777" w:rsidR="004C1E38" w:rsidRPr="006B4639" w:rsidRDefault="00D3493F" w:rsidP="000A3668">
            <w:pPr>
              <w:pStyle w:val="TableListNumber"/>
              <w:numPr>
                <w:ilvl w:val="0"/>
                <w:numId w:val="65"/>
              </w:numPr>
              <w:spacing w:after="0" w:line="240" w:lineRule="auto"/>
              <w:ind w:left="799" w:hanging="357"/>
              <w:rPr>
                <w:rFonts w:asciiTheme="majorHAnsi" w:hAnsiTheme="majorHAnsi" w:cstheme="majorHAnsi"/>
                <w:szCs w:val="18"/>
              </w:rPr>
            </w:pPr>
            <w:r>
              <w:rPr>
                <w:rFonts w:asciiTheme="majorHAnsi" w:hAnsiTheme="majorHAnsi" w:cstheme="majorHAnsi"/>
                <w:szCs w:val="18"/>
              </w:rPr>
              <w:t>a</w:t>
            </w:r>
            <w:r w:rsidR="004C1E38" w:rsidRPr="006B4639">
              <w:rPr>
                <w:rFonts w:asciiTheme="majorHAnsi" w:hAnsiTheme="majorHAnsi" w:cstheme="majorHAnsi"/>
                <w:szCs w:val="18"/>
              </w:rPr>
              <w:t>mend</w:t>
            </w:r>
            <w:r>
              <w:rPr>
                <w:rFonts w:asciiTheme="majorHAnsi" w:hAnsiTheme="majorHAnsi" w:cstheme="majorHAnsi"/>
                <w:szCs w:val="18"/>
              </w:rPr>
              <w:t>ing</w:t>
            </w:r>
            <w:r w:rsidR="004C1E38" w:rsidRPr="006B4639">
              <w:rPr>
                <w:rFonts w:asciiTheme="majorHAnsi" w:hAnsiTheme="majorHAnsi" w:cstheme="majorHAnsi"/>
                <w:szCs w:val="18"/>
              </w:rPr>
              <w:t xml:space="preserve"> the access information standard in the NGR to require service providers to update information they are required to report as soon as practicable if the information is no longer be accurate</w:t>
            </w:r>
            <w:r>
              <w:rPr>
                <w:rFonts w:asciiTheme="majorHAnsi" w:hAnsiTheme="majorHAnsi" w:cstheme="majorHAnsi"/>
                <w:szCs w:val="18"/>
              </w:rPr>
              <w:t>;</w:t>
            </w:r>
          </w:p>
          <w:p w14:paraId="35F85204" w14:textId="77777777" w:rsidR="004C1E38" w:rsidRPr="006B4639" w:rsidRDefault="00D3493F" w:rsidP="000A3668">
            <w:pPr>
              <w:pStyle w:val="TableListNumber"/>
              <w:numPr>
                <w:ilvl w:val="0"/>
                <w:numId w:val="65"/>
              </w:numPr>
              <w:spacing w:after="0" w:line="240" w:lineRule="auto"/>
              <w:ind w:left="799" w:hanging="357"/>
              <w:rPr>
                <w:rFonts w:asciiTheme="majorHAnsi" w:hAnsiTheme="majorHAnsi" w:cstheme="majorHAnsi"/>
                <w:szCs w:val="18"/>
              </w:rPr>
            </w:pPr>
            <w:r>
              <w:rPr>
                <w:rFonts w:asciiTheme="majorHAnsi" w:hAnsiTheme="majorHAnsi" w:cstheme="majorHAnsi"/>
                <w:szCs w:val="18"/>
              </w:rPr>
              <w:t>i</w:t>
            </w:r>
            <w:r w:rsidR="004C1E38" w:rsidRPr="006B4639">
              <w:rPr>
                <w:rFonts w:asciiTheme="majorHAnsi" w:hAnsiTheme="majorHAnsi" w:cstheme="majorHAnsi"/>
                <w:szCs w:val="18"/>
              </w:rPr>
              <w:t>ncreas</w:t>
            </w:r>
            <w:r>
              <w:rPr>
                <w:rFonts w:asciiTheme="majorHAnsi" w:hAnsiTheme="majorHAnsi" w:cstheme="majorHAnsi"/>
                <w:szCs w:val="18"/>
              </w:rPr>
              <w:t>ing</w:t>
            </w:r>
            <w:r w:rsidR="004C1E38" w:rsidRPr="006B4639">
              <w:rPr>
                <w:rFonts w:asciiTheme="majorHAnsi" w:hAnsiTheme="majorHAnsi" w:cstheme="majorHAnsi"/>
                <w:szCs w:val="18"/>
              </w:rPr>
              <w:t xml:space="preserve"> the penalties for breaches of the information disclosure obligations and standards set in the access information standard and </w:t>
            </w:r>
            <w:r w:rsidR="00996793">
              <w:rPr>
                <w:rFonts w:asciiTheme="majorHAnsi" w:hAnsiTheme="majorHAnsi" w:cstheme="majorHAnsi"/>
                <w:szCs w:val="18"/>
              </w:rPr>
              <w:t>the relevant regulator’s f</w:t>
            </w:r>
            <w:r w:rsidR="004C1E38" w:rsidRPr="006B4639">
              <w:rPr>
                <w:rFonts w:asciiTheme="majorHAnsi" w:hAnsiTheme="majorHAnsi" w:cstheme="majorHAnsi"/>
                <w:szCs w:val="18"/>
              </w:rPr>
              <w:t xml:space="preserve">inancial </w:t>
            </w:r>
            <w:r w:rsidR="00996793">
              <w:rPr>
                <w:rFonts w:asciiTheme="majorHAnsi" w:hAnsiTheme="majorHAnsi" w:cstheme="majorHAnsi"/>
                <w:szCs w:val="18"/>
              </w:rPr>
              <w:t>r</w:t>
            </w:r>
            <w:r w:rsidR="004C1E38" w:rsidRPr="006B4639">
              <w:rPr>
                <w:rFonts w:asciiTheme="majorHAnsi" w:hAnsiTheme="majorHAnsi" w:cstheme="majorHAnsi"/>
                <w:szCs w:val="18"/>
              </w:rPr>
              <w:t xml:space="preserve">eporting </w:t>
            </w:r>
            <w:r w:rsidR="00996793">
              <w:rPr>
                <w:rFonts w:asciiTheme="majorHAnsi" w:hAnsiTheme="majorHAnsi" w:cstheme="majorHAnsi"/>
                <w:szCs w:val="18"/>
              </w:rPr>
              <w:t>g</w:t>
            </w:r>
            <w:r w:rsidR="004C1E38" w:rsidRPr="006B4639">
              <w:rPr>
                <w:rFonts w:asciiTheme="majorHAnsi" w:hAnsiTheme="majorHAnsi" w:cstheme="majorHAnsi"/>
                <w:szCs w:val="18"/>
              </w:rPr>
              <w:t>uideline</w:t>
            </w:r>
            <w:r>
              <w:rPr>
                <w:rFonts w:asciiTheme="majorHAnsi" w:hAnsiTheme="majorHAnsi" w:cstheme="majorHAnsi"/>
                <w:szCs w:val="18"/>
              </w:rPr>
              <w:t>; and/or</w:t>
            </w:r>
          </w:p>
          <w:p w14:paraId="126F453D" w14:textId="77777777" w:rsidR="004C1E38" w:rsidRPr="00D3493F" w:rsidRDefault="00D3493F" w:rsidP="000A3668">
            <w:pPr>
              <w:pStyle w:val="TableListNumber"/>
              <w:numPr>
                <w:ilvl w:val="0"/>
                <w:numId w:val="65"/>
              </w:numPr>
              <w:spacing w:after="0" w:line="240" w:lineRule="auto"/>
              <w:ind w:left="799" w:hanging="357"/>
              <w:rPr>
                <w:rFonts w:asciiTheme="majorHAnsi" w:hAnsiTheme="majorHAnsi" w:cstheme="majorHAnsi"/>
                <w:szCs w:val="18"/>
              </w:rPr>
            </w:pPr>
            <w:r>
              <w:rPr>
                <w:rFonts w:asciiTheme="majorHAnsi" w:hAnsiTheme="majorHAnsi" w:cstheme="majorHAnsi"/>
                <w:szCs w:val="18"/>
              </w:rPr>
              <w:t>i</w:t>
            </w:r>
            <w:r w:rsidR="004C1E38" w:rsidRPr="006B4639">
              <w:rPr>
                <w:rFonts w:asciiTheme="majorHAnsi" w:hAnsiTheme="majorHAnsi" w:cstheme="majorHAnsi"/>
                <w:szCs w:val="18"/>
              </w:rPr>
              <w:t>mplement</w:t>
            </w:r>
            <w:r>
              <w:rPr>
                <w:rFonts w:asciiTheme="majorHAnsi" w:hAnsiTheme="majorHAnsi" w:cstheme="majorHAnsi"/>
                <w:szCs w:val="18"/>
              </w:rPr>
              <w:t>ing</w:t>
            </w:r>
            <w:r w:rsidR="004C1E38" w:rsidRPr="006B4639">
              <w:rPr>
                <w:rFonts w:asciiTheme="majorHAnsi" w:hAnsiTheme="majorHAnsi" w:cstheme="majorHAnsi"/>
                <w:szCs w:val="18"/>
              </w:rPr>
              <w:t xml:space="preserve"> the changes to the </w:t>
            </w:r>
            <w:r w:rsidR="00996793">
              <w:rPr>
                <w:rFonts w:asciiTheme="majorHAnsi" w:hAnsiTheme="majorHAnsi" w:cstheme="majorHAnsi"/>
                <w:szCs w:val="18"/>
              </w:rPr>
              <w:t>f</w:t>
            </w:r>
            <w:r w:rsidR="004C1E38" w:rsidRPr="006B4639">
              <w:rPr>
                <w:rFonts w:asciiTheme="majorHAnsi" w:hAnsiTheme="majorHAnsi" w:cstheme="majorHAnsi"/>
                <w:szCs w:val="18"/>
              </w:rPr>
              <w:t xml:space="preserve">inancial </w:t>
            </w:r>
            <w:r w:rsidR="00996793">
              <w:rPr>
                <w:rFonts w:asciiTheme="majorHAnsi" w:hAnsiTheme="majorHAnsi" w:cstheme="majorHAnsi"/>
                <w:szCs w:val="18"/>
              </w:rPr>
              <w:t>r</w:t>
            </w:r>
            <w:r w:rsidR="004C1E38" w:rsidRPr="006B4639">
              <w:rPr>
                <w:rFonts w:asciiTheme="majorHAnsi" w:hAnsiTheme="majorHAnsi" w:cstheme="majorHAnsi"/>
                <w:szCs w:val="18"/>
              </w:rPr>
              <w:t xml:space="preserve">eporting </w:t>
            </w:r>
            <w:r w:rsidR="00996793">
              <w:rPr>
                <w:rFonts w:asciiTheme="majorHAnsi" w:hAnsiTheme="majorHAnsi" w:cstheme="majorHAnsi"/>
                <w:szCs w:val="18"/>
              </w:rPr>
              <w:t>g</w:t>
            </w:r>
            <w:r w:rsidR="004C1E38" w:rsidRPr="006B4639">
              <w:rPr>
                <w:rFonts w:asciiTheme="majorHAnsi" w:hAnsiTheme="majorHAnsi" w:cstheme="majorHAnsi"/>
                <w:szCs w:val="18"/>
              </w:rPr>
              <w:t xml:space="preserve">uideline identified by the ACCC and </w:t>
            </w:r>
            <w:r w:rsidR="00200D72">
              <w:rPr>
                <w:rFonts w:asciiTheme="majorHAnsi" w:hAnsiTheme="majorHAnsi" w:cstheme="majorHAnsi"/>
                <w:szCs w:val="18"/>
              </w:rPr>
              <w:t>Brattle</w:t>
            </w:r>
            <w:r w:rsidR="004C1E38" w:rsidRPr="006B4639">
              <w:rPr>
                <w:rFonts w:asciiTheme="majorHAnsi" w:hAnsiTheme="majorHAnsi" w:cstheme="majorHAnsi"/>
                <w:szCs w:val="18"/>
              </w:rPr>
              <w:t xml:space="preserve"> (see </w:t>
            </w:r>
            <w:r w:rsidR="00CB615B">
              <w:rPr>
                <w:rFonts w:asciiTheme="majorHAnsi" w:hAnsiTheme="majorHAnsi" w:cstheme="majorHAnsi"/>
                <w:szCs w:val="18"/>
              </w:rPr>
              <w:t>Appendix B</w:t>
            </w:r>
            <w:r w:rsidR="004C1E38" w:rsidRPr="006B4639">
              <w:rPr>
                <w:rFonts w:asciiTheme="majorHAnsi" w:hAnsiTheme="majorHAnsi" w:cstheme="majorHAnsi"/>
                <w:szCs w:val="18"/>
              </w:rPr>
              <w:t>).</w:t>
            </w:r>
          </w:p>
        </w:tc>
      </w:tr>
      <w:tr w:rsidR="00D57C97" w:rsidRPr="006B4639" w14:paraId="7496BCB8" w14:textId="77777777" w:rsidTr="00302CA2">
        <w:trPr>
          <w:cnfStyle w:val="000000010000" w:firstRow="0" w:lastRow="0" w:firstColumn="0" w:lastColumn="0" w:oddVBand="0" w:evenVBand="0" w:oddHBand="0" w:evenHBand="1" w:firstRowFirstColumn="0" w:firstRowLastColumn="0" w:lastRowFirstColumn="0" w:lastRowLastColumn="0"/>
          <w:trHeight w:val="498"/>
        </w:trPr>
        <w:tc>
          <w:tcPr>
            <w:tcW w:w="1900" w:type="dxa"/>
            <w:tcBorders>
              <w:bottom w:val="single" w:sz="4" w:space="0" w:color="auto"/>
            </w:tcBorders>
            <w:shd w:val="clear" w:color="auto" w:fill="FFFFFF" w:themeFill="background1"/>
          </w:tcPr>
          <w:p w14:paraId="4A88E42C" w14:textId="77777777" w:rsidR="004C1E38" w:rsidRPr="00283389" w:rsidRDefault="004C1E38" w:rsidP="004109AF">
            <w:pPr>
              <w:pStyle w:val="BodyText"/>
              <w:spacing w:before="20" w:after="0" w:line="240" w:lineRule="auto"/>
              <w:rPr>
                <w:rFonts w:asciiTheme="majorHAnsi" w:hAnsiTheme="majorHAnsi" w:cstheme="majorHAnsi"/>
                <w:bCs/>
                <w:szCs w:val="18"/>
              </w:rPr>
            </w:pPr>
            <w:r w:rsidRPr="00283389">
              <w:rPr>
                <w:rFonts w:asciiTheme="majorHAnsi" w:hAnsiTheme="majorHAnsi" w:cstheme="majorHAnsi"/>
                <w:bCs/>
                <w:szCs w:val="18"/>
              </w:rPr>
              <w:t xml:space="preserve">Accessibility of information </w:t>
            </w:r>
          </w:p>
        </w:tc>
        <w:tc>
          <w:tcPr>
            <w:tcW w:w="7097" w:type="dxa"/>
            <w:tcBorders>
              <w:bottom w:val="single" w:sz="4" w:space="0" w:color="auto"/>
            </w:tcBorders>
            <w:shd w:val="clear" w:color="auto" w:fill="FFFFFF" w:themeFill="background1"/>
          </w:tcPr>
          <w:p w14:paraId="00A63B90" w14:textId="77777777" w:rsidR="004C1E38" w:rsidRPr="006B4639" w:rsidRDefault="00D3493F" w:rsidP="000A3668">
            <w:pPr>
              <w:pStyle w:val="TableBodyText"/>
              <w:numPr>
                <w:ilvl w:val="0"/>
                <w:numId w:val="124"/>
              </w:numPr>
              <w:spacing w:before="20" w:after="0"/>
              <w:ind w:left="442" w:hanging="357"/>
            </w:pPr>
            <w:r>
              <w:t xml:space="preserve">Maintain </w:t>
            </w:r>
            <w:r w:rsidR="004C1E38" w:rsidRPr="006B4639">
              <w:t>the existing approach (status quo).</w:t>
            </w:r>
          </w:p>
          <w:p w14:paraId="0447B30C" w14:textId="77777777" w:rsidR="00015A29" w:rsidRPr="006B4639" w:rsidRDefault="00D3493F" w:rsidP="000A3668">
            <w:pPr>
              <w:pStyle w:val="TableBodyText"/>
              <w:numPr>
                <w:ilvl w:val="0"/>
                <w:numId w:val="124"/>
              </w:numPr>
              <w:spacing w:before="20" w:after="0"/>
              <w:ind w:left="442" w:hanging="357"/>
            </w:pPr>
            <w:r>
              <w:t>Improve the accessibility of information by a</w:t>
            </w:r>
            <w:r w:rsidR="004C1E38" w:rsidRPr="006B4639">
              <w:t>mend</w:t>
            </w:r>
            <w:r>
              <w:t>ing</w:t>
            </w:r>
            <w:r w:rsidR="004C1E38" w:rsidRPr="006B4639">
              <w:t xml:space="preserve"> </w:t>
            </w:r>
            <w:r w:rsidR="004C1E38" w:rsidRPr="006B4639">
              <w:rPr>
                <w:rFonts w:asciiTheme="majorHAnsi" w:hAnsiTheme="majorHAnsi" w:cstheme="majorHAnsi"/>
              </w:rPr>
              <w:t>the NGR to require</w:t>
            </w:r>
            <w:r w:rsidR="00015A29" w:rsidRPr="006B4639">
              <w:rPr>
                <w:rFonts w:asciiTheme="majorHAnsi" w:hAnsiTheme="majorHAnsi" w:cstheme="majorHAnsi"/>
              </w:rPr>
              <w:t>:</w:t>
            </w:r>
            <w:r w:rsidR="004C1E38" w:rsidRPr="006B4639">
              <w:rPr>
                <w:rFonts w:asciiTheme="majorHAnsi" w:hAnsiTheme="majorHAnsi" w:cstheme="majorHAnsi"/>
              </w:rPr>
              <w:t xml:space="preserve"> </w:t>
            </w:r>
          </w:p>
          <w:p w14:paraId="4DAC7B86" w14:textId="77777777" w:rsidR="00D57C97" w:rsidRPr="006B4639" w:rsidRDefault="004C1E38" w:rsidP="000A3668">
            <w:pPr>
              <w:pStyle w:val="TableListNumber"/>
              <w:numPr>
                <w:ilvl w:val="0"/>
                <w:numId w:val="109"/>
              </w:numPr>
              <w:spacing w:after="0" w:line="240" w:lineRule="auto"/>
              <w:ind w:left="799" w:hanging="357"/>
              <w:rPr>
                <w:szCs w:val="18"/>
              </w:rPr>
            </w:pPr>
            <w:r w:rsidRPr="006B4639">
              <w:rPr>
                <w:rFonts w:asciiTheme="majorHAnsi" w:hAnsiTheme="majorHAnsi" w:cstheme="majorHAnsi"/>
                <w:szCs w:val="18"/>
              </w:rPr>
              <w:t xml:space="preserve">the relevant regulator to prepare a </w:t>
            </w:r>
            <w:r w:rsidR="00370E94">
              <w:rPr>
                <w:rFonts w:asciiTheme="majorHAnsi" w:hAnsiTheme="majorHAnsi" w:cstheme="majorHAnsi"/>
                <w:szCs w:val="18"/>
              </w:rPr>
              <w:t xml:space="preserve">guide </w:t>
            </w:r>
            <w:r w:rsidRPr="006B4639">
              <w:rPr>
                <w:rFonts w:asciiTheme="majorHAnsi" w:hAnsiTheme="majorHAnsi" w:cstheme="majorHAnsi"/>
                <w:szCs w:val="18"/>
              </w:rPr>
              <w:t>that sets out where and how the information is to be disclosed and to require service providers to advi</w:t>
            </w:r>
            <w:r w:rsidR="00015A29" w:rsidRPr="006B4639">
              <w:rPr>
                <w:rFonts w:asciiTheme="majorHAnsi" w:hAnsiTheme="majorHAnsi" w:cstheme="majorHAnsi"/>
                <w:szCs w:val="18"/>
              </w:rPr>
              <w:t>s</w:t>
            </w:r>
            <w:r w:rsidRPr="006B4639">
              <w:rPr>
                <w:rFonts w:asciiTheme="majorHAnsi" w:hAnsiTheme="majorHAnsi" w:cstheme="majorHAnsi"/>
                <w:szCs w:val="18"/>
              </w:rPr>
              <w:t>e the regulator when changes are made</w:t>
            </w:r>
            <w:r w:rsidR="00015A29" w:rsidRPr="006B4639">
              <w:rPr>
                <w:rFonts w:asciiTheme="majorHAnsi" w:hAnsiTheme="majorHAnsi" w:cstheme="majorHAnsi"/>
                <w:szCs w:val="18"/>
              </w:rPr>
              <w:t>;</w:t>
            </w:r>
            <w:r w:rsidR="00AB70E4">
              <w:rPr>
                <w:rFonts w:asciiTheme="majorHAnsi" w:hAnsiTheme="majorHAnsi" w:cstheme="majorHAnsi"/>
                <w:szCs w:val="18"/>
              </w:rPr>
              <w:t xml:space="preserve"> and/or</w:t>
            </w:r>
          </w:p>
          <w:p w14:paraId="6D0B9070" w14:textId="01AB8569" w:rsidR="00D57C97" w:rsidRPr="006B4639" w:rsidRDefault="004C1E38" w:rsidP="000A3668">
            <w:pPr>
              <w:pStyle w:val="TableListNumber"/>
              <w:numPr>
                <w:ilvl w:val="0"/>
                <w:numId w:val="109"/>
              </w:numPr>
              <w:spacing w:after="0" w:line="240" w:lineRule="auto"/>
              <w:ind w:left="799" w:hanging="357"/>
              <w:rPr>
                <w:szCs w:val="18"/>
              </w:rPr>
            </w:pPr>
            <w:r w:rsidRPr="006B4639">
              <w:rPr>
                <w:rFonts w:asciiTheme="majorHAnsi" w:hAnsiTheme="majorHAnsi" w:cstheme="majorHAnsi"/>
                <w:szCs w:val="18"/>
              </w:rPr>
              <w:t xml:space="preserve">links to the information reported by service providers </w:t>
            </w:r>
            <w:r w:rsidR="00D57C97" w:rsidRPr="006B4639">
              <w:rPr>
                <w:rFonts w:asciiTheme="majorHAnsi" w:hAnsiTheme="majorHAnsi" w:cstheme="majorHAnsi"/>
                <w:szCs w:val="18"/>
              </w:rPr>
              <w:t xml:space="preserve">to </w:t>
            </w:r>
            <w:r w:rsidRPr="006B4639">
              <w:rPr>
                <w:rFonts w:asciiTheme="majorHAnsi" w:hAnsiTheme="majorHAnsi" w:cstheme="majorHAnsi"/>
                <w:szCs w:val="18"/>
              </w:rPr>
              <w:t xml:space="preserve">be published on relevant regulator’s website, </w:t>
            </w:r>
            <w:r w:rsidR="0081660F">
              <w:rPr>
                <w:rFonts w:asciiTheme="majorHAnsi" w:hAnsiTheme="majorHAnsi" w:cstheme="majorHAnsi"/>
                <w:szCs w:val="18"/>
              </w:rPr>
              <w:t xml:space="preserve">the BB/GBB </w:t>
            </w:r>
            <w:r w:rsidRPr="006B4639">
              <w:rPr>
                <w:rFonts w:asciiTheme="majorHAnsi" w:hAnsiTheme="majorHAnsi" w:cstheme="majorHAnsi"/>
                <w:szCs w:val="18"/>
              </w:rPr>
              <w:t>or AEMC’s scheme register</w:t>
            </w:r>
            <w:r w:rsidR="00015A29" w:rsidRPr="006B4639">
              <w:rPr>
                <w:rFonts w:asciiTheme="majorHAnsi" w:hAnsiTheme="majorHAnsi" w:cstheme="majorHAnsi"/>
                <w:szCs w:val="18"/>
              </w:rPr>
              <w:t>; or</w:t>
            </w:r>
          </w:p>
          <w:p w14:paraId="6FB10196" w14:textId="2C29B47C" w:rsidR="004C1E38" w:rsidRPr="006B4639" w:rsidRDefault="004C1E38" w:rsidP="000A3668">
            <w:pPr>
              <w:pStyle w:val="TableListNumber"/>
              <w:numPr>
                <w:ilvl w:val="0"/>
                <w:numId w:val="109"/>
              </w:numPr>
              <w:spacing w:after="0" w:line="240" w:lineRule="auto"/>
              <w:ind w:left="799" w:hanging="357"/>
              <w:rPr>
                <w:szCs w:val="18"/>
              </w:rPr>
            </w:pPr>
            <w:r w:rsidRPr="006B4639">
              <w:rPr>
                <w:rFonts w:asciiTheme="majorHAnsi" w:hAnsiTheme="majorHAnsi" w:cstheme="majorHAnsi"/>
                <w:szCs w:val="18"/>
              </w:rPr>
              <w:t xml:space="preserve">all the information reported by service providers </w:t>
            </w:r>
            <w:r w:rsidR="00D57C97" w:rsidRPr="006B4639">
              <w:rPr>
                <w:rFonts w:asciiTheme="majorHAnsi" w:hAnsiTheme="majorHAnsi" w:cstheme="majorHAnsi"/>
                <w:szCs w:val="18"/>
              </w:rPr>
              <w:t xml:space="preserve">to </w:t>
            </w:r>
            <w:r w:rsidRPr="006B4639">
              <w:rPr>
                <w:rFonts w:asciiTheme="majorHAnsi" w:hAnsiTheme="majorHAnsi" w:cstheme="majorHAnsi"/>
                <w:szCs w:val="18"/>
              </w:rPr>
              <w:t>be held in a single repository</w:t>
            </w:r>
            <w:r w:rsidR="00D57C97" w:rsidRPr="006B4639">
              <w:rPr>
                <w:rFonts w:asciiTheme="majorHAnsi" w:hAnsiTheme="majorHAnsi" w:cstheme="majorHAnsi"/>
                <w:szCs w:val="18"/>
              </w:rPr>
              <w:t xml:space="preserve"> that could </w:t>
            </w:r>
            <w:r w:rsidRPr="006B4639">
              <w:rPr>
                <w:rFonts w:asciiTheme="majorHAnsi" w:hAnsiTheme="majorHAnsi" w:cstheme="majorHAnsi"/>
                <w:szCs w:val="18"/>
              </w:rPr>
              <w:t xml:space="preserve">be accessed via the relevant regulator’s website, the </w:t>
            </w:r>
            <w:r w:rsidR="0081660F">
              <w:rPr>
                <w:rFonts w:asciiTheme="majorHAnsi" w:hAnsiTheme="majorHAnsi" w:cstheme="majorHAnsi"/>
                <w:szCs w:val="18"/>
              </w:rPr>
              <w:t xml:space="preserve">BB/GBB </w:t>
            </w:r>
            <w:r w:rsidRPr="006B4639">
              <w:rPr>
                <w:rFonts w:asciiTheme="majorHAnsi" w:hAnsiTheme="majorHAnsi" w:cstheme="majorHAnsi"/>
                <w:szCs w:val="18"/>
              </w:rPr>
              <w:t>or the AEMC’s scheme register.</w:t>
            </w:r>
          </w:p>
        </w:tc>
      </w:tr>
      <w:tr w:rsidR="00D57C97" w:rsidRPr="006B4639" w14:paraId="3F219B4D" w14:textId="77777777" w:rsidTr="00302CA2">
        <w:trPr>
          <w:trHeight w:val="537"/>
        </w:trPr>
        <w:tc>
          <w:tcPr>
            <w:tcW w:w="1900" w:type="dxa"/>
            <w:tcBorders>
              <w:bottom w:val="single" w:sz="4" w:space="0" w:color="auto"/>
            </w:tcBorders>
          </w:tcPr>
          <w:p w14:paraId="55D2C7F8" w14:textId="77777777" w:rsidR="004C1E38" w:rsidRPr="00283389" w:rsidRDefault="004C1E38" w:rsidP="00851D00">
            <w:pPr>
              <w:pStyle w:val="BodyText"/>
              <w:keepNext/>
              <w:spacing w:before="20" w:after="0" w:line="240" w:lineRule="auto"/>
              <w:rPr>
                <w:rFonts w:asciiTheme="majorHAnsi" w:hAnsiTheme="majorHAnsi" w:cstheme="majorHAnsi"/>
                <w:bCs/>
                <w:szCs w:val="18"/>
              </w:rPr>
            </w:pPr>
            <w:r w:rsidRPr="00283389">
              <w:rPr>
                <w:rFonts w:asciiTheme="majorHAnsi" w:hAnsiTheme="majorHAnsi" w:cstheme="majorHAnsi"/>
                <w:bCs/>
                <w:szCs w:val="18"/>
              </w:rPr>
              <w:lastRenderedPageBreak/>
              <w:t>Usability of information</w:t>
            </w:r>
          </w:p>
        </w:tc>
        <w:tc>
          <w:tcPr>
            <w:tcW w:w="7097" w:type="dxa"/>
            <w:tcBorders>
              <w:bottom w:val="single" w:sz="4" w:space="0" w:color="auto"/>
            </w:tcBorders>
          </w:tcPr>
          <w:p w14:paraId="124E48F1" w14:textId="77777777" w:rsidR="00D57C97" w:rsidRPr="006B4639" w:rsidRDefault="00CB098D" w:rsidP="000A3668">
            <w:pPr>
              <w:pStyle w:val="TableBodyText"/>
              <w:keepNext/>
              <w:numPr>
                <w:ilvl w:val="0"/>
                <w:numId w:val="125"/>
              </w:numPr>
              <w:spacing w:before="20" w:after="0"/>
              <w:ind w:left="442" w:hanging="357"/>
            </w:pPr>
            <w:r>
              <w:t>Maintain</w:t>
            </w:r>
            <w:r w:rsidR="004C1E38" w:rsidRPr="006B4639">
              <w:t xml:space="preserve"> the existing </w:t>
            </w:r>
            <w:r w:rsidR="00D57C97" w:rsidRPr="006B4639">
              <w:t xml:space="preserve">approach </w:t>
            </w:r>
            <w:r w:rsidR="004C1E38" w:rsidRPr="006B4639">
              <w:t>(status quo).</w:t>
            </w:r>
          </w:p>
          <w:p w14:paraId="605102D7" w14:textId="77777777" w:rsidR="00CB098D" w:rsidRDefault="00CB098D" w:rsidP="000A3668">
            <w:pPr>
              <w:pStyle w:val="TableBodyText"/>
              <w:keepNext/>
              <w:numPr>
                <w:ilvl w:val="0"/>
                <w:numId w:val="125"/>
              </w:numPr>
              <w:spacing w:before="20" w:after="0"/>
              <w:ind w:left="442" w:hanging="357"/>
            </w:pPr>
            <w:r>
              <w:t>Improve the usability of information by:</w:t>
            </w:r>
          </w:p>
          <w:p w14:paraId="1EE6E247" w14:textId="77777777" w:rsidR="00D57C97" w:rsidRPr="00CB098D" w:rsidRDefault="00CB098D" w:rsidP="000A3668">
            <w:pPr>
              <w:pStyle w:val="TableListNumber"/>
              <w:keepNext/>
              <w:numPr>
                <w:ilvl w:val="0"/>
                <w:numId w:val="110"/>
              </w:numPr>
              <w:spacing w:after="0" w:line="240" w:lineRule="auto"/>
              <w:ind w:left="799" w:hanging="357"/>
              <w:rPr>
                <w:rFonts w:asciiTheme="majorHAnsi" w:hAnsiTheme="majorHAnsi" w:cstheme="majorHAnsi"/>
                <w:szCs w:val="18"/>
              </w:rPr>
            </w:pPr>
            <w:r>
              <w:rPr>
                <w:szCs w:val="18"/>
              </w:rPr>
              <w:t>i</w:t>
            </w:r>
            <w:r w:rsidR="00D57C97" w:rsidRPr="006B4639">
              <w:rPr>
                <w:szCs w:val="18"/>
              </w:rPr>
              <w:t>nclud</w:t>
            </w:r>
            <w:r>
              <w:rPr>
                <w:szCs w:val="18"/>
              </w:rPr>
              <w:t>ing</w:t>
            </w:r>
            <w:r w:rsidR="00D57C97" w:rsidRPr="006B4639">
              <w:rPr>
                <w:szCs w:val="18"/>
              </w:rPr>
              <w:t xml:space="preserve"> </w:t>
            </w:r>
            <w:r w:rsidR="00D57C97" w:rsidRPr="006B4639">
              <w:rPr>
                <w:rFonts w:asciiTheme="majorHAnsi" w:hAnsiTheme="majorHAnsi" w:cstheme="majorHAnsi"/>
                <w:szCs w:val="18"/>
              </w:rPr>
              <w:t>a summary tab in relevant regulator’s financial reporting template to provide a high level summary of the pipeline’s key financial information, as well as information on prices paid by other shippers and standing prices for each service</w:t>
            </w:r>
            <w:r>
              <w:rPr>
                <w:rFonts w:asciiTheme="majorHAnsi" w:hAnsiTheme="majorHAnsi" w:cstheme="majorHAnsi"/>
                <w:szCs w:val="18"/>
              </w:rPr>
              <w:t>; and/or</w:t>
            </w:r>
          </w:p>
          <w:p w14:paraId="1A836E0D" w14:textId="77777777" w:rsidR="00D57C97" w:rsidRPr="006B4639" w:rsidRDefault="00CB098D" w:rsidP="000A3668">
            <w:pPr>
              <w:pStyle w:val="TableListNumber"/>
              <w:keepNext/>
              <w:numPr>
                <w:ilvl w:val="0"/>
                <w:numId w:val="110"/>
              </w:numPr>
              <w:spacing w:after="0" w:line="240" w:lineRule="auto"/>
              <w:ind w:left="799" w:hanging="357"/>
              <w:rPr>
                <w:szCs w:val="18"/>
              </w:rPr>
            </w:pPr>
            <w:r>
              <w:rPr>
                <w:rFonts w:asciiTheme="majorHAnsi" w:hAnsiTheme="majorHAnsi" w:cstheme="majorHAnsi"/>
                <w:szCs w:val="18"/>
              </w:rPr>
              <w:t>r</w:t>
            </w:r>
            <w:r w:rsidR="00D57C97" w:rsidRPr="006B4639">
              <w:rPr>
                <w:rFonts w:asciiTheme="majorHAnsi" w:hAnsiTheme="majorHAnsi" w:cstheme="majorHAnsi"/>
                <w:szCs w:val="18"/>
              </w:rPr>
              <w:t>equir</w:t>
            </w:r>
            <w:r>
              <w:rPr>
                <w:rFonts w:asciiTheme="majorHAnsi" w:hAnsiTheme="majorHAnsi" w:cstheme="majorHAnsi"/>
                <w:szCs w:val="18"/>
              </w:rPr>
              <w:t>ing</w:t>
            </w:r>
            <w:r w:rsidR="00D57C97" w:rsidRPr="006B4639">
              <w:rPr>
                <w:rFonts w:asciiTheme="majorHAnsi" w:hAnsiTheme="majorHAnsi" w:cstheme="majorHAnsi"/>
                <w:szCs w:val="18"/>
              </w:rPr>
              <w:t xml:space="preserve"> the relevant regulator to develop a template that could be used by shippers to calculate one or more the pricing benchmarks identified by Brattle using the information published by service providers.</w:t>
            </w:r>
          </w:p>
        </w:tc>
      </w:tr>
      <w:tr w:rsidR="007F0FA4" w:rsidRPr="00753DD9" w14:paraId="1549E13B" w14:textId="77777777" w:rsidTr="00004D3B">
        <w:trPr>
          <w:cnfStyle w:val="000000010000" w:firstRow="0" w:lastRow="0" w:firstColumn="0" w:lastColumn="0" w:oddVBand="0" w:evenVBand="0" w:oddHBand="0" w:evenHBand="1" w:firstRowFirstColumn="0" w:firstRowLastColumn="0" w:lastRowFirstColumn="0" w:lastRowLastColumn="0"/>
          <w:trHeight w:val="299"/>
        </w:trPr>
        <w:tc>
          <w:tcPr>
            <w:tcW w:w="8997" w:type="dxa"/>
            <w:gridSpan w:val="2"/>
            <w:tcBorders>
              <w:bottom w:val="single" w:sz="4" w:space="0" w:color="auto"/>
            </w:tcBorders>
            <w:shd w:val="clear" w:color="auto" w:fill="65697F" w:themeFill="background2" w:themeFillShade="80"/>
          </w:tcPr>
          <w:p w14:paraId="074FA3C1" w14:textId="77777777" w:rsidR="007F0FA4" w:rsidRPr="00753DD9" w:rsidRDefault="007F0FA4" w:rsidP="00004D3B">
            <w:pPr>
              <w:pStyle w:val="TableListNumber"/>
              <w:numPr>
                <w:ilvl w:val="0"/>
                <w:numId w:val="0"/>
              </w:numPr>
              <w:spacing w:line="240" w:lineRule="auto"/>
              <w:ind w:left="442"/>
              <w:jc w:val="center"/>
              <w:rPr>
                <w:b/>
                <w:color w:val="FFFFFF" w:themeColor="background1"/>
                <w:szCs w:val="18"/>
              </w:rPr>
            </w:pPr>
            <w:r w:rsidRPr="00753DD9">
              <w:rPr>
                <w:b/>
                <w:color w:val="FFFFFF" w:themeColor="background1"/>
                <w:szCs w:val="18"/>
              </w:rPr>
              <w:t xml:space="preserve">Exemptions from disclosure obligations </w:t>
            </w:r>
          </w:p>
        </w:tc>
      </w:tr>
      <w:tr w:rsidR="007F0FA4" w:rsidRPr="006B4639" w14:paraId="545942EC" w14:textId="77777777" w:rsidTr="00004D3B">
        <w:trPr>
          <w:trHeight w:val="537"/>
        </w:trPr>
        <w:tc>
          <w:tcPr>
            <w:tcW w:w="1900" w:type="dxa"/>
            <w:tcBorders>
              <w:bottom w:val="single" w:sz="4" w:space="0" w:color="auto"/>
            </w:tcBorders>
          </w:tcPr>
          <w:p w14:paraId="4E525E2A" w14:textId="77777777" w:rsidR="007F0FA4" w:rsidRPr="00283389" w:rsidRDefault="007F0FA4" w:rsidP="00004D3B">
            <w:pPr>
              <w:pStyle w:val="BodyText"/>
              <w:spacing w:before="20" w:after="20" w:line="240" w:lineRule="auto"/>
              <w:rPr>
                <w:rFonts w:asciiTheme="majorHAnsi" w:hAnsiTheme="majorHAnsi" w:cstheme="majorHAnsi"/>
                <w:bCs/>
                <w:szCs w:val="18"/>
              </w:rPr>
            </w:pPr>
            <w:r>
              <w:rPr>
                <w:rFonts w:asciiTheme="majorHAnsi" w:hAnsiTheme="majorHAnsi" w:cstheme="majorHAnsi"/>
                <w:bCs/>
                <w:szCs w:val="18"/>
              </w:rPr>
              <w:t>E</w:t>
            </w:r>
            <w:r w:rsidRPr="00283389">
              <w:rPr>
                <w:rFonts w:asciiTheme="majorHAnsi" w:hAnsiTheme="majorHAnsi" w:cstheme="majorHAnsi"/>
                <w:bCs/>
                <w:szCs w:val="18"/>
              </w:rPr>
              <w:t>xemptions</w:t>
            </w:r>
            <w:r>
              <w:rPr>
                <w:rFonts w:asciiTheme="majorHAnsi" w:hAnsiTheme="majorHAnsi" w:cstheme="majorHAnsi"/>
                <w:bCs/>
                <w:szCs w:val="18"/>
              </w:rPr>
              <w:t xml:space="preserve"> from the obligation to publish information </w:t>
            </w:r>
          </w:p>
        </w:tc>
        <w:tc>
          <w:tcPr>
            <w:tcW w:w="7097" w:type="dxa"/>
            <w:tcBorders>
              <w:bottom w:val="single" w:sz="4" w:space="0" w:color="auto"/>
            </w:tcBorders>
          </w:tcPr>
          <w:p w14:paraId="48F340E8" w14:textId="77777777" w:rsidR="007F0FA4" w:rsidRPr="006B4639" w:rsidRDefault="007F0FA4" w:rsidP="000A3668">
            <w:pPr>
              <w:pStyle w:val="TableBodyText"/>
              <w:numPr>
                <w:ilvl w:val="0"/>
                <w:numId w:val="126"/>
              </w:numPr>
              <w:spacing w:before="20" w:after="20"/>
              <w:ind w:left="442" w:hanging="357"/>
            </w:pPr>
            <w:r>
              <w:t>Maintain</w:t>
            </w:r>
            <w:r w:rsidRPr="006B4639">
              <w:t xml:space="preserve"> </w:t>
            </w:r>
            <w:r>
              <w:t xml:space="preserve">the </w:t>
            </w:r>
            <w:r w:rsidRPr="006B4639">
              <w:t>existing exemptions (status quo).</w:t>
            </w:r>
          </w:p>
          <w:p w14:paraId="370DE158" w14:textId="77777777" w:rsidR="007F0FA4" w:rsidRPr="006B4639" w:rsidRDefault="007F0FA4" w:rsidP="000A3668">
            <w:pPr>
              <w:pStyle w:val="TableBodyText"/>
              <w:numPr>
                <w:ilvl w:val="0"/>
                <w:numId w:val="126"/>
              </w:numPr>
              <w:spacing w:before="20" w:after="20"/>
              <w:ind w:left="442" w:hanging="357"/>
            </w:pPr>
            <w:r>
              <w:rPr>
                <w:rFonts w:asciiTheme="majorHAnsi" w:hAnsiTheme="majorHAnsi" w:cstheme="majorHAnsi"/>
              </w:rPr>
              <w:t>Address the concerns raised about the exemptions by a</w:t>
            </w:r>
            <w:r w:rsidRPr="006B4639">
              <w:rPr>
                <w:rFonts w:asciiTheme="majorHAnsi" w:hAnsiTheme="majorHAnsi" w:cstheme="majorHAnsi"/>
              </w:rPr>
              <w:t>mend</w:t>
            </w:r>
            <w:r>
              <w:rPr>
                <w:rFonts w:asciiTheme="majorHAnsi" w:hAnsiTheme="majorHAnsi" w:cstheme="majorHAnsi"/>
              </w:rPr>
              <w:t>ing</w:t>
            </w:r>
            <w:r w:rsidRPr="006B4639">
              <w:rPr>
                <w:rFonts w:asciiTheme="majorHAnsi" w:hAnsiTheme="majorHAnsi" w:cstheme="majorHAnsi"/>
              </w:rPr>
              <w:t xml:space="preserve"> the NGR to:</w:t>
            </w:r>
          </w:p>
          <w:p w14:paraId="2A8AB760" w14:textId="77777777" w:rsidR="007F0FA4" w:rsidRPr="006B4639" w:rsidRDefault="007F0FA4" w:rsidP="000A3668">
            <w:pPr>
              <w:pStyle w:val="TableListNumber"/>
              <w:numPr>
                <w:ilvl w:val="0"/>
                <w:numId w:val="66"/>
              </w:numPr>
              <w:spacing w:line="240" w:lineRule="auto"/>
              <w:rPr>
                <w:szCs w:val="18"/>
              </w:rPr>
            </w:pPr>
            <w:r w:rsidRPr="006B4639">
              <w:rPr>
                <w:rFonts w:asciiTheme="majorHAnsi" w:hAnsiTheme="majorHAnsi" w:cstheme="majorHAnsi"/>
                <w:szCs w:val="18"/>
              </w:rPr>
              <w:t>remove the exemptions in their entirety</w:t>
            </w:r>
            <w:r>
              <w:rPr>
                <w:rFonts w:asciiTheme="majorHAnsi" w:hAnsiTheme="majorHAnsi" w:cstheme="majorHAnsi"/>
                <w:szCs w:val="18"/>
              </w:rPr>
              <w:t>; or</w:t>
            </w:r>
          </w:p>
          <w:p w14:paraId="26A99F84" w14:textId="77777777" w:rsidR="007F0FA4" w:rsidRPr="006B4639" w:rsidRDefault="007F0FA4" w:rsidP="000A3668">
            <w:pPr>
              <w:pStyle w:val="TableListNumber"/>
              <w:numPr>
                <w:ilvl w:val="0"/>
                <w:numId w:val="66"/>
              </w:numPr>
              <w:spacing w:line="240" w:lineRule="auto"/>
              <w:rPr>
                <w:szCs w:val="18"/>
              </w:rPr>
            </w:pPr>
            <w:r w:rsidRPr="006B4639">
              <w:rPr>
                <w:rFonts w:asciiTheme="majorHAnsi" w:hAnsiTheme="majorHAnsi" w:cstheme="majorHAnsi"/>
                <w:szCs w:val="18"/>
              </w:rPr>
              <w:t xml:space="preserve">narrow the scope of the exemptions by requiring service providers </w:t>
            </w:r>
            <w:r w:rsidR="00EE64A3">
              <w:rPr>
                <w:rFonts w:asciiTheme="majorHAnsi" w:hAnsiTheme="majorHAnsi" w:cstheme="majorHAnsi"/>
                <w:szCs w:val="18"/>
              </w:rPr>
              <w:t xml:space="preserve">subject to the stronger and lighter forms of regulation </w:t>
            </w:r>
            <w:r w:rsidRPr="006B4639">
              <w:rPr>
                <w:rFonts w:asciiTheme="majorHAnsi" w:hAnsiTheme="majorHAnsi" w:cstheme="majorHAnsi"/>
                <w:szCs w:val="18"/>
              </w:rPr>
              <w:t xml:space="preserve">to publish </w:t>
            </w:r>
            <w:r>
              <w:rPr>
                <w:rFonts w:asciiTheme="majorHAnsi" w:hAnsiTheme="majorHAnsi" w:cstheme="majorHAnsi"/>
                <w:szCs w:val="18"/>
              </w:rPr>
              <w:t>the B</w:t>
            </w:r>
            <w:r w:rsidRPr="006B4639">
              <w:rPr>
                <w:rFonts w:asciiTheme="majorHAnsi" w:hAnsiTheme="majorHAnsi" w:cstheme="majorHAnsi"/>
                <w:szCs w:val="18"/>
              </w:rPr>
              <w:t xml:space="preserve">asic </w:t>
            </w:r>
            <w:r>
              <w:rPr>
                <w:rFonts w:asciiTheme="majorHAnsi" w:hAnsiTheme="majorHAnsi" w:cstheme="majorHAnsi"/>
                <w:szCs w:val="18"/>
              </w:rPr>
              <w:t>I</w:t>
            </w:r>
            <w:r w:rsidRPr="006B4639">
              <w:rPr>
                <w:rFonts w:asciiTheme="majorHAnsi" w:hAnsiTheme="majorHAnsi" w:cstheme="majorHAnsi"/>
                <w:szCs w:val="18"/>
              </w:rPr>
              <w:t>nformation</w:t>
            </w:r>
            <w:r>
              <w:rPr>
                <w:rFonts w:asciiTheme="majorHAnsi" w:hAnsiTheme="majorHAnsi" w:cstheme="majorHAnsi"/>
                <w:szCs w:val="18"/>
              </w:rPr>
              <w:t>.</w:t>
            </w:r>
            <w:r w:rsidRPr="006B4639">
              <w:rPr>
                <w:rFonts w:asciiTheme="majorHAnsi" w:hAnsiTheme="majorHAnsi" w:cstheme="majorHAnsi"/>
                <w:szCs w:val="18"/>
              </w:rPr>
              <w:t xml:space="preserve"> </w:t>
            </w:r>
          </w:p>
        </w:tc>
      </w:tr>
      <w:tr w:rsidR="007F0FA4" w:rsidRPr="006B4639" w14:paraId="5E92DA75" w14:textId="77777777" w:rsidTr="00004D3B">
        <w:trPr>
          <w:cnfStyle w:val="000000010000" w:firstRow="0" w:lastRow="0" w:firstColumn="0" w:lastColumn="0" w:oddVBand="0" w:evenVBand="0" w:oddHBand="0" w:evenHBand="1" w:firstRowFirstColumn="0" w:firstRowLastColumn="0" w:lastRowFirstColumn="0" w:lastRowLastColumn="0"/>
          <w:trHeight w:val="537"/>
        </w:trPr>
        <w:tc>
          <w:tcPr>
            <w:tcW w:w="1900" w:type="dxa"/>
            <w:shd w:val="clear" w:color="auto" w:fill="FFFFFF" w:themeFill="background1"/>
          </w:tcPr>
          <w:p w14:paraId="7F694BDF" w14:textId="77777777" w:rsidR="007F0FA4" w:rsidRPr="00283389" w:rsidRDefault="007F0FA4" w:rsidP="00004D3B">
            <w:pPr>
              <w:pStyle w:val="BodyText"/>
              <w:spacing w:before="20" w:after="0" w:line="240" w:lineRule="auto"/>
              <w:rPr>
                <w:rFonts w:asciiTheme="majorHAnsi" w:hAnsiTheme="majorHAnsi" w:cstheme="majorHAnsi"/>
                <w:bCs/>
                <w:szCs w:val="18"/>
              </w:rPr>
            </w:pPr>
            <w:r w:rsidRPr="00283389">
              <w:rPr>
                <w:rFonts w:asciiTheme="majorHAnsi" w:hAnsiTheme="majorHAnsi" w:cstheme="majorHAnsi"/>
                <w:bCs/>
                <w:szCs w:val="18"/>
              </w:rPr>
              <w:t>Size threshold for exemptions</w:t>
            </w:r>
          </w:p>
        </w:tc>
        <w:tc>
          <w:tcPr>
            <w:tcW w:w="7097" w:type="dxa"/>
            <w:shd w:val="clear" w:color="auto" w:fill="FFFFFF" w:themeFill="background1"/>
          </w:tcPr>
          <w:p w14:paraId="059098AF" w14:textId="77777777" w:rsidR="007F0FA4" w:rsidRPr="006B4639" w:rsidRDefault="007F0FA4" w:rsidP="000A3668">
            <w:pPr>
              <w:pStyle w:val="TableBodyText"/>
              <w:numPr>
                <w:ilvl w:val="0"/>
                <w:numId w:val="127"/>
              </w:numPr>
              <w:spacing w:before="20" w:after="0"/>
              <w:ind w:left="442" w:hanging="357"/>
            </w:pPr>
            <w:r>
              <w:t>Maintain</w:t>
            </w:r>
            <w:r w:rsidRPr="006B4639">
              <w:t xml:space="preserve"> the existing differences in size thresholds under the alternative forms of regulation (status quo).</w:t>
            </w:r>
          </w:p>
          <w:p w14:paraId="173E2FFE" w14:textId="77777777" w:rsidR="007F0FA4" w:rsidRPr="006B4639" w:rsidRDefault="007F0FA4" w:rsidP="000A3668">
            <w:pPr>
              <w:pStyle w:val="TableBodyText"/>
              <w:numPr>
                <w:ilvl w:val="0"/>
                <w:numId w:val="127"/>
              </w:numPr>
              <w:spacing w:before="20" w:after="0"/>
              <w:ind w:left="442" w:hanging="357"/>
            </w:pPr>
            <w:r>
              <w:t>Adopt a common size threshold by a</w:t>
            </w:r>
            <w:r w:rsidRPr="006B4639">
              <w:t>mend</w:t>
            </w:r>
            <w:r>
              <w:t>ing</w:t>
            </w:r>
            <w:r w:rsidRPr="006B4639">
              <w:t xml:space="preserve"> the NGR to either:</w:t>
            </w:r>
          </w:p>
          <w:p w14:paraId="47C3E283" w14:textId="56FDBA63" w:rsidR="007F0FA4" w:rsidRPr="006B4639" w:rsidRDefault="007F0FA4" w:rsidP="000A3668">
            <w:pPr>
              <w:pStyle w:val="TableListNumber"/>
              <w:numPr>
                <w:ilvl w:val="0"/>
                <w:numId w:val="67"/>
              </w:numPr>
              <w:spacing w:after="0" w:line="240" w:lineRule="auto"/>
              <w:rPr>
                <w:szCs w:val="18"/>
              </w:rPr>
            </w:pPr>
            <w:r w:rsidRPr="006B4639">
              <w:rPr>
                <w:szCs w:val="18"/>
              </w:rPr>
              <w:t xml:space="preserve">align </w:t>
            </w:r>
            <w:r w:rsidRPr="006B4639">
              <w:rPr>
                <w:rFonts w:asciiTheme="majorHAnsi" w:hAnsiTheme="majorHAnsi" w:cstheme="majorHAnsi"/>
                <w:szCs w:val="18"/>
              </w:rPr>
              <w:t>the size threshold adopted under Part 23 with the size threshold adopted under full and light regulation</w:t>
            </w:r>
            <w:r>
              <w:rPr>
                <w:rFonts w:asciiTheme="majorHAnsi" w:hAnsiTheme="majorHAnsi" w:cstheme="majorHAnsi"/>
                <w:szCs w:val="18"/>
              </w:rPr>
              <w:t xml:space="preserve">, the </w:t>
            </w:r>
            <w:r w:rsidR="0081660F">
              <w:rPr>
                <w:rFonts w:asciiTheme="majorHAnsi" w:hAnsiTheme="majorHAnsi" w:cstheme="majorHAnsi"/>
                <w:szCs w:val="18"/>
              </w:rPr>
              <w:t xml:space="preserve">BB/GBB </w:t>
            </w:r>
            <w:r>
              <w:rPr>
                <w:rFonts w:asciiTheme="majorHAnsi" w:hAnsiTheme="majorHAnsi" w:cstheme="majorHAnsi"/>
                <w:szCs w:val="18"/>
              </w:rPr>
              <w:t>and the capacity trading reforms</w:t>
            </w:r>
            <w:r w:rsidRPr="006B4639">
              <w:rPr>
                <w:rFonts w:asciiTheme="majorHAnsi" w:hAnsiTheme="majorHAnsi" w:cstheme="majorHAnsi"/>
                <w:szCs w:val="18"/>
              </w:rPr>
              <w:t xml:space="preserve"> (i.e. nameplate capacity: 10 TJ/day); or</w:t>
            </w:r>
          </w:p>
          <w:p w14:paraId="40D5A11E" w14:textId="77777777" w:rsidR="007F0FA4" w:rsidRPr="006B4639" w:rsidRDefault="007F0FA4" w:rsidP="000A3668">
            <w:pPr>
              <w:pStyle w:val="TableListNumber"/>
              <w:numPr>
                <w:ilvl w:val="0"/>
                <w:numId w:val="67"/>
              </w:numPr>
              <w:spacing w:after="0" w:line="240" w:lineRule="auto"/>
              <w:rPr>
                <w:szCs w:val="18"/>
              </w:rPr>
            </w:pPr>
            <w:r w:rsidRPr="006B4639">
              <w:rPr>
                <w:rFonts w:asciiTheme="majorHAnsi" w:hAnsiTheme="majorHAnsi" w:cstheme="majorHAnsi"/>
                <w:szCs w:val="18"/>
              </w:rPr>
              <w:t>align the size threshold adopted for distribution pipelines under full and light regulation with the threshold adopted under Part 23 (i.e. average daily injections are less than 10 TJ/day over the preceding 24 months).</w:t>
            </w:r>
          </w:p>
        </w:tc>
      </w:tr>
    </w:tbl>
    <w:p w14:paraId="42D39D2F" w14:textId="77777777" w:rsidR="00E415FA" w:rsidRDefault="00E415FA" w:rsidP="00C30E4E">
      <w:pPr>
        <w:pStyle w:val="Heading3"/>
        <w:spacing w:before="160" w:after="60"/>
      </w:pPr>
      <w:r>
        <w:t xml:space="preserve">Stakeholder feedback on the options </w:t>
      </w:r>
    </w:p>
    <w:p w14:paraId="4B41F661" w14:textId="4EC09979" w:rsidR="005A76F4" w:rsidRPr="006B4639" w:rsidRDefault="005A76F4" w:rsidP="00C30E4E">
      <w:pPr>
        <w:pStyle w:val="BodyText"/>
        <w:spacing w:before="60" w:after="0" w:line="240" w:lineRule="auto"/>
        <w:rPr>
          <w:lang w:eastAsia="fr-CA"/>
        </w:rPr>
      </w:pPr>
      <w:r w:rsidRPr="00E5001B">
        <w:fldChar w:fldCharType="begin" w:fldLock="1"/>
      </w:r>
      <w:r w:rsidRPr="00E5001B">
        <w:instrText xml:space="preserve"> REF _Ref52955317 \h </w:instrText>
      </w:r>
      <w:r>
        <w:instrText xml:space="preserve"> \* MERGEFORMAT </w:instrText>
      </w:r>
      <w:r w:rsidRPr="00E5001B">
        <w:fldChar w:fldCharType="separate"/>
      </w:r>
      <w:r w:rsidR="00036405">
        <w:t xml:space="preserve">Table </w:t>
      </w:r>
      <w:r w:rsidR="00036405">
        <w:rPr>
          <w:noProof/>
        </w:rPr>
        <w:t>6.4</w:t>
      </w:r>
      <w:r w:rsidRPr="00E5001B">
        <w:fldChar w:fldCharType="end"/>
      </w:r>
      <w:r>
        <w:t xml:space="preserve"> </w:t>
      </w:r>
      <w:r w:rsidRPr="00563085">
        <w:t xml:space="preserve">provides a summary of the feedback </w:t>
      </w:r>
      <w:r>
        <w:t xml:space="preserve">that </w:t>
      </w:r>
      <w:r w:rsidRPr="00563085">
        <w:t xml:space="preserve">stakeholders provided on </w:t>
      </w:r>
      <w:r w:rsidR="00E415FA">
        <w:t>the</w:t>
      </w:r>
      <w:r w:rsidRPr="00563085">
        <w:t xml:space="preserve"> options</w:t>
      </w:r>
      <w:r w:rsidR="00C30E4E">
        <w:t xml:space="preserve"> listed above</w:t>
      </w:r>
      <w:r>
        <w:t xml:space="preserve">. </w:t>
      </w:r>
    </w:p>
    <w:bookmarkEnd w:id="143"/>
    <w:p w14:paraId="3C95CD11" w14:textId="77777777" w:rsidR="00E35341" w:rsidRPr="00EB728E" w:rsidRDefault="00E35341" w:rsidP="00C30E4E">
      <w:pPr>
        <w:pStyle w:val="BodyText"/>
        <w:spacing w:line="240" w:lineRule="auto"/>
        <w:sectPr w:rsidR="00E35341" w:rsidRPr="00EB728E" w:rsidSect="00855DD0">
          <w:headerReference w:type="even" r:id="rId50"/>
          <w:headerReference w:type="default" r:id="rId51"/>
          <w:footerReference w:type="even" r:id="rId52"/>
          <w:footerReference w:type="default" r:id="rId53"/>
          <w:headerReference w:type="first" r:id="rId54"/>
          <w:footerReference w:type="first" r:id="rId55"/>
          <w:pgSz w:w="11907" w:h="16839" w:code="9"/>
          <w:pgMar w:top="1361" w:right="1418" w:bottom="992" w:left="1701" w:header="567" w:footer="397" w:gutter="0"/>
          <w:cols w:space="708"/>
          <w:docGrid w:linePitch="360"/>
        </w:sectPr>
      </w:pPr>
    </w:p>
    <w:p w14:paraId="59E8D93E" w14:textId="188E0E7C" w:rsidR="00E35341" w:rsidRDefault="00E35341" w:rsidP="00E35341">
      <w:pPr>
        <w:pStyle w:val="Caption"/>
        <w:spacing w:before="0" w:after="0"/>
      </w:pPr>
      <w:bookmarkStart w:id="144" w:name="_Ref52955317"/>
      <w:r>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6</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4</w:t>
      </w:r>
      <w:r w:rsidR="00F323B2">
        <w:rPr>
          <w:noProof/>
        </w:rPr>
        <w:fldChar w:fldCharType="end"/>
      </w:r>
      <w:bookmarkEnd w:id="144"/>
      <w:r>
        <w:t>: Stakeholder feedback on the options identified in the Consultation RIS</w:t>
      </w:r>
    </w:p>
    <w:tbl>
      <w:tblPr>
        <w:tblStyle w:val="TableGrid"/>
        <w:tblW w:w="5000" w:type="pct"/>
        <w:tblLayout w:type="fixed"/>
        <w:tblLook w:val="0420" w:firstRow="1" w:lastRow="0" w:firstColumn="0" w:lastColumn="0" w:noHBand="0" w:noVBand="1"/>
      </w:tblPr>
      <w:tblGrid>
        <w:gridCol w:w="834"/>
        <w:gridCol w:w="697"/>
        <w:gridCol w:w="1940"/>
        <w:gridCol w:w="10249"/>
      </w:tblGrid>
      <w:tr w:rsidR="00E577B5" w:rsidRPr="001068ED" w14:paraId="084C9712" w14:textId="77777777" w:rsidTr="00E577B5">
        <w:trPr>
          <w:cnfStyle w:val="100000000000" w:firstRow="1" w:lastRow="0" w:firstColumn="0" w:lastColumn="0" w:oddVBand="0" w:evenVBand="0" w:oddHBand="0" w:evenHBand="0" w:firstRowFirstColumn="0" w:firstRowLastColumn="0" w:lastRowFirstColumn="0" w:lastRowLastColumn="0"/>
          <w:cantSplit/>
          <w:tblHeader/>
        </w:trPr>
        <w:tc>
          <w:tcPr>
            <w:tcW w:w="1265" w:type="pct"/>
            <w:gridSpan w:val="3"/>
            <w:tcBorders>
              <w:bottom w:val="single" w:sz="4" w:space="0" w:color="auto"/>
            </w:tcBorders>
            <w:shd w:val="clear" w:color="auto" w:fill="002060"/>
          </w:tcPr>
          <w:p w14:paraId="54E31815" w14:textId="77777777" w:rsidR="00E577B5" w:rsidRPr="001068ED" w:rsidRDefault="00E577B5" w:rsidP="006C363F">
            <w:pPr>
              <w:pStyle w:val="TableHeading"/>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Issues</w:t>
            </w:r>
          </w:p>
        </w:tc>
        <w:tc>
          <w:tcPr>
            <w:tcW w:w="3735" w:type="pct"/>
            <w:tcBorders>
              <w:bottom w:val="single" w:sz="4" w:space="0" w:color="auto"/>
            </w:tcBorders>
            <w:shd w:val="clear" w:color="auto" w:fill="002060"/>
          </w:tcPr>
          <w:p w14:paraId="271FC16F" w14:textId="77777777" w:rsidR="00E577B5" w:rsidRPr="001068ED" w:rsidRDefault="00E577B5" w:rsidP="006C363F">
            <w:pPr>
              <w:pStyle w:val="TableHeading"/>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Stakeholder feedback</w:t>
            </w:r>
          </w:p>
        </w:tc>
      </w:tr>
      <w:tr w:rsidR="00E577B5" w:rsidRPr="001068ED" w14:paraId="6FAF3BE9" w14:textId="77777777" w:rsidTr="00E577B5">
        <w:trPr>
          <w:cantSplit/>
          <w:trHeight w:val="279"/>
        </w:trPr>
        <w:tc>
          <w:tcPr>
            <w:tcW w:w="5000" w:type="pct"/>
            <w:gridSpan w:val="4"/>
            <w:tcBorders>
              <w:bottom w:val="single" w:sz="4" w:space="0" w:color="auto"/>
            </w:tcBorders>
            <w:shd w:val="clear" w:color="auto" w:fill="65697F" w:themeFill="background2" w:themeFillShade="80"/>
          </w:tcPr>
          <w:p w14:paraId="7D4C358C" w14:textId="77777777" w:rsidR="00E577B5" w:rsidRPr="001068ED" w:rsidRDefault="00E577B5" w:rsidP="00E577B5">
            <w:pPr>
              <w:pStyle w:val="TableBullet10"/>
              <w:numPr>
                <w:ilvl w:val="0"/>
                <w:numId w:val="0"/>
              </w:numPr>
              <w:spacing w:before="20" w:after="20"/>
              <w:ind w:left="85"/>
              <w:jc w:val="center"/>
              <w:rPr>
                <w:rFonts w:asciiTheme="majorHAnsi" w:hAnsiTheme="majorHAnsi" w:cstheme="majorHAnsi"/>
                <w:color w:val="7030A0"/>
                <w:sz w:val="17"/>
                <w:szCs w:val="17"/>
                <w:lang w:eastAsia="fr-CA"/>
              </w:rPr>
            </w:pPr>
            <w:r w:rsidRPr="00753DD9">
              <w:rPr>
                <w:b/>
                <w:color w:val="FFFFFF" w:themeColor="background1"/>
                <w:szCs w:val="18"/>
              </w:rPr>
              <w:t>Full regulation pipelines reporting requirements</w:t>
            </w:r>
          </w:p>
        </w:tc>
      </w:tr>
      <w:tr w:rsidR="00E577B5" w:rsidRPr="001068ED" w14:paraId="14669145" w14:textId="77777777" w:rsidTr="00E577B5">
        <w:trPr>
          <w:cnfStyle w:val="000000010000" w:firstRow="0" w:lastRow="0" w:firstColumn="0" w:lastColumn="0" w:oddVBand="0" w:evenVBand="0" w:oddHBand="0" w:evenHBand="1" w:firstRowFirstColumn="0" w:firstRowLastColumn="0" w:lastRowFirstColumn="0" w:lastRowLastColumn="0"/>
          <w:cantSplit/>
          <w:trHeight w:val="279"/>
        </w:trPr>
        <w:tc>
          <w:tcPr>
            <w:tcW w:w="1265" w:type="pct"/>
            <w:gridSpan w:val="3"/>
            <w:tcBorders>
              <w:bottom w:val="single" w:sz="4" w:space="0" w:color="auto"/>
            </w:tcBorders>
            <w:shd w:val="clear" w:color="auto" w:fill="FFFFFF" w:themeFill="background1"/>
          </w:tcPr>
          <w:p w14:paraId="309A43D2" w14:textId="77777777" w:rsidR="00E577B5" w:rsidRPr="001068ED" w:rsidRDefault="00E577B5" w:rsidP="006C363F">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Option A: </w:t>
            </w:r>
            <w:r>
              <w:rPr>
                <w:rFonts w:asciiTheme="majorHAnsi" w:hAnsiTheme="majorHAnsi" w:cstheme="majorHAnsi"/>
                <w:sz w:val="17"/>
                <w:szCs w:val="17"/>
                <w:lang w:eastAsia="fr-CA"/>
              </w:rPr>
              <w:t>S</w:t>
            </w:r>
            <w:r w:rsidRPr="001068ED">
              <w:rPr>
                <w:rFonts w:asciiTheme="majorHAnsi" w:hAnsiTheme="majorHAnsi" w:cstheme="majorHAnsi"/>
                <w:sz w:val="17"/>
                <w:szCs w:val="17"/>
                <w:lang w:eastAsia="fr-CA"/>
              </w:rPr>
              <w:t>tatus quo</w:t>
            </w:r>
          </w:p>
        </w:tc>
        <w:tc>
          <w:tcPr>
            <w:tcW w:w="3735" w:type="pct"/>
            <w:tcBorders>
              <w:bottom w:val="single" w:sz="4" w:space="0" w:color="auto"/>
            </w:tcBorders>
            <w:shd w:val="clear" w:color="auto" w:fill="FFFFFF" w:themeFill="background1"/>
          </w:tcPr>
          <w:p w14:paraId="2928919A" w14:textId="77777777" w:rsidR="00E577B5" w:rsidRPr="001068ED" w:rsidRDefault="00E577B5" w:rsidP="006C363F">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color w:val="7030A0"/>
                <w:sz w:val="17"/>
                <w:szCs w:val="17"/>
                <w:lang w:eastAsia="fr-CA"/>
              </w:rPr>
              <w:t xml:space="preserve">AGIG </w:t>
            </w:r>
            <w:r w:rsidRPr="001068ED">
              <w:rPr>
                <w:rFonts w:asciiTheme="majorHAnsi" w:hAnsiTheme="majorHAnsi" w:cstheme="majorHAnsi"/>
                <w:sz w:val="17"/>
                <w:szCs w:val="17"/>
                <w:lang w:eastAsia="fr-CA"/>
              </w:rPr>
              <w:t xml:space="preserve">and </w:t>
            </w:r>
            <w:r w:rsidRPr="001068ED">
              <w:rPr>
                <w:rFonts w:asciiTheme="majorHAnsi" w:hAnsiTheme="majorHAnsi" w:cstheme="majorHAnsi"/>
                <w:color w:val="7030A0"/>
                <w:sz w:val="17"/>
                <w:szCs w:val="17"/>
                <w:lang w:eastAsia="fr-CA"/>
              </w:rPr>
              <w:t xml:space="preserve">ATCO </w:t>
            </w:r>
            <w:r w:rsidRPr="001068ED">
              <w:rPr>
                <w:rFonts w:asciiTheme="majorHAnsi" w:hAnsiTheme="majorHAnsi" w:cstheme="majorHAnsi"/>
                <w:sz w:val="17"/>
                <w:szCs w:val="17"/>
                <w:lang w:eastAsia="fr-CA"/>
              </w:rPr>
              <w:t>supported the retention of the status quo.</w:t>
            </w:r>
          </w:p>
        </w:tc>
      </w:tr>
      <w:tr w:rsidR="00E577B5" w:rsidRPr="001068ED" w14:paraId="5C34B3EE" w14:textId="77777777" w:rsidTr="00E577B5">
        <w:trPr>
          <w:cantSplit/>
          <w:trHeight w:val="1118"/>
        </w:trPr>
        <w:tc>
          <w:tcPr>
            <w:tcW w:w="1265" w:type="pct"/>
            <w:gridSpan w:val="3"/>
            <w:shd w:val="clear" w:color="auto" w:fill="F2F2F2" w:themeFill="background1" w:themeFillShade="F2"/>
          </w:tcPr>
          <w:p w14:paraId="3DDFD31E" w14:textId="77777777" w:rsidR="00E577B5" w:rsidRPr="001068ED" w:rsidRDefault="00E577B5" w:rsidP="006C363F">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Option B: Require full regulation pipelines to disclose the same information as Part 23 and light regulation pipelines </w:t>
            </w:r>
          </w:p>
        </w:tc>
        <w:tc>
          <w:tcPr>
            <w:tcW w:w="3735" w:type="pct"/>
            <w:tcBorders>
              <w:bottom w:val="single" w:sz="4" w:space="0" w:color="auto"/>
            </w:tcBorders>
            <w:shd w:val="clear" w:color="auto" w:fill="F2F2F2" w:themeFill="background1" w:themeFillShade="F2"/>
          </w:tcPr>
          <w:p w14:paraId="4EB2F193" w14:textId="77777777" w:rsidR="00E577B5" w:rsidRPr="001068ED" w:rsidRDefault="00E577B5" w:rsidP="006C363F">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sz w:val="17"/>
                <w:szCs w:val="17"/>
              </w:rPr>
              <w:t xml:space="preserve">The </w:t>
            </w:r>
            <w:r w:rsidRPr="001068ED">
              <w:rPr>
                <w:rFonts w:asciiTheme="majorHAnsi" w:hAnsiTheme="majorHAnsi" w:cstheme="majorHAnsi"/>
                <w:color w:val="FF0000"/>
                <w:sz w:val="17"/>
                <w:szCs w:val="17"/>
              </w:rPr>
              <w:t>ACCC</w:t>
            </w:r>
            <w:r w:rsidRPr="001068ED">
              <w:rPr>
                <w:rFonts w:asciiTheme="majorHAnsi" w:hAnsiTheme="majorHAnsi" w:cstheme="majorHAnsi"/>
                <w:sz w:val="17"/>
                <w:szCs w:val="17"/>
              </w:rPr>
              <w:t xml:space="preserve">, </w:t>
            </w:r>
            <w:r w:rsidRPr="001068ED">
              <w:rPr>
                <w:rFonts w:asciiTheme="majorHAnsi" w:hAnsiTheme="majorHAnsi" w:cstheme="majorHAnsi"/>
                <w:color w:val="3333FF"/>
                <w:sz w:val="17"/>
                <w:szCs w:val="17"/>
              </w:rPr>
              <w:t xml:space="preserve">EUAA, NSW BC, Chemistry Australia, MEU, Qenos, </w:t>
            </w:r>
            <w:r w:rsidRPr="001068ED">
              <w:rPr>
                <w:rFonts w:asciiTheme="majorHAnsi" w:hAnsiTheme="majorHAnsi" w:cstheme="majorHAnsi"/>
                <w:color w:val="CC0066"/>
                <w:sz w:val="17"/>
                <w:szCs w:val="17"/>
              </w:rPr>
              <w:t xml:space="preserve">APLNG </w:t>
            </w:r>
            <w:r w:rsidRPr="001068ED">
              <w:rPr>
                <w:rFonts w:asciiTheme="majorHAnsi" w:hAnsiTheme="majorHAnsi" w:cstheme="majorHAnsi"/>
                <w:sz w:val="17"/>
                <w:szCs w:val="17"/>
              </w:rPr>
              <w:t xml:space="preserve">and </w:t>
            </w:r>
            <w:r w:rsidRPr="001068ED">
              <w:rPr>
                <w:rFonts w:asciiTheme="majorHAnsi" w:hAnsiTheme="majorHAnsi" w:cstheme="majorHAnsi"/>
                <w:color w:val="CC0066"/>
                <w:sz w:val="17"/>
                <w:szCs w:val="17"/>
              </w:rPr>
              <w:t>COPA</w:t>
            </w:r>
            <w:r w:rsidRPr="001068ED">
              <w:rPr>
                <w:rFonts w:asciiTheme="majorHAnsi" w:hAnsiTheme="majorHAnsi" w:cstheme="majorHAnsi"/>
                <w:sz w:val="17"/>
                <w:szCs w:val="17"/>
              </w:rPr>
              <w:t xml:space="preserve">, agreed that full regulation pipelines should be required to publish equivalent information to that reported by light regulation and Part 23 pipelines for all services (including non-reference services) offered by the pipeline. </w:t>
            </w:r>
          </w:p>
          <w:p w14:paraId="41EA7FC6" w14:textId="77777777" w:rsidR="00E577B5" w:rsidRPr="001068ED" w:rsidRDefault="00E577B5" w:rsidP="006C363F">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color w:val="00B0F0"/>
                <w:sz w:val="17"/>
                <w:szCs w:val="17"/>
              </w:rPr>
              <w:t xml:space="preserve">Origin </w:t>
            </w:r>
            <w:r w:rsidRPr="001068ED">
              <w:rPr>
                <w:rFonts w:asciiTheme="majorHAnsi" w:hAnsiTheme="majorHAnsi" w:cstheme="majorHAnsi"/>
                <w:sz w:val="17"/>
                <w:szCs w:val="17"/>
              </w:rPr>
              <w:t xml:space="preserve">stated that while it had </w:t>
            </w:r>
            <w:r w:rsidRPr="001068ED">
              <w:rPr>
                <w:rFonts w:asciiTheme="majorHAnsi" w:hAnsiTheme="majorHAnsi" w:cstheme="majorHAnsi"/>
                <w:iCs/>
                <w:sz w:val="17"/>
                <w:szCs w:val="17"/>
              </w:rPr>
              <w:t>not identified any material deficiencies, it generally agreed there should be a gradation of reporting requirements as the strength of regulation increases and addressing any material information gaps under full regulation is appropriate.</w:t>
            </w:r>
          </w:p>
        </w:tc>
      </w:tr>
      <w:tr w:rsidR="00E577B5" w:rsidRPr="001068ED" w14:paraId="08D81DD0" w14:textId="77777777" w:rsidTr="00E577B5">
        <w:trPr>
          <w:cnfStyle w:val="000000010000" w:firstRow="0" w:lastRow="0" w:firstColumn="0" w:lastColumn="0" w:oddVBand="0" w:evenVBand="0" w:oddHBand="0" w:evenHBand="1" w:firstRowFirstColumn="0" w:firstRowLastColumn="0" w:lastRowFirstColumn="0" w:lastRowLastColumn="0"/>
          <w:cantSplit/>
          <w:trHeight w:val="612"/>
        </w:trPr>
        <w:tc>
          <w:tcPr>
            <w:tcW w:w="1265" w:type="pct"/>
            <w:gridSpan w:val="3"/>
            <w:tcBorders>
              <w:bottom w:val="single" w:sz="4" w:space="0" w:color="auto"/>
            </w:tcBorders>
          </w:tcPr>
          <w:p w14:paraId="6CE7ABF7" w14:textId="77777777" w:rsidR="00E577B5" w:rsidRPr="001068ED" w:rsidRDefault="00E577B5" w:rsidP="006C363F">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Other proposals </w:t>
            </w:r>
          </w:p>
        </w:tc>
        <w:tc>
          <w:tcPr>
            <w:tcW w:w="3735" w:type="pct"/>
            <w:tcBorders>
              <w:bottom w:val="single" w:sz="4" w:space="0" w:color="auto"/>
            </w:tcBorders>
          </w:tcPr>
          <w:p w14:paraId="0EBD2243" w14:textId="77777777" w:rsidR="00E577B5" w:rsidRPr="001068ED" w:rsidRDefault="00E577B5" w:rsidP="00295B26">
            <w:pPr>
              <w:pStyle w:val="TableBullet10"/>
              <w:spacing w:before="20"/>
              <w:rPr>
                <w:rFonts w:asciiTheme="majorHAnsi" w:hAnsiTheme="majorHAnsi" w:cstheme="majorHAnsi"/>
                <w:sz w:val="17"/>
                <w:szCs w:val="17"/>
              </w:rPr>
            </w:pPr>
            <w:r w:rsidRPr="001068ED">
              <w:rPr>
                <w:rFonts w:asciiTheme="majorHAnsi" w:hAnsiTheme="majorHAnsi" w:cstheme="majorHAnsi"/>
                <w:sz w:val="17"/>
                <w:szCs w:val="17"/>
              </w:rPr>
              <w:t xml:space="preserve">The </w:t>
            </w:r>
            <w:r w:rsidRPr="001068ED">
              <w:rPr>
                <w:rFonts w:asciiTheme="majorHAnsi" w:hAnsiTheme="majorHAnsi" w:cstheme="majorHAnsi"/>
                <w:color w:val="FF0000"/>
                <w:sz w:val="17"/>
                <w:szCs w:val="17"/>
              </w:rPr>
              <w:t xml:space="preserve">AER </w:t>
            </w:r>
            <w:r w:rsidRPr="001068ED">
              <w:rPr>
                <w:rFonts w:asciiTheme="majorHAnsi" w:hAnsiTheme="majorHAnsi" w:cstheme="majorHAnsi"/>
                <w:sz w:val="17"/>
                <w:szCs w:val="17"/>
              </w:rPr>
              <w:t xml:space="preserve">noted that it intends to issue regulatory information notices (RINs) to collect yearly information for full regulation pipelines, with the information to be made available on its website. The </w:t>
            </w:r>
            <w:r w:rsidRPr="001068ED">
              <w:rPr>
                <w:rFonts w:asciiTheme="majorHAnsi" w:hAnsiTheme="majorHAnsi" w:cstheme="majorHAnsi"/>
                <w:color w:val="FF0000"/>
                <w:sz w:val="17"/>
                <w:szCs w:val="17"/>
              </w:rPr>
              <w:t xml:space="preserve">AER </w:t>
            </w:r>
            <w:r w:rsidRPr="001068ED">
              <w:rPr>
                <w:rFonts w:asciiTheme="majorHAnsi" w:hAnsiTheme="majorHAnsi" w:cstheme="majorHAnsi"/>
                <w:sz w:val="17"/>
                <w:szCs w:val="17"/>
              </w:rPr>
              <w:t xml:space="preserve">noted that this will provide a standard base of information for all full regulation pipelines. </w:t>
            </w:r>
            <w:r w:rsidRPr="001068ED">
              <w:rPr>
                <w:rFonts w:asciiTheme="majorHAnsi" w:hAnsiTheme="majorHAnsi" w:cstheme="majorHAnsi"/>
                <w:color w:val="7030A0"/>
                <w:sz w:val="17"/>
                <w:szCs w:val="17"/>
              </w:rPr>
              <w:t xml:space="preserve">APA </w:t>
            </w:r>
            <w:r w:rsidRPr="001068ED">
              <w:rPr>
                <w:rFonts w:asciiTheme="majorHAnsi" w:hAnsiTheme="majorHAnsi" w:cstheme="majorHAnsi"/>
                <w:sz w:val="17"/>
                <w:szCs w:val="17"/>
              </w:rPr>
              <w:t>also noted some of the gaps were being addressed through annual RINs recently issued by the AER.</w:t>
            </w:r>
          </w:p>
        </w:tc>
      </w:tr>
      <w:tr w:rsidR="00C92406" w:rsidRPr="001068ED" w14:paraId="2104A43A" w14:textId="77777777" w:rsidTr="00C92406">
        <w:trPr>
          <w:cantSplit/>
          <w:trHeight w:val="56"/>
        </w:trPr>
        <w:tc>
          <w:tcPr>
            <w:tcW w:w="5000" w:type="pct"/>
            <w:gridSpan w:val="4"/>
            <w:shd w:val="clear" w:color="auto" w:fill="65697F" w:themeFill="background2" w:themeFillShade="80"/>
          </w:tcPr>
          <w:p w14:paraId="65FC7440" w14:textId="77777777" w:rsidR="00C92406" w:rsidRPr="001068ED" w:rsidRDefault="00C92406" w:rsidP="00C92406">
            <w:pPr>
              <w:pStyle w:val="TableBullet10"/>
              <w:numPr>
                <w:ilvl w:val="0"/>
                <w:numId w:val="0"/>
              </w:numPr>
              <w:spacing w:before="20" w:after="20"/>
              <w:ind w:left="85"/>
              <w:jc w:val="center"/>
              <w:rPr>
                <w:rFonts w:asciiTheme="majorHAnsi" w:hAnsiTheme="majorHAnsi" w:cstheme="majorHAnsi"/>
                <w:color w:val="00B0F0"/>
                <w:sz w:val="17"/>
                <w:szCs w:val="17"/>
                <w:lang w:eastAsia="fr-CA"/>
              </w:rPr>
            </w:pPr>
            <w:r w:rsidRPr="00753DD9">
              <w:rPr>
                <w:b/>
                <w:color w:val="FFFFFF" w:themeColor="background1"/>
                <w:szCs w:val="18"/>
              </w:rPr>
              <w:t>Deficiencies in information reported by Part 23 and light regulation pipelines</w:t>
            </w:r>
          </w:p>
        </w:tc>
      </w:tr>
      <w:tr w:rsidR="00E577B5" w:rsidRPr="001068ED" w14:paraId="7E583802" w14:textId="77777777" w:rsidTr="00E577B5">
        <w:trPr>
          <w:cnfStyle w:val="000000010000" w:firstRow="0" w:lastRow="0" w:firstColumn="0" w:lastColumn="0" w:oddVBand="0" w:evenVBand="0" w:oddHBand="0" w:evenHBand="1" w:firstRowFirstColumn="0" w:firstRowLastColumn="0" w:lastRowFirstColumn="0" w:lastRowLastColumn="0"/>
          <w:cantSplit/>
          <w:trHeight w:val="279"/>
        </w:trPr>
        <w:tc>
          <w:tcPr>
            <w:tcW w:w="304" w:type="pct"/>
            <w:vMerge w:val="restart"/>
            <w:textDirection w:val="btLr"/>
          </w:tcPr>
          <w:p w14:paraId="4A1D0AE7" w14:textId="77777777" w:rsidR="00E577B5" w:rsidRPr="001068ED" w:rsidRDefault="00E577B5" w:rsidP="00E27B17">
            <w:pPr>
              <w:spacing w:before="20" w:after="20" w:line="252" w:lineRule="auto"/>
              <w:jc w:val="center"/>
              <w:rPr>
                <w:rFonts w:asciiTheme="majorHAnsi" w:hAnsiTheme="majorHAnsi" w:cstheme="majorHAnsi"/>
                <w:b/>
                <w:bCs/>
                <w:sz w:val="17"/>
                <w:szCs w:val="17"/>
                <w:lang w:eastAsia="fr-CA"/>
              </w:rPr>
            </w:pPr>
            <w:r w:rsidRPr="001068ED">
              <w:rPr>
                <w:rFonts w:asciiTheme="majorHAnsi" w:hAnsiTheme="majorHAnsi" w:cstheme="majorHAnsi"/>
                <w:b/>
                <w:bCs/>
                <w:sz w:val="17"/>
                <w:szCs w:val="17"/>
                <w:lang w:eastAsia="fr-CA"/>
              </w:rPr>
              <w:t>Form of price reporting</w:t>
            </w:r>
          </w:p>
        </w:tc>
        <w:tc>
          <w:tcPr>
            <w:tcW w:w="961" w:type="pct"/>
            <w:gridSpan w:val="2"/>
            <w:tcBorders>
              <w:bottom w:val="single" w:sz="4" w:space="0" w:color="auto"/>
            </w:tcBorders>
            <w:shd w:val="clear" w:color="auto" w:fill="FFFFFF" w:themeFill="background1"/>
          </w:tcPr>
          <w:p w14:paraId="573824D8"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Option A: </w:t>
            </w:r>
            <w:r>
              <w:rPr>
                <w:rFonts w:asciiTheme="majorHAnsi" w:hAnsiTheme="majorHAnsi" w:cstheme="majorHAnsi"/>
                <w:sz w:val="17"/>
                <w:szCs w:val="17"/>
                <w:lang w:eastAsia="fr-CA"/>
              </w:rPr>
              <w:t>S</w:t>
            </w:r>
            <w:r w:rsidRPr="001068ED">
              <w:rPr>
                <w:rFonts w:asciiTheme="majorHAnsi" w:hAnsiTheme="majorHAnsi" w:cstheme="majorHAnsi"/>
                <w:sz w:val="17"/>
                <w:szCs w:val="17"/>
                <w:lang w:eastAsia="fr-CA"/>
              </w:rPr>
              <w:t>tatus quo</w:t>
            </w:r>
          </w:p>
        </w:tc>
        <w:tc>
          <w:tcPr>
            <w:tcW w:w="3735" w:type="pct"/>
            <w:tcBorders>
              <w:bottom w:val="single" w:sz="4" w:space="0" w:color="auto"/>
            </w:tcBorders>
            <w:shd w:val="clear" w:color="auto" w:fill="FFFFFF" w:themeFill="background1"/>
          </w:tcPr>
          <w:p w14:paraId="1FEA6603" w14:textId="77777777" w:rsidR="00E577B5" w:rsidRPr="001068ED" w:rsidRDefault="00E577B5" w:rsidP="00E27B17">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color w:val="00B0F0"/>
                <w:sz w:val="17"/>
                <w:szCs w:val="17"/>
                <w:lang w:eastAsia="fr-CA"/>
              </w:rPr>
              <w:t>Origin</w:t>
            </w:r>
            <w:r w:rsidRPr="001068ED">
              <w:rPr>
                <w:rFonts w:asciiTheme="majorHAnsi" w:hAnsiTheme="majorHAnsi" w:cstheme="majorHAnsi"/>
                <w:sz w:val="17"/>
                <w:szCs w:val="17"/>
                <w:lang w:eastAsia="fr-CA"/>
              </w:rPr>
              <w:t xml:space="preserve">, </w:t>
            </w:r>
            <w:r w:rsidRPr="001068ED">
              <w:rPr>
                <w:rFonts w:asciiTheme="majorHAnsi" w:hAnsiTheme="majorHAnsi" w:cstheme="majorHAnsi"/>
                <w:color w:val="7030A0"/>
                <w:sz w:val="17"/>
                <w:szCs w:val="17"/>
                <w:lang w:eastAsia="fr-CA"/>
              </w:rPr>
              <w:t xml:space="preserve">APGA, APA, ATCO, Jemena </w:t>
            </w:r>
            <w:r w:rsidRPr="001068ED">
              <w:rPr>
                <w:rFonts w:asciiTheme="majorHAnsi" w:hAnsiTheme="majorHAnsi" w:cstheme="majorHAnsi"/>
                <w:sz w:val="17"/>
                <w:szCs w:val="17"/>
                <w:lang w:eastAsia="fr-CA"/>
              </w:rPr>
              <w:t xml:space="preserve">and </w:t>
            </w:r>
            <w:r w:rsidRPr="001068ED">
              <w:rPr>
                <w:rFonts w:asciiTheme="majorHAnsi" w:hAnsiTheme="majorHAnsi" w:cstheme="majorHAnsi"/>
                <w:color w:val="7030A0"/>
                <w:sz w:val="17"/>
                <w:szCs w:val="17"/>
                <w:lang w:eastAsia="fr-CA"/>
              </w:rPr>
              <w:t xml:space="preserve">TGP </w:t>
            </w:r>
            <w:r w:rsidRPr="001068ED">
              <w:rPr>
                <w:rFonts w:asciiTheme="majorHAnsi" w:hAnsiTheme="majorHAnsi" w:cstheme="majorHAnsi"/>
                <w:sz w:val="17"/>
                <w:szCs w:val="17"/>
                <w:lang w:eastAsia="fr-CA"/>
              </w:rPr>
              <w:t xml:space="preserve">supported the retention of the status quo (i.e. publication of weighted average prices).  </w:t>
            </w:r>
          </w:p>
        </w:tc>
      </w:tr>
      <w:tr w:rsidR="00E577B5" w:rsidRPr="001068ED" w14:paraId="26386162" w14:textId="77777777" w:rsidTr="00E577B5">
        <w:trPr>
          <w:cantSplit/>
          <w:trHeight w:val="279"/>
        </w:trPr>
        <w:tc>
          <w:tcPr>
            <w:tcW w:w="304" w:type="pct"/>
            <w:vMerge/>
            <w:textDirection w:val="btLr"/>
          </w:tcPr>
          <w:p w14:paraId="1969AA67" w14:textId="77777777" w:rsidR="00E577B5" w:rsidRPr="001068ED" w:rsidRDefault="00E577B5" w:rsidP="00E27B17">
            <w:pPr>
              <w:spacing w:before="20" w:after="20" w:line="252" w:lineRule="auto"/>
              <w:jc w:val="center"/>
              <w:rPr>
                <w:rFonts w:asciiTheme="majorHAnsi" w:hAnsiTheme="majorHAnsi" w:cstheme="majorHAnsi"/>
                <w:sz w:val="17"/>
                <w:szCs w:val="17"/>
                <w:lang w:eastAsia="fr-CA"/>
              </w:rPr>
            </w:pPr>
          </w:p>
        </w:tc>
        <w:tc>
          <w:tcPr>
            <w:tcW w:w="254" w:type="pct"/>
            <w:vMerge w:val="restart"/>
            <w:shd w:val="clear" w:color="auto" w:fill="F2F2F2" w:themeFill="background1" w:themeFillShade="F2"/>
            <w:textDirection w:val="btLr"/>
          </w:tcPr>
          <w:p w14:paraId="05BAE6B2" w14:textId="77777777" w:rsidR="00E577B5" w:rsidRPr="001068ED" w:rsidRDefault="00E577B5" w:rsidP="00E27B17">
            <w:pPr>
              <w:pStyle w:val="TableBodyText"/>
              <w:spacing w:before="20" w:after="20" w:line="252" w:lineRule="auto"/>
              <w:jc w:val="center"/>
              <w:rPr>
                <w:rFonts w:asciiTheme="majorHAnsi" w:hAnsiTheme="majorHAnsi" w:cstheme="majorHAnsi"/>
                <w:sz w:val="17"/>
                <w:szCs w:val="17"/>
                <w:lang w:eastAsia="fr-CA"/>
              </w:rPr>
            </w:pPr>
            <w:r w:rsidRPr="001068ED">
              <w:rPr>
                <w:rFonts w:asciiTheme="majorHAnsi" w:hAnsiTheme="majorHAnsi" w:cstheme="majorHAnsi"/>
                <w:sz w:val="17"/>
                <w:szCs w:val="17"/>
                <w:lang w:eastAsia="fr-CA"/>
              </w:rPr>
              <w:t>Option B: Address deficiencies in price reporting by requiring service providers to::</w:t>
            </w:r>
          </w:p>
        </w:tc>
        <w:tc>
          <w:tcPr>
            <w:tcW w:w="707" w:type="pct"/>
            <w:tcBorders>
              <w:bottom w:val="single" w:sz="4" w:space="0" w:color="auto"/>
            </w:tcBorders>
            <w:shd w:val="clear" w:color="auto" w:fill="F2F2F2" w:themeFill="background1" w:themeFillShade="F2"/>
          </w:tcPr>
          <w:p w14:paraId="6E30F3C2"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(a) report individual prices and key terms</w:t>
            </w:r>
          </w:p>
        </w:tc>
        <w:tc>
          <w:tcPr>
            <w:tcW w:w="3735" w:type="pct"/>
            <w:tcBorders>
              <w:bottom w:val="single" w:sz="4" w:space="0" w:color="auto"/>
            </w:tcBorders>
            <w:shd w:val="clear" w:color="auto" w:fill="F2F2F2" w:themeFill="background1" w:themeFillShade="F2"/>
          </w:tcPr>
          <w:p w14:paraId="6704430C" w14:textId="77777777" w:rsidR="00E577B5" w:rsidRPr="001068ED" w:rsidRDefault="00E577B5" w:rsidP="00E27B17">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The </w:t>
            </w:r>
            <w:r w:rsidRPr="001068ED">
              <w:rPr>
                <w:rFonts w:asciiTheme="majorHAnsi" w:hAnsiTheme="majorHAnsi" w:cstheme="majorHAnsi"/>
                <w:color w:val="0000FF"/>
                <w:sz w:val="17"/>
                <w:szCs w:val="17"/>
                <w:lang w:eastAsia="fr-CA"/>
              </w:rPr>
              <w:t>EUAA</w:t>
            </w:r>
            <w:r w:rsidRPr="001068ED">
              <w:rPr>
                <w:rFonts w:asciiTheme="majorHAnsi" w:hAnsiTheme="majorHAnsi" w:cstheme="majorHAnsi"/>
                <w:sz w:val="17"/>
                <w:szCs w:val="17"/>
                <w:lang w:eastAsia="fr-CA"/>
              </w:rPr>
              <w:t xml:space="preserve">, </w:t>
            </w:r>
            <w:r w:rsidRPr="001068ED">
              <w:rPr>
                <w:rFonts w:asciiTheme="majorHAnsi" w:hAnsiTheme="majorHAnsi" w:cstheme="majorHAnsi"/>
                <w:color w:val="CC0066"/>
                <w:sz w:val="17"/>
                <w:szCs w:val="17"/>
                <w:lang w:eastAsia="fr-CA"/>
              </w:rPr>
              <w:t xml:space="preserve">COPA </w:t>
            </w:r>
            <w:r w:rsidRPr="001068ED">
              <w:rPr>
                <w:rFonts w:asciiTheme="majorHAnsi" w:hAnsiTheme="majorHAnsi" w:cstheme="majorHAnsi"/>
                <w:sz w:val="17"/>
                <w:szCs w:val="17"/>
                <w:lang w:eastAsia="fr-CA"/>
              </w:rPr>
              <w:t xml:space="preserve">and </w:t>
            </w:r>
            <w:r w:rsidRPr="001068ED">
              <w:rPr>
                <w:rFonts w:asciiTheme="majorHAnsi" w:hAnsiTheme="majorHAnsi" w:cstheme="majorHAnsi"/>
                <w:color w:val="00B050"/>
                <w:sz w:val="17"/>
                <w:szCs w:val="17"/>
                <w:lang w:eastAsia="fr-CA"/>
              </w:rPr>
              <w:t xml:space="preserve">Energy Matrix </w:t>
            </w:r>
            <w:r w:rsidRPr="001068ED">
              <w:rPr>
                <w:rFonts w:asciiTheme="majorHAnsi" w:hAnsiTheme="majorHAnsi" w:cstheme="majorHAnsi"/>
                <w:sz w:val="17"/>
                <w:szCs w:val="17"/>
                <w:lang w:eastAsia="fr-CA"/>
              </w:rPr>
              <w:t xml:space="preserve">supported the publication of individual prices, with the </w:t>
            </w:r>
            <w:r w:rsidRPr="001068ED">
              <w:rPr>
                <w:rFonts w:asciiTheme="majorHAnsi" w:hAnsiTheme="majorHAnsi" w:cstheme="majorHAnsi"/>
                <w:color w:val="0000FF"/>
                <w:sz w:val="17"/>
                <w:szCs w:val="17"/>
              </w:rPr>
              <w:t xml:space="preserve">EUAA </w:t>
            </w:r>
            <w:r w:rsidRPr="001068ED">
              <w:rPr>
                <w:rFonts w:asciiTheme="majorHAnsi" w:hAnsiTheme="majorHAnsi" w:cstheme="majorHAnsi"/>
                <w:sz w:val="17"/>
                <w:szCs w:val="17"/>
              </w:rPr>
              <w:t>noting that it could see no confidentiality issues with the disclosure and supported the disclosure of individual prices.</w:t>
            </w:r>
          </w:p>
          <w:p w14:paraId="298D2104" w14:textId="77777777" w:rsidR="00E577B5" w:rsidRPr="001068ED" w:rsidRDefault="00E577B5" w:rsidP="00E27B17">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sz w:val="17"/>
                <w:szCs w:val="17"/>
              </w:rPr>
              <w:t xml:space="preserve">The </w:t>
            </w:r>
            <w:r w:rsidRPr="001068ED">
              <w:rPr>
                <w:rFonts w:asciiTheme="majorHAnsi" w:hAnsiTheme="majorHAnsi" w:cstheme="majorHAnsi"/>
                <w:color w:val="0000FF"/>
                <w:sz w:val="17"/>
                <w:szCs w:val="17"/>
              </w:rPr>
              <w:t>MEU, Chemistry Australia</w:t>
            </w:r>
            <w:r w:rsidRPr="001068ED">
              <w:rPr>
                <w:rFonts w:asciiTheme="majorHAnsi" w:hAnsiTheme="majorHAnsi" w:cstheme="majorHAnsi"/>
                <w:sz w:val="17"/>
                <w:szCs w:val="17"/>
              </w:rPr>
              <w:t xml:space="preserve">, </w:t>
            </w:r>
            <w:r w:rsidRPr="001068ED">
              <w:rPr>
                <w:rFonts w:asciiTheme="majorHAnsi" w:hAnsiTheme="majorHAnsi" w:cstheme="majorHAnsi"/>
                <w:color w:val="00B0F0"/>
                <w:sz w:val="17"/>
                <w:szCs w:val="17"/>
              </w:rPr>
              <w:t>Origin</w:t>
            </w:r>
            <w:r w:rsidRPr="001068ED">
              <w:rPr>
                <w:rFonts w:asciiTheme="majorHAnsi" w:hAnsiTheme="majorHAnsi" w:cstheme="majorHAnsi"/>
                <w:sz w:val="17"/>
                <w:szCs w:val="17"/>
              </w:rPr>
              <w:t xml:space="preserve">, </w:t>
            </w:r>
            <w:r w:rsidRPr="001068ED">
              <w:rPr>
                <w:rFonts w:asciiTheme="majorHAnsi" w:hAnsiTheme="majorHAnsi" w:cstheme="majorHAnsi"/>
                <w:color w:val="00B0F0"/>
                <w:sz w:val="17"/>
                <w:szCs w:val="17"/>
              </w:rPr>
              <w:t>AGL</w:t>
            </w:r>
            <w:r w:rsidRPr="001068ED">
              <w:rPr>
                <w:rFonts w:asciiTheme="majorHAnsi" w:hAnsiTheme="majorHAnsi" w:cstheme="majorHAnsi"/>
                <w:sz w:val="17"/>
                <w:szCs w:val="17"/>
              </w:rPr>
              <w:t xml:space="preserve">, </w:t>
            </w:r>
            <w:r w:rsidRPr="001068ED">
              <w:rPr>
                <w:rFonts w:asciiTheme="majorHAnsi" w:hAnsiTheme="majorHAnsi" w:cstheme="majorHAnsi"/>
                <w:color w:val="7030A0"/>
                <w:sz w:val="17"/>
                <w:szCs w:val="17"/>
              </w:rPr>
              <w:t xml:space="preserve">APGA, APA, ATCO, Epic, Jemena </w:t>
            </w:r>
            <w:r w:rsidRPr="001068ED">
              <w:rPr>
                <w:rFonts w:asciiTheme="majorHAnsi" w:hAnsiTheme="majorHAnsi" w:cstheme="majorHAnsi"/>
                <w:sz w:val="17"/>
                <w:szCs w:val="17"/>
              </w:rPr>
              <w:t xml:space="preserve">and </w:t>
            </w:r>
            <w:r w:rsidRPr="001068ED">
              <w:rPr>
                <w:rFonts w:asciiTheme="majorHAnsi" w:hAnsiTheme="majorHAnsi" w:cstheme="majorHAnsi"/>
                <w:color w:val="7030A0"/>
                <w:sz w:val="17"/>
                <w:szCs w:val="17"/>
              </w:rPr>
              <w:t>TGP</w:t>
            </w:r>
            <w:r w:rsidRPr="001068ED">
              <w:rPr>
                <w:rFonts w:asciiTheme="majorHAnsi" w:hAnsiTheme="majorHAnsi" w:cstheme="majorHAnsi"/>
                <w:sz w:val="17"/>
                <w:szCs w:val="17"/>
              </w:rPr>
              <w:t xml:space="preserve">, on the other hand, were </w:t>
            </w:r>
            <w:r w:rsidRPr="001068ED">
              <w:rPr>
                <w:rFonts w:asciiTheme="majorHAnsi" w:hAnsiTheme="majorHAnsi" w:cstheme="majorHAnsi"/>
                <w:sz w:val="17"/>
                <w:szCs w:val="17"/>
                <w:u w:val="single"/>
              </w:rPr>
              <w:t>opposed</w:t>
            </w:r>
            <w:r w:rsidRPr="001068ED">
              <w:rPr>
                <w:rFonts w:asciiTheme="majorHAnsi" w:hAnsiTheme="majorHAnsi" w:cstheme="majorHAnsi"/>
                <w:sz w:val="17"/>
                <w:szCs w:val="17"/>
              </w:rPr>
              <w:t xml:space="preserve"> to the publication of individual prices, because they were concerned about ‘confidentiality’. Some stakeholders also noted the potential for the publication of this information to affect the incentive service providers may have to offer discounts.</w:t>
            </w:r>
          </w:p>
        </w:tc>
      </w:tr>
      <w:tr w:rsidR="00E577B5" w:rsidRPr="001068ED" w14:paraId="306890D6" w14:textId="77777777" w:rsidTr="00E577B5">
        <w:trPr>
          <w:cnfStyle w:val="000000010000" w:firstRow="0" w:lastRow="0" w:firstColumn="0" w:lastColumn="0" w:oddVBand="0" w:evenVBand="0" w:oddHBand="0" w:evenHBand="1" w:firstRowFirstColumn="0" w:firstRowLastColumn="0" w:lastRowFirstColumn="0" w:lastRowLastColumn="0"/>
          <w:cantSplit/>
          <w:trHeight w:val="279"/>
        </w:trPr>
        <w:tc>
          <w:tcPr>
            <w:tcW w:w="304" w:type="pct"/>
            <w:vMerge/>
            <w:textDirection w:val="btLr"/>
          </w:tcPr>
          <w:p w14:paraId="5BFCB8A7" w14:textId="77777777" w:rsidR="00E577B5" w:rsidRPr="001068ED" w:rsidRDefault="00E577B5" w:rsidP="00E27B17">
            <w:pPr>
              <w:spacing w:before="20" w:after="20" w:line="252" w:lineRule="auto"/>
              <w:jc w:val="center"/>
              <w:rPr>
                <w:rFonts w:asciiTheme="majorHAnsi" w:hAnsiTheme="majorHAnsi" w:cstheme="majorHAnsi"/>
                <w:sz w:val="17"/>
                <w:szCs w:val="17"/>
                <w:lang w:eastAsia="fr-CA"/>
              </w:rPr>
            </w:pPr>
          </w:p>
        </w:tc>
        <w:tc>
          <w:tcPr>
            <w:tcW w:w="254" w:type="pct"/>
            <w:vMerge/>
            <w:tcBorders>
              <w:bottom w:val="single" w:sz="4" w:space="0" w:color="auto"/>
            </w:tcBorders>
            <w:shd w:val="clear" w:color="auto" w:fill="F2F2F2" w:themeFill="background1" w:themeFillShade="F2"/>
          </w:tcPr>
          <w:p w14:paraId="0944C686"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p>
        </w:tc>
        <w:tc>
          <w:tcPr>
            <w:tcW w:w="707" w:type="pct"/>
            <w:tcBorders>
              <w:bottom w:val="single" w:sz="4" w:space="0" w:color="auto"/>
            </w:tcBorders>
            <w:shd w:val="clear" w:color="auto" w:fill="F2F2F2" w:themeFill="background1" w:themeFillShade="F2"/>
          </w:tcPr>
          <w:p w14:paraId="2E80ACB7"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(b) report weighted average prices plus min and max prices</w:t>
            </w:r>
          </w:p>
        </w:tc>
        <w:tc>
          <w:tcPr>
            <w:tcW w:w="3735" w:type="pct"/>
            <w:tcBorders>
              <w:bottom w:val="single" w:sz="4" w:space="0" w:color="auto"/>
            </w:tcBorders>
            <w:shd w:val="clear" w:color="auto" w:fill="F2F2F2" w:themeFill="background1" w:themeFillShade="F2"/>
          </w:tcPr>
          <w:p w14:paraId="196EBE80" w14:textId="77777777" w:rsidR="00E577B5" w:rsidRPr="001068ED" w:rsidRDefault="00E577B5" w:rsidP="00E27B17">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color w:val="0000FF"/>
                <w:sz w:val="17"/>
                <w:szCs w:val="17"/>
              </w:rPr>
              <w:t>Chemistry Australia</w:t>
            </w:r>
            <w:r w:rsidRPr="001068ED">
              <w:rPr>
                <w:rFonts w:asciiTheme="majorHAnsi" w:hAnsiTheme="majorHAnsi" w:cstheme="majorHAnsi"/>
                <w:sz w:val="17"/>
                <w:szCs w:val="17"/>
              </w:rPr>
              <w:t xml:space="preserve">, </w:t>
            </w:r>
            <w:r w:rsidRPr="001068ED">
              <w:rPr>
                <w:rFonts w:asciiTheme="majorHAnsi" w:hAnsiTheme="majorHAnsi" w:cstheme="majorHAnsi"/>
                <w:color w:val="0000FF"/>
                <w:sz w:val="17"/>
                <w:szCs w:val="17"/>
              </w:rPr>
              <w:t>MEU</w:t>
            </w:r>
            <w:r w:rsidRPr="001068ED">
              <w:rPr>
                <w:rFonts w:asciiTheme="majorHAnsi" w:hAnsiTheme="majorHAnsi" w:cstheme="majorHAnsi"/>
                <w:sz w:val="17"/>
                <w:szCs w:val="17"/>
              </w:rPr>
              <w:t>,</w:t>
            </w:r>
            <w:r w:rsidRPr="001068ED">
              <w:rPr>
                <w:rFonts w:asciiTheme="majorHAnsi" w:hAnsiTheme="majorHAnsi" w:cstheme="majorHAnsi"/>
                <w:color w:val="00B0F0"/>
                <w:sz w:val="17"/>
                <w:szCs w:val="17"/>
              </w:rPr>
              <w:t xml:space="preserve"> EnergyAustralia </w:t>
            </w:r>
            <w:r w:rsidRPr="001068ED">
              <w:rPr>
                <w:rFonts w:asciiTheme="majorHAnsi" w:hAnsiTheme="majorHAnsi" w:cstheme="majorHAnsi"/>
                <w:sz w:val="17"/>
                <w:szCs w:val="17"/>
              </w:rPr>
              <w:t xml:space="preserve">and </w:t>
            </w:r>
            <w:r w:rsidRPr="001068ED">
              <w:rPr>
                <w:rFonts w:asciiTheme="majorHAnsi" w:hAnsiTheme="majorHAnsi" w:cstheme="majorHAnsi"/>
                <w:color w:val="7030A0"/>
                <w:sz w:val="17"/>
                <w:szCs w:val="17"/>
              </w:rPr>
              <w:t xml:space="preserve">Epic </w:t>
            </w:r>
            <w:r w:rsidRPr="001068ED">
              <w:rPr>
                <w:rFonts w:asciiTheme="majorHAnsi" w:hAnsiTheme="majorHAnsi" w:cstheme="majorHAnsi"/>
                <w:sz w:val="17"/>
                <w:szCs w:val="17"/>
              </w:rPr>
              <w:t>supported the publication of anonymised minimum and maximum prices along with the weighted average prices.</w:t>
            </w:r>
          </w:p>
          <w:p w14:paraId="488EFC0E" w14:textId="77777777" w:rsidR="00E577B5" w:rsidRPr="001068ED" w:rsidRDefault="00E577B5" w:rsidP="00E27B17">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color w:val="00B0F0"/>
                <w:sz w:val="17"/>
                <w:szCs w:val="17"/>
                <w:lang w:eastAsia="fr-CA"/>
              </w:rPr>
              <w:t>Origin</w:t>
            </w:r>
            <w:r w:rsidRPr="001068ED">
              <w:rPr>
                <w:rFonts w:asciiTheme="majorHAnsi" w:hAnsiTheme="majorHAnsi" w:cstheme="majorHAnsi"/>
                <w:sz w:val="17"/>
                <w:szCs w:val="17"/>
                <w:lang w:eastAsia="fr-CA"/>
              </w:rPr>
              <w:t xml:space="preserve">, on the other hand, was </w:t>
            </w:r>
            <w:r w:rsidRPr="001068ED">
              <w:rPr>
                <w:rFonts w:asciiTheme="majorHAnsi" w:hAnsiTheme="majorHAnsi" w:cstheme="majorHAnsi"/>
                <w:sz w:val="17"/>
                <w:szCs w:val="17"/>
                <w:u w:val="single"/>
                <w:lang w:eastAsia="fr-CA"/>
              </w:rPr>
              <w:t>opposed</w:t>
            </w:r>
            <w:r w:rsidRPr="001068ED">
              <w:rPr>
                <w:rFonts w:asciiTheme="majorHAnsi" w:hAnsiTheme="majorHAnsi" w:cstheme="majorHAnsi"/>
                <w:sz w:val="17"/>
                <w:szCs w:val="17"/>
                <w:lang w:eastAsia="fr-CA"/>
              </w:rPr>
              <w:t xml:space="preserve"> to this proposal because it was concerned that it may be possible to determine who the shipper is. It also noted that the minimum and maximum prices are more likely to reflect non-standard agreements, which could give rise to misleading price expectations. </w:t>
            </w:r>
          </w:p>
        </w:tc>
      </w:tr>
      <w:tr w:rsidR="00E577B5" w:rsidRPr="001068ED" w14:paraId="6CFE5A60" w14:textId="77777777" w:rsidTr="002F27FF">
        <w:trPr>
          <w:cantSplit/>
          <w:trHeight w:val="279"/>
        </w:trPr>
        <w:tc>
          <w:tcPr>
            <w:tcW w:w="304" w:type="pct"/>
            <w:vMerge w:val="restart"/>
            <w:textDirection w:val="btLr"/>
          </w:tcPr>
          <w:p w14:paraId="36891CDD" w14:textId="77777777" w:rsidR="00E577B5" w:rsidRPr="001068ED" w:rsidRDefault="00E577B5" w:rsidP="00E27B17">
            <w:pPr>
              <w:spacing w:before="20" w:after="20" w:line="252" w:lineRule="auto"/>
              <w:jc w:val="center"/>
              <w:rPr>
                <w:rFonts w:asciiTheme="majorHAnsi" w:hAnsiTheme="majorHAnsi" w:cstheme="majorHAnsi"/>
                <w:b/>
                <w:bCs/>
                <w:sz w:val="17"/>
                <w:szCs w:val="17"/>
                <w:lang w:eastAsia="fr-CA"/>
              </w:rPr>
            </w:pPr>
            <w:r w:rsidRPr="001068ED">
              <w:rPr>
                <w:rFonts w:asciiTheme="majorHAnsi" w:hAnsiTheme="majorHAnsi" w:cstheme="majorHAnsi"/>
                <w:b/>
                <w:bCs/>
                <w:sz w:val="17"/>
                <w:szCs w:val="17"/>
                <w:lang w:eastAsia="fr-CA"/>
              </w:rPr>
              <w:t>Deficiencies in pricing methodologies and financial information</w:t>
            </w:r>
          </w:p>
        </w:tc>
        <w:tc>
          <w:tcPr>
            <w:tcW w:w="961" w:type="pct"/>
            <w:gridSpan w:val="2"/>
            <w:tcBorders>
              <w:bottom w:val="single" w:sz="4" w:space="0" w:color="auto"/>
            </w:tcBorders>
            <w:shd w:val="clear" w:color="auto" w:fill="FFFFFF" w:themeFill="background1"/>
          </w:tcPr>
          <w:p w14:paraId="452509D3"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Option A: </w:t>
            </w:r>
            <w:r>
              <w:rPr>
                <w:rFonts w:asciiTheme="majorHAnsi" w:hAnsiTheme="majorHAnsi" w:cstheme="majorHAnsi"/>
                <w:sz w:val="17"/>
                <w:szCs w:val="17"/>
                <w:lang w:eastAsia="fr-CA"/>
              </w:rPr>
              <w:t>S</w:t>
            </w:r>
            <w:r w:rsidRPr="001068ED">
              <w:rPr>
                <w:rFonts w:asciiTheme="majorHAnsi" w:hAnsiTheme="majorHAnsi" w:cstheme="majorHAnsi"/>
                <w:sz w:val="17"/>
                <w:szCs w:val="17"/>
                <w:lang w:eastAsia="fr-CA"/>
              </w:rPr>
              <w:t>tatus quo</w:t>
            </w:r>
          </w:p>
        </w:tc>
        <w:tc>
          <w:tcPr>
            <w:tcW w:w="3735" w:type="pct"/>
            <w:tcBorders>
              <w:bottom w:val="single" w:sz="4" w:space="0" w:color="auto"/>
            </w:tcBorders>
            <w:shd w:val="clear" w:color="auto" w:fill="FFFFFF" w:themeFill="background1"/>
          </w:tcPr>
          <w:p w14:paraId="38F6BEB1" w14:textId="77777777" w:rsidR="00E577B5" w:rsidRPr="001068ED" w:rsidRDefault="00E577B5" w:rsidP="00E27B17">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sz w:val="17"/>
                <w:szCs w:val="17"/>
                <w:lang w:eastAsia="fr-CA"/>
              </w:rPr>
              <w:t>No stakeholders supported the maintenance of the status quo.</w:t>
            </w:r>
          </w:p>
        </w:tc>
      </w:tr>
      <w:tr w:rsidR="00E577B5" w:rsidRPr="001068ED" w14:paraId="12628B25" w14:textId="77777777" w:rsidTr="002F27FF">
        <w:trPr>
          <w:cnfStyle w:val="000000010000" w:firstRow="0" w:lastRow="0" w:firstColumn="0" w:lastColumn="0" w:oddVBand="0" w:evenVBand="0" w:oddHBand="0" w:evenHBand="1" w:firstRowFirstColumn="0" w:firstRowLastColumn="0" w:lastRowFirstColumn="0" w:lastRowLastColumn="0"/>
          <w:cantSplit/>
          <w:trHeight w:val="2337"/>
        </w:trPr>
        <w:tc>
          <w:tcPr>
            <w:tcW w:w="304" w:type="pct"/>
            <w:vMerge/>
          </w:tcPr>
          <w:p w14:paraId="74DDF90D" w14:textId="77777777" w:rsidR="00E577B5" w:rsidRPr="001068ED" w:rsidRDefault="00E577B5" w:rsidP="00E27B17">
            <w:pPr>
              <w:spacing w:before="20" w:after="20" w:line="252" w:lineRule="auto"/>
              <w:rPr>
                <w:rFonts w:asciiTheme="majorHAnsi" w:hAnsiTheme="majorHAnsi" w:cstheme="majorHAnsi"/>
                <w:bCs/>
                <w:sz w:val="17"/>
                <w:szCs w:val="17"/>
              </w:rPr>
            </w:pPr>
          </w:p>
        </w:tc>
        <w:tc>
          <w:tcPr>
            <w:tcW w:w="961" w:type="pct"/>
            <w:gridSpan w:val="2"/>
            <w:shd w:val="clear" w:color="auto" w:fill="F2F2F2" w:themeFill="background1" w:themeFillShade="F2"/>
          </w:tcPr>
          <w:p w14:paraId="02A86262" w14:textId="77777777" w:rsidR="00E577B5" w:rsidRPr="001068ED" w:rsidRDefault="00E577B5" w:rsidP="00E27B17">
            <w:pPr>
              <w:pStyle w:val="TableBodyText"/>
              <w:spacing w:before="20" w:afterLines="20" w:after="48"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Option B: Address deficiencies by requiring:</w:t>
            </w:r>
          </w:p>
          <w:p w14:paraId="10D30A6B" w14:textId="77777777" w:rsidR="00E577B5" w:rsidRPr="001068ED" w:rsidRDefault="00E577B5" w:rsidP="00E27B17">
            <w:pPr>
              <w:pStyle w:val="TableBodyText"/>
              <w:spacing w:before="20" w:afterLines="20" w:after="48"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(a) publication of inputs used to calculate standing prices</w:t>
            </w:r>
          </w:p>
          <w:p w14:paraId="0B4362EC" w14:textId="77777777" w:rsidR="00E577B5" w:rsidRPr="001068ED" w:rsidRDefault="00E577B5" w:rsidP="00E27B17">
            <w:pPr>
              <w:pStyle w:val="TableBodyText"/>
              <w:spacing w:before="20" w:afterLines="20" w:after="48"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(b) the regulator to publish a guide on information to be included in methodology</w:t>
            </w:r>
          </w:p>
          <w:p w14:paraId="3336BD1E" w14:textId="77777777" w:rsidR="00E577B5" w:rsidRPr="001068ED" w:rsidRDefault="00E577B5" w:rsidP="00E27B17">
            <w:pPr>
              <w:pStyle w:val="TableBodyText"/>
              <w:spacing w:before="20" w:afterLines="20" w:after="48"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(c) service providers to report on </w:t>
            </w:r>
            <w:r w:rsidR="00517663">
              <w:rPr>
                <w:rFonts w:asciiTheme="majorHAnsi" w:hAnsiTheme="majorHAnsi" w:cstheme="majorHAnsi"/>
                <w:sz w:val="17"/>
                <w:szCs w:val="17"/>
                <w:lang w:eastAsia="fr-CA"/>
              </w:rPr>
              <w:t>historical demand</w:t>
            </w:r>
            <w:r w:rsidRPr="001068ED">
              <w:rPr>
                <w:rFonts w:asciiTheme="majorHAnsi" w:hAnsiTheme="majorHAnsi" w:cstheme="majorHAnsi"/>
                <w:sz w:val="17"/>
                <w:szCs w:val="17"/>
                <w:lang w:eastAsia="fr-CA"/>
              </w:rPr>
              <w:t xml:space="preserve"> information. </w:t>
            </w:r>
          </w:p>
          <w:p w14:paraId="56020961" w14:textId="77777777" w:rsidR="00E577B5" w:rsidRPr="001068ED" w:rsidRDefault="00E577B5" w:rsidP="00E27B17">
            <w:pPr>
              <w:pStyle w:val="TableBodyText"/>
              <w:spacing w:before="20" w:afterLines="20" w:after="48"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(d) service providers to report on future vs historic costs</w:t>
            </w:r>
          </w:p>
        </w:tc>
        <w:tc>
          <w:tcPr>
            <w:tcW w:w="3735" w:type="pct"/>
            <w:shd w:val="clear" w:color="auto" w:fill="F2F2F2" w:themeFill="background1" w:themeFillShade="F2"/>
          </w:tcPr>
          <w:p w14:paraId="272EB425" w14:textId="77777777" w:rsidR="00E577B5" w:rsidRPr="001068ED" w:rsidRDefault="00E577B5" w:rsidP="00E27B17">
            <w:pPr>
              <w:pStyle w:val="TableBullet10"/>
              <w:spacing w:before="20" w:afterLines="20" w:after="48"/>
              <w:rPr>
                <w:rFonts w:asciiTheme="majorHAnsi" w:hAnsiTheme="majorHAnsi" w:cstheme="majorHAnsi"/>
                <w:sz w:val="17"/>
                <w:szCs w:val="17"/>
              </w:rPr>
            </w:pPr>
            <w:r w:rsidRPr="001068ED">
              <w:rPr>
                <w:rFonts w:asciiTheme="majorHAnsi" w:hAnsiTheme="majorHAnsi" w:cstheme="majorHAnsi"/>
                <w:sz w:val="17"/>
                <w:szCs w:val="17"/>
              </w:rPr>
              <w:t xml:space="preserve">The </w:t>
            </w:r>
            <w:r w:rsidRPr="001068ED">
              <w:rPr>
                <w:rFonts w:asciiTheme="majorHAnsi" w:hAnsiTheme="majorHAnsi" w:cstheme="majorHAnsi"/>
                <w:color w:val="FF0000"/>
                <w:sz w:val="17"/>
                <w:szCs w:val="17"/>
              </w:rPr>
              <w:t>ACCC</w:t>
            </w:r>
            <w:r w:rsidRPr="001068ED">
              <w:rPr>
                <w:rFonts w:asciiTheme="majorHAnsi" w:hAnsiTheme="majorHAnsi" w:cstheme="majorHAnsi"/>
                <w:sz w:val="17"/>
                <w:szCs w:val="17"/>
              </w:rPr>
              <w:t xml:space="preserve">, </w:t>
            </w:r>
            <w:r w:rsidRPr="001068ED">
              <w:rPr>
                <w:rFonts w:asciiTheme="majorHAnsi" w:hAnsiTheme="majorHAnsi" w:cstheme="majorHAnsi"/>
                <w:color w:val="3333FF"/>
                <w:sz w:val="17"/>
                <w:szCs w:val="17"/>
              </w:rPr>
              <w:t>EUAA, NSW BC. Chemistry Australia, MEU, Qenos</w:t>
            </w:r>
            <w:r w:rsidRPr="001068ED">
              <w:rPr>
                <w:rFonts w:asciiTheme="majorHAnsi" w:hAnsiTheme="majorHAnsi" w:cstheme="majorHAnsi"/>
                <w:sz w:val="17"/>
                <w:szCs w:val="17"/>
              </w:rPr>
              <w:t xml:space="preserve">, </w:t>
            </w:r>
            <w:r w:rsidRPr="001068ED">
              <w:rPr>
                <w:rFonts w:asciiTheme="majorHAnsi" w:hAnsiTheme="majorHAnsi" w:cstheme="majorHAnsi"/>
                <w:color w:val="00B0F0"/>
                <w:sz w:val="17"/>
                <w:szCs w:val="17"/>
              </w:rPr>
              <w:t>EnergyAustralia</w:t>
            </w:r>
            <w:r w:rsidRPr="001068ED">
              <w:rPr>
                <w:rFonts w:asciiTheme="majorHAnsi" w:hAnsiTheme="majorHAnsi" w:cstheme="majorHAnsi"/>
                <w:sz w:val="17"/>
                <w:szCs w:val="17"/>
              </w:rPr>
              <w:t xml:space="preserve">, </w:t>
            </w:r>
            <w:r w:rsidRPr="001068ED">
              <w:rPr>
                <w:rFonts w:asciiTheme="majorHAnsi" w:hAnsiTheme="majorHAnsi" w:cstheme="majorHAnsi"/>
                <w:color w:val="CC0066"/>
                <w:sz w:val="17"/>
                <w:szCs w:val="17"/>
              </w:rPr>
              <w:t xml:space="preserve">APLNG </w:t>
            </w:r>
            <w:r w:rsidRPr="001068ED">
              <w:rPr>
                <w:rFonts w:asciiTheme="majorHAnsi" w:hAnsiTheme="majorHAnsi" w:cstheme="majorHAnsi"/>
                <w:sz w:val="17"/>
                <w:szCs w:val="17"/>
              </w:rPr>
              <w:t xml:space="preserve">and </w:t>
            </w:r>
            <w:r w:rsidRPr="001068ED">
              <w:rPr>
                <w:rFonts w:asciiTheme="majorHAnsi" w:hAnsiTheme="majorHAnsi" w:cstheme="majorHAnsi"/>
                <w:color w:val="CC0066"/>
                <w:sz w:val="17"/>
                <w:szCs w:val="17"/>
              </w:rPr>
              <w:t xml:space="preserve">COPA </w:t>
            </w:r>
            <w:r w:rsidRPr="001068ED">
              <w:rPr>
                <w:rFonts w:asciiTheme="majorHAnsi" w:hAnsiTheme="majorHAnsi" w:cstheme="majorHAnsi"/>
                <w:sz w:val="17"/>
                <w:szCs w:val="17"/>
              </w:rPr>
              <w:t>agreed with the deficiencies in the pricing methodologies and financial information identified by the ACCC and Brattle. Of the listed measures:</w:t>
            </w:r>
          </w:p>
          <w:p w14:paraId="45C1A41E" w14:textId="77777777" w:rsidR="00E577B5" w:rsidRPr="001068ED" w:rsidRDefault="00E577B5" w:rsidP="00E27B17">
            <w:pPr>
              <w:pStyle w:val="TableBullet2"/>
              <w:spacing w:before="20" w:afterLines="20" w:after="48"/>
              <w:rPr>
                <w:rFonts w:asciiTheme="majorHAnsi" w:hAnsiTheme="majorHAnsi" w:cstheme="majorHAnsi"/>
                <w:sz w:val="17"/>
                <w:szCs w:val="17"/>
              </w:rPr>
            </w:pPr>
            <w:r w:rsidRPr="001068ED">
              <w:rPr>
                <w:rFonts w:asciiTheme="majorHAnsi" w:hAnsiTheme="majorHAnsi" w:cstheme="majorHAnsi"/>
                <w:sz w:val="17"/>
                <w:szCs w:val="17"/>
              </w:rPr>
              <w:t xml:space="preserve">measure (a) was supported by the </w:t>
            </w:r>
            <w:r w:rsidRPr="001068ED">
              <w:rPr>
                <w:rFonts w:asciiTheme="majorHAnsi" w:hAnsiTheme="majorHAnsi" w:cstheme="majorHAnsi"/>
                <w:color w:val="FF0000"/>
                <w:sz w:val="17"/>
                <w:szCs w:val="17"/>
              </w:rPr>
              <w:t>ACCC</w:t>
            </w:r>
            <w:r w:rsidRPr="001068ED">
              <w:rPr>
                <w:rFonts w:asciiTheme="majorHAnsi" w:hAnsiTheme="majorHAnsi" w:cstheme="majorHAnsi"/>
                <w:sz w:val="17"/>
                <w:szCs w:val="17"/>
              </w:rPr>
              <w:t xml:space="preserve">, </w:t>
            </w:r>
            <w:r w:rsidRPr="001068ED">
              <w:rPr>
                <w:rFonts w:asciiTheme="majorHAnsi" w:hAnsiTheme="majorHAnsi" w:cstheme="majorHAnsi"/>
                <w:color w:val="0000FF"/>
                <w:sz w:val="17"/>
                <w:szCs w:val="17"/>
              </w:rPr>
              <w:t>EUAA, Chemistry Australia, MEU, Qenos</w:t>
            </w:r>
            <w:r w:rsidRPr="001068ED">
              <w:rPr>
                <w:rFonts w:asciiTheme="majorHAnsi" w:hAnsiTheme="majorHAnsi" w:cstheme="majorHAnsi"/>
                <w:sz w:val="17"/>
                <w:szCs w:val="17"/>
              </w:rPr>
              <w:t xml:space="preserve">, </w:t>
            </w:r>
            <w:r w:rsidRPr="001068ED">
              <w:rPr>
                <w:rFonts w:asciiTheme="majorHAnsi" w:hAnsiTheme="majorHAnsi" w:cstheme="majorHAnsi"/>
                <w:color w:val="00B0F0"/>
                <w:sz w:val="17"/>
                <w:szCs w:val="17"/>
              </w:rPr>
              <w:t>EnergyAustralia</w:t>
            </w:r>
            <w:r w:rsidRPr="001068ED">
              <w:rPr>
                <w:rFonts w:asciiTheme="majorHAnsi" w:hAnsiTheme="majorHAnsi" w:cstheme="majorHAnsi"/>
                <w:sz w:val="17"/>
                <w:szCs w:val="17"/>
              </w:rPr>
              <w:t xml:space="preserve">, </w:t>
            </w:r>
            <w:r w:rsidRPr="001068ED">
              <w:rPr>
                <w:rFonts w:asciiTheme="majorHAnsi" w:hAnsiTheme="majorHAnsi" w:cstheme="majorHAnsi"/>
                <w:color w:val="CC0066"/>
                <w:sz w:val="17"/>
                <w:szCs w:val="17"/>
              </w:rPr>
              <w:t>APLNG</w:t>
            </w:r>
            <w:r w:rsidRPr="001068ED">
              <w:rPr>
                <w:rFonts w:asciiTheme="majorHAnsi" w:hAnsiTheme="majorHAnsi" w:cstheme="majorHAnsi"/>
                <w:sz w:val="17"/>
                <w:szCs w:val="17"/>
              </w:rPr>
              <w:t xml:space="preserve"> and </w:t>
            </w:r>
            <w:r w:rsidRPr="001068ED">
              <w:rPr>
                <w:rFonts w:asciiTheme="majorHAnsi" w:hAnsiTheme="majorHAnsi" w:cstheme="majorHAnsi"/>
                <w:color w:val="CC0066"/>
                <w:sz w:val="17"/>
                <w:szCs w:val="17"/>
              </w:rPr>
              <w:t>COPA</w:t>
            </w:r>
            <w:r w:rsidRPr="001068ED">
              <w:rPr>
                <w:rFonts w:asciiTheme="majorHAnsi" w:hAnsiTheme="majorHAnsi" w:cstheme="majorHAnsi"/>
                <w:sz w:val="17"/>
                <w:szCs w:val="17"/>
              </w:rPr>
              <w:t>,.</w:t>
            </w:r>
          </w:p>
          <w:p w14:paraId="30C1E0FA" w14:textId="77777777" w:rsidR="00E577B5" w:rsidRPr="001068ED" w:rsidRDefault="00E577B5" w:rsidP="00E27B17">
            <w:pPr>
              <w:pStyle w:val="TableBullet2"/>
              <w:spacing w:before="20" w:afterLines="20" w:after="48"/>
              <w:rPr>
                <w:rFonts w:asciiTheme="majorHAnsi" w:hAnsiTheme="majorHAnsi" w:cstheme="majorHAnsi"/>
                <w:sz w:val="17"/>
                <w:szCs w:val="17"/>
              </w:rPr>
            </w:pPr>
            <w:r w:rsidRPr="001068ED">
              <w:rPr>
                <w:rFonts w:asciiTheme="majorHAnsi" w:hAnsiTheme="majorHAnsi" w:cstheme="majorHAnsi"/>
                <w:sz w:val="17"/>
                <w:szCs w:val="17"/>
              </w:rPr>
              <w:t xml:space="preserve">measure (b) was supported by the </w:t>
            </w:r>
            <w:r w:rsidRPr="001068ED">
              <w:rPr>
                <w:rFonts w:asciiTheme="majorHAnsi" w:hAnsiTheme="majorHAnsi" w:cstheme="majorHAnsi"/>
                <w:color w:val="FF0000"/>
                <w:sz w:val="17"/>
                <w:szCs w:val="17"/>
              </w:rPr>
              <w:t>ACCC</w:t>
            </w:r>
            <w:r w:rsidRPr="001068ED">
              <w:rPr>
                <w:rFonts w:asciiTheme="majorHAnsi" w:hAnsiTheme="majorHAnsi" w:cstheme="majorHAnsi"/>
                <w:sz w:val="17"/>
                <w:szCs w:val="17"/>
              </w:rPr>
              <w:t xml:space="preserve">, </w:t>
            </w:r>
            <w:r w:rsidRPr="001068ED">
              <w:rPr>
                <w:rFonts w:asciiTheme="majorHAnsi" w:hAnsiTheme="majorHAnsi" w:cstheme="majorHAnsi"/>
                <w:color w:val="0000FF"/>
                <w:sz w:val="17"/>
                <w:szCs w:val="17"/>
              </w:rPr>
              <w:t>EUAA, Chemistry Australia, MEU, Qenos</w:t>
            </w:r>
            <w:r w:rsidRPr="001068ED">
              <w:rPr>
                <w:rFonts w:asciiTheme="majorHAnsi" w:hAnsiTheme="majorHAnsi" w:cstheme="majorHAnsi"/>
                <w:sz w:val="17"/>
                <w:szCs w:val="17"/>
              </w:rPr>
              <w:t xml:space="preserve">, </w:t>
            </w:r>
            <w:r w:rsidRPr="001068ED">
              <w:rPr>
                <w:rFonts w:asciiTheme="majorHAnsi" w:hAnsiTheme="majorHAnsi" w:cstheme="majorHAnsi"/>
                <w:color w:val="00B0F0"/>
                <w:sz w:val="17"/>
                <w:szCs w:val="17"/>
              </w:rPr>
              <w:t>EnergyAustralia</w:t>
            </w:r>
            <w:r w:rsidRPr="001068ED">
              <w:rPr>
                <w:rFonts w:asciiTheme="majorHAnsi" w:hAnsiTheme="majorHAnsi" w:cstheme="majorHAnsi"/>
                <w:sz w:val="17"/>
                <w:szCs w:val="17"/>
              </w:rPr>
              <w:t xml:space="preserve">, </w:t>
            </w:r>
            <w:r w:rsidRPr="001068ED">
              <w:rPr>
                <w:rFonts w:asciiTheme="majorHAnsi" w:hAnsiTheme="majorHAnsi" w:cstheme="majorHAnsi"/>
                <w:color w:val="CC0066"/>
                <w:sz w:val="17"/>
                <w:szCs w:val="17"/>
              </w:rPr>
              <w:t>APLNG,</w:t>
            </w:r>
            <w:r w:rsidRPr="001068ED">
              <w:rPr>
                <w:rFonts w:asciiTheme="majorHAnsi" w:hAnsiTheme="majorHAnsi" w:cstheme="majorHAnsi"/>
                <w:sz w:val="17"/>
                <w:szCs w:val="17"/>
              </w:rPr>
              <w:t xml:space="preserve"> </w:t>
            </w:r>
            <w:r w:rsidRPr="001068ED">
              <w:rPr>
                <w:rFonts w:asciiTheme="majorHAnsi" w:hAnsiTheme="majorHAnsi" w:cstheme="majorHAnsi"/>
                <w:color w:val="CC0066"/>
                <w:sz w:val="17"/>
                <w:szCs w:val="17"/>
              </w:rPr>
              <w:t>COPA</w:t>
            </w:r>
            <w:r w:rsidRPr="001068ED">
              <w:rPr>
                <w:rFonts w:asciiTheme="majorHAnsi" w:hAnsiTheme="majorHAnsi" w:cstheme="majorHAnsi"/>
                <w:sz w:val="17"/>
                <w:szCs w:val="17"/>
              </w:rPr>
              <w:t xml:space="preserve"> and </w:t>
            </w:r>
            <w:r w:rsidRPr="001068ED">
              <w:rPr>
                <w:rFonts w:asciiTheme="majorHAnsi" w:hAnsiTheme="majorHAnsi" w:cstheme="majorHAnsi"/>
                <w:color w:val="7030A0"/>
                <w:sz w:val="17"/>
                <w:szCs w:val="17"/>
              </w:rPr>
              <w:t>ATCO</w:t>
            </w:r>
            <w:r w:rsidRPr="001068ED">
              <w:rPr>
                <w:rFonts w:asciiTheme="majorHAnsi" w:hAnsiTheme="majorHAnsi" w:cstheme="majorHAnsi"/>
                <w:sz w:val="17"/>
                <w:szCs w:val="17"/>
              </w:rPr>
              <w:t>. While Epic noted that a guide may have benefits, it also noted that service providers have used different methods to determine prices and the methodologies may have different inputs.</w:t>
            </w:r>
          </w:p>
          <w:p w14:paraId="18E094A4" w14:textId="77777777" w:rsidR="00E577B5" w:rsidRPr="001068ED" w:rsidRDefault="00E577B5" w:rsidP="00E27B17">
            <w:pPr>
              <w:pStyle w:val="TableBullet2"/>
              <w:spacing w:before="20" w:afterLines="20" w:after="48"/>
              <w:rPr>
                <w:rFonts w:asciiTheme="majorHAnsi" w:hAnsiTheme="majorHAnsi" w:cstheme="majorHAnsi"/>
                <w:sz w:val="17"/>
                <w:szCs w:val="17"/>
              </w:rPr>
            </w:pPr>
            <w:r w:rsidRPr="001068ED">
              <w:rPr>
                <w:rFonts w:asciiTheme="majorHAnsi" w:hAnsiTheme="majorHAnsi" w:cstheme="majorHAnsi"/>
                <w:sz w:val="17"/>
                <w:szCs w:val="17"/>
              </w:rPr>
              <w:t xml:space="preserve">measure (c) was supported by </w:t>
            </w:r>
            <w:r w:rsidRPr="001068ED">
              <w:rPr>
                <w:rFonts w:asciiTheme="majorHAnsi" w:hAnsiTheme="majorHAnsi" w:cstheme="majorHAnsi"/>
                <w:color w:val="FF0000"/>
                <w:sz w:val="17"/>
                <w:szCs w:val="17"/>
              </w:rPr>
              <w:t>ACCC</w:t>
            </w:r>
            <w:r w:rsidRPr="001068ED">
              <w:rPr>
                <w:rFonts w:asciiTheme="majorHAnsi" w:hAnsiTheme="majorHAnsi" w:cstheme="majorHAnsi"/>
                <w:sz w:val="17"/>
                <w:szCs w:val="17"/>
              </w:rPr>
              <w:t xml:space="preserve">, </w:t>
            </w:r>
            <w:r w:rsidRPr="001068ED">
              <w:rPr>
                <w:rFonts w:asciiTheme="majorHAnsi" w:hAnsiTheme="majorHAnsi" w:cstheme="majorHAnsi"/>
                <w:color w:val="0000FF"/>
                <w:sz w:val="17"/>
                <w:szCs w:val="17"/>
              </w:rPr>
              <w:t>EUAA, Chemistry Australia, MEU, Qenos</w:t>
            </w:r>
            <w:r w:rsidRPr="001068ED">
              <w:rPr>
                <w:rFonts w:asciiTheme="majorHAnsi" w:hAnsiTheme="majorHAnsi" w:cstheme="majorHAnsi"/>
                <w:sz w:val="17"/>
                <w:szCs w:val="17"/>
              </w:rPr>
              <w:t xml:space="preserve">, </w:t>
            </w:r>
            <w:r w:rsidRPr="001068ED">
              <w:rPr>
                <w:rFonts w:asciiTheme="majorHAnsi" w:hAnsiTheme="majorHAnsi" w:cstheme="majorHAnsi"/>
                <w:color w:val="00B0F0"/>
                <w:sz w:val="17"/>
                <w:szCs w:val="17"/>
              </w:rPr>
              <w:t>EnergyAustralia</w:t>
            </w:r>
            <w:r w:rsidRPr="001068ED">
              <w:rPr>
                <w:rFonts w:asciiTheme="majorHAnsi" w:hAnsiTheme="majorHAnsi" w:cstheme="majorHAnsi"/>
                <w:sz w:val="17"/>
                <w:szCs w:val="17"/>
              </w:rPr>
              <w:t xml:space="preserve">, </w:t>
            </w:r>
            <w:r w:rsidRPr="001068ED">
              <w:rPr>
                <w:rFonts w:asciiTheme="majorHAnsi" w:hAnsiTheme="majorHAnsi" w:cstheme="majorHAnsi"/>
                <w:color w:val="CC0066"/>
                <w:sz w:val="17"/>
                <w:szCs w:val="17"/>
              </w:rPr>
              <w:t>APLNG</w:t>
            </w:r>
            <w:r w:rsidRPr="001068ED">
              <w:rPr>
                <w:rFonts w:asciiTheme="majorHAnsi" w:hAnsiTheme="majorHAnsi" w:cstheme="majorHAnsi"/>
                <w:sz w:val="17"/>
                <w:szCs w:val="17"/>
              </w:rPr>
              <w:t xml:space="preserve"> and </w:t>
            </w:r>
            <w:r w:rsidRPr="001068ED">
              <w:rPr>
                <w:rFonts w:asciiTheme="majorHAnsi" w:hAnsiTheme="majorHAnsi" w:cstheme="majorHAnsi"/>
                <w:color w:val="CC0066"/>
                <w:sz w:val="17"/>
                <w:szCs w:val="17"/>
              </w:rPr>
              <w:t>COPA</w:t>
            </w:r>
            <w:r w:rsidRPr="001068ED">
              <w:rPr>
                <w:rFonts w:asciiTheme="majorHAnsi" w:hAnsiTheme="majorHAnsi" w:cstheme="majorHAnsi"/>
                <w:sz w:val="17"/>
                <w:szCs w:val="17"/>
              </w:rPr>
              <w:t xml:space="preserve">. </w:t>
            </w:r>
          </w:p>
          <w:p w14:paraId="7AB3056E" w14:textId="77777777" w:rsidR="00E577B5" w:rsidRPr="001068ED" w:rsidRDefault="00E577B5" w:rsidP="00E27B17">
            <w:pPr>
              <w:pStyle w:val="TableBullet10"/>
              <w:spacing w:before="20" w:afterLines="20" w:after="48"/>
              <w:rPr>
                <w:rFonts w:asciiTheme="majorHAnsi" w:hAnsiTheme="majorHAnsi" w:cstheme="majorHAnsi"/>
                <w:sz w:val="17"/>
                <w:szCs w:val="17"/>
                <w:lang w:eastAsia="fr-CA"/>
              </w:rPr>
            </w:pPr>
            <w:r w:rsidRPr="001068ED">
              <w:rPr>
                <w:rFonts w:asciiTheme="majorHAnsi" w:hAnsiTheme="majorHAnsi" w:cstheme="majorHAnsi"/>
                <w:sz w:val="17"/>
                <w:szCs w:val="17"/>
              </w:rPr>
              <w:t xml:space="preserve">Measures (d) was </w:t>
            </w:r>
            <w:r w:rsidRPr="001068ED">
              <w:rPr>
                <w:rFonts w:asciiTheme="majorHAnsi" w:hAnsiTheme="majorHAnsi" w:cstheme="majorHAnsi"/>
                <w:sz w:val="17"/>
                <w:szCs w:val="17"/>
                <w:u w:val="single"/>
              </w:rPr>
              <w:t>opposed</w:t>
            </w:r>
            <w:r w:rsidRPr="001068ED">
              <w:rPr>
                <w:rFonts w:asciiTheme="majorHAnsi" w:hAnsiTheme="majorHAnsi" w:cstheme="majorHAnsi"/>
                <w:sz w:val="17"/>
                <w:szCs w:val="17"/>
              </w:rPr>
              <w:t xml:space="preserve"> by </w:t>
            </w:r>
            <w:r w:rsidRPr="001068ED">
              <w:rPr>
                <w:rFonts w:asciiTheme="majorHAnsi" w:hAnsiTheme="majorHAnsi" w:cstheme="majorHAnsi"/>
                <w:color w:val="7030A0"/>
                <w:sz w:val="17"/>
                <w:szCs w:val="17"/>
              </w:rPr>
              <w:t>APGA</w:t>
            </w:r>
            <w:r w:rsidRPr="001068ED">
              <w:rPr>
                <w:rFonts w:asciiTheme="majorHAnsi" w:hAnsiTheme="majorHAnsi" w:cstheme="majorHAnsi"/>
                <w:sz w:val="17"/>
                <w:szCs w:val="17"/>
              </w:rPr>
              <w:t xml:space="preserve">, </w:t>
            </w:r>
            <w:r w:rsidRPr="001068ED">
              <w:rPr>
                <w:rFonts w:asciiTheme="majorHAnsi" w:hAnsiTheme="majorHAnsi" w:cstheme="majorHAnsi"/>
                <w:color w:val="7030A0"/>
                <w:sz w:val="17"/>
                <w:szCs w:val="17"/>
              </w:rPr>
              <w:t>AGIG</w:t>
            </w:r>
            <w:r w:rsidRPr="001068ED">
              <w:rPr>
                <w:rFonts w:asciiTheme="majorHAnsi" w:hAnsiTheme="majorHAnsi" w:cstheme="majorHAnsi"/>
                <w:sz w:val="17"/>
                <w:szCs w:val="17"/>
              </w:rPr>
              <w:t xml:space="preserve">, </w:t>
            </w:r>
            <w:r w:rsidRPr="001068ED">
              <w:rPr>
                <w:rFonts w:asciiTheme="majorHAnsi" w:hAnsiTheme="majorHAnsi" w:cstheme="majorHAnsi"/>
                <w:color w:val="7030A0"/>
                <w:sz w:val="17"/>
                <w:szCs w:val="17"/>
              </w:rPr>
              <w:t>APA</w:t>
            </w:r>
            <w:r w:rsidRPr="001068ED">
              <w:rPr>
                <w:rFonts w:asciiTheme="majorHAnsi" w:hAnsiTheme="majorHAnsi" w:cstheme="majorHAnsi"/>
                <w:sz w:val="17"/>
                <w:szCs w:val="17"/>
              </w:rPr>
              <w:t xml:space="preserve">, </w:t>
            </w:r>
            <w:r w:rsidRPr="001068ED">
              <w:rPr>
                <w:rFonts w:asciiTheme="majorHAnsi" w:hAnsiTheme="majorHAnsi" w:cstheme="majorHAnsi"/>
                <w:color w:val="7030A0"/>
                <w:sz w:val="17"/>
                <w:szCs w:val="17"/>
              </w:rPr>
              <w:t xml:space="preserve">Epic, Jemena </w:t>
            </w:r>
            <w:r w:rsidRPr="001068ED">
              <w:rPr>
                <w:rFonts w:asciiTheme="majorHAnsi" w:hAnsiTheme="majorHAnsi" w:cstheme="majorHAnsi"/>
                <w:sz w:val="17"/>
                <w:szCs w:val="17"/>
              </w:rPr>
              <w:t xml:space="preserve">and </w:t>
            </w:r>
            <w:r w:rsidRPr="001068ED">
              <w:rPr>
                <w:rFonts w:asciiTheme="majorHAnsi" w:hAnsiTheme="majorHAnsi" w:cstheme="majorHAnsi"/>
                <w:color w:val="7030A0"/>
                <w:sz w:val="17"/>
                <w:szCs w:val="17"/>
              </w:rPr>
              <w:t>TGP</w:t>
            </w:r>
            <w:r w:rsidRPr="001068ED">
              <w:rPr>
                <w:rFonts w:asciiTheme="majorHAnsi" w:hAnsiTheme="majorHAnsi" w:cstheme="majorHAnsi"/>
                <w:sz w:val="17"/>
                <w:szCs w:val="17"/>
              </w:rPr>
              <w:t xml:space="preserve">, with </w:t>
            </w:r>
            <w:r w:rsidRPr="001068ED">
              <w:rPr>
                <w:rFonts w:asciiTheme="majorHAnsi" w:hAnsiTheme="majorHAnsi" w:cstheme="majorHAnsi"/>
                <w:color w:val="7030A0"/>
                <w:sz w:val="17"/>
                <w:szCs w:val="17"/>
              </w:rPr>
              <w:t xml:space="preserve">APA </w:t>
            </w:r>
            <w:r w:rsidRPr="001068ED">
              <w:rPr>
                <w:rFonts w:asciiTheme="majorHAnsi" w:hAnsiTheme="majorHAnsi" w:cstheme="majorHAnsi"/>
                <w:sz w:val="17"/>
                <w:szCs w:val="17"/>
              </w:rPr>
              <w:t xml:space="preserve">noting that any assurance requirements for this information would be problematic and increase the cost of information provision. </w:t>
            </w:r>
          </w:p>
          <w:p w14:paraId="40E45375" w14:textId="77777777" w:rsidR="00E577B5" w:rsidRPr="001068ED" w:rsidRDefault="00E577B5" w:rsidP="00E27B17">
            <w:pPr>
              <w:pStyle w:val="TableBullet10"/>
              <w:spacing w:before="20" w:afterLines="20" w:after="48"/>
              <w:rPr>
                <w:rFonts w:asciiTheme="majorHAnsi" w:hAnsiTheme="majorHAnsi" w:cstheme="majorHAnsi"/>
                <w:sz w:val="17"/>
                <w:szCs w:val="17"/>
                <w:lang w:eastAsia="fr-CA"/>
              </w:rPr>
            </w:pPr>
            <w:r w:rsidRPr="001068ED">
              <w:rPr>
                <w:rFonts w:asciiTheme="majorHAnsi" w:hAnsiTheme="majorHAnsi" w:cstheme="majorHAnsi"/>
                <w:sz w:val="17"/>
                <w:szCs w:val="17"/>
              </w:rPr>
              <w:t xml:space="preserve">In addition to the listed measures, the </w:t>
            </w:r>
            <w:r w:rsidRPr="001068ED">
              <w:rPr>
                <w:rFonts w:asciiTheme="majorHAnsi" w:hAnsiTheme="majorHAnsi" w:cstheme="majorHAnsi"/>
                <w:color w:val="FF0000"/>
                <w:sz w:val="17"/>
                <w:szCs w:val="17"/>
              </w:rPr>
              <w:t>ACCC</w:t>
            </w:r>
            <w:r w:rsidRPr="001068ED">
              <w:rPr>
                <w:rFonts w:asciiTheme="majorHAnsi" w:hAnsiTheme="majorHAnsi" w:cstheme="majorHAnsi"/>
                <w:sz w:val="17"/>
                <w:szCs w:val="17"/>
              </w:rPr>
              <w:t xml:space="preserve">, </w:t>
            </w:r>
            <w:r w:rsidRPr="001068ED">
              <w:rPr>
                <w:rFonts w:asciiTheme="majorHAnsi" w:hAnsiTheme="majorHAnsi" w:cstheme="majorHAnsi"/>
                <w:color w:val="0000FF"/>
                <w:sz w:val="17"/>
                <w:szCs w:val="17"/>
              </w:rPr>
              <w:t>EUAA, Chemistry Australia,</w:t>
            </w:r>
            <w:r w:rsidRPr="001068ED">
              <w:rPr>
                <w:rFonts w:asciiTheme="majorHAnsi" w:hAnsiTheme="majorHAnsi" w:cstheme="majorHAnsi"/>
                <w:color w:val="7030A0"/>
                <w:sz w:val="17"/>
                <w:szCs w:val="17"/>
              </w:rPr>
              <w:t xml:space="preserve"> </w:t>
            </w:r>
            <w:r w:rsidRPr="001068ED">
              <w:rPr>
                <w:rFonts w:asciiTheme="majorHAnsi" w:hAnsiTheme="majorHAnsi" w:cstheme="majorHAnsi"/>
                <w:color w:val="CC0066"/>
                <w:sz w:val="17"/>
                <w:szCs w:val="17"/>
              </w:rPr>
              <w:t>APLNG</w:t>
            </w:r>
            <w:r w:rsidRPr="001068ED">
              <w:rPr>
                <w:rFonts w:asciiTheme="majorHAnsi" w:hAnsiTheme="majorHAnsi" w:cstheme="majorHAnsi"/>
                <w:sz w:val="17"/>
                <w:szCs w:val="17"/>
              </w:rPr>
              <w:t xml:space="preserve"> and </w:t>
            </w:r>
            <w:r w:rsidRPr="001068ED">
              <w:rPr>
                <w:rFonts w:asciiTheme="majorHAnsi" w:hAnsiTheme="majorHAnsi" w:cstheme="majorHAnsi"/>
                <w:color w:val="CC0066"/>
                <w:sz w:val="17"/>
                <w:szCs w:val="17"/>
              </w:rPr>
              <w:t xml:space="preserve">COPA </w:t>
            </w:r>
            <w:r w:rsidRPr="001068ED">
              <w:rPr>
                <w:rFonts w:asciiTheme="majorHAnsi" w:hAnsiTheme="majorHAnsi" w:cstheme="majorHAnsi"/>
                <w:sz w:val="17"/>
                <w:szCs w:val="17"/>
              </w:rPr>
              <w:t>noted that additional measures were required to provide more clarity on cost allocation by service providers for the purposes of financial reporting.</w:t>
            </w:r>
            <w:r w:rsidR="007F0FA4">
              <w:rPr>
                <w:rFonts w:asciiTheme="majorHAnsi" w:hAnsiTheme="majorHAnsi" w:cstheme="majorHAnsi"/>
                <w:sz w:val="17"/>
                <w:szCs w:val="17"/>
              </w:rPr>
              <w:br/>
            </w:r>
            <w:r w:rsidR="003A7CAE">
              <w:rPr>
                <w:rFonts w:asciiTheme="majorHAnsi" w:hAnsiTheme="majorHAnsi" w:cstheme="majorHAnsi"/>
                <w:sz w:val="17"/>
                <w:szCs w:val="17"/>
                <w:lang w:eastAsia="fr-CA"/>
              </w:rPr>
              <w:br/>
            </w:r>
            <w:r w:rsidR="007F0FA4">
              <w:rPr>
                <w:rFonts w:asciiTheme="majorHAnsi" w:hAnsiTheme="majorHAnsi" w:cstheme="majorHAnsi"/>
                <w:sz w:val="17"/>
                <w:szCs w:val="17"/>
                <w:lang w:eastAsia="fr-CA"/>
              </w:rPr>
              <w:br/>
            </w:r>
          </w:p>
        </w:tc>
      </w:tr>
      <w:tr w:rsidR="00E577B5" w:rsidRPr="001068ED" w14:paraId="7E1D0865" w14:textId="77777777" w:rsidTr="002F27FF">
        <w:trPr>
          <w:cantSplit/>
          <w:trHeight w:val="279"/>
        </w:trPr>
        <w:tc>
          <w:tcPr>
            <w:tcW w:w="304" w:type="pct"/>
            <w:vMerge w:val="restart"/>
            <w:shd w:val="clear" w:color="auto" w:fill="FFFFFF" w:themeFill="background1"/>
            <w:textDirection w:val="btLr"/>
          </w:tcPr>
          <w:p w14:paraId="6980C389" w14:textId="77777777" w:rsidR="00E577B5" w:rsidRPr="001068ED" w:rsidRDefault="00E577B5" w:rsidP="00E27B17">
            <w:pPr>
              <w:spacing w:before="20" w:after="20" w:line="252" w:lineRule="auto"/>
              <w:jc w:val="center"/>
              <w:rPr>
                <w:rFonts w:asciiTheme="majorHAnsi" w:hAnsiTheme="majorHAnsi" w:cstheme="majorHAnsi"/>
                <w:b/>
                <w:bCs/>
                <w:sz w:val="17"/>
                <w:szCs w:val="17"/>
                <w:lang w:eastAsia="fr-CA"/>
              </w:rPr>
            </w:pPr>
            <w:r w:rsidRPr="001068ED">
              <w:rPr>
                <w:rFonts w:asciiTheme="majorHAnsi" w:hAnsiTheme="majorHAnsi" w:cstheme="majorHAnsi"/>
                <w:b/>
                <w:bCs/>
                <w:sz w:val="17"/>
                <w:szCs w:val="17"/>
                <w:lang w:eastAsia="fr-CA"/>
              </w:rPr>
              <w:lastRenderedPageBreak/>
              <w:t>Quality and reliability of information</w:t>
            </w:r>
          </w:p>
        </w:tc>
        <w:tc>
          <w:tcPr>
            <w:tcW w:w="961" w:type="pct"/>
            <w:gridSpan w:val="2"/>
            <w:tcBorders>
              <w:bottom w:val="single" w:sz="4" w:space="0" w:color="auto"/>
            </w:tcBorders>
            <w:shd w:val="clear" w:color="auto" w:fill="FFFFFF" w:themeFill="background1"/>
          </w:tcPr>
          <w:p w14:paraId="0BDA4859" w14:textId="77777777" w:rsidR="00E577B5" w:rsidRPr="001068ED" w:rsidRDefault="00E577B5" w:rsidP="00E27B17">
            <w:pPr>
              <w:pStyle w:val="TableBodyText"/>
              <w:keepN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Option A: </w:t>
            </w:r>
            <w:r>
              <w:rPr>
                <w:rFonts w:asciiTheme="majorHAnsi" w:hAnsiTheme="majorHAnsi" w:cstheme="majorHAnsi"/>
                <w:sz w:val="17"/>
                <w:szCs w:val="17"/>
                <w:lang w:eastAsia="fr-CA"/>
              </w:rPr>
              <w:t>S</w:t>
            </w:r>
            <w:r w:rsidRPr="001068ED">
              <w:rPr>
                <w:rFonts w:asciiTheme="majorHAnsi" w:hAnsiTheme="majorHAnsi" w:cstheme="majorHAnsi"/>
                <w:sz w:val="17"/>
                <w:szCs w:val="17"/>
                <w:lang w:eastAsia="fr-CA"/>
              </w:rPr>
              <w:t>tatus quo</w:t>
            </w:r>
          </w:p>
        </w:tc>
        <w:tc>
          <w:tcPr>
            <w:tcW w:w="3735" w:type="pct"/>
            <w:tcBorders>
              <w:bottom w:val="single" w:sz="4" w:space="0" w:color="auto"/>
            </w:tcBorders>
            <w:shd w:val="clear" w:color="auto" w:fill="FFFFFF" w:themeFill="background1"/>
          </w:tcPr>
          <w:p w14:paraId="50162F2F" w14:textId="77777777" w:rsidR="00E577B5" w:rsidRPr="001068ED" w:rsidRDefault="00E577B5" w:rsidP="00E27B17">
            <w:pPr>
              <w:pStyle w:val="TableBullet10"/>
              <w:keepNext/>
              <w:spacing w:before="20" w:after="20"/>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No stakeholders supported the maintenance of the status quo. </w:t>
            </w:r>
          </w:p>
        </w:tc>
      </w:tr>
      <w:tr w:rsidR="00E577B5" w:rsidRPr="001068ED" w14:paraId="2416DA80" w14:textId="77777777" w:rsidTr="002F27FF">
        <w:trPr>
          <w:cnfStyle w:val="000000010000" w:firstRow="0" w:lastRow="0" w:firstColumn="0" w:lastColumn="0" w:oddVBand="0" w:evenVBand="0" w:oddHBand="0" w:evenHBand="1" w:firstRowFirstColumn="0" w:firstRowLastColumn="0" w:lastRowFirstColumn="0" w:lastRowLastColumn="0"/>
          <w:cantSplit/>
          <w:trHeight w:val="403"/>
        </w:trPr>
        <w:tc>
          <w:tcPr>
            <w:tcW w:w="304" w:type="pct"/>
            <w:vMerge/>
            <w:shd w:val="clear" w:color="auto" w:fill="FFFFFF" w:themeFill="background1"/>
          </w:tcPr>
          <w:p w14:paraId="3AD8013B" w14:textId="77777777" w:rsidR="00E577B5" w:rsidRPr="001068ED" w:rsidRDefault="00E577B5" w:rsidP="00E27B17">
            <w:pPr>
              <w:spacing w:before="20" w:after="20" w:line="252" w:lineRule="auto"/>
              <w:rPr>
                <w:rFonts w:asciiTheme="majorHAnsi" w:hAnsiTheme="majorHAnsi" w:cstheme="majorHAnsi"/>
                <w:bCs/>
                <w:sz w:val="17"/>
                <w:szCs w:val="17"/>
              </w:rPr>
            </w:pPr>
          </w:p>
        </w:tc>
        <w:tc>
          <w:tcPr>
            <w:tcW w:w="254" w:type="pct"/>
            <w:vMerge w:val="restart"/>
            <w:shd w:val="clear" w:color="auto" w:fill="F2F2F2" w:themeFill="background1" w:themeFillShade="F2"/>
            <w:textDirection w:val="btLr"/>
          </w:tcPr>
          <w:p w14:paraId="0BB3F5B3" w14:textId="77777777" w:rsidR="00E577B5" w:rsidRPr="001068ED" w:rsidRDefault="00E577B5" w:rsidP="00E27B17">
            <w:pPr>
              <w:pStyle w:val="TableBodyText"/>
              <w:spacing w:before="20" w:after="20" w:line="252" w:lineRule="auto"/>
              <w:jc w:val="center"/>
              <w:rPr>
                <w:rFonts w:asciiTheme="majorHAnsi" w:hAnsiTheme="majorHAnsi" w:cstheme="majorHAnsi"/>
                <w:sz w:val="17"/>
                <w:szCs w:val="17"/>
                <w:lang w:eastAsia="fr-CA"/>
              </w:rPr>
            </w:pPr>
            <w:r w:rsidRPr="001068ED">
              <w:rPr>
                <w:rFonts w:asciiTheme="majorHAnsi" w:hAnsiTheme="majorHAnsi" w:cstheme="majorHAnsi"/>
                <w:sz w:val="17"/>
                <w:szCs w:val="17"/>
                <w:lang w:eastAsia="fr-CA"/>
              </w:rPr>
              <w:t>Option B: Improve quality and reliability by:</w:t>
            </w:r>
          </w:p>
        </w:tc>
        <w:tc>
          <w:tcPr>
            <w:tcW w:w="707" w:type="pct"/>
            <w:shd w:val="clear" w:color="auto" w:fill="F2F2F2" w:themeFill="background1" w:themeFillShade="F2"/>
          </w:tcPr>
          <w:p w14:paraId="11E58F86"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(a) requiring greater regulatory oversight</w:t>
            </w:r>
          </w:p>
        </w:tc>
        <w:tc>
          <w:tcPr>
            <w:tcW w:w="3735" w:type="pct"/>
            <w:shd w:val="clear" w:color="auto" w:fill="F2F2F2" w:themeFill="background1" w:themeFillShade="F2"/>
          </w:tcPr>
          <w:p w14:paraId="2EBFC3B3" w14:textId="77777777" w:rsidR="00E577B5" w:rsidRPr="001068ED" w:rsidRDefault="00E577B5" w:rsidP="00E27B17">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sz w:val="17"/>
                <w:szCs w:val="17"/>
              </w:rPr>
              <w:t xml:space="preserve">This measure was supported by the </w:t>
            </w:r>
            <w:r w:rsidRPr="001068ED">
              <w:rPr>
                <w:rFonts w:asciiTheme="majorHAnsi" w:hAnsiTheme="majorHAnsi" w:cstheme="majorHAnsi"/>
                <w:color w:val="FF0000"/>
                <w:sz w:val="17"/>
                <w:szCs w:val="17"/>
              </w:rPr>
              <w:t>ACCC</w:t>
            </w:r>
            <w:r w:rsidRPr="001068ED">
              <w:rPr>
                <w:rFonts w:asciiTheme="majorHAnsi" w:hAnsiTheme="majorHAnsi" w:cstheme="majorHAnsi"/>
                <w:sz w:val="17"/>
                <w:szCs w:val="17"/>
              </w:rPr>
              <w:t>, Energy Matrix,</w:t>
            </w:r>
            <w:r w:rsidRPr="001068ED">
              <w:rPr>
                <w:rFonts w:asciiTheme="majorHAnsi" w:hAnsiTheme="majorHAnsi" w:cstheme="majorHAnsi"/>
                <w:iCs/>
                <w:sz w:val="17"/>
                <w:szCs w:val="17"/>
              </w:rPr>
              <w:t xml:space="preserve"> </w:t>
            </w:r>
            <w:r w:rsidRPr="001068ED">
              <w:rPr>
                <w:rFonts w:asciiTheme="majorHAnsi" w:hAnsiTheme="majorHAnsi" w:cstheme="majorHAnsi"/>
                <w:iCs/>
                <w:color w:val="3333FF"/>
                <w:sz w:val="17"/>
                <w:szCs w:val="17"/>
              </w:rPr>
              <w:t>EUAA, NSW BC, Chemistry Australia, MEU,</w:t>
            </w:r>
            <w:r w:rsidRPr="001068ED">
              <w:rPr>
                <w:rFonts w:asciiTheme="majorHAnsi" w:hAnsiTheme="majorHAnsi" w:cstheme="majorHAnsi"/>
                <w:iCs/>
                <w:sz w:val="17"/>
                <w:szCs w:val="17"/>
              </w:rPr>
              <w:t xml:space="preserve"> </w:t>
            </w:r>
            <w:r w:rsidRPr="001068ED">
              <w:rPr>
                <w:rFonts w:asciiTheme="majorHAnsi" w:hAnsiTheme="majorHAnsi" w:cstheme="majorHAnsi"/>
                <w:color w:val="3333FF"/>
                <w:sz w:val="17"/>
                <w:szCs w:val="17"/>
              </w:rPr>
              <w:t xml:space="preserve">Qenos, </w:t>
            </w:r>
            <w:r w:rsidRPr="001068ED">
              <w:rPr>
                <w:rFonts w:asciiTheme="majorHAnsi" w:hAnsiTheme="majorHAnsi" w:cstheme="majorHAnsi"/>
                <w:color w:val="00B050"/>
                <w:sz w:val="17"/>
                <w:szCs w:val="17"/>
              </w:rPr>
              <w:t>Energy Matrix</w:t>
            </w:r>
            <w:r w:rsidRPr="001068ED">
              <w:rPr>
                <w:rFonts w:asciiTheme="majorHAnsi" w:hAnsiTheme="majorHAnsi" w:cstheme="majorHAnsi"/>
                <w:sz w:val="17"/>
                <w:szCs w:val="17"/>
              </w:rPr>
              <w:t xml:space="preserve">. </w:t>
            </w:r>
          </w:p>
          <w:p w14:paraId="0DC37077" w14:textId="77777777" w:rsidR="00E577B5" w:rsidRPr="001068ED" w:rsidRDefault="00E577B5" w:rsidP="00E27B17">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color w:val="CC0066"/>
                <w:sz w:val="17"/>
                <w:szCs w:val="17"/>
              </w:rPr>
              <w:t xml:space="preserve">COPA </w:t>
            </w:r>
            <w:r w:rsidRPr="001068ED">
              <w:rPr>
                <w:rFonts w:asciiTheme="majorHAnsi" w:hAnsiTheme="majorHAnsi" w:cstheme="majorHAnsi"/>
                <w:sz w:val="17"/>
                <w:szCs w:val="17"/>
              </w:rPr>
              <w:t xml:space="preserve">and </w:t>
            </w:r>
            <w:r w:rsidRPr="001068ED">
              <w:rPr>
                <w:rFonts w:asciiTheme="majorHAnsi" w:hAnsiTheme="majorHAnsi" w:cstheme="majorHAnsi"/>
                <w:color w:val="CC0066"/>
                <w:sz w:val="17"/>
                <w:szCs w:val="17"/>
              </w:rPr>
              <w:t xml:space="preserve">APLNG </w:t>
            </w:r>
            <w:r w:rsidRPr="001068ED">
              <w:rPr>
                <w:rFonts w:asciiTheme="majorHAnsi" w:hAnsiTheme="majorHAnsi" w:cstheme="majorHAnsi"/>
                <w:sz w:val="17"/>
                <w:szCs w:val="17"/>
              </w:rPr>
              <w:t xml:space="preserve">thought measures (b) and (d) should be implemented first and if necessary, </w:t>
            </w:r>
            <w:r w:rsidR="00946B55">
              <w:rPr>
                <w:rFonts w:asciiTheme="majorHAnsi" w:hAnsiTheme="majorHAnsi" w:cstheme="majorHAnsi"/>
                <w:sz w:val="17"/>
                <w:szCs w:val="17"/>
              </w:rPr>
              <w:t xml:space="preserve">(a) could </w:t>
            </w:r>
            <w:r w:rsidRPr="001068ED">
              <w:rPr>
                <w:rFonts w:asciiTheme="majorHAnsi" w:hAnsiTheme="majorHAnsi" w:cstheme="majorHAnsi"/>
                <w:sz w:val="17"/>
                <w:szCs w:val="17"/>
              </w:rPr>
              <w:t xml:space="preserve">be implemented. </w:t>
            </w:r>
          </w:p>
          <w:p w14:paraId="1DBE2ED1" w14:textId="77777777" w:rsidR="00E577B5" w:rsidRPr="001068ED" w:rsidRDefault="00E577B5" w:rsidP="00E27B17">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color w:val="7030A0"/>
                <w:sz w:val="17"/>
                <w:szCs w:val="17"/>
              </w:rPr>
              <w:t>APGA</w:t>
            </w:r>
            <w:r w:rsidRPr="001068ED">
              <w:rPr>
                <w:rFonts w:asciiTheme="majorHAnsi" w:hAnsiTheme="majorHAnsi" w:cstheme="majorHAnsi"/>
                <w:sz w:val="17"/>
                <w:szCs w:val="17"/>
              </w:rPr>
              <w:t xml:space="preserve">, </w:t>
            </w:r>
            <w:r w:rsidRPr="001068ED">
              <w:rPr>
                <w:rFonts w:asciiTheme="majorHAnsi" w:hAnsiTheme="majorHAnsi" w:cstheme="majorHAnsi"/>
                <w:color w:val="7030A0"/>
                <w:sz w:val="17"/>
                <w:szCs w:val="17"/>
              </w:rPr>
              <w:t xml:space="preserve">Epic </w:t>
            </w:r>
            <w:r w:rsidRPr="001068ED">
              <w:rPr>
                <w:rFonts w:asciiTheme="majorHAnsi" w:hAnsiTheme="majorHAnsi" w:cstheme="majorHAnsi"/>
                <w:sz w:val="17"/>
                <w:szCs w:val="17"/>
              </w:rPr>
              <w:t xml:space="preserve">and </w:t>
            </w:r>
            <w:r w:rsidRPr="001068ED">
              <w:rPr>
                <w:rFonts w:asciiTheme="majorHAnsi" w:hAnsiTheme="majorHAnsi" w:cstheme="majorHAnsi"/>
                <w:color w:val="7030A0"/>
                <w:sz w:val="17"/>
                <w:szCs w:val="17"/>
              </w:rPr>
              <w:t xml:space="preserve">Jemena </w:t>
            </w:r>
            <w:r w:rsidRPr="001068ED">
              <w:rPr>
                <w:rFonts w:asciiTheme="majorHAnsi" w:hAnsiTheme="majorHAnsi" w:cstheme="majorHAnsi"/>
                <w:sz w:val="17"/>
                <w:szCs w:val="17"/>
              </w:rPr>
              <w:t xml:space="preserve">were </w:t>
            </w:r>
            <w:r w:rsidRPr="001068ED">
              <w:rPr>
                <w:rFonts w:asciiTheme="majorHAnsi" w:hAnsiTheme="majorHAnsi" w:cstheme="majorHAnsi"/>
                <w:sz w:val="17"/>
                <w:szCs w:val="17"/>
                <w:u w:val="single"/>
              </w:rPr>
              <w:t>opposed</w:t>
            </w:r>
            <w:r w:rsidRPr="001068ED">
              <w:rPr>
                <w:rFonts w:asciiTheme="majorHAnsi" w:hAnsiTheme="majorHAnsi" w:cstheme="majorHAnsi"/>
                <w:sz w:val="17"/>
                <w:szCs w:val="17"/>
              </w:rPr>
              <w:t xml:space="preserve"> to this measure.</w:t>
            </w:r>
          </w:p>
        </w:tc>
      </w:tr>
      <w:tr w:rsidR="00E577B5" w:rsidRPr="001068ED" w14:paraId="5CCF8DAE" w14:textId="77777777" w:rsidTr="002F27FF">
        <w:trPr>
          <w:cantSplit/>
          <w:trHeight w:val="403"/>
        </w:trPr>
        <w:tc>
          <w:tcPr>
            <w:tcW w:w="304" w:type="pct"/>
            <w:vMerge/>
            <w:shd w:val="clear" w:color="auto" w:fill="FFFFFF" w:themeFill="background1"/>
          </w:tcPr>
          <w:p w14:paraId="1BC91A6C" w14:textId="77777777" w:rsidR="00E577B5" w:rsidRPr="001068ED" w:rsidRDefault="00E577B5" w:rsidP="00E27B17">
            <w:pPr>
              <w:spacing w:before="20" w:after="20" w:line="252" w:lineRule="auto"/>
              <w:rPr>
                <w:rFonts w:asciiTheme="majorHAnsi" w:hAnsiTheme="majorHAnsi" w:cstheme="majorHAnsi"/>
                <w:bCs/>
                <w:sz w:val="17"/>
                <w:szCs w:val="17"/>
              </w:rPr>
            </w:pPr>
          </w:p>
        </w:tc>
        <w:tc>
          <w:tcPr>
            <w:tcW w:w="254" w:type="pct"/>
            <w:vMerge/>
            <w:shd w:val="clear" w:color="auto" w:fill="F2F2F2" w:themeFill="background1" w:themeFillShade="F2"/>
          </w:tcPr>
          <w:p w14:paraId="0D076460"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p>
        </w:tc>
        <w:tc>
          <w:tcPr>
            <w:tcW w:w="707" w:type="pct"/>
            <w:shd w:val="clear" w:color="auto" w:fill="F2F2F2" w:themeFill="background1" w:themeFillShade="F2"/>
          </w:tcPr>
          <w:p w14:paraId="6FA260C2"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(b) amending information standard</w:t>
            </w:r>
          </w:p>
        </w:tc>
        <w:tc>
          <w:tcPr>
            <w:tcW w:w="3735" w:type="pct"/>
            <w:shd w:val="clear" w:color="auto" w:fill="F2F2F2" w:themeFill="background1" w:themeFillShade="F2"/>
          </w:tcPr>
          <w:p w14:paraId="4366E0EC" w14:textId="77777777" w:rsidR="00E577B5" w:rsidRPr="001068ED" w:rsidRDefault="00E577B5" w:rsidP="00E27B17">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sz w:val="17"/>
                <w:szCs w:val="17"/>
              </w:rPr>
              <w:t xml:space="preserve">This measure was supported by the </w:t>
            </w:r>
            <w:r w:rsidRPr="001068ED">
              <w:rPr>
                <w:rFonts w:asciiTheme="majorHAnsi" w:hAnsiTheme="majorHAnsi" w:cstheme="majorHAnsi"/>
                <w:color w:val="FF0000"/>
                <w:sz w:val="17"/>
                <w:szCs w:val="17"/>
              </w:rPr>
              <w:t>ACCC</w:t>
            </w:r>
            <w:r w:rsidRPr="001068ED">
              <w:rPr>
                <w:rFonts w:asciiTheme="majorHAnsi" w:hAnsiTheme="majorHAnsi" w:cstheme="majorHAnsi"/>
                <w:sz w:val="17"/>
                <w:szCs w:val="17"/>
              </w:rPr>
              <w:t xml:space="preserve">, </w:t>
            </w:r>
            <w:r w:rsidRPr="001068ED">
              <w:rPr>
                <w:rFonts w:asciiTheme="majorHAnsi" w:hAnsiTheme="majorHAnsi" w:cstheme="majorHAnsi"/>
                <w:iCs/>
                <w:color w:val="3333FF"/>
                <w:sz w:val="17"/>
                <w:szCs w:val="17"/>
              </w:rPr>
              <w:t>EUAA, NSW BC, Chemistry Australia</w:t>
            </w:r>
            <w:r w:rsidRPr="001068ED">
              <w:rPr>
                <w:rFonts w:asciiTheme="majorHAnsi" w:hAnsiTheme="majorHAnsi" w:cstheme="majorHAnsi"/>
                <w:iCs/>
                <w:sz w:val="17"/>
                <w:szCs w:val="17"/>
              </w:rPr>
              <w:t xml:space="preserve">, </w:t>
            </w:r>
            <w:r w:rsidRPr="001068ED">
              <w:rPr>
                <w:rFonts w:asciiTheme="majorHAnsi" w:hAnsiTheme="majorHAnsi" w:cstheme="majorHAnsi"/>
                <w:iCs/>
                <w:color w:val="3333FF"/>
                <w:sz w:val="17"/>
                <w:szCs w:val="17"/>
              </w:rPr>
              <w:t>MEU</w:t>
            </w:r>
            <w:r w:rsidRPr="001068ED">
              <w:rPr>
                <w:rFonts w:asciiTheme="majorHAnsi" w:hAnsiTheme="majorHAnsi" w:cstheme="majorHAnsi"/>
                <w:iCs/>
                <w:sz w:val="17"/>
                <w:szCs w:val="17"/>
              </w:rPr>
              <w:t xml:space="preserve">, </w:t>
            </w:r>
            <w:r w:rsidRPr="001068ED">
              <w:rPr>
                <w:rFonts w:asciiTheme="majorHAnsi" w:hAnsiTheme="majorHAnsi" w:cstheme="majorHAnsi"/>
                <w:color w:val="3333FF"/>
                <w:sz w:val="17"/>
                <w:szCs w:val="17"/>
              </w:rPr>
              <w:t>Qenos</w:t>
            </w:r>
            <w:r w:rsidRPr="001068ED">
              <w:rPr>
                <w:rFonts w:asciiTheme="majorHAnsi" w:hAnsiTheme="majorHAnsi" w:cstheme="majorHAnsi"/>
                <w:sz w:val="17"/>
                <w:szCs w:val="17"/>
              </w:rPr>
              <w:t xml:space="preserve">, </w:t>
            </w:r>
            <w:r w:rsidRPr="001068ED">
              <w:rPr>
                <w:rFonts w:asciiTheme="majorHAnsi" w:hAnsiTheme="majorHAnsi" w:cstheme="majorHAnsi"/>
                <w:color w:val="CC0066"/>
                <w:sz w:val="17"/>
                <w:szCs w:val="17"/>
              </w:rPr>
              <w:t>APLNG</w:t>
            </w:r>
            <w:r w:rsidRPr="001068ED">
              <w:rPr>
                <w:rFonts w:asciiTheme="majorHAnsi" w:hAnsiTheme="majorHAnsi" w:cstheme="majorHAnsi"/>
                <w:sz w:val="17"/>
                <w:szCs w:val="17"/>
              </w:rPr>
              <w:t xml:space="preserve">, </w:t>
            </w:r>
            <w:r w:rsidRPr="001068ED">
              <w:rPr>
                <w:rFonts w:asciiTheme="majorHAnsi" w:hAnsiTheme="majorHAnsi" w:cstheme="majorHAnsi"/>
                <w:color w:val="CC0066"/>
                <w:sz w:val="17"/>
                <w:szCs w:val="17"/>
              </w:rPr>
              <w:t>COPA</w:t>
            </w:r>
            <w:r w:rsidRPr="001068ED">
              <w:rPr>
                <w:rFonts w:asciiTheme="majorHAnsi" w:hAnsiTheme="majorHAnsi" w:cstheme="majorHAnsi"/>
                <w:sz w:val="17"/>
                <w:szCs w:val="17"/>
              </w:rPr>
              <w:t xml:space="preserve">, </w:t>
            </w:r>
            <w:r w:rsidRPr="001068ED">
              <w:rPr>
                <w:rFonts w:asciiTheme="majorHAnsi" w:hAnsiTheme="majorHAnsi" w:cstheme="majorHAnsi"/>
                <w:color w:val="00B050"/>
                <w:sz w:val="17"/>
                <w:szCs w:val="17"/>
              </w:rPr>
              <w:t>Energy Matrix</w:t>
            </w:r>
            <w:r w:rsidRPr="001068ED">
              <w:rPr>
                <w:rFonts w:asciiTheme="majorHAnsi" w:hAnsiTheme="majorHAnsi" w:cstheme="majorHAnsi"/>
                <w:sz w:val="17"/>
                <w:szCs w:val="17"/>
              </w:rPr>
              <w:t xml:space="preserve">, </w:t>
            </w:r>
            <w:r w:rsidRPr="001068ED">
              <w:rPr>
                <w:rFonts w:asciiTheme="majorHAnsi" w:hAnsiTheme="majorHAnsi" w:cstheme="majorHAnsi"/>
                <w:color w:val="7030A0"/>
                <w:sz w:val="17"/>
                <w:szCs w:val="17"/>
              </w:rPr>
              <w:t>Epic</w:t>
            </w:r>
            <w:r w:rsidRPr="001068ED">
              <w:rPr>
                <w:rFonts w:asciiTheme="majorHAnsi" w:hAnsiTheme="majorHAnsi" w:cstheme="majorHAnsi"/>
                <w:sz w:val="17"/>
                <w:szCs w:val="17"/>
              </w:rPr>
              <w:t xml:space="preserve">, </w:t>
            </w:r>
            <w:r w:rsidRPr="001068ED">
              <w:rPr>
                <w:rFonts w:asciiTheme="majorHAnsi" w:hAnsiTheme="majorHAnsi" w:cstheme="majorHAnsi"/>
                <w:color w:val="7030A0"/>
                <w:sz w:val="17"/>
                <w:szCs w:val="17"/>
              </w:rPr>
              <w:t xml:space="preserve">APGA </w:t>
            </w:r>
            <w:r w:rsidRPr="001068ED">
              <w:rPr>
                <w:rFonts w:asciiTheme="majorHAnsi" w:hAnsiTheme="majorHAnsi" w:cstheme="majorHAnsi"/>
                <w:sz w:val="17"/>
                <w:szCs w:val="17"/>
              </w:rPr>
              <w:t xml:space="preserve">and </w:t>
            </w:r>
            <w:r w:rsidRPr="001068ED">
              <w:rPr>
                <w:rFonts w:asciiTheme="majorHAnsi" w:hAnsiTheme="majorHAnsi" w:cstheme="majorHAnsi"/>
                <w:color w:val="7030A0"/>
                <w:sz w:val="17"/>
                <w:szCs w:val="17"/>
              </w:rPr>
              <w:t>AGIG</w:t>
            </w:r>
            <w:r w:rsidRPr="001068ED">
              <w:rPr>
                <w:rFonts w:asciiTheme="majorHAnsi" w:hAnsiTheme="majorHAnsi" w:cstheme="majorHAnsi"/>
                <w:sz w:val="17"/>
                <w:szCs w:val="17"/>
              </w:rPr>
              <w:t xml:space="preserve">. The latter two of these stakeholders were, however, of the view that there should still be a materiality element to the standard, which </w:t>
            </w:r>
            <w:r w:rsidRPr="001068ED">
              <w:rPr>
                <w:rFonts w:asciiTheme="majorHAnsi" w:hAnsiTheme="majorHAnsi" w:cstheme="majorHAnsi"/>
                <w:color w:val="7030A0"/>
                <w:sz w:val="17"/>
                <w:szCs w:val="17"/>
              </w:rPr>
              <w:t xml:space="preserve">AGIG </w:t>
            </w:r>
            <w:r w:rsidRPr="001068ED">
              <w:rPr>
                <w:rFonts w:asciiTheme="majorHAnsi" w:hAnsiTheme="majorHAnsi" w:cstheme="majorHAnsi"/>
                <w:sz w:val="17"/>
                <w:szCs w:val="17"/>
              </w:rPr>
              <w:t xml:space="preserve">suggested be linked to accounting standards. </w:t>
            </w:r>
          </w:p>
        </w:tc>
      </w:tr>
      <w:tr w:rsidR="00E577B5" w:rsidRPr="001068ED" w14:paraId="156F3982" w14:textId="77777777" w:rsidTr="002F27FF">
        <w:trPr>
          <w:cnfStyle w:val="000000010000" w:firstRow="0" w:lastRow="0" w:firstColumn="0" w:lastColumn="0" w:oddVBand="0" w:evenVBand="0" w:oddHBand="0" w:evenHBand="1" w:firstRowFirstColumn="0" w:firstRowLastColumn="0" w:lastRowFirstColumn="0" w:lastRowLastColumn="0"/>
          <w:cantSplit/>
          <w:trHeight w:val="403"/>
        </w:trPr>
        <w:tc>
          <w:tcPr>
            <w:tcW w:w="304" w:type="pct"/>
            <w:vMerge/>
            <w:shd w:val="clear" w:color="auto" w:fill="FFFFFF" w:themeFill="background1"/>
          </w:tcPr>
          <w:p w14:paraId="217B4526" w14:textId="77777777" w:rsidR="00E577B5" w:rsidRPr="001068ED" w:rsidRDefault="00E577B5" w:rsidP="00E27B17">
            <w:pPr>
              <w:spacing w:before="20" w:after="20" w:line="252" w:lineRule="auto"/>
              <w:rPr>
                <w:rFonts w:asciiTheme="majorHAnsi" w:hAnsiTheme="majorHAnsi" w:cstheme="majorHAnsi"/>
                <w:bCs/>
                <w:sz w:val="17"/>
                <w:szCs w:val="17"/>
              </w:rPr>
            </w:pPr>
          </w:p>
        </w:tc>
        <w:tc>
          <w:tcPr>
            <w:tcW w:w="254" w:type="pct"/>
            <w:vMerge/>
            <w:shd w:val="clear" w:color="auto" w:fill="F2F2F2" w:themeFill="background1" w:themeFillShade="F2"/>
          </w:tcPr>
          <w:p w14:paraId="11187CBA"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p>
        </w:tc>
        <w:tc>
          <w:tcPr>
            <w:tcW w:w="707" w:type="pct"/>
            <w:shd w:val="clear" w:color="auto" w:fill="F2F2F2" w:themeFill="background1" w:themeFillShade="F2"/>
          </w:tcPr>
          <w:p w14:paraId="7375AEB4"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(c) increasing penalties</w:t>
            </w:r>
          </w:p>
        </w:tc>
        <w:tc>
          <w:tcPr>
            <w:tcW w:w="3735" w:type="pct"/>
            <w:shd w:val="clear" w:color="auto" w:fill="F2F2F2" w:themeFill="background1" w:themeFillShade="F2"/>
          </w:tcPr>
          <w:p w14:paraId="04BC2602" w14:textId="77777777" w:rsidR="00E577B5" w:rsidRPr="001068ED" w:rsidRDefault="00E577B5" w:rsidP="00E27B17">
            <w:pPr>
              <w:pStyle w:val="TableBullet10"/>
              <w:spacing w:before="20" w:after="20"/>
              <w:rPr>
                <w:rFonts w:asciiTheme="majorHAnsi" w:hAnsiTheme="majorHAnsi" w:cstheme="majorHAnsi"/>
                <w:sz w:val="17"/>
                <w:szCs w:val="17"/>
              </w:rPr>
            </w:pPr>
            <w:r w:rsidRPr="001068ED">
              <w:rPr>
                <w:rFonts w:asciiTheme="majorHAnsi" w:hAnsiTheme="majorHAnsi" w:cstheme="majorHAnsi"/>
                <w:sz w:val="17"/>
                <w:szCs w:val="17"/>
              </w:rPr>
              <w:t xml:space="preserve">This measure was supported by the </w:t>
            </w:r>
            <w:r w:rsidRPr="001068ED">
              <w:rPr>
                <w:rFonts w:asciiTheme="majorHAnsi" w:hAnsiTheme="majorHAnsi" w:cstheme="majorHAnsi"/>
                <w:color w:val="FF0000"/>
                <w:sz w:val="17"/>
                <w:szCs w:val="17"/>
              </w:rPr>
              <w:t>ACCC</w:t>
            </w:r>
            <w:r w:rsidRPr="001068ED">
              <w:rPr>
                <w:rFonts w:asciiTheme="majorHAnsi" w:hAnsiTheme="majorHAnsi" w:cstheme="majorHAnsi"/>
                <w:sz w:val="17"/>
                <w:szCs w:val="17"/>
              </w:rPr>
              <w:t xml:space="preserve">, </w:t>
            </w:r>
            <w:r w:rsidRPr="001068ED">
              <w:rPr>
                <w:rFonts w:asciiTheme="majorHAnsi" w:hAnsiTheme="majorHAnsi" w:cstheme="majorHAnsi"/>
                <w:iCs/>
                <w:color w:val="3333FF"/>
                <w:sz w:val="17"/>
                <w:szCs w:val="17"/>
              </w:rPr>
              <w:t xml:space="preserve">EUAA, NSW BC, Chemistry Australia, MEU, </w:t>
            </w:r>
            <w:r w:rsidRPr="001068ED">
              <w:rPr>
                <w:rFonts w:asciiTheme="majorHAnsi" w:hAnsiTheme="majorHAnsi" w:cstheme="majorHAnsi"/>
                <w:color w:val="3333FF"/>
                <w:sz w:val="17"/>
                <w:szCs w:val="17"/>
              </w:rPr>
              <w:t xml:space="preserve">Qenos </w:t>
            </w:r>
            <w:r w:rsidRPr="001068ED">
              <w:rPr>
                <w:rFonts w:asciiTheme="majorHAnsi" w:hAnsiTheme="majorHAnsi" w:cstheme="majorHAnsi"/>
                <w:sz w:val="17"/>
                <w:szCs w:val="17"/>
              </w:rPr>
              <w:t xml:space="preserve">and </w:t>
            </w:r>
            <w:r w:rsidRPr="001068ED">
              <w:rPr>
                <w:rFonts w:asciiTheme="majorHAnsi" w:hAnsiTheme="majorHAnsi" w:cstheme="majorHAnsi"/>
                <w:color w:val="00B050"/>
                <w:sz w:val="17"/>
                <w:szCs w:val="17"/>
              </w:rPr>
              <w:t>Energy Matrix</w:t>
            </w:r>
            <w:r w:rsidRPr="001068ED">
              <w:rPr>
                <w:rFonts w:asciiTheme="majorHAnsi" w:hAnsiTheme="majorHAnsi" w:cstheme="majorHAnsi"/>
                <w:sz w:val="17"/>
                <w:szCs w:val="17"/>
              </w:rPr>
              <w:t xml:space="preserve">. </w:t>
            </w:r>
          </w:p>
          <w:p w14:paraId="410ABC85" w14:textId="77777777" w:rsidR="00E577B5" w:rsidRPr="001068ED" w:rsidRDefault="00E577B5" w:rsidP="00E27B17">
            <w:pPr>
              <w:pStyle w:val="TableBullet10"/>
              <w:spacing w:before="20" w:after="20"/>
              <w:rPr>
                <w:rFonts w:asciiTheme="majorHAnsi" w:hAnsiTheme="majorHAnsi" w:cstheme="majorHAnsi"/>
                <w:sz w:val="17"/>
                <w:szCs w:val="17"/>
              </w:rPr>
            </w:pPr>
            <w:r w:rsidRPr="001068ED">
              <w:rPr>
                <w:rFonts w:asciiTheme="majorHAnsi" w:hAnsiTheme="majorHAnsi" w:cstheme="majorHAnsi"/>
                <w:color w:val="7030A0"/>
                <w:sz w:val="17"/>
                <w:szCs w:val="17"/>
              </w:rPr>
              <w:t xml:space="preserve">Epic </w:t>
            </w:r>
            <w:r w:rsidRPr="001068ED">
              <w:rPr>
                <w:rFonts w:asciiTheme="majorHAnsi" w:hAnsiTheme="majorHAnsi" w:cstheme="majorHAnsi"/>
                <w:sz w:val="17"/>
                <w:szCs w:val="17"/>
              </w:rPr>
              <w:t xml:space="preserve">also supported this measure where a service provider demonstrates a consistent pattern of disregard for the rules. </w:t>
            </w:r>
          </w:p>
          <w:p w14:paraId="53EF1115" w14:textId="77777777" w:rsidR="00E577B5" w:rsidRPr="001068ED" w:rsidRDefault="00E577B5" w:rsidP="00E27B17">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color w:val="7030A0"/>
                <w:sz w:val="17"/>
                <w:szCs w:val="17"/>
              </w:rPr>
              <w:t xml:space="preserve">APGA </w:t>
            </w:r>
            <w:r w:rsidRPr="001068ED">
              <w:rPr>
                <w:rFonts w:asciiTheme="majorHAnsi" w:hAnsiTheme="majorHAnsi" w:cstheme="majorHAnsi"/>
                <w:sz w:val="17"/>
                <w:szCs w:val="17"/>
              </w:rPr>
              <w:t xml:space="preserve">and </w:t>
            </w:r>
            <w:r w:rsidRPr="001068ED">
              <w:rPr>
                <w:rFonts w:asciiTheme="majorHAnsi" w:hAnsiTheme="majorHAnsi" w:cstheme="majorHAnsi"/>
                <w:color w:val="7030A0"/>
                <w:sz w:val="17"/>
                <w:szCs w:val="17"/>
              </w:rPr>
              <w:t xml:space="preserve">Jemena </w:t>
            </w:r>
            <w:r w:rsidRPr="001068ED">
              <w:rPr>
                <w:rFonts w:asciiTheme="majorHAnsi" w:hAnsiTheme="majorHAnsi" w:cstheme="majorHAnsi"/>
                <w:sz w:val="17"/>
                <w:szCs w:val="17"/>
              </w:rPr>
              <w:t xml:space="preserve">were </w:t>
            </w:r>
            <w:r w:rsidRPr="001068ED">
              <w:rPr>
                <w:rFonts w:asciiTheme="majorHAnsi" w:hAnsiTheme="majorHAnsi" w:cstheme="majorHAnsi"/>
                <w:sz w:val="17"/>
                <w:szCs w:val="17"/>
                <w:u w:val="single"/>
              </w:rPr>
              <w:t>opposed</w:t>
            </w:r>
            <w:r w:rsidRPr="001068ED">
              <w:rPr>
                <w:rFonts w:asciiTheme="majorHAnsi" w:hAnsiTheme="majorHAnsi" w:cstheme="majorHAnsi"/>
                <w:sz w:val="17"/>
                <w:szCs w:val="17"/>
              </w:rPr>
              <w:t xml:space="preserve"> to this measure, while </w:t>
            </w:r>
            <w:r w:rsidRPr="001068ED">
              <w:rPr>
                <w:rFonts w:asciiTheme="majorHAnsi" w:hAnsiTheme="majorHAnsi" w:cstheme="majorHAnsi"/>
                <w:color w:val="CC0066"/>
                <w:sz w:val="17"/>
                <w:szCs w:val="17"/>
              </w:rPr>
              <w:t xml:space="preserve">COPA </w:t>
            </w:r>
            <w:r w:rsidRPr="001068ED">
              <w:rPr>
                <w:rFonts w:asciiTheme="majorHAnsi" w:hAnsiTheme="majorHAnsi" w:cstheme="majorHAnsi"/>
                <w:sz w:val="17"/>
                <w:szCs w:val="17"/>
              </w:rPr>
              <w:t xml:space="preserve">thought this measure should be implemented as a last resort if the current issues are not addressed. </w:t>
            </w:r>
          </w:p>
        </w:tc>
      </w:tr>
      <w:tr w:rsidR="00E577B5" w:rsidRPr="001068ED" w14:paraId="7A427AD6" w14:textId="77777777" w:rsidTr="002F27FF">
        <w:trPr>
          <w:cantSplit/>
          <w:trHeight w:val="403"/>
        </w:trPr>
        <w:tc>
          <w:tcPr>
            <w:tcW w:w="304" w:type="pct"/>
            <w:vMerge/>
            <w:shd w:val="clear" w:color="auto" w:fill="FFFFFF" w:themeFill="background1"/>
          </w:tcPr>
          <w:p w14:paraId="66FDF2C3" w14:textId="77777777" w:rsidR="00E577B5" w:rsidRPr="001068ED" w:rsidRDefault="00E577B5" w:rsidP="00E27B17">
            <w:pPr>
              <w:spacing w:before="20" w:after="20" w:line="252" w:lineRule="auto"/>
              <w:rPr>
                <w:rFonts w:asciiTheme="majorHAnsi" w:hAnsiTheme="majorHAnsi" w:cstheme="majorHAnsi"/>
                <w:bCs/>
                <w:sz w:val="17"/>
                <w:szCs w:val="17"/>
              </w:rPr>
            </w:pPr>
          </w:p>
        </w:tc>
        <w:tc>
          <w:tcPr>
            <w:tcW w:w="254" w:type="pct"/>
            <w:vMerge/>
            <w:tcBorders>
              <w:bottom w:val="single" w:sz="4" w:space="0" w:color="auto"/>
            </w:tcBorders>
            <w:shd w:val="clear" w:color="auto" w:fill="F2F2F2" w:themeFill="background1" w:themeFillShade="F2"/>
          </w:tcPr>
          <w:p w14:paraId="37570812"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p>
        </w:tc>
        <w:tc>
          <w:tcPr>
            <w:tcW w:w="707" w:type="pct"/>
            <w:tcBorders>
              <w:bottom w:val="single" w:sz="4" w:space="0" w:color="auto"/>
            </w:tcBorders>
            <w:shd w:val="clear" w:color="auto" w:fill="F2F2F2" w:themeFill="background1" w:themeFillShade="F2"/>
          </w:tcPr>
          <w:p w14:paraId="20DD5D3A"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(d) implement changes to </w:t>
            </w:r>
            <w:r w:rsidR="00996793">
              <w:rPr>
                <w:rFonts w:asciiTheme="majorHAnsi" w:hAnsiTheme="majorHAnsi" w:cstheme="majorHAnsi"/>
                <w:sz w:val="17"/>
                <w:szCs w:val="17"/>
                <w:lang w:eastAsia="fr-CA"/>
              </w:rPr>
              <w:t>the f</w:t>
            </w:r>
            <w:r w:rsidRPr="001068ED">
              <w:rPr>
                <w:rFonts w:asciiTheme="majorHAnsi" w:hAnsiTheme="majorHAnsi" w:cstheme="majorHAnsi"/>
                <w:sz w:val="17"/>
                <w:szCs w:val="17"/>
                <w:lang w:eastAsia="fr-CA"/>
              </w:rPr>
              <w:t xml:space="preserve">inancial </w:t>
            </w:r>
            <w:r w:rsidR="00996793">
              <w:rPr>
                <w:rFonts w:asciiTheme="majorHAnsi" w:hAnsiTheme="majorHAnsi" w:cstheme="majorHAnsi"/>
                <w:sz w:val="17"/>
                <w:szCs w:val="17"/>
                <w:lang w:eastAsia="fr-CA"/>
              </w:rPr>
              <w:t>r</w:t>
            </w:r>
            <w:r w:rsidRPr="001068ED">
              <w:rPr>
                <w:rFonts w:asciiTheme="majorHAnsi" w:hAnsiTheme="majorHAnsi" w:cstheme="majorHAnsi"/>
                <w:sz w:val="17"/>
                <w:szCs w:val="17"/>
                <w:lang w:eastAsia="fr-CA"/>
              </w:rPr>
              <w:t xml:space="preserve">eporting </w:t>
            </w:r>
            <w:r w:rsidR="00996793">
              <w:rPr>
                <w:rFonts w:asciiTheme="majorHAnsi" w:hAnsiTheme="majorHAnsi" w:cstheme="majorHAnsi"/>
                <w:sz w:val="17"/>
                <w:szCs w:val="17"/>
                <w:lang w:eastAsia="fr-CA"/>
              </w:rPr>
              <w:t>g</w:t>
            </w:r>
            <w:r w:rsidRPr="001068ED">
              <w:rPr>
                <w:rFonts w:asciiTheme="majorHAnsi" w:hAnsiTheme="majorHAnsi" w:cstheme="majorHAnsi"/>
                <w:sz w:val="17"/>
                <w:szCs w:val="17"/>
                <w:lang w:eastAsia="fr-CA"/>
              </w:rPr>
              <w:t xml:space="preserve">uideline. </w:t>
            </w:r>
          </w:p>
        </w:tc>
        <w:tc>
          <w:tcPr>
            <w:tcW w:w="3735" w:type="pct"/>
            <w:tcBorders>
              <w:bottom w:val="single" w:sz="4" w:space="0" w:color="auto"/>
            </w:tcBorders>
            <w:shd w:val="clear" w:color="auto" w:fill="F2F2F2" w:themeFill="background1" w:themeFillShade="F2"/>
          </w:tcPr>
          <w:p w14:paraId="674E46DF" w14:textId="77777777" w:rsidR="00E577B5" w:rsidRPr="00946B55" w:rsidRDefault="00E577B5" w:rsidP="00004D3B">
            <w:pPr>
              <w:pStyle w:val="TableBullet10"/>
              <w:spacing w:before="20" w:after="20"/>
              <w:rPr>
                <w:rFonts w:asciiTheme="majorHAnsi" w:hAnsiTheme="majorHAnsi" w:cstheme="majorHAnsi"/>
                <w:sz w:val="17"/>
                <w:szCs w:val="17"/>
              </w:rPr>
            </w:pPr>
            <w:r w:rsidRPr="00946B55">
              <w:rPr>
                <w:rFonts w:asciiTheme="majorHAnsi" w:hAnsiTheme="majorHAnsi" w:cstheme="majorHAnsi"/>
                <w:sz w:val="17"/>
                <w:szCs w:val="17"/>
              </w:rPr>
              <w:t xml:space="preserve">This measure was supported by the </w:t>
            </w:r>
            <w:r w:rsidRPr="00946B55">
              <w:rPr>
                <w:rFonts w:asciiTheme="majorHAnsi" w:hAnsiTheme="majorHAnsi" w:cstheme="majorHAnsi"/>
                <w:color w:val="FF0000"/>
                <w:sz w:val="17"/>
                <w:szCs w:val="17"/>
              </w:rPr>
              <w:t>ACCC</w:t>
            </w:r>
            <w:r w:rsidRPr="00946B55">
              <w:rPr>
                <w:rFonts w:asciiTheme="majorHAnsi" w:hAnsiTheme="majorHAnsi" w:cstheme="majorHAnsi"/>
                <w:sz w:val="17"/>
                <w:szCs w:val="17"/>
              </w:rPr>
              <w:t xml:space="preserve">, </w:t>
            </w:r>
            <w:r w:rsidRPr="00946B55">
              <w:rPr>
                <w:rFonts w:asciiTheme="majorHAnsi" w:hAnsiTheme="majorHAnsi" w:cstheme="majorHAnsi"/>
                <w:iCs/>
                <w:color w:val="3333FF"/>
                <w:sz w:val="17"/>
                <w:szCs w:val="17"/>
              </w:rPr>
              <w:t xml:space="preserve">EUAA, NSW BC, Chemistry Australia, MEU, </w:t>
            </w:r>
            <w:r w:rsidRPr="00946B55">
              <w:rPr>
                <w:rFonts w:asciiTheme="majorHAnsi" w:hAnsiTheme="majorHAnsi" w:cstheme="majorHAnsi"/>
                <w:color w:val="3333FF"/>
                <w:sz w:val="17"/>
                <w:szCs w:val="17"/>
              </w:rPr>
              <w:t xml:space="preserve">Qenos, </w:t>
            </w:r>
            <w:r w:rsidRPr="00946B55">
              <w:rPr>
                <w:rFonts w:asciiTheme="majorHAnsi" w:hAnsiTheme="majorHAnsi" w:cstheme="majorHAnsi"/>
                <w:color w:val="CC0066"/>
                <w:sz w:val="17"/>
                <w:szCs w:val="17"/>
              </w:rPr>
              <w:t>APLNG</w:t>
            </w:r>
            <w:r w:rsidRPr="00946B55">
              <w:rPr>
                <w:rFonts w:asciiTheme="majorHAnsi" w:hAnsiTheme="majorHAnsi" w:cstheme="majorHAnsi"/>
                <w:sz w:val="17"/>
                <w:szCs w:val="17"/>
              </w:rPr>
              <w:t xml:space="preserve">, </w:t>
            </w:r>
            <w:r w:rsidRPr="00946B55">
              <w:rPr>
                <w:rFonts w:asciiTheme="majorHAnsi" w:hAnsiTheme="majorHAnsi" w:cstheme="majorHAnsi"/>
                <w:color w:val="CC0066"/>
                <w:sz w:val="17"/>
                <w:szCs w:val="17"/>
              </w:rPr>
              <w:t xml:space="preserve">COPA </w:t>
            </w:r>
            <w:r w:rsidRPr="00946B55">
              <w:rPr>
                <w:rFonts w:asciiTheme="majorHAnsi" w:hAnsiTheme="majorHAnsi" w:cstheme="majorHAnsi"/>
                <w:sz w:val="17"/>
                <w:szCs w:val="17"/>
              </w:rPr>
              <w:t xml:space="preserve">and </w:t>
            </w:r>
            <w:r w:rsidRPr="00946B55">
              <w:rPr>
                <w:rFonts w:asciiTheme="majorHAnsi" w:hAnsiTheme="majorHAnsi" w:cstheme="majorHAnsi"/>
                <w:color w:val="00B050"/>
                <w:sz w:val="17"/>
                <w:szCs w:val="17"/>
              </w:rPr>
              <w:t>Energy Matrix</w:t>
            </w:r>
            <w:r w:rsidRPr="00946B55">
              <w:rPr>
                <w:rFonts w:asciiTheme="majorHAnsi" w:hAnsiTheme="majorHAnsi" w:cstheme="majorHAnsi"/>
                <w:sz w:val="17"/>
                <w:szCs w:val="17"/>
              </w:rPr>
              <w:t xml:space="preserve">. </w:t>
            </w:r>
            <w:r w:rsidRPr="00946B55">
              <w:rPr>
                <w:rFonts w:asciiTheme="majorHAnsi" w:hAnsiTheme="majorHAnsi" w:cstheme="majorHAnsi"/>
                <w:color w:val="7030A0"/>
                <w:sz w:val="17"/>
                <w:szCs w:val="17"/>
              </w:rPr>
              <w:t xml:space="preserve">Epic </w:t>
            </w:r>
            <w:r w:rsidR="00946B55">
              <w:rPr>
                <w:rFonts w:asciiTheme="majorHAnsi" w:hAnsiTheme="majorHAnsi" w:cstheme="majorHAnsi"/>
                <w:sz w:val="17"/>
                <w:szCs w:val="17"/>
              </w:rPr>
              <w:t xml:space="preserve">stated </w:t>
            </w:r>
            <w:r w:rsidRPr="00946B55">
              <w:rPr>
                <w:rFonts w:asciiTheme="majorHAnsi" w:hAnsiTheme="majorHAnsi" w:cstheme="majorHAnsi"/>
                <w:sz w:val="17"/>
                <w:szCs w:val="17"/>
              </w:rPr>
              <w:t xml:space="preserve">it was ‘open to changes to the financial reporting guideline’ while </w:t>
            </w:r>
            <w:r w:rsidRPr="00946B55">
              <w:rPr>
                <w:rFonts w:asciiTheme="majorHAnsi" w:hAnsiTheme="majorHAnsi" w:cstheme="majorHAnsi"/>
                <w:color w:val="7030A0"/>
                <w:sz w:val="17"/>
                <w:szCs w:val="17"/>
              </w:rPr>
              <w:t xml:space="preserve">APGA </w:t>
            </w:r>
            <w:r w:rsidRPr="00946B55">
              <w:rPr>
                <w:rFonts w:asciiTheme="majorHAnsi" w:hAnsiTheme="majorHAnsi" w:cstheme="majorHAnsi"/>
                <w:sz w:val="17"/>
                <w:szCs w:val="17"/>
              </w:rPr>
              <w:t xml:space="preserve">agreed many changes should be made. </w:t>
            </w:r>
          </w:p>
          <w:p w14:paraId="4101B9D2" w14:textId="77777777" w:rsidR="00E577B5" w:rsidRPr="001068ED" w:rsidRDefault="00E577B5" w:rsidP="00E27B17">
            <w:pPr>
              <w:pStyle w:val="TableBullet10"/>
              <w:spacing w:before="20" w:after="20"/>
              <w:rPr>
                <w:rFonts w:asciiTheme="majorHAnsi" w:hAnsiTheme="majorHAnsi" w:cstheme="majorHAnsi"/>
                <w:sz w:val="17"/>
                <w:szCs w:val="17"/>
              </w:rPr>
            </w:pPr>
            <w:r w:rsidRPr="001068ED">
              <w:rPr>
                <w:rFonts w:asciiTheme="majorHAnsi" w:hAnsiTheme="majorHAnsi" w:cstheme="majorHAnsi"/>
                <w:color w:val="CC0066"/>
                <w:sz w:val="17"/>
                <w:szCs w:val="17"/>
              </w:rPr>
              <w:t xml:space="preserve">COPA </w:t>
            </w:r>
            <w:r w:rsidRPr="001068ED">
              <w:rPr>
                <w:rFonts w:asciiTheme="majorHAnsi" w:hAnsiTheme="majorHAnsi" w:cstheme="majorHAnsi"/>
                <w:sz w:val="17"/>
                <w:szCs w:val="17"/>
              </w:rPr>
              <w:t xml:space="preserve">noted the current template used for financial reporting does not provide information in an acceptable format and therefore supported Brattle’s recommendations and suggested Brattle continue updating its review until consistency is reached. </w:t>
            </w:r>
          </w:p>
        </w:tc>
      </w:tr>
      <w:tr w:rsidR="00E577B5" w:rsidRPr="001068ED" w14:paraId="5F25C2E7" w14:textId="77777777" w:rsidTr="002F27FF">
        <w:trPr>
          <w:cnfStyle w:val="000000010000" w:firstRow="0" w:lastRow="0" w:firstColumn="0" w:lastColumn="0" w:oddVBand="0" w:evenVBand="0" w:oddHBand="0" w:evenHBand="1" w:firstRowFirstColumn="0" w:firstRowLastColumn="0" w:lastRowFirstColumn="0" w:lastRowLastColumn="0"/>
          <w:cantSplit/>
          <w:trHeight w:val="279"/>
        </w:trPr>
        <w:tc>
          <w:tcPr>
            <w:tcW w:w="304" w:type="pct"/>
            <w:vMerge w:val="restart"/>
            <w:textDirection w:val="btLr"/>
          </w:tcPr>
          <w:p w14:paraId="636F63DE" w14:textId="77777777" w:rsidR="00E577B5" w:rsidRPr="001068ED" w:rsidRDefault="00E577B5" w:rsidP="00E27B17">
            <w:pPr>
              <w:spacing w:before="20" w:after="20" w:line="252" w:lineRule="auto"/>
              <w:jc w:val="center"/>
              <w:rPr>
                <w:rFonts w:asciiTheme="majorHAnsi" w:hAnsiTheme="majorHAnsi" w:cstheme="majorHAnsi"/>
                <w:b/>
                <w:bCs/>
                <w:sz w:val="17"/>
                <w:szCs w:val="17"/>
                <w:lang w:eastAsia="fr-CA"/>
              </w:rPr>
            </w:pPr>
            <w:r w:rsidRPr="001068ED">
              <w:rPr>
                <w:rFonts w:asciiTheme="majorHAnsi" w:hAnsiTheme="majorHAnsi" w:cstheme="majorHAnsi"/>
                <w:b/>
                <w:bCs/>
                <w:sz w:val="17"/>
                <w:szCs w:val="17"/>
                <w:lang w:eastAsia="fr-CA"/>
              </w:rPr>
              <w:t>Accessibility of information</w:t>
            </w:r>
          </w:p>
        </w:tc>
        <w:tc>
          <w:tcPr>
            <w:tcW w:w="961" w:type="pct"/>
            <w:gridSpan w:val="2"/>
            <w:tcBorders>
              <w:bottom w:val="single" w:sz="4" w:space="0" w:color="auto"/>
            </w:tcBorders>
            <w:shd w:val="clear" w:color="auto" w:fill="FFFFFF" w:themeFill="background1"/>
          </w:tcPr>
          <w:p w14:paraId="43572CDD"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Option A: </w:t>
            </w:r>
            <w:r>
              <w:rPr>
                <w:rFonts w:asciiTheme="majorHAnsi" w:hAnsiTheme="majorHAnsi" w:cstheme="majorHAnsi"/>
                <w:sz w:val="17"/>
                <w:szCs w:val="17"/>
                <w:lang w:eastAsia="fr-CA"/>
              </w:rPr>
              <w:t>S</w:t>
            </w:r>
            <w:r w:rsidRPr="001068ED">
              <w:rPr>
                <w:rFonts w:asciiTheme="majorHAnsi" w:hAnsiTheme="majorHAnsi" w:cstheme="majorHAnsi"/>
                <w:sz w:val="17"/>
                <w:szCs w:val="17"/>
                <w:lang w:eastAsia="fr-CA"/>
              </w:rPr>
              <w:t>tatus quo</w:t>
            </w:r>
          </w:p>
        </w:tc>
        <w:tc>
          <w:tcPr>
            <w:tcW w:w="3735" w:type="pct"/>
            <w:tcBorders>
              <w:bottom w:val="single" w:sz="4" w:space="0" w:color="auto"/>
            </w:tcBorders>
            <w:shd w:val="clear" w:color="auto" w:fill="FFFFFF" w:themeFill="background1"/>
          </w:tcPr>
          <w:p w14:paraId="026105BD" w14:textId="77777777" w:rsidR="00E577B5" w:rsidRPr="001068ED" w:rsidRDefault="00E577B5" w:rsidP="00E27B17">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color w:val="CC0066"/>
                <w:sz w:val="17"/>
                <w:szCs w:val="17"/>
              </w:rPr>
              <w:t xml:space="preserve">APLNG </w:t>
            </w:r>
            <w:r w:rsidRPr="001068ED">
              <w:rPr>
                <w:rFonts w:asciiTheme="majorHAnsi" w:hAnsiTheme="majorHAnsi" w:cstheme="majorHAnsi"/>
                <w:sz w:val="17"/>
                <w:szCs w:val="17"/>
              </w:rPr>
              <w:t xml:space="preserve">and </w:t>
            </w:r>
            <w:r w:rsidRPr="001068ED">
              <w:rPr>
                <w:rFonts w:asciiTheme="majorHAnsi" w:hAnsiTheme="majorHAnsi" w:cstheme="majorHAnsi"/>
                <w:color w:val="CC0066"/>
                <w:sz w:val="17"/>
                <w:szCs w:val="17"/>
              </w:rPr>
              <w:t xml:space="preserve">COPA </w:t>
            </w:r>
            <w:r w:rsidRPr="001068ED">
              <w:rPr>
                <w:rFonts w:asciiTheme="majorHAnsi" w:hAnsiTheme="majorHAnsi" w:cstheme="majorHAnsi"/>
                <w:sz w:val="17"/>
                <w:szCs w:val="17"/>
              </w:rPr>
              <w:t>did not see accessibility as a critical issue and so did not think any of the measures were required.</w:t>
            </w:r>
          </w:p>
        </w:tc>
      </w:tr>
      <w:tr w:rsidR="00E577B5" w:rsidRPr="001068ED" w14:paraId="6EB27351" w14:textId="77777777" w:rsidTr="002F27FF">
        <w:trPr>
          <w:cantSplit/>
          <w:trHeight w:val="403"/>
        </w:trPr>
        <w:tc>
          <w:tcPr>
            <w:tcW w:w="304" w:type="pct"/>
            <w:vMerge/>
          </w:tcPr>
          <w:p w14:paraId="46B30E4F" w14:textId="77777777" w:rsidR="00E577B5" w:rsidRPr="001068ED" w:rsidRDefault="00E577B5" w:rsidP="00E27B17">
            <w:pPr>
              <w:spacing w:before="20" w:after="20" w:line="252" w:lineRule="auto"/>
              <w:rPr>
                <w:rFonts w:asciiTheme="majorHAnsi" w:hAnsiTheme="majorHAnsi" w:cstheme="majorHAnsi"/>
                <w:bCs/>
                <w:sz w:val="17"/>
                <w:szCs w:val="17"/>
              </w:rPr>
            </w:pPr>
          </w:p>
        </w:tc>
        <w:tc>
          <w:tcPr>
            <w:tcW w:w="961" w:type="pct"/>
            <w:gridSpan w:val="2"/>
            <w:tcBorders>
              <w:bottom w:val="single" w:sz="4" w:space="0" w:color="auto"/>
            </w:tcBorders>
            <w:shd w:val="clear" w:color="auto" w:fill="F2F2F2" w:themeFill="background1" w:themeFillShade="F2"/>
          </w:tcPr>
          <w:p w14:paraId="5E38B6E0"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Option B: Improve access by:</w:t>
            </w:r>
          </w:p>
          <w:p w14:paraId="40CCA8D6" w14:textId="77777777" w:rsidR="00E577B5" w:rsidRPr="001068ED" w:rsidRDefault="00E577B5" w:rsidP="00E27B17">
            <w:pPr>
              <w:pStyle w:val="TableBodyText"/>
              <w:spacing w:before="20" w:after="20" w:line="252" w:lineRule="auto"/>
              <w:ind w:left="312" w:hanging="227"/>
              <w:rPr>
                <w:rFonts w:asciiTheme="majorHAnsi" w:hAnsiTheme="majorHAnsi" w:cstheme="majorHAnsi"/>
                <w:sz w:val="17"/>
                <w:szCs w:val="17"/>
                <w:lang w:eastAsia="fr-CA"/>
              </w:rPr>
            </w:pPr>
            <w:r w:rsidRPr="001068ED">
              <w:rPr>
                <w:rFonts w:asciiTheme="majorHAnsi" w:hAnsiTheme="majorHAnsi" w:cstheme="majorHAnsi"/>
                <w:sz w:val="17"/>
                <w:szCs w:val="17"/>
                <w:lang w:eastAsia="fr-CA"/>
              </w:rPr>
              <w:t>(a) requiring a regulatory guide to set out how information is to be disclosed;</w:t>
            </w:r>
          </w:p>
          <w:p w14:paraId="0675DE15" w14:textId="77777777" w:rsidR="00E577B5" w:rsidRPr="001068ED" w:rsidRDefault="00E577B5" w:rsidP="00E27B17">
            <w:pPr>
              <w:pStyle w:val="TableBodyText"/>
              <w:spacing w:before="20" w:after="20" w:line="252" w:lineRule="auto"/>
              <w:ind w:left="312" w:hanging="227"/>
              <w:rPr>
                <w:rFonts w:asciiTheme="majorHAnsi" w:hAnsiTheme="majorHAnsi" w:cstheme="majorHAnsi"/>
                <w:sz w:val="17"/>
                <w:szCs w:val="17"/>
                <w:lang w:eastAsia="fr-CA"/>
              </w:rPr>
            </w:pPr>
            <w:r w:rsidRPr="001068ED">
              <w:rPr>
                <w:rFonts w:asciiTheme="majorHAnsi" w:hAnsiTheme="majorHAnsi" w:cstheme="majorHAnsi"/>
                <w:sz w:val="17"/>
                <w:szCs w:val="17"/>
                <w:lang w:eastAsia="fr-CA"/>
              </w:rPr>
              <w:t>(b) publishing links to service provider websites in a single location; and/or</w:t>
            </w:r>
          </w:p>
          <w:p w14:paraId="72D571EA" w14:textId="77777777" w:rsidR="00E577B5" w:rsidRPr="001068ED" w:rsidRDefault="00E577B5" w:rsidP="00E27B17">
            <w:pPr>
              <w:pStyle w:val="TableBodyText"/>
              <w:spacing w:before="20" w:after="20" w:line="252" w:lineRule="auto"/>
              <w:ind w:left="312" w:hanging="227"/>
              <w:rPr>
                <w:rFonts w:asciiTheme="majorHAnsi" w:hAnsiTheme="majorHAnsi" w:cstheme="majorHAnsi"/>
                <w:sz w:val="17"/>
                <w:szCs w:val="17"/>
                <w:lang w:eastAsia="fr-CA"/>
              </w:rPr>
            </w:pPr>
            <w:r w:rsidRPr="001068ED">
              <w:rPr>
                <w:rFonts w:asciiTheme="majorHAnsi" w:hAnsiTheme="majorHAnsi" w:cstheme="majorHAnsi"/>
                <w:sz w:val="17"/>
                <w:szCs w:val="17"/>
                <w:lang w:eastAsia="fr-CA"/>
              </w:rPr>
              <w:t>(c) making all information available in a repository.</w:t>
            </w:r>
          </w:p>
        </w:tc>
        <w:tc>
          <w:tcPr>
            <w:tcW w:w="3735" w:type="pct"/>
            <w:tcBorders>
              <w:bottom w:val="single" w:sz="4" w:space="0" w:color="auto"/>
            </w:tcBorders>
            <w:shd w:val="clear" w:color="auto" w:fill="F2F2F2" w:themeFill="background1" w:themeFillShade="F2"/>
          </w:tcPr>
          <w:p w14:paraId="0180173F" w14:textId="77777777" w:rsidR="00E577B5" w:rsidRPr="001068ED" w:rsidRDefault="00E577B5" w:rsidP="00E27B17">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sz w:val="17"/>
                <w:szCs w:val="17"/>
              </w:rPr>
              <w:t xml:space="preserve">The </w:t>
            </w:r>
            <w:r w:rsidRPr="001068ED">
              <w:rPr>
                <w:rFonts w:asciiTheme="majorHAnsi" w:hAnsiTheme="majorHAnsi" w:cstheme="majorHAnsi"/>
                <w:color w:val="FF0000"/>
                <w:sz w:val="17"/>
                <w:szCs w:val="17"/>
              </w:rPr>
              <w:t xml:space="preserve">ACCC </w:t>
            </w:r>
            <w:r w:rsidRPr="001068ED">
              <w:rPr>
                <w:rFonts w:asciiTheme="majorHAnsi" w:hAnsiTheme="majorHAnsi" w:cstheme="majorHAnsi"/>
                <w:sz w:val="17"/>
                <w:szCs w:val="17"/>
              </w:rPr>
              <w:t xml:space="preserve">noted that it can be ‘very difficult’ for shippers to locate information and for the relevant regulator to monitor compliance with the disclosure obligations and suggested improvements be made. </w:t>
            </w:r>
          </w:p>
          <w:p w14:paraId="2A087B78" w14:textId="1B632C88" w:rsidR="00E577B5" w:rsidRPr="001068ED" w:rsidRDefault="00E577B5" w:rsidP="00E27B17">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sz w:val="17"/>
                <w:szCs w:val="17"/>
              </w:rPr>
              <w:t xml:space="preserve">The </w:t>
            </w:r>
            <w:r w:rsidRPr="001068ED">
              <w:rPr>
                <w:rFonts w:asciiTheme="majorHAnsi" w:hAnsiTheme="majorHAnsi" w:cstheme="majorHAnsi"/>
                <w:color w:val="3333FF"/>
                <w:sz w:val="17"/>
                <w:szCs w:val="17"/>
              </w:rPr>
              <w:t xml:space="preserve">EUAA </w:t>
            </w:r>
            <w:r w:rsidRPr="001068ED">
              <w:rPr>
                <w:rFonts w:asciiTheme="majorHAnsi" w:hAnsiTheme="majorHAnsi" w:cstheme="majorHAnsi"/>
                <w:sz w:val="17"/>
                <w:szCs w:val="17"/>
              </w:rPr>
              <w:t xml:space="preserve">and </w:t>
            </w:r>
            <w:r w:rsidRPr="001068ED">
              <w:rPr>
                <w:rFonts w:asciiTheme="majorHAnsi" w:hAnsiTheme="majorHAnsi" w:cstheme="majorHAnsi"/>
                <w:color w:val="3333FF"/>
                <w:sz w:val="17"/>
                <w:szCs w:val="17"/>
              </w:rPr>
              <w:t>Chemistry Australia</w:t>
            </w:r>
            <w:r w:rsidR="00370905">
              <w:rPr>
                <w:rFonts w:ascii="ZWAdobeF" w:hAnsi="ZWAdobeF" w:cs="ZWAdobeF"/>
                <w:sz w:val="2"/>
                <w:szCs w:val="2"/>
              </w:rPr>
              <w:t>145F</w:t>
            </w:r>
            <w:r w:rsidRPr="001068ED">
              <w:rPr>
                <w:rStyle w:val="FootnoteReference"/>
                <w:rFonts w:asciiTheme="majorHAnsi" w:hAnsiTheme="majorHAnsi" w:cstheme="majorHAnsi"/>
                <w:sz w:val="17"/>
                <w:szCs w:val="17"/>
              </w:rPr>
              <w:footnoteReference w:id="147"/>
            </w:r>
            <w:r w:rsidRPr="001068ED">
              <w:rPr>
                <w:rFonts w:asciiTheme="majorHAnsi" w:hAnsiTheme="majorHAnsi" w:cstheme="majorHAnsi"/>
                <w:sz w:val="17"/>
                <w:szCs w:val="17"/>
              </w:rPr>
              <w:t xml:space="preserve"> also supported improvements in this area, but did not express a view on any of the options.</w:t>
            </w:r>
          </w:p>
          <w:p w14:paraId="22756B2F" w14:textId="77777777" w:rsidR="00E577B5" w:rsidRPr="001068ED" w:rsidRDefault="00E577B5" w:rsidP="00E27B17">
            <w:pPr>
              <w:pStyle w:val="TableBullet10"/>
              <w:spacing w:before="20" w:after="20"/>
              <w:rPr>
                <w:rFonts w:asciiTheme="majorHAnsi" w:hAnsiTheme="majorHAnsi" w:cstheme="majorHAnsi"/>
                <w:sz w:val="17"/>
                <w:szCs w:val="17"/>
              </w:rPr>
            </w:pPr>
            <w:r w:rsidRPr="001068ED">
              <w:rPr>
                <w:rFonts w:asciiTheme="majorHAnsi" w:hAnsiTheme="majorHAnsi" w:cstheme="majorHAnsi"/>
                <w:sz w:val="17"/>
                <w:szCs w:val="17"/>
              </w:rPr>
              <w:t>Of the stakeholders that expressed a view on how the accessibility of information should be improved:</w:t>
            </w:r>
          </w:p>
          <w:p w14:paraId="0D9DBF15" w14:textId="77777777" w:rsidR="00E577B5" w:rsidRPr="001068ED" w:rsidRDefault="00E577B5" w:rsidP="00E27B17">
            <w:pPr>
              <w:pStyle w:val="TableBullet2"/>
              <w:spacing w:before="20" w:after="20"/>
              <w:rPr>
                <w:rFonts w:asciiTheme="majorHAnsi" w:hAnsiTheme="majorHAnsi" w:cstheme="majorHAnsi"/>
                <w:sz w:val="17"/>
                <w:szCs w:val="17"/>
              </w:rPr>
            </w:pPr>
            <w:r w:rsidRPr="001068ED">
              <w:rPr>
                <w:rFonts w:asciiTheme="majorHAnsi" w:hAnsiTheme="majorHAnsi" w:cstheme="majorHAnsi"/>
                <w:sz w:val="17"/>
                <w:szCs w:val="17"/>
              </w:rPr>
              <w:t xml:space="preserve">measure (a) was supported by the </w:t>
            </w:r>
            <w:r w:rsidRPr="001068ED">
              <w:rPr>
                <w:rFonts w:asciiTheme="majorHAnsi" w:hAnsiTheme="majorHAnsi" w:cstheme="majorHAnsi"/>
                <w:color w:val="FF0000"/>
                <w:sz w:val="17"/>
                <w:szCs w:val="17"/>
              </w:rPr>
              <w:t>ACCC</w:t>
            </w:r>
            <w:r w:rsidRPr="001068ED">
              <w:rPr>
                <w:rFonts w:asciiTheme="majorHAnsi" w:hAnsiTheme="majorHAnsi" w:cstheme="majorHAnsi"/>
                <w:sz w:val="17"/>
                <w:szCs w:val="17"/>
              </w:rPr>
              <w:t xml:space="preserve">, </w:t>
            </w:r>
            <w:r w:rsidRPr="001068ED">
              <w:rPr>
                <w:rFonts w:asciiTheme="majorHAnsi" w:hAnsiTheme="majorHAnsi" w:cstheme="majorHAnsi"/>
                <w:color w:val="3333FF"/>
                <w:sz w:val="17"/>
                <w:szCs w:val="17"/>
              </w:rPr>
              <w:t xml:space="preserve">Qenos </w:t>
            </w:r>
            <w:r w:rsidRPr="001068ED">
              <w:rPr>
                <w:rFonts w:asciiTheme="majorHAnsi" w:hAnsiTheme="majorHAnsi" w:cstheme="majorHAnsi"/>
                <w:sz w:val="17"/>
                <w:szCs w:val="17"/>
              </w:rPr>
              <w:t xml:space="preserve">and </w:t>
            </w:r>
            <w:r w:rsidRPr="001068ED">
              <w:rPr>
                <w:rFonts w:asciiTheme="majorHAnsi" w:hAnsiTheme="majorHAnsi" w:cstheme="majorHAnsi"/>
                <w:color w:val="7030A0"/>
                <w:sz w:val="17"/>
                <w:szCs w:val="17"/>
              </w:rPr>
              <w:t>Epic</w:t>
            </w:r>
            <w:r w:rsidRPr="001068ED">
              <w:rPr>
                <w:rFonts w:asciiTheme="majorHAnsi" w:hAnsiTheme="majorHAnsi" w:cstheme="majorHAnsi"/>
                <w:sz w:val="17"/>
                <w:szCs w:val="17"/>
              </w:rPr>
              <w:t>;</w:t>
            </w:r>
          </w:p>
          <w:p w14:paraId="77B85205" w14:textId="77777777" w:rsidR="00E577B5" w:rsidRPr="001068ED" w:rsidRDefault="00E577B5" w:rsidP="00E27B17">
            <w:pPr>
              <w:pStyle w:val="TableBullet2"/>
              <w:spacing w:before="20" w:after="20"/>
              <w:rPr>
                <w:rFonts w:asciiTheme="majorHAnsi" w:hAnsiTheme="majorHAnsi" w:cstheme="majorHAnsi"/>
                <w:sz w:val="17"/>
                <w:szCs w:val="17"/>
              </w:rPr>
            </w:pPr>
            <w:r w:rsidRPr="001068ED">
              <w:rPr>
                <w:rFonts w:asciiTheme="majorHAnsi" w:hAnsiTheme="majorHAnsi" w:cstheme="majorHAnsi"/>
                <w:sz w:val="17"/>
                <w:szCs w:val="17"/>
              </w:rPr>
              <w:t xml:space="preserve">measure (b) was supported by </w:t>
            </w:r>
            <w:r w:rsidRPr="001068ED">
              <w:rPr>
                <w:rFonts w:asciiTheme="majorHAnsi" w:hAnsiTheme="majorHAnsi" w:cstheme="majorHAnsi"/>
                <w:color w:val="3333FF"/>
                <w:sz w:val="17"/>
                <w:szCs w:val="17"/>
              </w:rPr>
              <w:t xml:space="preserve">Qenos </w:t>
            </w:r>
            <w:r w:rsidRPr="001068ED">
              <w:rPr>
                <w:rFonts w:asciiTheme="majorHAnsi" w:hAnsiTheme="majorHAnsi" w:cstheme="majorHAnsi"/>
                <w:sz w:val="17"/>
                <w:szCs w:val="17"/>
              </w:rPr>
              <w:t xml:space="preserve">and </w:t>
            </w:r>
            <w:r w:rsidRPr="001068ED">
              <w:rPr>
                <w:rFonts w:asciiTheme="majorHAnsi" w:hAnsiTheme="majorHAnsi" w:cstheme="majorHAnsi"/>
                <w:color w:val="7030A0"/>
                <w:sz w:val="17"/>
                <w:szCs w:val="17"/>
              </w:rPr>
              <w:t>ATCO</w:t>
            </w:r>
            <w:r w:rsidRPr="001068ED">
              <w:rPr>
                <w:rFonts w:asciiTheme="majorHAnsi" w:hAnsiTheme="majorHAnsi" w:cstheme="majorHAnsi"/>
                <w:sz w:val="17"/>
                <w:szCs w:val="17"/>
              </w:rPr>
              <w:t>; and</w:t>
            </w:r>
          </w:p>
          <w:p w14:paraId="752F73A6" w14:textId="77777777" w:rsidR="00E577B5" w:rsidRPr="001068ED" w:rsidRDefault="00E577B5" w:rsidP="00E27B17">
            <w:pPr>
              <w:pStyle w:val="TableBullet2"/>
              <w:spacing w:before="20" w:after="20"/>
              <w:rPr>
                <w:rFonts w:asciiTheme="majorHAnsi" w:hAnsiTheme="majorHAnsi" w:cstheme="majorHAnsi"/>
                <w:sz w:val="17"/>
                <w:szCs w:val="17"/>
                <w:lang w:eastAsia="fr-CA"/>
              </w:rPr>
            </w:pPr>
            <w:r w:rsidRPr="001068ED">
              <w:rPr>
                <w:rFonts w:asciiTheme="majorHAnsi" w:hAnsiTheme="majorHAnsi" w:cstheme="majorHAnsi"/>
                <w:sz w:val="17"/>
                <w:szCs w:val="17"/>
              </w:rPr>
              <w:t xml:space="preserve">measure (c) was supported by the </w:t>
            </w:r>
            <w:r w:rsidRPr="001068ED">
              <w:rPr>
                <w:rFonts w:asciiTheme="majorHAnsi" w:hAnsiTheme="majorHAnsi" w:cstheme="majorHAnsi"/>
                <w:color w:val="3333FF"/>
                <w:sz w:val="17"/>
                <w:szCs w:val="17"/>
              </w:rPr>
              <w:t>MEU</w:t>
            </w:r>
            <w:r w:rsidRPr="001068ED">
              <w:rPr>
                <w:rFonts w:asciiTheme="majorHAnsi" w:hAnsiTheme="majorHAnsi" w:cstheme="majorHAnsi"/>
                <w:sz w:val="17"/>
                <w:szCs w:val="17"/>
              </w:rPr>
              <w:t>.</w:t>
            </w:r>
          </w:p>
          <w:p w14:paraId="3874AA35" w14:textId="46B0256A" w:rsidR="00E577B5" w:rsidRPr="001068ED" w:rsidRDefault="00E577B5" w:rsidP="00E27B17">
            <w:pPr>
              <w:pStyle w:val="TableBullet10"/>
              <w:rPr>
                <w:rFonts w:asciiTheme="majorHAnsi" w:hAnsiTheme="majorHAnsi" w:cstheme="majorHAnsi"/>
                <w:sz w:val="17"/>
                <w:szCs w:val="17"/>
                <w:lang w:eastAsia="fr-CA"/>
              </w:rPr>
            </w:pPr>
            <w:r w:rsidRPr="001068ED">
              <w:rPr>
                <w:rFonts w:asciiTheme="majorHAnsi" w:hAnsiTheme="majorHAnsi" w:cstheme="majorHAnsi"/>
                <w:color w:val="7030A0"/>
                <w:sz w:val="17"/>
                <w:szCs w:val="17"/>
              </w:rPr>
              <w:t xml:space="preserve">APGA </w:t>
            </w:r>
            <w:r w:rsidRPr="001068ED">
              <w:rPr>
                <w:rFonts w:asciiTheme="majorHAnsi" w:hAnsiTheme="majorHAnsi" w:cstheme="majorHAnsi"/>
                <w:sz w:val="17"/>
                <w:szCs w:val="17"/>
              </w:rPr>
              <w:t>also acknowledged that information accessibility is of great significance to some shippers, but suggested this be considered through the ‘Better Together’ initiative.</w:t>
            </w:r>
            <w:r w:rsidRPr="001068ED">
              <w:rPr>
                <w:rStyle w:val="FootnoteReference"/>
                <w:rFonts w:asciiTheme="majorHAnsi" w:hAnsiTheme="majorHAnsi" w:cstheme="majorHAnsi"/>
                <w:sz w:val="17"/>
                <w:szCs w:val="17"/>
              </w:rPr>
              <w:t xml:space="preserve"> </w:t>
            </w:r>
            <w:r w:rsidR="00370905">
              <w:rPr>
                <w:rFonts w:ascii="ZWAdobeF" w:hAnsi="ZWAdobeF" w:cs="ZWAdobeF"/>
                <w:sz w:val="2"/>
                <w:szCs w:val="2"/>
              </w:rPr>
              <w:t>146F</w:t>
            </w:r>
            <w:r w:rsidRPr="001068ED">
              <w:rPr>
                <w:rStyle w:val="FootnoteReference"/>
                <w:rFonts w:asciiTheme="majorHAnsi" w:hAnsiTheme="majorHAnsi" w:cstheme="majorHAnsi"/>
                <w:sz w:val="17"/>
                <w:szCs w:val="17"/>
              </w:rPr>
              <w:footnoteReference w:id="148"/>
            </w:r>
            <w:r w:rsidRPr="001068ED">
              <w:rPr>
                <w:rFonts w:asciiTheme="majorHAnsi" w:hAnsiTheme="majorHAnsi" w:cstheme="majorHAnsi"/>
                <w:sz w:val="17"/>
                <w:szCs w:val="17"/>
              </w:rPr>
              <w:t xml:space="preserve"> This suggestion was echoed by </w:t>
            </w:r>
            <w:r w:rsidRPr="001068ED">
              <w:rPr>
                <w:rFonts w:asciiTheme="majorHAnsi" w:hAnsiTheme="majorHAnsi" w:cstheme="majorHAnsi"/>
                <w:color w:val="7030A0"/>
                <w:sz w:val="17"/>
                <w:szCs w:val="17"/>
              </w:rPr>
              <w:t xml:space="preserve">APA </w:t>
            </w:r>
            <w:r w:rsidRPr="001068ED">
              <w:rPr>
                <w:rFonts w:asciiTheme="majorHAnsi" w:hAnsiTheme="majorHAnsi" w:cstheme="majorHAnsi"/>
                <w:sz w:val="17"/>
                <w:szCs w:val="17"/>
              </w:rPr>
              <w:t xml:space="preserve">and </w:t>
            </w:r>
            <w:r w:rsidRPr="001068ED">
              <w:rPr>
                <w:rFonts w:asciiTheme="majorHAnsi" w:hAnsiTheme="majorHAnsi" w:cstheme="majorHAnsi"/>
                <w:color w:val="7030A0"/>
                <w:sz w:val="17"/>
                <w:szCs w:val="17"/>
              </w:rPr>
              <w:t xml:space="preserve">Jemena </w:t>
            </w:r>
            <w:r w:rsidRPr="001068ED">
              <w:rPr>
                <w:rFonts w:asciiTheme="majorHAnsi" w:hAnsiTheme="majorHAnsi" w:cstheme="majorHAnsi"/>
                <w:sz w:val="17"/>
                <w:szCs w:val="17"/>
              </w:rPr>
              <w:t>(see final row).</w:t>
            </w:r>
          </w:p>
        </w:tc>
      </w:tr>
      <w:tr w:rsidR="00E577B5" w:rsidRPr="001068ED" w14:paraId="3A499424" w14:textId="77777777" w:rsidTr="002F27FF">
        <w:trPr>
          <w:cnfStyle w:val="000000010000" w:firstRow="0" w:lastRow="0" w:firstColumn="0" w:lastColumn="0" w:oddVBand="0" w:evenVBand="0" w:oddHBand="0" w:evenHBand="1" w:firstRowFirstColumn="0" w:firstRowLastColumn="0" w:lastRowFirstColumn="0" w:lastRowLastColumn="0"/>
          <w:cantSplit/>
          <w:trHeight w:val="279"/>
        </w:trPr>
        <w:tc>
          <w:tcPr>
            <w:tcW w:w="304" w:type="pct"/>
            <w:vMerge w:val="restart"/>
            <w:shd w:val="clear" w:color="auto" w:fill="FFFFFF" w:themeFill="background1"/>
            <w:textDirection w:val="btLr"/>
          </w:tcPr>
          <w:p w14:paraId="4EFECFE1" w14:textId="77777777" w:rsidR="00E577B5" w:rsidRPr="001068ED" w:rsidRDefault="00E577B5" w:rsidP="00E27B17">
            <w:pPr>
              <w:spacing w:before="20" w:after="20" w:line="252" w:lineRule="auto"/>
              <w:jc w:val="center"/>
              <w:rPr>
                <w:rFonts w:asciiTheme="majorHAnsi" w:hAnsiTheme="majorHAnsi" w:cstheme="majorHAnsi"/>
                <w:b/>
                <w:bCs/>
                <w:sz w:val="17"/>
                <w:szCs w:val="17"/>
                <w:lang w:eastAsia="fr-CA"/>
              </w:rPr>
            </w:pPr>
            <w:r w:rsidRPr="001068ED">
              <w:rPr>
                <w:rFonts w:asciiTheme="majorHAnsi" w:hAnsiTheme="majorHAnsi" w:cstheme="majorHAnsi"/>
                <w:b/>
                <w:bCs/>
                <w:sz w:val="17"/>
                <w:szCs w:val="17"/>
                <w:lang w:eastAsia="fr-CA"/>
              </w:rPr>
              <w:t xml:space="preserve">Usability of information </w:t>
            </w:r>
          </w:p>
        </w:tc>
        <w:tc>
          <w:tcPr>
            <w:tcW w:w="961" w:type="pct"/>
            <w:gridSpan w:val="2"/>
            <w:tcBorders>
              <w:bottom w:val="single" w:sz="4" w:space="0" w:color="auto"/>
            </w:tcBorders>
            <w:shd w:val="clear" w:color="auto" w:fill="FFFFFF" w:themeFill="background1"/>
          </w:tcPr>
          <w:p w14:paraId="2079C27B"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Option A: </w:t>
            </w:r>
            <w:r w:rsidR="002F27FF">
              <w:rPr>
                <w:rFonts w:asciiTheme="majorHAnsi" w:hAnsiTheme="majorHAnsi" w:cstheme="majorHAnsi"/>
                <w:sz w:val="17"/>
                <w:szCs w:val="17"/>
                <w:lang w:eastAsia="fr-CA"/>
              </w:rPr>
              <w:t>S</w:t>
            </w:r>
            <w:r w:rsidRPr="001068ED">
              <w:rPr>
                <w:rFonts w:asciiTheme="majorHAnsi" w:hAnsiTheme="majorHAnsi" w:cstheme="majorHAnsi"/>
                <w:sz w:val="17"/>
                <w:szCs w:val="17"/>
                <w:lang w:eastAsia="fr-CA"/>
              </w:rPr>
              <w:t>tatus quo</w:t>
            </w:r>
          </w:p>
        </w:tc>
        <w:tc>
          <w:tcPr>
            <w:tcW w:w="3735" w:type="pct"/>
            <w:tcBorders>
              <w:bottom w:val="single" w:sz="4" w:space="0" w:color="auto"/>
            </w:tcBorders>
            <w:shd w:val="clear" w:color="auto" w:fill="FFFFFF" w:themeFill="background1"/>
          </w:tcPr>
          <w:p w14:paraId="7A26B70E" w14:textId="77777777" w:rsidR="00E577B5" w:rsidRPr="001068ED" w:rsidRDefault="00E577B5" w:rsidP="00E27B17">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sz w:val="17"/>
                <w:szCs w:val="17"/>
                <w:lang w:eastAsia="fr-CA"/>
              </w:rPr>
              <w:t>No stakeholders supported the maintenance of the status quo.</w:t>
            </w:r>
          </w:p>
        </w:tc>
      </w:tr>
      <w:tr w:rsidR="00E577B5" w:rsidRPr="001068ED" w14:paraId="523EDF8B" w14:textId="77777777" w:rsidTr="006B06DD">
        <w:trPr>
          <w:cantSplit/>
          <w:trHeight w:val="1723"/>
        </w:trPr>
        <w:tc>
          <w:tcPr>
            <w:tcW w:w="304" w:type="pct"/>
            <w:vMerge/>
            <w:shd w:val="clear" w:color="auto" w:fill="FFFFFF" w:themeFill="background1"/>
          </w:tcPr>
          <w:p w14:paraId="33C4ECE4" w14:textId="77777777" w:rsidR="00E577B5" w:rsidRPr="001068ED" w:rsidRDefault="00E577B5" w:rsidP="00E27B17">
            <w:pPr>
              <w:spacing w:before="20" w:after="20" w:line="252" w:lineRule="auto"/>
              <w:rPr>
                <w:rFonts w:asciiTheme="majorHAnsi" w:hAnsiTheme="majorHAnsi" w:cstheme="majorHAnsi"/>
                <w:bCs/>
                <w:sz w:val="17"/>
                <w:szCs w:val="17"/>
              </w:rPr>
            </w:pPr>
          </w:p>
        </w:tc>
        <w:tc>
          <w:tcPr>
            <w:tcW w:w="961" w:type="pct"/>
            <w:gridSpan w:val="2"/>
            <w:shd w:val="clear" w:color="auto" w:fill="F2F2F2" w:themeFill="background1" w:themeFillShade="F2"/>
          </w:tcPr>
          <w:p w14:paraId="24C0A911"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Option B: Improve usability by:</w:t>
            </w:r>
          </w:p>
          <w:p w14:paraId="0E22BA89"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(a) including a summary tab in the financial reporting template; and/or</w:t>
            </w:r>
          </w:p>
          <w:p w14:paraId="655AC693" w14:textId="77777777" w:rsidR="00E577B5" w:rsidRPr="001068ED" w:rsidRDefault="00E577B5" w:rsidP="00E27B17">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(b) developing a price benchmark template</w:t>
            </w:r>
          </w:p>
        </w:tc>
        <w:tc>
          <w:tcPr>
            <w:tcW w:w="3735" w:type="pct"/>
            <w:shd w:val="clear" w:color="auto" w:fill="F2F2F2" w:themeFill="background1" w:themeFillShade="F2"/>
          </w:tcPr>
          <w:p w14:paraId="6680E711" w14:textId="77777777" w:rsidR="00E577B5" w:rsidRPr="001068ED" w:rsidRDefault="00E577B5" w:rsidP="00E27B17">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sz w:val="17"/>
                <w:szCs w:val="17"/>
              </w:rPr>
              <w:t xml:space="preserve">Most stakeholders agreed the usability of information reported by pipelines should be improved. </w:t>
            </w:r>
            <w:r w:rsidRPr="001068ED">
              <w:rPr>
                <w:rFonts w:asciiTheme="majorHAnsi" w:hAnsiTheme="majorHAnsi" w:cstheme="majorHAnsi"/>
                <w:color w:val="CC0066"/>
                <w:sz w:val="17"/>
                <w:szCs w:val="17"/>
                <w:lang w:eastAsia="fr-CA"/>
              </w:rPr>
              <w:t>Shell</w:t>
            </w:r>
            <w:r w:rsidRPr="001068ED">
              <w:rPr>
                <w:rFonts w:asciiTheme="majorHAnsi" w:hAnsiTheme="majorHAnsi" w:cstheme="majorHAnsi"/>
                <w:sz w:val="17"/>
                <w:szCs w:val="17"/>
                <w:lang w:eastAsia="fr-CA"/>
              </w:rPr>
              <w:t xml:space="preserve">, for example, noted that making information “more easily digestible and less resource intensive for shippers to interpret would make Part 23 more effective” and noted the potential for the regulator to play a role in making it more usable. </w:t>
            </w:r>
          </w:p>
          <w:p w14:paraId="7A2D6611" w14:textId="77777777" w:rsidR="00E577B5" w:rsidRPr="001068ED" w:rsidRDefault="00E577B5" w:rsidP="00E27B17">
            <w:pPr>
              <w:pStyle w:val="TableBullet10"/>
              <w:spacing w:before="20" w:after="20"/>
              <w:rPr>
                <w:rFonts w:asciiTheme="majorHAnsi" w:hAnsiTheme="majorHAnsi" w:cstheme="majorHAnsi"/>
                <w:sz w:val="17"/>
                <w:szCs w:val="17"/>
              </w:rPr>
            </w:pPr>
            <w:r w:rsidRPr="001068ED">
              <w:rPr>
                <w:rFonts w:asciiTheme="majorHAnsi" w:hAnsiTheme="majorHAnsi" w:cstheme="majorHAnsi"/>
                <w:sz w:val="17"/>
                <w:szCs w:val="17"/>
              </w:rPr>
              <w:t>Of the stakeholders that expressed a view on how the usability of information should be improved:</w:t>
            </w:r>
          </w:p>
          <w:p w14:paraId="3AB193C9" w14:textId="77777777" w:rsidR="00E577B5" w:rsidRPr="001068ED" w:rsidRDefault="00E577B5" w:rsidP="00E27B17">
            <w:pPr>
              <w:pStyle w:val="TableBullet2"/>
              <w:spacing w:before="20"/>
              <w:rPr>
                <w:rFonts w:asciiTheme="majorHAnsi" w:hAnsiTheme="majorHAnsi" w:cstheme="majorHAnsi"/>
                <w:sz w:val="17"/>
                <w:szCs w:val="17"/>
                <w:lang w:eastAsia="fr-CA"/>
              </w:rPr>
            </w:pPr>
            <w:r w:rsidRPr="001068ED">
              <w:rPr>
                <w:rFonts w:asciiTheme="majorHAnsi" w:hAnsiTheme="majorHAnsi" w:cstheme="majorHAnsi"/>
                <w:sz w:val="17"/>
                <w:szCs w:val="17"/>
              </w:rPr>
              <w:t xml:space="preserve">the </w:t>
            </w:r>
            <w:r w:rsidRPr="001068ED">
              <w:rPr>
                <w:rFonts w:asciiTheme="majorHAnsi" w:hAnsiTheme="majorHAnsi" w:cstheme="majorHAnsi"/>
                <w:color w:val="FF0000"/>
                <w:sz w:val="17"/>
                <w:szCs w:val="17"/>
              </w:rPr>
              <w:t>ACCC</w:t>
            </w:r>
            <w:r w:rsidRPr="001068ED">
              <w:rPr>
                <w:rFonts w:asciiTheme="majorHAnsi" w:hAnsiTheme="majorHAnsi" w:cstheme="majorHAnsi"/>
                <w:sz w:val="17"/>
                <w:szCs w:val="17"/>
              </w:rPr>
              <w:t xml:space="preserve">, </w:t>
            </w:r>
            <w:r w:rsidRPr="001068ED">
              <w:rPr>
                <w:rFonts w:asciiTheme="majorHAnsi" w:hAnsiTheme="majorHAnsi" w:cstheme="majorHAnsi"/>
                <w:color w:val="0000FF"/>
                <w:sz w:val="17"/>
                <w:szCs w:val="17"/>
              </w:rPr>
              <w:t>EUAA, NSW BC, Chemistry Australia, MEU</w:t>
            </w:r>
            <w:r w:rsidRPr="001068ED">
              <w:rPr>
                <w:rFonts w:asciiTheme="majorHAnsi" w:hAnsiTheme="majorHAnsi" w:cstheme="majorHAnsi"/>
                <w:sz w:val="17"/>
                <w:szCs w:val="17"/>
              </w:rPr>
              <w:t xml:space="preserve">, </w:t>
            </w:r>
            <w:r w:rsidRPr="001068ED">
              <w:rPr>
                <w:rFonts w:asciiTheme="majorHAnsi" w:hAnsiTheme="majorHAnsi" w:cstheme="majorHAnsi"/>
                <w:color w:val="CC0066"/>
                <w:sz w:val="17"/>
                <w:szCs w:val="17"/>
              </w:rPr>
              <w:t>APLNG</w:t>
            </w:r>
            <w:r w:rsidRPr="001068ED">
              <w:rPr>
                <w:rFonts w:asciiTheme="majorHAnsi" w:hAnsiTheme="majorHAnsi" w:cstheme="majorHAnsi"/>
                <w:sz w:val="17"/>
                <w:szCs w:val="17"/>
              </w:rPr>
              <w:t xml:space="preserve">, </w:t>
            </w:r>
            <w:r w:rsidRPr="001068ED">
              <w:rPr>
                <w:rFonts w:asciiTheme="majorHAnsi" w:hAnsiTheme="majorHAnsi" w:cstheme="majorHAnsi"/>
                <w:color w:val="CC0066"/>
                <w:sz w:val="17"/>
                <w:szCs w:val="17"/>
              </w:rPr>
              <w:t>COPA</w:t>
            </w:r>
            <w:r w:rsidRPr="001068ED">
              <w:rPr>
                <w:rFonts w:asciiTheme="majorHAnsi" w:hAnsiTheme="majorHAnsi" w:cstheme="majorHAnsi"/>
                <w:sz w:val="17"/>
                <w:szCs w:val="17"/>
              </w:rPr>
              <w:t xml:space="preserve">, </w:t>
            </w:r>
            <w:r w:rsidRPr="001068ED">
              <w:rPr>
                <w:rFonts w:asciiTheme="majorHAnsi" w:hAnsiTheme="majorHAnsi" w:cstheme="majorHAnsi"/>
                <w:color w:val="7030A0"/>
                <w:sz w:val="17"/>
                <w:szCs w:val="17"/>
              </w:rPr>
              <w:t xml:space="preserve">AGIG </w:t>
            </w:r>
            <w:r w:rsidRPr="001068ED">
              <w:rPr>
                <w:rFonts w:asciiTheme="majorHAnsi" w:hAnsiTheme="majorHAnsi" w:cstheme="majorHAnsi"/>
                <w:sz w:val="17"/>
                <w:szCs w:val="17"/>
              </w:rPr>
              <w:t xml:space="preserve">and </w:t>
            </w:r>
            <w:r w:rsidRPr="001068ED">
              <w:rPr>
                <w:rFonts w:asciiTheme="majorHAnsi" w:hAnsiTheme="majorHAnsi" w:cstheme="majorHAnsi"/>
                <w:color w:val="7030A0"/>
                <w:sz w:val="17"/>
                <w:szCs w:val="17"/>
              </w:rPr>
              <w:t xml:space="preserve">Epic </w:t>
            </w:r>
            <w:r w:rsidRPr="001068ED">
              <w:rPr>
                <w:rFonts w:asciiTheme="majorHAnsi" w:hAnsiTheme="majorHAnsi" w:cstheme="majorHAnsi"/>
                <w:sz w:val="17"/>
                <w:szCs w:val="17"/>
              </w:rPr>
              <w:t>supported a summary tab</w:t>
            </w:r>
          </w:p>
          <w:p w14:paraId="497F585E" w14:textId="77777777" w:rsidR="00E577B5" w:rsidRPr="001068ED" w:rsidRDefault="00E577B5" w:rsidP="00E27B17">
            <w:pPr>
              <w:pStyle w:val="TableBullet2"/>
              <w:spacing w:before="20"/>
              <w:rPr>
                <w:rFonts w:asciiTheme="majorHAnsi" w:hAnsiTheme="majorHAnsi" w:cstheme="majorHAnsi"/>
                <w:sz w:val="17"/>
                <w:szCs w:val="17"/>
              </w:rPr>
            </w:pPr>
            <w:r w:rsidRPr="001068ED">
              <w:rPr>
                <w:rFonts w:asciiTheme="majorHAnsi" w:hAnsiTheme="majorHAnsi" w:cstheme="majorHAnsi"/>
                <w:sz w:val="17"/>
                <w:szCs w:val="17"/>
              </w:rPr>
              <w:t xml:space="preserve">the </w:t>
            </w:r>
            <w:r w:rsidRPr="001068ED">
              <w:rPr>
                <w:rFonts w:asciiTheme="majorHAnsi" w:hAnsiTheme="majorHAnsi" w:cstheme="majorHAnsi"/>
                <w:color w:val="FF0000"/>
                <w:sz w:val="17"/>
                <w:szCs w:val="17"/>
              </w:rPr>
              <w:t>ACCC</w:t>
            </w:r>
            <w:r w:rsidRPr="001068ED">
              <w:rPr>
                <w:rFonts w:asciiTheme="majorHAnsi" w:hAnsiTheme="majorHAnsi" w:cstheme="majorHAnsi"/>
                <w:sz w:val="17"/>
                <w:szCs w:val="17"/>
              </w:rPr>
              <w:t xml:space="preserve">, </w:t>
            </w:r>
            <w:r w:rsidRPr="001068ED">
              <w:rPr>
                <w:rFonts w:asciiTheme="majorHAnsi" w:hAnsiTheme="majorHAnsi" w:cstheme="majorHAnsi"/>
                <w:color w:val="0000FF"/>
                <w:sz w:val="17"/>
                <w:szCs w:val="17"/>
              </w:rPr>
              <w:t>EUAA, NSW BC, Chemistry Australia, MEU, Qenos</w:t>
            </w:r>
            <w:r w:rsidRPr="001068ED">
              <w:rPr>
                <w:rFonts w:asciiTheme="majorHAnsi" w:hAnsiTheme="majorHAnsi" w:cstheme="majorHAnsi"/>
                <w:sz w:val="17"/>
                <w:szCs w:val="17"/>
              </w:rPr>
              <w:t xml:space="preserve">, </w:t>
            </w:r>
            <w:r w:rsidRPr="001068ED">
              <w:rPr>
                <w:rFonts w:asciiTheme="majorHAnsi" w:hAnsiTheme="majorHAnsi" w:cstheme="majorHAnsi"/>
                <w:color w:val="CC0066"/>
                <w:sz w:val="17"/>
                <w:szCs w:val="17"/>
              </w:rPr>
              <w:t xml:space="preserve">APLNG </w:t>
            </w:r>
            <w:r w:rsidRPr="001068ED">
              <w:rPr>
                <w:rFonts w:asciiTheme="majorHAnsi" w:hAnsiTheme="majorHAnsi" w:cstheme="majorHAnsi"/>
                <w:sz w:val="17"/>
                <w:szCs w:val="17"/>
              </w:rPr>
              <w:t xml:space="preserve">and </w:t>
            </w:r>
            <w:r w:rsidRPr="001068ED">
              <w:rPr>
                <w:rFonts w:asciiTheme="majorHAnsi" w:hAnsiTheme="majorHAnsi" w:cstheme="majorHAnsi"/>
                <w:color w:val="CC0066"/>
                <w:sz w:val="17"/>
                <w:szCs w:val="17"/>
              </w:rPr>
              <w:t xml:space="preserve">COPA </w:t>
            </w:r>
            <w:r w:rsidRPr="001068ED">
              <w:rPr>
                <w:rFonts w:asciiTheme="majorHAnsi" w:hAnsiTheme="majorHAnsi" w:cstheme="majorHAnsi"/>
                <w:sz w:val="17"/>
                <w:szCs w:val="17"/>
              </w:rPr>
              <w:t xml:space="preserve">supported the development of a price benchmark template. </w:t>
            </w:r>
          </w:p>
          <w:p w14:paraId="356DD987" w14:textId="77777777" w:rsidR="00E577B5" w:rsidRPr="001068ED" w:rsidRDefault="00E577B5" w:rsidP="00E27B17">
            <w:pPr>
              <w:pStyle w:val="TableBullet10"/>
              <w:spacing w:before="20"/>
              <w:rPr>
                <w:rFonts w:asciiTheme="majorHAnsi" w:hAnsiTheme="majorHAnsi" w:cstheme="majorHAnsi"/>
                <w:sz w:val="17"/>
                <w:szCs w:val="17"/>
                <w:lang w:eastAsia="fr-CA"/>
              </w:rPr>
            </w:pPr>
            <w:r w:rsidRPr="001068ED">
              <w:rPr>
                <w:rFonts w:asciiTheme="majorHAnsi" w:hAnsiTheme="majorHAnsi" w:cstheme="majorHAnsi"/>
                <w:color w:val="7030A0"/>
                <w:sz w:val="17"/>
                <w:szCs w:val="17"/>
              </w:rPr>
              <w:t xml:space="preserve">Epic </w:t>
            </w:r>
            <w:r w:rsidRPr="001068ED">
              <w:rPr>
                <w:rFonts w:asciiTheme="majorHAnsi" w:hAnsiTheme="majorHAnsi" w:cstheme="majorHAnsi"/>
                <w:sz w:val="17"/>
                <w:szCs w:val="17"/>
              </w:rPr>
              <w:t xml:space="preserve">and </w:t>
            </w:r>
            <w:r w:rsidRPr="001068ED">
              <w:rPr>
                <w:rFonts w:asciiTheme="majorHAnsi" w:hAnsiTheme="majorHAnsi" w:cstheme="majorHAnsi"/>
                <w:color w:val="7030A0"/>
                <w:sz w:val="17"/>
                <w:szCs w:val="17"/>
              </w:rPr>
              <w:t>Jemena</w:t>
            </w:r>
            <w:r w:rsidRPr="001068ED">
              <w:rPr>
                <w:rFonts w:asciiTheme="majorHAnsi" w:hAnsiTheme="majorHAnsi" w:cstheme="majorHAnsi"/>
                <w:sz w:val="17"/>
                <w:szCs w:val="17"/>
              </w:rPr>
              <w:t xml:space="preserve">, on the other hand, were </w:t>
            </w:r>
            <w:r w:rsidRPr="001068ED">
              <w:rPr>
                <w:rFonts w:asciiTheme="majorHAnsi" w:hAnsiTheme="majorHAnsi" w:cstheme="majorHAnsi"/>
                <w:sz w:val="17"/>
                <w:szCs w:val="17"/>
                <w:u w:val="single"/>
              </w:rPr>
              <w:t>opposed</w:t>
            </w:r>
            <w:r w:rsidRPr="001068ED">
              <w:rPr>
                <w:rFonts w:asciiTheme="majorHAnsi" w:hAnsiTheme="majorHAnsi" w:cstheme="majorHAnsi"/>
                <w:sz w:val="17"/>
                <w:szCs w:val="17"/>
              </w:rPr>
              <w:t xml:space="preserve"> to the latter proposal, with </w:t>
            </w:r>
            <w:r w:rsidRPr="001068ED">
              <w:rPr>
                <w:rFonts w:asciiTheme="majorHAnsi" w:hAnsiTheme="majorHAnsi" w:cstheme="majorHAnsi"/>
                <w:color w:val="7030A0"/>
                <w:sz w:val="17"/>
                <w:szCs w:val="17"/>
              </w:rPr>
              <w:t xml:space="preserve">Epic </w:t>
            </w:r>
            <w:r w:rsidRPr="001068ED">
              <w:rPr>
                <w:rFonts w:asciiTheme="majorHAnsi" w:hAnsiTheme="majorHAnsi" w:cstheme="majorHAnsi"/>
                <w:sz w:val="17"/>
                <w:szCs w:val="17"/>
              </w:rPr>
              <w:t xml:space="preserve">noting that the benchmarks may have ‘little relativity to a service offered and is likely to further confuse shippers’. </w:t>
            </w:r>
            <w:r w:rsidRPr="001068ED">
              <w:rPr>
                <w:rFonts w:asciiTheme="majorHAnsi" w:hAnsiTheme="majorHAnsi" w:cstheme="majorHAnsi"/>
                <w:color w:val="7030A0"/>
                <w:sz w:val="17"/>
                <w:szCs w:val="17"/>
              </w:rPr>
              <w:t xml:space="preserve">Jemena </w:t>
            </w:r>
            <w:r w:rsidRPr="001068ED">
              <w:rPr>
                <w:rFonts w:asciiTheme="majorHAnsi" w:hAnsiTheme="majorHAnsi" w:cstheme="majorHAnsi"/>
                <w:sz w:val="17"/>
                <w:szCs w:val="17"/>
              </w:rPr>
              <w:t xml:space="preserve">also noted “there is a risk that such an approach will become the default and so reduce </w:t>
            </w:r>
            <w:r w:rsidRPr="001068ED">
              <w:rPr>
                <w:rFonts w:asciiTheme="majorHAnsi" w:hAnsiTheme="majorHAnsi" w:cstheme="majorHAnsi"/>
                <w:color w:val="7030A0"/>
                <w:sz w:val="17"/>
                <w:szCs w:val="17"/>
              </w:rPr>
              <w:t xml:space="preserve">Jemena’s </w:t>
            </w:r>
            <w:r w:rsidRPr="001068ED">
              <w:rPr>
                <w:rFonts w:asciiTheme="majorHAnsi" w:hAnsiTheme="majorHAnsi" w:cstheme="majorHAnsi"/>
                <w:sz w:val="17"/>
                <w:szCs w:val="17"/>
              </w:rPr>
              <w:t xml:space="preserve">ability to provide efficient discounting”. </w:t>
            </w:r>
          </w:p>
        </w:tc>
      </w:tr>
      <w:tr w:rsidR="00E577B5" w:rsidRPr="001068ED" w14:paraId="2E432109" w14:textId="77777777" w:rsidTr="00E577B5">
        <w:trPr>
          <w:cnfStyle w:val="000000010000" w:firstRow="0" w:lastRow="0" w:firstColumn="0" w:lastColumn="0" w:oddVBand="0" w:evenVBand="0" w:oddHBand="0" w:evenHBand="1" w:firstRowFirstColumn="0" w:firstRowLastColumn="0" w:lastRowFirstColumn="0" w:lastRowLastColumn="0"/>
          <w:cantSplit/>
          <w:trHeight w:val="220"/>
        </w:trPr>
        <w:tc>
          <w:tcPr>
            <w:tcW w:w="1265" w:type="pct"/>
            <w:gridSpan w:val="3"/>
            <w:tcBorders>
              <w:bottom w:val="single" w:sz="4" w:space="0" w:color="auto"/>
            </w:tcBorders>
          </w:tcPr>
          <w:p w14:paraId="5112A69F" w14:textId="77777777" w:rsidR="00E577B5" w:rsidRPr="001068ED" w:rsidRDefault="00E577B5" w:rsidP="00E27B17">
            <w:pPr>
              <w:pStyle w:val="TableBodyText"/>
              <w:spacing w:before="20" w:after="20" w:line="252" w:lineRule="auto"/>
              <w:rPr>
                <w:rFonts w:asciiTheme="majorHAnsi" w:hAnsiTheme="majorHAnsi" w:cstheme="majorHAnsi"/>
                <w:b/>
                <w:bCs/>
                <w:sz w:val="17"/>
                <w:szCs w:val="17"/>
                <w:lang w:eastAsia="fr-CA"/>
              </w:rPr>
            </w:pPr>
            <w:r w:rsidRPr="001068ED">
              <w:rPr>
                <w:rFonts w:asciiTheme="majorHAnsi" w:hAnsiTheme="majorHAnsi" w:cstheme="majorHAnsi"/>
                <w:b/>
                <w:bCs/>
                <w:sz w:val="17"/>
                <w:szCs w:val="17"/>
                <w:lang w:eastAsia="fr-CA"/>
              </w:rPr>
              <w:lastRenderedPageBreak/>
              <w:t>Other proposals</w:t>
            </w:r>
          </w:p>
        </w:tc>
        <w:tc>
          <w:tcPr>
            <w:tcW w:w="3735" w:type="pct"/>
          </w:tcPr>
          <w:p w14:paraId="538EF468" w14:textId="77777777" w:rsidR="00E577B5" w:rsidRPr="001068ED" w:rsidRDefault="00E577B5" w:rsidP="00E27B17">
            <w:pPr>
              <w:pStyle w:val="TableBullet10"/>
              <w:numPr>
                <w:ilvl w:val="0"/>
                <w:numId w:val="0"/>
              </w:numPr>
              <w:spacing w:before="20" w:after="20"/>
              <w:ind w:left="85"/>
              <w:rPr>
                <w:rFonts w:asciiTheme="majorHAnsi" w:hAnsiTheme="majorHAnsi" w:cstheme="majorHAnsi"/>
                <w:color w:val="7030A0"/>
                <w:sz w:val="17"/>
                <w:szCs w:val="17"/>
              </w:rPr>
            </w:pPr>
            <w:r w:rsidRPr="001068ED">
              <w:rPr>
                <w:rFonts w:asciiTheme="majorHAnsi" w:hAnsiTheme="majorHAnsi" w:cstheme="majorHAnsi"/>
                <w:sz w:val="17"/>
                <w:szCs w:val="17"/>
              </w:rPr>
              <w:t xml:space="preserve">In their submissions, </w:t>
            </w:r>
            <w:r w:rsidRPr="001068ED">
              <w:rPr>
                <w:rFonts w:asciiTheme="majorHAnsi" w:hAnsiTheme="majorHAnsi" w:cstheme="majorHAnsi"/>
                <w:color w:val="7030A0"/>
                <w:sz w:val="17"/>
                <w:szCs w:val="17"/>
              </w:rPr>
              <w:t xml:space="preserve">APGA, APA </w:t>
            </w:r>
            <w:r w:rsidRPr="001068ED">
              <w:rPr>
                <w:rFonts w:asciiTheme="majorHAnsi" w:hAnsiTheme="majorHAnsi" w:cstheme="majorHAnsi"/>
                <w:sz w:val="17"/>
                <w:szCs w:val="17"/>
              </w:rPr>
              <w:t xml:space="preserve">and </w:t>
            </w:r>
            <w:r w:rsidRPr="001068ED">
              <w:rPr>
                <w:rFonts w:asciiTheme="majorHAnsi" w:hAnsiTheme="majorHAnsi" w:cstheme="majorHAnsi"/>
                <w:color w:val="7030A0"/>
                <w:sz w:val="17"/>
                <w:szCs w:val="17"/>
              </w:rPr>
              <w:t xml:space="preserve">Jemena </w:t>
            </w:r>
            <w:r w:rsidRPr="001068ED">
              <w:rPr>
                <w:rFonts w:asciiTheme="majorHAnsi" w:hAnsiTheme="majorHAnsi" w:cstheme="majorHAnsi"/>
                <w:sz w:val="17"/>
                <w:szCs w:val="17"/>
              </w:rPr>
              <w:t xml:space="preserve">suggested that the deficiencies identified in the information disclosures outlined above be addressed through the Energy Charter’s ‘Better Together’ initiative. The </w:t>
            </w:r>
            <w:r w:rsidRPr="001068ED">
              <w:rPr>
                <w:rFonts w:asciiTheme="majorHAnsi" w:hAnsiTheme="majorHAnsi" w:cstheme="majorHAnsi"/>
                <w:color w:val="3333FF"/>
                <w:sz w:val="17"/>
                <w:szCs w:val="17"/>
              </w:rPr>
              <w:t xml:space="preserve">EUAA </w:t>
            </w:r>
            <w:r w:rsidRPr="001068ED">
              <w:rPr>
                <w:rFonts w:asciiTheme="majorHAnsi" w:hAnsiTheme="majorHAnsi" w:cstheme="majorHAnsi"/>
                <w:sz w:val="17"/>
                <w:szCs w:val="17"/>
              </w:rPr>
              <w:t xml:space="preserve">and </w:t>
            </w:r>
            <w:r w:rsidRPr="001068ED">
              <w:rPr>
                <w:rFonts w:asciiTheme="majorHAnsi" w:hAnsiTheme="majorHAnsi" w:cstheme="majorHAnsi"/>
                <w:color w:val="3333FF"/>
                <w:sz w:val="17"/>
                <w:szCs w:val="17"/>
              </w:rPr>
              <w:t xml:space="preserve">Chemistry Australia </w:t>
            </w:r>
            <w:r w:rsidRPr="001068ED">
              <w:rPr>
                <w:rFonts w:asciiTheme="majorHAnsi" w:hAnsiTheme="majorHAnsi" w:cstheme="majorHAnsi"/>
                <w:sz w:val="17"/>
                <w:szCs w:val="17"/>
              </w:rPr>
              <w:t>noted their support for this initiative, but noted it could be conducted in parallel with the measures set out above.</w:t>
            </w:r>
          </w:p>
        </w:tc>
      </w:tr>
      <w:tr w:rsidR="007F0FA4" w:rsidRPr="001068ED" w14:paraId="07D86225" w14:textId="77777777" w:rsidTr="00004D3B">
        <w:trPr>
          <w:cantSplit/>
          <w:trHeight w:val="279"/>
        </w:trPr>
        <w:tc>
          <w:tcPr>
            <w:tcW w:w="5000" w:type="pct"/>
            <w:gridSpan w:val="4"/>
            <w:tcBorders>
              <w:bottom w:val="single" w:sz="4" w:space="0" w:color="auto"/>
            </w:tcBorders>
            <w:shd w:val="clear" w:color="auto" w:fill="65697F" w:themeFill="background2" w:themeFillShade="80"/>
          </w:tcPr>
          <w:p w14:paraId="60571548" w14:textId="77777777" w:rsidR="007F0FA4" w:rsidRPr="001068ED" w:rsidRDefault="007F0FA4" w:rsidP="00004D3B">
            <w:pPr>
              <w:pStyle w:val="TableBullet10"/>
              <w:numPr>
                <w:ilvl w:val="0"/>
                <w:numId w:val="0"/>
              </w:numPr>
              <w:spacing w:before="20" w:after="20"/>
              <w:ind w:left="85"/>
              <w:jc w:val="center"/>
              <w:rPr>
                <w:rFonts w:asciiTheme="majorHAnsi" w:hAnsiTheme="majorHAnsi" w:cstheme="majorHAnsi"/>
                <w:color w:val="7030A0"/>
                <w:sz w:val="17"/>
                <w:szCs w:val="17"/>
                <w:lang w:eastAsia="fr-CA"/>
              </w:rPr>
            </w:pPr>
            <w:r>
              <w:rPr>
                <w:b/>
                <w:color w:val="FFFFFF" w:themeColor="background1"/>
                <w:szCs w:val="18"/>
              </w:rPr>
              <w:t xml:space="preserve">Exemptions from disclosure obligations </w:t>
            </w:r>
          </w:p>
        </w:tc>
      </w:tr>
      <w:tr w:rsidR="007F0FA4" w:rsidRPr="001068ED" w14:paraId="256E7E6C" w14:textId="77777777" w:rsidTr="00004D3B">
        <w:trPr>
          <w:cnfStyle w:val="000000010000" w:firstRow="0" w:lastRow="0" w:firstColumn="0" w:lastColumn="0" w:oddVBand="0" w:evenVBand="0" w:oddHBand="0" w:evenHBand="1" w:firstRowFirstColumn="0" w:firstRowLastColumn="0" w:lastRowFirstColumn="0" w:lastRowLastColumn="0"/>
          <w:cantSplit/>
          <w:trHeight w:val="70"/>
        </w:trPr>
        <w:tc>
          <w:tcPr>
            <w:tcW w:w="304" w:type="pct"/>
            <w:vMerge w:val="restart"/>
            <w:textDirection w:val="btLr"/>
          </w:tcPr>
          <w:p w14:paraId="1339EA01" w14:textId="77777777" w:rsidR="007F0FA4" w:rsidRPr="001068ED" w:rsidRDefault="007F0FA4" w:rsidP="00004D3B">
            <w:pPr>
              <w:spacing w:before="20" w:after="20" w:line="252" w:lineRule="auto"/>
              <w:jc w:val="center"/>
              <w:rPr>
                <w:rFonts w:asciiTheme="majorHAnsi" w:hAnsiTheme="majorHAnsi" w:cstheme="majorHAnsi"/>
                <w:b/>
                <w:bCs/>
                <w:sz w:val="17"/>
                <w:szCs w:val="17"/>
              </w:rPr>
            </w:pPr>
            <w:r w:rsidRPr="001068ED">
              <w:rPr>
                <w:rFonts w:asciiTheme="majorHAnsi" w:hAnsiTheme="majorHAnsi" w:cstheme="majorHAnsi"/>
                <w:b/>
                <w:bCs/>
                <w:sz w:val="17"/>
                <w:szCs w:val="17"/>
              </w:rPr>
              <w:t>When exemptions should be available</w:t>
            </w:r>
          </w:p>
        </w:tc>
        <w:tc>
          <w:tcPr>
            <w:tcW w:w="961" w:type="pct"/>
            <w:gridSpan w:val="2"/>
            <w:tcBorders>
              <w:bottom w:val="single" w:sz="4" w:space="0" w:color="auto"/>
            </w:tcBorders>
            <w:shd w:val="clear" w:color="auto" w:fill="FFFFFF" w:themeFill="background1"/>
          </w:tcPr>
          <w:p w14:paraId="2FD2E38F" w14:textId="77777777" w:rsidR="007F0FA4" w:rsidRPr="001068ED" w:rsidRDefault="007F0FA4" w:rsidP="00004D3B">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Option A: </w:t>
            </w:r>
            <w:r>
              <w:rPr>
                <w:rFonts w:asciiTheme="majorHAnsi" w:hAnsiTheme="majorHAnsi" w:cstheme="majorHAnsi"/>
                <w:sz w:val="17"/>
                <w:szCs w:val="17"/>
                <w:lang w:eastAsia="fr-CA"/>
              </w:rPr>
              <w:t>S</w:t>
            </w:r>
            <w:r w:rsidRPr="001068ED">
              <w:rPr>
                <w:rFonts w:asciiTheme="majorHAnsi" w:hAnsiTheme="majorHAnsi" w:cstheme="majorHAnsi"/>
                <w:sz w:val="17"/>
                <w:szCs w:val="17"/>
                <w:lang w:eastAsia="fr-CA"/>
              </w:rPr>
              <w:t>tatus quo</w:t>
            </w:r>
          </w:p>
        </w:tc>
        <w:tc>
          <w:tcPr>
            <w:tcW w:w="3735" w:type="pct"/>
            <w:tcBorders>
              <w:bottom w:val="single" w:sz="4" w:space="0" w:color="auto"/>
            </w:tcBorders>
            <w:shd w:val="clear" w:color="auto" w:fill="FFFFFF" w:themeFill="background1"/>
          </w:tcPr>
          <w:p w14:paraId="4870AB75" w14:textId="77777777" w:rsidR="007F0FA4" w:rsidRPr="001068ED" w:rsidRDefault="007F0FA4" w:rsidP="00004D3B">
            <w:pPr>
              <w:pStyle w:val="TableBullet10"/>
              <w:spacing w:before="20"/>
              <w:rPr>
                <w:rFonts w:asciiTheme="majorHAnsi" w:hAnsiTheme="majorHAnsi" w:cstheme="majorHAnsi"/>
                <w:sz w:val="17"/>
                <w:szCs w:val="17"/>
              </w:rPr>
            </w:pPr>
            <w:r w:rsidRPr="001068ED">
              <w:rPr>
                <w:rFonts w:asciiTheme="majorHAnsi" w:hAnsiTheme="majorHAnsi" w:cstheme="majorHAnsi"/>
                <w:color w:val="CC0066"/>
                <w:sz w:val="17"/>
                <w:szCs w:val="17"/>
                <w:lang w:eastAsia="fr-CA"/>
              </w:rPr>
              <w:t xml:space="preserve">APPEA, APLNG, COPA, </w:t>
            </w:r>
            <w:r w:rsidRPr="001068ED">
              <w:rPr>
                <w:rFonts w:asciiTheme="majorHAnsi" w:hAnsiTheme="majorHAnsi" w:cstheme="majorHAnsi"/>
                <w:sz w:val="17"/>
                <w:szCs w:val="17"/>
                <w:lang w:eastAsia="fr-CA"/>
              </w:rPr>
              <w:t xml:space="preserve">a confidential submitter, </w:t>
            </w:r>
            <w:r w:rsidRPr="001068ED">
              <w:rPr>
                <w:rFonts w:asciiTheme="majorHAnsi" w:hAnsiTheme="majorHAnsi" w:cstheme="majorHAnsi"/>
                <w:color w:val="00B0F0"/>
                <w:sz w:val="17"/>
                <w:szCs w:val="17"/>
                <w:lang w:eastAsia="fr-CA"/>
              </w:rPr>
              <w:t>Alinta,</w:t>
            </w:r>
            <w:r w:rsidRPr="001068ED">
              <w:rPr>
                <w:rFonts w:asciiTheme="majorHAnsi" w:hAnsiTheme="majorHAnsi" w:cstheme="majorHAnsi"/>
                <w:sz w:val="17"/>
                <w:szCs w:val="17"/>
                <w:lang w:eastAsia="fr-CA"/>
              </w:rPr>
              <w:t xml:space="preserve"> </w:t>
            </w:r>
            <w:r w:rsidRPr="001068ED">
              <w:rPr>
                <w:rFonts w:asciiTheme="majorHAnsi" w:hAnsiTheme="majorHAnsi" w:cstheme="majorHAnsi"/>
                <w:color w:val="800080" w:themeColor="accent6"/>
                <w:sz w:val="17"/>
                <w:szCs w:val="17"/>
                <w:lang w:eastAsia="fr-CA"/>
              </w:rPr>
              <w:t xml:space="preserve">APGA, Allgas, APA, ATCO, Epic, Jemena </w:t>
            </w:r>
            <w:r w:rsidRPr="001068ED">
              <w:rPr>
                <w:rFonts w:asciiTheme="majorHAnsi" w:hAnsiTheme="majorHAnsi" w:cstheme="majorHAnsi"/>
                <w:sz w:val="17"/>
                <w:szCs w:val="17"/>
                <w:lang w:eastAsia="fr-CA"/>
              </w:rPr>
              <w:t xml:space="preserve">and </w:t>
            </w:r>
            <w:r w:rsidRPr="001068ED">
              <w:rPr>
                <w:rFonts w:asciiTheme="majorHAnsi" w:hAnsiTheme="majorHAnsi" w:cstheme="majorHAnsi"/>
                <w:color w:val="800080" w:themeColor="accent6"/>
                <w:sz w:val="17"/>
                <w:szCs w:val="17"/>
                <w:lang w:eastAsia="fr-CA"/>
              </w:rPr>
              <w:t xml:space="preserve">TGP </w:t>
            </w:r>
            <w:r w:rsidRPr="001068ED">
              <w:rPr>
                <w:rFonts w:asciiTheme="majorHAnsi" w:hAnsiTheme="majorHAnsi" w:cstheme="majorHAnsi"/>
                <w:sz w:val="17"/>
                <w:szCs w:val="17"/>
                <w:lang w:eastAsia="fr-CA"/>
              </w:rPr>
              <w:t xml:space="preserve">supported the retention of the existing information disclosure obligations. </w:t>
            </w:r>
          </w:p>
        </w:tc>
      </w:tr>
      <w:tr w:rsidR="007F0FA4" w:rsidRPr="001068ED" w14:paraId="2F43E3D1" w14:textId="77777777" w:rsidTr="00004D3B">
        <w:trPr>
          <w:cantSplit/>
          <w:trHeight w:val="1134"/>
        </w:trPr>
        <w:tc>
          <w:tcPr>
            <w:tcW w:w="304" w:type="pct"/>
            <w:vMerge/>
          </w:tcPr>
          <w:p w14:paraId="1AF4C3B0" w14:textId="77777777" w:rsidR="007F0FA4" w:rsidRPr="001068ED" w:rsidRDefault="007F0FA4" w:rsidP="00004D3B">
            <w:pPr>
              <w:spacing w:before="20" w:after="20" w:line="252" w:lineRule="auto"/>
              <w:rPr>
                <w:rFonts w:asciiTheme="majorHAnsi" w:hAnsiTheme="majorHAnsi" w:cstheme="majorHAnsi"/>
                <w:bCs/>
                <w:sz w:val="17"/>
                <w:szCs w:val="17"/>
              </w:rPr>
            </w:pPr>
          </w:p>
        </w:tc>
        <w:tc>
          <w:tcPr>
            <w:tcW w:w="254" w:type="pct"/>
            <w:vMerge w:val="restart"/>
            <w:shd w:val="clear" w:color="auto" w:fill="F2F2F2" w:themeFill="background1" w:themeFillShade="F2"/>
            <w:textDirection w:val="btLr"/>
          </w:tcPr>
          <w:p w14:paraId="3B03F13B" w14:textId="77777777" w:rsidR="007F0FA4" w:rsidRPr="001068ED" w:rsidRDefault="007F0FA4" w:rsidP="00004D3B">
            <w:pPr>
              <w:pStyle w:val="TableBodyText"/>
              <w:spacing w:before="20" w:after="20" w:line="252" w:lineRule="auto"/>
              <w:jc w:val="center"/>
              <w:rPr>
                <w:rFonts w:asciiTheme="majorHAnsi" w:hAnsiTheme="majorHAnsi" w:cstheme="majorHAnsi"/>
                <w:sz w:val="17"/>
                <w:szCs w:val="17"/>
                <w:lang w:eastAsia="fr-CA"/>
              </w:rPr>
            </w:pPr>
            <w:r w:rsidRPr="001068ED">
              <w:rPr>
                <w:rFonts w:asciiTheme="majorHAnsi" w:hAnsiTheme="majorHAnsi" w:cstheme="majorHAnsi"/>
                <w:sz w:val="17"/>
                <w:szCs w:val="17"/>
                <w:lang w:eastAsia="fr-CA"/>
              </w:rPr>
              <w:t>Option B: Address the concerns raised about the existing exemptions by:</w:t>
            </w:r>
          </w:p>
        </w:tc>
        <w:tc>
          <w:tcPr>
            <w:tcW w:w="707" w:type="pct"/>
            <w:tcBorders>
              <w:bottom w:val="single" w:sz="4" w:space="0" w:color="auto"/>
            </w:tcBorders>
            <w:shd w:val="clear" w:color="auto" w:fill="F2F2F2" w:themeFill="background1" w:themeFillShade="F2"/>
          </w:tcPr>
          <w:p w14:paraId="214A4A6A" w14:textId="77777777" w:rsidR="007F0FA4" w:rsidRPr="001068ED" w:rsidRDefault="007F0FA4" w:rsidP="00004D3B">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(a) removing all exemptions from the obligation to publish information </w:t>
            </w:r>
          </w:p>
        </w:tc>
        <w:tc>
          <w:tcPr>
            <w:tcW w:w="3735" w:type="pct"/>
            <w:shd w:val="clear" w:color="auto" w:fill="F2F2F2" w:themeFill="background1" w:themeFillShade="F2"/>
          </w:tcPr>
          <w:p w14:paraId="3A158027" w14:textId="77777777" w:rsidR="007F0FA4" w:rsidRPr="001068ED" w:rsidRDefault="007F0FA4" w:rsidP="00004D3B">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While most stakeholders agreed that pipelines not providing third party access should be able to obtain an exemption from regulation, the </w:t>
            </w:r>
            <w:r w:rsidRPr="001068ED">
              <w:rPr>
                <w:rFonts w:asciiTheme="majorHAnsi" w:hAnsiTheme="majorHAnsi" w:cstheme="majorHAnsi"/>
                <w:color w:val="0000FF"/>
                <w:sz w:val="17"/>
                <w:szCs w:val="17"/>
              </w:rPr>
              <w:t xml:space="preserve">EUAA, Chemistry Australia, MEU, Qenos </w:t>
            </w:r>
            <w:r w:rsidRPr="001068ED">
              <w:rPr>
                <w:rFonts w:asciiTheme="majorHAnsi" w:hAnsiTheme="majorHAnsi" w:cstheme="majorHAnsi"/>
                <w:sz w:val="17"/>
                <w:szCs w:val="17"/>
              </w:rPr>
              <w:t xml:space="preserve">and </w:t>
            </w:r>
            <w:r w:rsidRPr="001068ED">
              <w:rPr>
                <w:rFonts w:asciiTheme="majorHAnsi" w:hAnsiTheme="majorHAnsi" w:cstheme="majorHAnsi"/>
                <w:color w:val="00B0F0"/>
                <w:sz w:val="17"/>
                <w:szCs w:val="17"/>
              </w:rPr>
              <w:t xml:space="preserve">EnergyAustralia </w:t>
            </w:r>
            <w:r w:rsidRPr="001068ED">
              <w:rPr>
                <w:rFonts w:asciiTheme="majorHAnsi" w:hAnsiTheme="majorHAnsi" w:cstheme="majorHAnsi"/>
                <w:sz w:val="17"/>
                <w:szCs w:val="17"/>
              </w:rPr>
              <w:t xml:space="preserve">supported the removal of the exemptions available to small pipelines and single-user pipelines. In doing so, </w:t>
            </w:r>
            <w:r w:rsidRPr="001068ED">
              <w:rPr>
                <w:rFonts w:asciiTheme="majorHAnsi" w:hAnsiTheme="majorHAnsi" w:cstheme="majorHAnsi"/>
                <w:color w:val="00B0F0"/>
                <w:sz w:val="17"/>
                <w:szCs w:val="17"/>
              </w:rPr>
              <w:t xml:space="preserve">EnergyAustralia </w:t>
            </w:r>
            <w:r w:rsidRPr="001068ED">
              <w:rPr>
                <w:rFonts w:asciiTheme="majorHAnsi" w:hAnsiTheme="majorHAnsi" w:cstheme="majorHAnsi"/>
                <w:sz w:val="17"/>
                <w:szCs w:val="17"/>
              </w:rPr>
              <w:t xml:space="preserve">noted that </w:t>
            </w:r>
            <w:r w:rsidRPr="001068ED">
              <w:rPr>
                <w:rFonts w:asciiTheme="majorHAnsi" w:hAnsiTheme="majorHAnsi" w:cstheme="majorHAnsi"/>
                <w:i/>
                <w:iCs/>
                <w:sz w:val="17"/>
                <w:szCs w:val="17"/>
                <w:lang w:eastAsia="fr-CA"/>
              </w:rPr>
              <w:t>“</w:t>
            </w:r>
            <w:r w:rsidRPr="001068ED">
              <w:rPr>
                <w:rFonts w:asciiTheme="majorHAnsi" w:hAnsiTheme="majorHAnsi" w:cstheme="majorHAnsi"/>
                <w:i/>
                <w:iCs/>
                <w:sz w:val="17"/>
                <w:szCs w:val="17"/>
              </w:rPr>
              <w:t xml:space="preserve">Small pipeline service providers can still exercise market power. Without information that provides a gauge on an offered price relative to other prices in the market, it is difficult to assess the competitiveness of that price and negotiate for a better price”.  </w:t>
            </w:r>
            <w:r w:rsidRPr="001068ED">
              <w:rPr>
                <w:rFonts w:asciiTheme="majorHAnsi" w:hAnsiTheme="majorHAnsi" w:cstheme="majorHAnsi"/>
                <w:sz w:val="17"/>
                <w:szCs w:val="17"/>
              </w:rPr>
              <w:t xml:space="preserve">The </w:t>
            </w:r>
            <w:r w:rsidRPr="001068ED">
              <w:rPr>
                <w:rFonts w:asciiTheme="majorHAnsi" w:hAnsiTheme="majorHAnsi" w:cstheme="majorHAnsi"/>
                <w:color w:val="0000FF"/>
                <w:sz w:val="17"/>
                <w:szCs w:val="17"/>
              </w:rPr>
              <w:t>MEU</w:t>
            </w:r>
            <w:r w:rsidRPr="001068ED">
              <w:rPr>
                <w:rFonts w:asciiTheme="majorHAnsi" w:hAnsiTheme="majorHAnsi" w:cstheme="majorHAnsi"/>
                <w:sz w:val="17"/>
                <w:szCs w:val="17"/>
              </w:rPr>
              <w:t xml:space="preserve"> made a similar observation, noting that </w:t>
            </w:r>
            <w:r w:rsidRPr="001068ED">
              <w:rPr>
                <w:rFonts w:asciiTheme="majorHAnsi" w:hAnsiTheme="majorHAnsi" w:cstheme="majorHAnsi"/>
                <w:i/>
                <w:iCs/>
                <w:sz w:val="17"/>
                <w:szCs w:val="17"/>
              </w:rPr>
              <w:t>“its experience with the smaller capacity pipelines is that the operators use the exemptions to the disadvantage of the end users”.</w:t>
            </w:r>
            <w:r w:rsidRPr="001068ED">
              <w:rPr>
                <w:rFonts w:asciiTheme="majorHAnsi" w:hAnsiTheme="majorHAnsi" w:cstheme="majorHAnsi"/>
                <w:i/>
                <w:iCs/>
                <w:sz w:val="17"/>
                <w:szCs w:val="17"/>
                <w:lang w:eastAsia="fr-CA"/>
              </w:rPr>
              <w:t xml:space="preserve"> </w:t>
            </w:r>
          </w:p>
          <w:p w14:paraId="65E2221F" w14:textId="77777777" w:rsidR="007F0FA4" w:rsidRPr="001068ED" w:rsidRDefault="007F0FA4" w:rsidP="00004D3B">
            <w:pPr>
              <w:pStyle w:val="TableBullet10"/>
              <w:spacing w:before="20"/>
              <w:rPr>
                <w:rFonts w:asciiTheme="majorHAnsi" w:hAnsiTheme="majorHAnsi" w:cstheme="majorHAnsi"/>
                <w:color w:val="CC0066"/>
                <w:sz w:val="17"/>
                <w:szCs w:val="17"/>
                <w:lang w:eastAsia="fr-CA"/>
              </w:rPr>
            </w:pPr>
            <w:r w:rsidRPr="001068ED">
              <w:rPr>
                <w:rFonts w:asciiTheme="majorHAnsi" w:hAnsiTheme="majorHAnsi" w:cstheme="majorHAnsi"/>
                <w:sz w:val="17"/>
                <w:szCs w:val="17"/>
              </w:rPr>
              <w:t xml:space="preserve">The </w:t>
            </w:r>
            <w:r w:rsidRPr="001068ED">
              <w:rPr>
                <w:rFonts w:asciiTheme="majorHAnsi" w:hAnsiTheme="majorHAnsi" w:cstheme="majorHAnsi"/>
                <w:color w:val="FF0000"/>
                <w:sz w:val="17"/>
                <w:szCs w:val="17"/>
              </w:rPr>
              <w:t xml:space="preserve">ACCC </w:t>
            </w:r>
            <w:r w:rsidRPr="001068ED">
              <w:rPr>
                <w:rFonts w:asciiTheme="majorHAnsi" w:hAnsiTheme="majorHAnsi" w:cstheme="majorHAnsi"/>
                <w:sz w:val="17"/>
                <w:szCs w:val="17"/>
              </w:rPr>
              <w:t xml:space="preserve">and </w:t>
            </w:r>
            <w:r w:rsidRPr="001068ED">
              <w:rPr>
                <w:rFonts w:asciiTheme="majorHAnsi" w:hAnsiTheme="majorHAnsi" w:cstheme="majorHAnsi"/>
                <w:color w:val="00B0F0"/>
                <w:sz w:val="17"/>
                <w:szCs w:val="17"/>
              </w:rPr>
              <w:t>Origin</w:t>
            </w:r>
            <w:r w:rsidRPr="001068ED">
              <w:rPr>
                <w:rFonts w:asciiTheme="majorHAnsi" w:hAnsiTheme="majorHAnsi" w:cstheme="majorHAnsi"/>
                <w:sz w:val="17"/>
                <w:szCs w:val="17"/>
              </w:rPr>
              <w:t xml:space="preserve">, on the other hand, thought that exemptions from the publication of </w:t>
            </w:r>
            <w:r w:rsidR="00517663">
              <w:rPr>
                <w:rFonts w:asciiTheme="majorHAnsi" w:hAnsiTheme="majorHAnsi" w:cstheme="majorHAnsi"/>
                <w:sz w:val="17"/>
                <w:szCs w:val="17"/>
              </w:rPr>
              <w:t>historical financial</w:t>
            </w:r>
            <w:r w:rsidRPr="001068ED">
              <w:rPr>
                <w:rFonts w:asciiTheme="majorHAnsi" w:hAnsiTheme="majorHAnsi" w:cstheme="majorHAnsi"/>
                <w:sz w:val="17"/>
                <w:szCs w:val="17"/>
              </w:rPr>
              <w:t xml:space="preserve"> information should be available to small and single user pipelines, but that these pipelines should be required to publish Basic Information. </w:t>
            </w:r>
          </w:p>
        </w:tc>
      </w:tr>
      <w:tr w:rsidR="007F0FA4" w:rsidRPr="001068ED" w14:paraId="4F419A8B" w14:textId="77777777" w:rsidTr="00004D3B">
        <w:trPr>
          <w:cnfStyle w:val="000000010000" w:firstRow="0" w:lastRow="0" w:firstColumn="0" w:lastColumn="0" w:oddVBand="0" w:evenVBand="0" w:oddHBand="0" w:evenHBand="1" w:firstRowFirstColumn="0" w:firstRowLastColumn="0" w:lastRowFirstColumn="0" w:lastRowLastColumn="0"/>
          <w:cantSplit/>
          <w:trHeight w:val="1134"/>
        </w:trPr>
        <w:tc>
          <w:tcPr>
            <w:tcW w:w="304" w:type="pct"/>
            <w:vMerge/>
          </w:tcPr>
          <w:p w14:paraId="5A87999F" w14:textId="77777777" w:rsidR="007F0FA4" w:rsidRPr="001068ED" w:rsidRDefault="007F0FA4" w:rsidP="00004D3B">
            <w:pPr>
              <w:spacing w:before="20" w:after="20" w:line="252" w:lineRule="auto"/>
              <w:rPr>
                <w:rFonts w:asciiTheme="majorHAnsi" w:hAnsiTheme="majorHAnsi" w:cstheme="majorHAnsi"/>
                <w:bCs/>
                <w:sz w:val="17"/>
                <w:szCs w:val="17"/>
              </w:rPr>
            </w:pPr>
          </w:p>
        </w:tc>
        <w:tc>
          <w:tcPr>
            <w:tcW w:w="254" w:type="pct"/>
            <w:vMerge/>
            <w:tcBorders>
              <w:bottom w:val="single" w:sz="4" w:space="0" w:color="auto"/>
            </w:tcBorders>
            <w:shd w:val="clear" w:color="auto" w:fill="F2F2F2" w:themeFill="background1" w:themeFillShade="F2"/>
            <w:textDirection w:val="btLr"/>
          </w:tcPr>
          <w:p w14:paraId="1F1D5AA8" w14:textId="77777777" w:rsidR="007F0FA4" w:rsidRPr="001068ED" w:rsidRDefault="007F0FA4" w:rsidP="00004D3B">
            <w:pPr>
              <w:pStyle w:val="TableBodyText"/>
              <w:spacing w:before="20" w:after="20" w:line="252" w:lineRule="auto"/>
              <w:rPr>
                <w:rFonts w:asciiTheme="majorHAnsi" w:hAnsiTheme="majorHAnsi" w:cstheme="majorHAnsi"/>
                <w:sz w:val="17"/>
                <w:szCs w:val="17"/>
                <w:lang w:eastAsia="fr-CA"/>
              </w:rPr>
            </w:pPr>
          </w:p>
        </w:tc>
        <w:tc>
          <w:tcPr>
            <w:tcW w:w="707" w:type="pct"/>
            <w:tcBorders>
              <w:bottom w:val="single" w:sz="4" w:space="0" w:color="auto"/>
            </w:tcBorders>
            <w:shd w:val="clear" w:color="auto" w:fill="F2F2F2" w:themeFill="background1" w:themeFillShade="F2"/>
          </w:tcPr>
          <w:p w14:paraId="442B961B" w14:textId="77777777" w:rsidR="007F0FA4" w:rsidRPr="001068ED" w:rsidRDefault="007F0FA4" w:rsidP="00004D3B">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(b)</w:t>
            </w:r>
            <w:r w:rsidRPr="001068ED">
              <w:rPr>
                <w:rFonts w:asciiTheme="majorHAnsi" w:hAnsiTheme="majorHAnsi" w:cstheme="majorHAnsi"/>
                <w:sz w:val="17"/>
                <w:szCs w:val="17"/>
              </w:rPr>
              <w:t xml:space="preserve"> requiring all service providers </w:t>
            </w:r>
            <w:r w:rsidRPr="001068ED">
              <w:rPr>
                <w:rFonts w:asciiTheme="majorHAnsi" w:hAnsiTheme="majorHAnsi" w:cstheme="majorHAnsi"/>
                <w:sz w:val="17"/>
                <w:szCs w:val="17"/>
                <w:lang w:eastAsia="fr-CA"/>
              </w:rPr>
              <w:t>providing 3</w:t>
            </w:r>
            <w:r w:rsidRPr="001068ED">
              <w:rPr>
                <w:rFonts w:asciiTheme="majorHAnsi" w:hAnsiTheme="majorHAnsi" w:cstheme="majorHAnsi"/>
                <w:sz w:val="17"/>
                <w:szCs w:val="17"/>
                <w:vertAlign w:val="superscript"/>
                <w:lang w:eastAsia="fr-CA"/>
              </w:rPr>
              <w:t>rd</w:t>
            </w:r>
            <w:r w:rsidRPr="001068ED">
              <w:rPr>
                <w:rFonts w:asciiTheme="majorHAnsi" w:hAnsiTheme="majorHAnsi" w:cstheme="majorHAnsi"/>
                <w:sz w:val="17"/>
                <w:szCs w:val="17"/>
                <w:lang w:eastAsia="fr-CA"/>
              </w:rPr>
              <w:t xml:space="preserve"> party access to publish Basic Information</w:t>
            </w:r>
          </w:p>
        </w:tc>
        <w:tc>
          <w:tcPr>
            <w:tcW w:w="3735" w:type="pct"/>
            <w:tcBorders>
              <w:bottom w:val="single" w:sz="4" w:space="0" w:color="auto"/>
            </w:tcBorders>
            <w:shd w:val="clear" w:color="auto" w:fill="F2F2F2" w:themeFill="background1" w:themeFillShade="F2"/>
          </w:tcPr>
          <w:p w14:paraId="572A50B1" w14:textId="77777777" w:rsidR="007F0FA4" w:rsidRPr="001068ED" w:rsidRDefault="007F0FA4" w:rsidP="00004D3B">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The </w:t>
            </w:r>
            <w:r w:rsidRPr="001068ED">
              <w:rPr>
                <w:rFonts w:asciiTheme="majorHAnsi" w:hAnsiTheme="majorHAnsi" w:cstheme="majorHAnsi"/>
                <w:color w:val="FF0000"/>
                <w:sz w:val="17"/>
                <w:szCs w:val="17"/>
                <w:lang w:eastAsia="fr-CA"/>
              </w:rPr>
              <w:t>ACCC</w:t>
            </w:r>
            <w:r w:rsidRPr="001068ED">
              <w:rPr>
                <w:rFonts w:asciiTheme="majorHAnsi" w:hAnsiTheme="majorHAnsi" w:cstheme="majorHAnsi"/>
                <w:sz w:val="17"/>
                <w:szCs w:val="17"/>
                <w:lang w:eastAsia="fr-CA"/>
              </w:rPr>
              <w:t xml:space="preserve">, </w:t>
            </w:r>
            <w:r w:rsidRPr="001068ED">
              <w:rPr>
                <w:rFonts w:asciiTheme="majorHAnsi" w:hAnsiTheme="majorHAnsi" w:cstheme="majorHAnsi"/>
                <w:color w:val="FF0000"/>
                <w:sz w:val="17"/>
                <w:szCs w:val="17"/>
                <w:lang w:eastAsia="fr-CA"/>
              </w:rPr>
              <w:t xml:space="preserve">NCC, </w:t>
            </w:r>
            <w:r w:rsidRPr="001068ED">
              <w:rPr>
                <w:rFonts w:asciiTheme="majorHAnsi" w:hAnsiTheme="majorHAnsi" w:cstheme="majorHAnsi"/>
                <w:color w:val="00B0F0"/>
                <w:sz w:val="17"/>
                <w:szCs w:val="17"/>
                <w:lang w:eastAsia="fr-CA"/>
              </w:rPr>
              <w:t xml:space="preserve">Origin, </w:t>
            </w:r>
            <w:r w:rsidRPr="001068ED">
              <w:rPr>
                <w:rFonts w:asciiTheme="majorHAnsi" w:hAnsiTheme="majorHAnsi" w:cstheme="majorHAnsi"/>
                <w:color w:val="7030A0"/>
                <w:sz w:val="17"/>
                <w:szCs w:val="17"/>
                <w:lang w:eastAsia="fr-CA"/>
              </w:rPr>
              <w:t xml:space="preserve">AGIG </w:t>
            </w:r>
            <w:r w:rsidRPr="001068ED">
              <w:rPr>
                <w:rFonts w:asciiTheme="majorHAnsi" w:hAnsiTheme="majorHAnsi" w:cstheme="majorHAnsi"/>
                <w:sz w:val="17"/>
                <w:szCs w:val="17"/>
                <w:lang w:eastAsia="fr-CA"/>
              </w:rPr>
              <w:t xml:space="preserve">and </w:t>
            </w:r>
            <w:r w:rsidRPr="001068ED">
              <w:rPr>
                <w:rFonts w:asciiTheme="majorHAnsi" w:hAnsiTheme="majorHAnsi" w:cstheme="majorHAnsi"/>
                <w:color w:val="0000FF"/>
                <w:sz w:val="17"/>
                <w:szCs w:val="17"/>
                <w:lang w:eastAsia="fr-CA"/>
              </w:rPr>
              <w:t xml:space="preserve">NSW BC </w:t>
            </w:r>
            <w:r w:rsidRPr="001068ED">
              <w:rPr>
                <w:rFonts w:asciiTheme="majorHAnsi" w:hAnsiTheme="majorHAnsi" w:cstheme="majorHAnsi"/>
                <w:sz w:val="17"/>
                <w:szCs w:val="17"/>
                <w:lang w:eastAsia="fr-CA"/>
              </w:rPr>
              <w:t xml:space="preserve">supported this proposal, with the </w:t>
            </w:r>
            <w:r w:rsidRPr="001068ED">
              <w:rPr>
                <w:rFonts w:asciiTheme="majorHAnsi" w:hAnsiTheme="majorHAnsi" w:cstheme="majorHAnsi"/>
                <w:color w:val="0000FF"/>
                <w:sz w:val="17"/>
                <w:szCs w:val="17"/>
                <w:lang w:eastAsia="fr-CA"/>
              </w:rPr>
              <w:t xml:space="preserve">NSW BC </w:t>
            </w:r>
            <w:r w:rsidRPr="001068ED">
              <w:rPr>
                <w:rFonts w:asciiTheme="majorHAnsi" w:hAnsiTheme="majorHAnsi" w:cstheme="majorHAnsi"/>
                <w:sz w:val="17"/>
                <w:szCs w:val="17"/>
                <w:lang w:eastAsia="fr-CA"/>
              </w:rPr>
              <w:t xml:space="preserve">stating it </w:t>
            </w:r>
            <w:r w:rsidRPr="001068ED">
              <w:rPr>
                <w:rFonts w:asciiTheme="majorHAnsi" w:hAnsiTheme="majorHAnsi" w:cstheme="majorHAnsi"/>
                <w:iCs/>
                <w:sz w:val="17"/>
                <w:szCs w:val="17"/>
              </w:rPr>
              <w:t>was a “sensible incremental step”</w:t>
            </w:r>
            <w:r w:rsidRPr="001068ED">
              <w:rPr>
                <w:rFonts w:asciiTheme="majorHAnsi" w:hAnsiTheme="majorHAnsi" w:cstheme="majorHAnsi"/>
                <w:sz w:val="17"/>
                <w:szCs w:val="17"/>
                <w:lang w:eastAsia="fr-CA"/>
              </w:rPr>
              <w:t>.</w:t>
            </w:r>
          </w:p>
          <w:p w14:paraId="0D6669B3" w14:textId="77777777" w:rsidR="007F0FA4" w:rsidRPr="001068ED" w:rsidRDefault="007F0FA4" w:rsidP="00004D3B">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sz w:val="17"/>
                <w:szCs w:val="17"/>
              </w:rPr>
              <w:t xml:space="preserve">While </w:t>
            </w:r>
            <w:r w:rsidRPr="001068ED">
              <w:rPr>
                <w:rFonts w:asciiTheme="majorHAnsi" w:hAnsiTheme="majorHAnsi" w:cstheme="majorHAnsi"/>
                <w:color w:val="00B0F0"/>
                <w:sz w:val="17"/>
                <w:szCs w:val="17"/>
              </w:rPr>
              <w:t xml:space="preserve">EnergyAustralia </w:t>
            </w:r>
            <w:r w:rsidRPr="001068ED">
              <w:rPr>
                <w:rFonts w:asciiTheme="majorHAnsi" w:hAnsiTheme="majorHAnsi" w:cstheme="majorHAnsi"/>
                <w:sz w:val="17"/>
                <w:szCs w:val="17"/>
              </w:rPr>
              <w:t xml:space="preserve">did not support any exemptions, it did note that if exemptions are to be allowed, then all service providers should at a minimum be required to publish the basic set of information. </w:t>
            </w:r>
          </w:p>
          <w:p w14:paraId="2CF1B1E0" w14:textId="77777777" w:rsidR="007F0FA4" w:rsidRPr="001068ED" w:rsidRDefault="007F0FA4" w:rsidP="00004D3B">
            <w:pPr>
              <w:pStyle w:val="TableBullet10"/>
              <w:spacing w:before="20"/>
              <w:rPr>
                <w:rFonts w:asciiTheme="majorHAnsi" w:hAnsiTheme="majorHAnsi" w:cstheme="majorHAnsi"/>
                <w:color w:val="CC0066"/>
                <w:sz w:val="17"/>
                <w:szCs w:val="17"/>
                <w:lang w:eastAsia="fr-CA"/>
              </w:rPr>
            </w:pPr>
            <w:r w:rsidRPr="001068ED">
              <w:rPr>
                <w:rFonts w:asciiTheme="majorHAnsi" w:hAnsiTheme="majorHAnsi" w:cstheme="majorHAnsi"/>
                <w:iCs/>
                <w:color w:val="7030A0"/>
                <w:sz w:val="17"/>
                <w:szCs w:val="17"/>
              </w:rPr>
              <w:t xml:space="preserve">APGA </w:t>
            </w:r>
            <w:r w:rsidRPr="001068ED">
              <w:rPr>
                <w:rFonts w:asciiTheme="majorHAnsi" w:hAnsiTheme="majorHAnsi" w:cstheme="majorHAnsi"/>
                <w:iCs/>
                <w:sz w:val="17"/>
                <w:szCs w:val="17"/>
              </w:rPr>
              <w:t xml:space="preserve">and </w:t>
            </w:r>
            <w:r w:rsidRPr="001068ED">
              <w:rPr>
                <w:rFonts w:asciiTheme="majorHAnsi" w:hAnsiTheme="majorHAnsi" w:cstheme="majorHAnsi"/>
                <w:iCs/>
                <w:color w:val="7030A0"/>
                <w:sz w:val="17"/>
                <w:szCs w:val="17"/>
              </w:rPr>
              <w:t>Epic</w:t>
            </w:r>
            <w:r w:rsidRPr="001068ED">
              <w:rPr>
                <w:rFonts w:asciiTheme="majorHAnsi" w:hAnsiTheme="majorHAnsi" w:cstheme="majorHAnsi"/>
                <w:iCs/>
                <w:sz w:val="17"/>
                <w:szCs w:val="17"/>
              </w:rPr>
              <w:t xml:space="preserve">, on the other hand, expressed some concerns about this proposal, with Epic stating that in its experience few shippers have shown any interest in the information they have been required to publish. </w:t>
            </w:r>
          </w:p>
        </w:tc>
      </w:tr>
      <w:tr w:rsidR="007F0FA4" w:rsidRPr="001068ED" w14:paraId="4FACAE7A" w14:textId="77777777" w:rsidTr="00004D3B">
        <w:trPr>
          <w:cantSplit/>
          <w:trHeight w:val="612"/>
        </w:trPr>
        <w:tc>
          <w:tcPr>
            <w:tcW w:w="304" w:type="pct"/>
            <w:vMerge/>
            <w:tcBorders>
              <w:bottom w:val="single" w:sz="4" w:space="0" w:color="auto"/>
            </w:tcBorders>
          </w:tcPr>
          <w:p w14:paraId="22D29ADE" w14:textId="77777777" w:rsidR="007F0FA4" w:rsidRPr="001068ED" w:rsidRDefault="007F0FA4" w:rsidP="00004D3B">
            <w:pPr>
              <w:spacing w:before="20" w:after="20" w:line="252" w:lineRule="auto"/>
              <w:rPr>
                <w:rFonts w:asciiTheme="majorHAnsi" w:hAnsiTheme="majorHAnsi" w:cstheme="majorHAnsi"/>
                <w:bCs/>
                <w:sz w:val="17"/>
                <w:szCs w:val="17"/>
              </w:rPr>
            </w:pPr>
          </w:p>
        </w:tc>
        <w:tc>
          <w:tcPr>
            <w:tcW w:w="961" w:type="pct"/>
            <w:gridSpan w:val="2"/>
            <w:tcBorders>
              <w:bottom w:val="single" w:sz="4" w:space="0" w:color="auto"/>
            </w:tcBorders>
            <w:shd w:val="clear" w:color="auto" w:fill="E1E2E7" w:themeFill="background2"/>
          </w:tcPr>
          <w:p w14:paraId="048BFE5C" w14:textId="77777777" w:rsidR="007F0FA4" w:rsidRPr="001068ED" w:rsidRDefault="007F0FA4" w:rsidP="00004D3B">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Other proposals </w:t>
            </w:r>
          </w:p>
        </w:tc>
        <w:tc>
          <w:tcPr>
            <w:tcW w:w="3735" w:type="pct"/>
            <w:tcBorders>
              <w:bottom w:val="single" w:sz="4" w:space="0" w:color="auto"/>
            </w:tcBorders>
            <w:shd w:val="clear" w:color="auto" w:fill="E1E2E7" w:themeFill="background2"/>
          </w:tcPr>
          <w:p w14:paraId="09A9BC62" w14:textId="77777777" w:rsidR="007F0FA4" w:rsidRPr="001068ED" w:rsidRDefault="007F0FA4" w:rsidP="00004D3B">
            <w:pPr>
              <w:pStyle w:val="TableBullet10"/>
              <w:spacing w:before="20"/>
              <w:rPr>
                <w:rFonts w:asciiTheme="majorHAnsi" w:hAnsiTheme="majorHAnsi" w:cstheme="majorHAnsi"/>
                <w:sz w:val="17"/>
                <w:szCs w:val="17"/>
              </w:rPr>
            </w:pPr>
            <w:r w:rsidRPr="001068ED">
              <w:rPr>
                <w:rFonts w:asciiTheme="majorHAnsi" w:hAnsiTheme="majorHAnsi" w:cstheme="majorHAnsi"/>
                <w:sz w:val="17"/>
                <w:szCs w:val="17"/>
                <w:lang w:eastAsia="fr-CA"/>
              </w:rPr>
              <w:t>Some stakeholders thought that exemptions from the disclosure obligations should be available to pipelines with a greenfield exemption (</w:t>
            </w:r>
            <w:r w:rsidRPr="001068ED">
              <w:rPr>
                <w:rFonts w:asciiTheme="majorHAnsi" w:hAnsiTheme="majorHAnsi" w:cstheme="majorHAnsi"/>
                <w:color w:val="FF0000"/>
                <w:sz w:val="17"/>
                <w:szCs w:val="17"/>
                <w:lang w:eastAsia="fr-CA"/>
              </w:rPr>
              <w:t>NCC</w:t>
            </w:r>
            <w:r w:rsidRPr="001068ED">
              <w:rPr>
                <w:rFonts w:asciiTheme="majorHAnsi" w:hAnsiTheme="majorHAnsi" w:cstheme="majorHAnsi"/>
                <w:sz w:val="17"/>
                <w:szCs w:val="17"/>
                <w:lang w:eastAsia="fr-CA"/>
              </w:rPr>
              <w:t xml:space="preserve">, confidential submitter, </w:t>
            </w:r>
            <w:r w:rsidRPr="001068ED">
              <w:rPr>
                <w:rFonts w:asciiTheme="majorHAnsi" w:hAnsiTheme="majorHAnsi" w:cstheme="majorHAnsi"/>
                <w:color w:val="7030A0"/>
                <w:sz w:val="17"/>
                <w:szCs w:val="17"/>
                <w:lang w:eastAsia="fr-CA"/>
              </w:rPr>
              <w:t>APA</w:t>
            </w:r>
            <w:r w:rsidRPr="001068ED">
              <w:rPr>
                <w:rFonts w:asciiTheme="majorHAnsi" w:hAnsiTheme="majorHAnsi" w:cstheme="majorHAnsi"/>
                <w:sz w:val="17"/>
                <w:szCs w:val="17"/>
                <w:lang w:eastAsia="fr-CA"/>
              </w:rPr>
              <w:t xml:space="preserve">, and </w:t>
            </w:r>
            <w:r w:rsidRPr="001068ED">
              <w:rPr>
                <w:rFonts w:asciiTheme="majorHAnsi" w:hAnsiTheme="majorHAnsi" w:cstheme="majorHAnsi"/>
                <w:color w:val="7030A0"/>
                <w:sz w:val="17"/>
                <w:szCs w:val="17"/>
                <w:lang w:eastAsia="fr-CA"/>
              </w:rPr>
              <w:t>Jemena</w:t>
            </w:r>
            <w:r w:rsidRPr="001068ED">
              <w:rPr>
                <w:rFonts w:asciiTheme="majorHAnsi" w:hAnsiTheme="majorHAnsi" w:cstheme="majorHAnsi"/>
                <w:sz w:val="17"/>
                <w:szCs w:val="17"/>
                <w:lang w:eastAsia="fr-CA"/>
              </w:rPr>
              <w:t>), single-use non-market facing assets (confidential submitter) and/or pipelines that do not receive ‘bona-fide access requests’ (</w:t>
            </w:r>
            <w:r w:rsidRPr="001068ED">
              <w:rPr>
                <w:rFonts w:asciiTheme="majorHAnsi" w:hAnsiTheme="majorHAnsi" w:cstheme="majorHAnsi"/>
                <w:color w:val="00B0F0"/>
                <w:sz w:val="17"/>
                <w:szCs w:val="17"/>
                <w:lang w:eastAsia="fr-CA"/>
              </w:rPr>
              <w:t>Alinta</w:t>
            </w:r>
            <w:r w:rsidRPr="001068ED">
              <w:rPr>
                <w:rFonts w:asciiTheme="majorHAnsi" w:hAnsiTheme="majorHAnsi" w:cstheme="majorHAnsi"/>
                <w:sz w:val="17"/>
                <w:szCs w:val="17"/>
                <w:lang w:eastAsia="fr-CA"/>
              </w:rPr>
              <w:t>).</w:t>
            </w:r>
          </w:p>
        </w:tc>
      </w:tr>
      <w:tr w:rsidR="007F0FA4" w:rsidRPr="001068ED" w14:paraId="3E398F13" w14:textId="77777777" w:rsidTr="00004D3B">
        <w:trPr>
          <w:cnfStyle w:val="000000010000" w:firstRow="0" w:lastRow="0" w:firstColumn="0" w:lastColumn="0" w:oddVBand="0" w:evenVBand="0" w:oddHBand="0" w:evenHBand="1" w:firstRowFirstColumn="0" w:firstRowLastColumn="0" w:lastRowFirstColumn="0" w:lastRowLastColumn="0"/>
          <w:cantSplit/>
          <w:trHeight w:val="612"/>
        </w:trPr>
        <w:tc>
          <w:tcPr>
            <w:tcW w:w="304" w:type="pct"/>
            <w:vMerge w:val="restart"/>
            <w:shd w:val="clear" w:color="auto" w:fill="FFFFFF" w:themeFill="background1"/>
            <w:textDirection w:val="btLr"/>
          </w:tcPr>
          <w:p w14:paraId="2EAE64F9" w14:textId="77777777" w:rsidR="007F0FA4" w:rsidRPr="001068ED" w:rsidRDefault="007F0FA4" w:rsidP="00004D3B">
            <w:pPr>
              <w:spacing w:before="20" w:after="20" w:line="252" w:lineRule="auto"/>
              <w:jc w:val="center"/>
              <w:rPr>
                <w:rFonts w:asciiTheme="majorHAnsi" w:hAnsiTheme="majorHAnsi" w:cstheme="majorHAnsi"/>
                <w:b/>
                <w:bCs/>
                <w:sz w:val="17"/>
                <w:szCs w:val="17"/>
              </w:rPr>
            </w:pPr>
            <w:r w:rsidRPr="001068ED">
              <w:rPr>
                <w:rFonts w:asciiTheme="majorHAnsi" w:hAnsiTheme="majorHAnsi" w:cstheme="majorHAnsi"/>
                <w:b/>
                <w:bCs/>
                <w:sz w:val="17"/>
                <w:szCs w:val="17"/>
                <w:lang w:eastAsia="fr-CA"/>
              </w:rPr>
              <w:t>Size threshold for exemptions</w:t>
            </w:r>
          </w:p>
        </w:tc>
        <w:tc>
          <w:tcPr>
            <w:tcW w:w="961" w:type="pct"/>
            <w:gridSpan w:val="2"/>
            <w:tcBorders>
              <w:bottom w:val="single" w:sz="4" w:space="0" w:color="auto"/>
            </w:tcBorders>
            <w:shd w:val="clear" w:color="auto" w:fill="FFFFFF" w:themeFill="background1"/>
          </w:tcPr>
          <w:p w14:paraId="73647873" w14:textId="77777777" w:rsidR="007F0FA4" w:rsidRPr="001068ED" w:rsidRDefault="007F0FA4" w:rsidP="00004D3B">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Option A: </w:t>
            </w:r>
            <w:r>
              <w:rPr>
                <w:rFonts w:asciiTheme="majorHAnsi" w:hAnsiTheme="majorHAnsi" w:cstheme="majorHAnsi"/>
                <w:sz w:val="17"/>
                <w:szCs w:val="17"/>
                <w:lang w:eastAsia="fr-CA"/>
              </w:rPr>
              <w:t>S</w:t>
            </w:r>
            <w:r w:rsidRPr="001068ED">
              <w:rPr>
                <w:rFonts w:asciiTheme="majorHAnsi" w:hAnsiTheme="majorHAnsi" w:cstheme="majorHAnsi"/>
                <w:sz w:val="17"/>
                <w:szCs w:val="17"/>
                <w:lang w:eastAsia="fr-CA"/>
              </w:rPr>
              <w:t>tatus quo</w:t>
            </w:r>
          </w:p>
        </w:tc>
        <w:tc>
          <w:tcPr>
            <w:tcW w:w="3735" w:type="pct"/>
            <w:tcBorders>
              <w:bottom w:val="single" w:sz="4" w:space="0" w:color="auto"/>
            </w:tcBorders>
            <w:shd w:val="clear" w:color="auto" w:fill="FFFFFF" w:themeFill="background1"/>
          </w:tcPr>
          <w:p w14:paraId="706DC55E" w14:textId="77777777" w:rsidR="007F0FA4" w:rsidRPr="001068ED" w:rsidRDefault="007F0FA4" w:rsidP="00004D3B">
            <w:pPr>
              <w:pStyle w:val="TableBullet10"/>
              <w:spacing w:before="20"/>
              <w:rPr>
                <w:rFonts w:asciiTheme="majorHAnsi" w:hAnsiTheme="majorHAnsi" w:cstheme="majorHAnsi"/>
                <w:sz w:val="17"/>
                <w:szCs w:val="17"/>
              </w:rPr>
            </w:pPr>
            <w:r w:rsidRPr="001068ED">
              <w:rPr>
                <w:rFonts w:asciiTheme="majorHAnsi" w:hAnsiTheme="majorHAnsi" w:cstheme="majorHAnsi"/>
                <w:color w:val="7030A0"/>
                <w:sz w:val="17"/>
                <w:szCs w:val="17"/>
              </w:rPr>
              <w:t>APGA</w:t>
            </w:r>
            <w:r w:rsidRPr="001068ED">
              <w:rPr>
                <w:rFonts w:asciiTheme="majorHAnsi" w:hAnsiTheme="majorHAnsi" w:cstheme="majorHAnsi"/>
                <w:sz w:val="17"/>
                <w:szCs w:val="17"/>
              </w:rPr>
              <w:t xml:space="preserve">, </w:t>
            </w:r>
            <w:r w:rsidRPr="001068ED">
              <w:rPr>
                <w:rFonts w:asciiTheme="majorHAnsi" w:hAnsiTheme="majorHAnsi" w:cstheme="majorHAnsi"/>
                <w:color w:val="7030A0"/>
                <w:sz w:val="17"/>
                <w:szCs w:val="17"/>
              </w:rPr>
              <w:t>AGIG</w:t>
            </w:r>
            <w:r w:rsidRPr="001068ED">
              <w:rPr>
                <w:rFonts w:asciiTheme="majorHAnsi" w:hAnsiTheme="majorHAnsi" w:cstheme="majorHAnsi"/>
                <w:sz w:val="17"/>
                <w:szCs w:val="17"/>
              </w:rPr>
              <w:t xml:space="preserve">, </w:t>
            </w:r>
            <w:r w:rsidRPr="001068ED">
              <w:rPr>
                <w:rFonts w:asciiTheme="majorHAnsi" w:hAnsiTheme="majorHAnsi" w:cstheme="majorHAnsi"/>
                <w:color w:val="7030A0"/>
                <w:sz w:val="17"/>
                <w:szCs w:val="17"/>
              </w:rPr>
              <w:t>ATCO</w:t>
            </w:r>
            <w:r w:rsidRPr="001068ED">
              <w:rPr>
                <w:rFonts w:asciiTheme="majorHAnsi" w:hAnsiTheme="majorHAnsi" w:cstheme="majorHAnsi"/>
                <w:sz w:val="17"/>
                <w:szCs w:val="17"/>
              </w:rPr>
              <w:t xml:space="preserve"> and </w:t>
            </w:r>
            <w:r w:rsidRPr="001068ED">
              <w:rPr>
                <w:rFonts w:asciiTheme="majorHAnsi" w:hAnsiTheme="majorHAnsi" w:cstheme="majorHAnsi"/>
                <w:color w:val="7030A0"/>
                <w:sz w:val="17"/>
                <w:szCs w:val="17"/>
              </w:rPr>
              <w:t xml:space="preserve">Jemena </w:t>
            </w:r>
            <w:r w:rsidRPr="001068ED">
              <w:rPr>
                <w:rFonts w:asciiTheme="majorHAnsi" w:hAnsiTheme="majorHAnsi" w:cstheme="majorHAnsi"/>
                <w:sz w:val="17"/>
                <w:szCs w:val="17"/>
              </w:rPr>
              <w:t xml:space="preserve">supported the retention of the threshold currently used under Part 23, which is based on flows rather than nameplate capacity. </w:t>
            </w:r>
          </w:p>
        </w:tc>
      </w:tr>
      <w:tr w:rsidR="007F0FA4" w:rsidRPr="001068ED" w14:paraId="4E022502" w14:textId="77777777" w:rsidTr="00004D3B">
        <w:trPr>
          <w:cantSplit/>
          <w:trHeight w:val="612"/>
        </w:trPr>
        <w:tc>
          <w:tcPr>
            <w:tcW w:w="304" w:type="pct"/>
            <w:vMerge/>
            <w:tcBorders>
              <w:bottom w:val="single" w:sz="4" w:space="0" w:color="auto"/>
            </w:tcBorders>
            <w:shd w:val="clear" w:color="auto" w:fill="FFFFFF" w:themeFill="background1"/>
          </w:tcPr>
          <w:p w14:paraId="4132A358" w14:textId="77777777" w:rsidR="007F0FA4" w:rsidRPr="001068ED" w:rsidRDefault="007F0FA4" w:rsidP="00004D3B">
            <w:pPr>
              <w:spacing w:before="20" w:after="20" w:line="252" w:lineRule="auto"/>
              <w:rPr>
                <w:rFonts w:asciiTheme="majorHAnsi" w:hAnsiTheme="majorHAnsi" w:cstheme="majorHAnsi"/>
                <w:b/>
                <w:bCs/>
                <w:sz w:val="17"/>
                <w:szCs w:val="17"/>
              </w:rPr>
            </w:pPr>
          </w:p>
        </w:tc>
        <w:tc>
          <w:tcPr>
            <w:tcW w:w="961" w:type="pct"/>
            <w:gridSpan w:val="2"/>
            <w:tcBorders>
              <w:bottom w:val="single" w:sz="4" w:space="0" w:color="auto"/>
            </w:tcBorders>
            <w:shd w:val="clear" w:color="auto" w:fill="F2F2F2" w:themeFill="background1" w:themeFillShade="F2"/>
          </w:tcPr>
          <w:p w14:paraId="4EB13FD5" w14:textId="77777777" w:rsidR="007F0FA4" w:rsidRPr="001068ED" w:rsidRDefault="007F0FA4" w:rsidP="00004D3B">
            <w:pPr>
              <w:pStyle w:val="TableBodyText"/>
              <w:spacing w:before="20" w:after="20" w:line="252" w:lineRule="auto"/>
              <w:rPr>
                <w:rFonts w:asciiTheme="majorHAnsi" w:hAnsiTheme="majorHAnsi" w:cstheme="majorHAnsi"/>
                <w:sz w:val="17"/>
                <w:szCs w:val="17"/>
                <w:lang w:eastAsia="fr-CA"/>
              </w:rPr>
            </w:pPr>
            <w:r w:rsidRPr="001068ED">
              <w:rPr>
                <w:rFonts w:asciiTheme="majorHAnsi" w:hAnsiTheme="majorHAnsi" w:cstheme="majorHAnsi"/>
                <w:sz w:val="17"/>
                <w:szCs w:val="17"/>
                <w:lang w:eastAsia="fr-CA"/>
              </w:rPr>
              <w:t xml:space="preserve">Option B: Adopt a common size threshold </w:t>
            </w:r>
          </w:p>
        </w:tc>
        <w:tc>
          <w:tcPr>
            <w:tcW w:w="3735" w:type="pct"/>
            <w:tcBorders>
              <w:bottom w:val="single" w:sz="4" w:space="0" w:color="auto"/>
            </w:tcBorders>
            <w:shd w:val="clear" w:color="auto" w:fill="F2F2F2" w:themeFill="background1" w:themeFillShade="F2"/>
          </w:tcPr>
          <w:p w14:paraId="00EAB88E" w14:textId="02EB8EB7" w:rsidR="007F0FA4" w:rsidRPr="001068ED" w:rsidRDefault="007F0FA4" w:rsidP="00004D3B">
            <w:pPr>
              <w:pStyle w:val="TableBullet10"/>
              <w:spacing w:before="20" w:after="20"/>
              <w:rPr>
                <w:rFonts w:asciiTheme="majorHAnsi" w:hAnsiTheme="majorHAnsi" w:cstheme="majorHAnsi"/>
                <w:sz w:val="17"/>
                <w:szCs w:val="17"/>
                <w:lang w:eastAsia="fr-CA"/>
              </w:rPr>
            </w:pPr>
            <w:r w:rsidRPr="001068ED">
              <w:rPr>
                <w:rFonts w:asciiTheme="majorHAnsi" w:hAnsiTheme="majorHAnsi" w:cstheme="majorHAnsi"/>
                <w:sz w:val="17"/>
                <w:szCs w:val="17"/>
              </w:rPr>
              <w:t xml:space="preserve">The </w:t>
            </w:r>
            <w:r w:rsidRPr="001068ED">
              <w:rPr>
                <w:rFonts w:asciiTheme="majorHAnsi" w:hAnsiTheme="majorHAnsi" w:cstheme="majorHAnsi"/>
                <w:color w:val="FF0000"/>
                <w:sz w:val="17"/>
                <w:szCs w:val="17"/>
              </w:rPr>
              <w:t xml:space="preserve">ACCC </w:t>
            </w:r>
            <w:r w:rsidRPr="001068ED">
              <w:rPr>
                <w:rFonts w:asciiTheme="majorHAnsi" w:hAnsiTheme="majorHAnsi" w:cstheme="majorHAnsi"/>
                <w:sz w:val="17"/>
                <w:szCs w:val="17"/>
              </w:rPr>
              <w:t xml:space="preserve">and </w:t>
            </w:r>
            <w:r w:rsidRPr="001068ED">
              <w:rPr>
                <w:rFonts w:asciiTheme="majorHAnsi" w:hAnsiTheme="majorHAnsi" w:cstheme="majorHAnsi"/>
                <w:color w:val="CC0066"/>
                <w:sz w:val="17"/>
                <w:szCs w:val="17"/>
              </w:rPr>
              <w:t xml:space="preserve">APLNG </w:t>
            </w:r>
            <w:r w:rsidRPr="001068ED">
              <w:rPr>
                <w:rFonts w:asciiTheme="majorHAnsi" w:hAnsiTheme="majorHAnsi" w:cstheme="majorHAnsi"/>
                <w:sz w:val="17"/>
                <w:szCs w:val="17"/>
              </w:rPr>
              <w:t xml:space="preserve">supported the adoption of a common size threshold, based on the 10 TJ/day nameplate rating used for the </w:t>
            </w:r>
            <w:r w:rsidR="0081660F">
              <w:rPr>
                <w:rFonts w:asciiTheme="majorHAnsi" w:hAnsiTheme="majorHAnsi" w:cstheme="majorHAnsi"/>
                <w:sz w:val="17"/>
                <w:szCs w:val="17"/>
              </w:rPr>
              <w:t xml:space="preserve">BB/GBB </w:t>
            </w:r>
            <w:r w:rsidRPr="001068ED">
              <w:rPr>
                <w:rFonts w:asciiTheme="majorHAnsi" w:hAnsiTheme="majorHAnsi" w:cstheme="majorHAnsi"/>
                <w:sz w:val="17"/>
                <w:szCs w:val="17"/>
              </w:rPr>
              <w:t xml:space="preserve">and capacity trading reforms to reduce the complexity of the regulatory arrangements.  </w:t>
            </w:r>
          </w:p>
          <w:p w14:paraId="47B6E1D3" w14:textId="21CEB55C" w:rsidR="007F0FA4" w:rsidRPr="001068ED" w:rsidRDefault="007F0FA4" w:rsidP="00004D3B">
            <w:pPr>
              <w:pStyle w:val="TableBullet10"/>
              <w:spacing w:before="20"/>
              <w:rPr>
                <w:rFonts w:asciiTheme="majorHAnsi" w:hAnsiTheme="majorHAnsi" w:cstheme="majorHAnsi"/>
                <w:sz w:val="17"/>
                <w:szCs w:val="17"/>
              </w:rPr>
            </w:pPr>
            <w:r w:rsidRPr="001068ED">
              <w:rPr>
                <w:rFonts w:asciiTheme="majorHAnsi" w:hAnsiTheme="majorHAnsi" w:cstheme="majorHAnsi"/>
                <w:color w:val="7030A0"/>
                <w:sz w:val="17"/>
                <w:szCs w:val="17"/>
              </w:rPr>
              <w:t xml:space="preserve">APA </w:t>
            </w:r>
            <w:r w:rsidRPr="001068ED">
              <w:rPr>
                <w:rFonts w:asciiTheme="majorHAnsi" w:hAnsiTheme="majorHAnsi" w:cstheme="majorHAnsi"/>
                <w:sz w:val="17"/>
                <w:szCs w:val="17"/>
              </w:rPr>
              <w:t xml:space="preserve">thought the existing throughput based threshold under Part 23 was appropriate, but also supported consistency with the </w:t>
            </w:r>
            <w:r w:rsidR="0081660F">
              <w:rPr>
                <w:rFonts w:asciiTheme="majorHAnsi" w:hAnsiTheme="majorHAnsi" w:cstheme="majorHAnsi"/>
                <w:sz w:val="17"/>
                <w:szCs w:val="17"/>
              </w:rPr>
              <w:t>BB/GBB</w:t>
            </w:r>
            <w:r w:rsidR="0081660F" w:rsidRPr="001068ED" w:rsidDel="0081660F">
              <w:rPr>
                <w:rFonts w:asciiTheme="majorHAnsi" w:hAnsiTheme="majorHAnsi" w:cstheme="majorHAnsi"/>
                <w:sz w:val="17"/>
                <w:szCs w:val="17"/>
              </w:rPr>
              <w:t xml:space="preserve"> </w:t>
            </w:r>
            <w:r w:rsidRPr="001068ED">
              <w:rPr>
                <w:rFonts w:asciiTheme="majorHAnsi" w:hAnsiTheme="majorHAnsi" w:cstheme="majorHAnsi"/>
                <w:sz w:val="17"/>
                <w:szCs w:val="17"/>
              </w:rPr>
              <w:t>threshold, which is based on nameplate capacity, “to avoid confusion”.</w:t>
            </w:r>
          </w:p>
        </w:tc>
      </w:tr>
    </w:tbl>
    <w:p w14:paraId="43529C5C" w14:textId="77777777" w:rsidR="00E35341" w:rsidRDefault="00E35341" w:rsidP="00E35341">
      <w:pPr>
        <w:pStyle w:val="Heading3"/>
        <w:sectPr w:rsidR="00E35341" w:rsidSect="006C363F">
          <w:pgSz w:w="16839" w:h="11907" w:orient="landscape" w:code="9"/>
          <w:pgMar w:top="993" w:right="1418" w:bottom="851" w:left="1701" w:header="567" w:footer="397" w:gutter="0"/>
          <w:cols w:space="708"/>
          <w:docGrid w:linePitch="360"/>
        </w:sectPr>
      </w:pPr>
    </w:p>
    <w:p w14:paraId="53455F12" w14:textId="77777777" w:rsidR="00C85117" w:rsidRDefault="00C85117" w:rsidP="001F2D64">
      <w:pPr>
        <w:pStyle w:val="Heading3"/>
        <w:spacing w:after="0" w:line="252" w:lineRule="auto"/>
      </w:pPr>
      <w:r>
        <w:lastRenderedPageBreak/>
        <w:t>Assessment of the feedback and how it has been accounted for in the reform options</w:t>
      </w:r>
    </w:p>
    <w:p w14:paraId="275D13BA" w14:textId="02D0208A" w:rsidR="00E415FA" w:rsidRDefault="00E415FA" w:rsidP="00C50A6F">
      <w:pPr>
        <w:pStyle w:val="BodyText"/>
        <w:spacing w:before="160" w:after="60" w:line="252" w:lineRule="auto"/>
      </w:pPr>
      <w:r>
        <w:t xml:space="preserve">As </w:t>
      </w:r>
      <w:r w:rsidRPr="00E5001B">
        <w:fldChar w:fldCharType="begin" w:fldLock="1"/>
      </w:r>
      <w:r w:rsidRPr="00E5001B">
        <w:instrText xml:space="preserve"> REF _Ref52955317 \h </w:instrText>
      </w:r>
      <w:r>
        <w:instrText xml:space="preserve"> \* MERGEFORMAT </w:instrText>
      </w:r>
      <w:r w:rsidRPr="00E5001B">
        <w:fldChar w:fldCharType="separate"/>
      </w:r>
      <w:r w:rsidR="00036405">
        <w:t xml:space="preserve">Table </w:t>
      </w:r>
      <w:r w:rsidR="00036405">
        <w:rPr>
          <w:noProof/>
        </w:rPr>
        <w:t>6.4</w:t>
      </w:r>
      <w:r w:rsidRPr="00E5001B">
        <w:fldChar w:fldCharType="end"/>
      </w:r>
      <w:r>
        <w:t xml:space="preserve"> </w:t>
      </w:r>
      <w:r w:rsidR="00883A0F">
        <w:t>shows</w:t>
      </w:r>
      <w:r>
        <w:t xml:space="preserve">, the majority of stakeholders that commented on the information disclosure requirements agreed that: </w:t>
      </w:r>
    </w:p>
    <w:p w14:paraId="38CA8669" w14:textId="77777777" w:rsidR="00E415FA" w:rsidRPr="006C363F" w:rsidRDefault="00E415FA" w:rsidP="00C50A6F">
      <w:pPr>
        <w:pStyle w:val="ListBullet"/>
        <w:spacing w:before="60" w:after="60" w:line="252" w:lineRule="auto"/>
        <w:ind w:left="357" w:hanging="357"/>
      </w:pPr>
      <w:r w:rsidRPr="006C363F">
        <w:t>pipelines subject to full regulation should be required to publish equivalent information to pipelines subject to light regulation and Part 23;</w:t>
      </w:r>
      <w:r>
        <w:t xml:space="preserve"> and </w:t>
      </w:r>
    </w:p>
    <w:p w14:paraId="4C933AB1" w14:textId="77777777" w:rsidR="00E415FA" w:rsidRPr="006C363F" w:rsidRDefault="00E415FA" w:rsidP="00C50A6F">
      <w:pPr>
        <w:pStyle w:val="ListBullet"/>
        <w:spacing w:before="60" w:after="60" w:line="252" w:lineRule="auto"/>
        <w:ind w:left="357" w:hanging="357"/>
      </w:pPr>
      <w:r w:rsidRPr="006C363F">
        <w:t xml:space="preserve">the </w:t>
      </w:r>
      <w:r w:rsidR="00CA421D">
        <w:t xml:space="preserve">adequacy, </w:t>
      </w:r>
      <w:r w:rsidRPr="006C363F">
        <w:t>quality</w:t>
      </w:r>
      <w:r w:rsidR="00CA421D">
        <w:t xml:space="preserve"> and </w:t>
      </w:r>
      <w:r w:rsidRPr="006C363F">
        <w:t xml:space="preserve">reliability, accessibility and usability of information </w:t>
      </w:r>
      <w:r w:rsidR="00026848">
        <w:t xml:space="preserve">currently </w:t>
      </w:r>
      <w:r w:rsidRPr="006C363F">
        <w:t xml:space="preserve">reported by </w:t>
      </w:r>
      <w:r w:rsidR="00735F29">
        <w:t xml:space="preserve">pipelines </w:t>
      </w:r>
      <w:r w:rsidR="00026848">
        <w:t xml:space="preserve">subject to light regulation and Part 23 </w:t>
      </w:r>
      <w:r w:rsidRPr="006C363F">
        <w:t>should be improved</w:t>
      </w:r>
      <w:r w:rsidR="00A43527">
        <w:t>.</w:t>
      </w:r>
      <w:r w:rsidRPr="006C363F">
        <w:t xml:space="preserve"> </w:t>
      </w:r>
    </w:p>
    <w:p w14:paraId="473F7C41" w14:textId="77777777" w:rsidR="00E415FA" w:rsidRDefault="00E415FA" w:rsidP="00C50A6F">
      <w:pPr>
        <w:pStyle w:val="BodyText"/>
        <w:spacing w:before="120" w:after="60" w:line="252" w:lineRule="auto"/>
      </w:pPr>
      <w:r>
        <w:t>Differing views were</w:t>
      </w:r>
      <w:r w:rsidR="005D067E">
        <w:t>, however,</w:t>
      </w:r>
      <w:r w:rsidR="003209AD">
        <w:t xml:space="preserve"> </w:t>
      </w:r>
      <w:r>
        <w:t xml:space="preserve">expressed by stakeholders </w:t>
      </w:r>
      <w:r w:rsidR="003209AD">
        <w:t>about</w:t>
      </w:r>
      <w:r>
        <w:t xml:space="preserve">: </w:t>
      </w:r>
    </w:p>
    <w:p w14:paraId="698EAF4A" w14:textId="77777777" w:rsidR="0021441F" w:rsidRDefault="0021441F" w:rsidP="00C50A6F">
      <w:pPr>
        <w:pStyle w:val="ListBullet"/>
        <w:spacing w:before="60" w:after="60" w:line="252" w:lineRule="auto"/>
        <w:ind w:left="357" w:hanging="357"/>
      </w:pPr>
      <w:r>
        <w:t xml:space="preserve">The specific measures that should be implemented to improve the adequacy, </w:t>
      </w:r>
      <w:r w:rsidRPr="006C363F">
        <w:t>quality</w:t>
      </w:r>
      <w:r>
        <w:t xml:space="preserve"> and </w:t>
      </w:r>
      <w:r w:rsidRPr="006C363F">
        <w:t>reliability, accessibility and usability of information</w:t>
      </w:r>
      <w:r>
        <w:t xml:space="preserve"> reported by pipelines subject to light regulation and Part 23.</w:t>
      </w:r>
    </w:p>
    <w:p w14:paraId="21E79662" w14:textId="77777777" w:rsidR="00E415FA" w:rsidRDefault="00E415FA" w:rsidP="00C50A6F">
      <w:pPr>
        <w:pStyle w:val="ListBullet"/>
        <w:spacing w:before="60" w:after="60" w:line="252" w:lineRule="auto"/>
        <w:ind w:left="357" w:hanging="357"/>
      </w:pPr>
      <w:r>
        <w:t xml:space="preserve">The form that price reporting should take and, in particular, whether weighted average prices should continue to be published, or if this measure should be supplemented by minimum and maximum prices, or replaced by individual price reporting. </w:t>
      </w:r>
    </w:p>
    <w:p w14:paraId="4C80E1AD" w14:textId="77777777" w:rsidR="00E415FA" w:rsidRDefault="00E415FA" w:rsidP="00C50A6F">
      <w:pPr>
        <w:pStyle w:val="ListBullet"/>
        <w:spacing w:before="60" w:after="60" w:line="252" w:lineRule="auto"/>
        <w:ind w:left="357" w:hanging="357"/>
      </w:pPr>
      <w:r>
        <w:t xml:space="preserve">Whether exemptions from some or all of the information disclosure obligations should continue to be available to pipelines providing third party access. While a large number of stakeholders supported their retention (and in some cases suggested expanding the pool of potential recipients of these exemptions), others thought there should either be no exemptions, or that, at a minimum, pipelines providing third party access should be required to publish </w:t>
      </w:r>
      <w:r w:rsidR="00F27658">
        <w:t xml:space="preserve">the </w:t>
      </w:r>
      <w:r>
        <w:t xml:space="preserve">set of </w:t>
      </w:r>
      <w:r w:rsidR="00F27658">
        <w:t>B</w:t>
      </w:r>
      <w:r>
        <w:t xml:space="preserve">asic </w:t>
      </w:r>
      <w:r w:rsidR="00F27658">
        <w:t>I</w:t>
      </w:r>
      <w:r>
        <w:t xml:space="preserve">nformation. </w:t>
      </w:r>
    </w:p>
    <w:p w14:paraId="075E8CE8" w14:textId="77777777" w:rsidR="00C06B47" w:rsidRDefault="005D067E" w:rsidP="00C50A6F">
      <w:pPr>
        <w:pStyle w:val="BodyText"/>
        <w:spacing w:before="120" w:after="60" w:line="252" w:lineRule="auto"/>
      </w:pPr>
      <w:r>
        <w:t>There were</w:t>
      </w:r>
      <w:r w:rsidR="008858D5">
        <w:t xml:space="preserve"> also </w:t>
      </w:r>
      <w:r>
        <w:t xml:space="preserve">some differences in views on how these measures should be implemented. That is, while </w:t>
      </w:r>
      <w:r w:rsidR="00C06B47">
        <w:t xml:space="preserve">the Consultation RIS assumed that the changes </w:t>
      </w:r>
      <w:r>
        <w:t>would be implemented through changes to the NGR and/or guidelines</w:t>
      </w:r>
      <w:r w:rsidR="00C06B47">
        <w:t>:</w:t>
      </w:r>
      <w:r>
        <w:t xml:space="preserve"> </w:t>
      </w:r>
    </w:p>
    <w:p w14:paraId="515058B4" w14:textId="77777777" w:rsidR="00C06B47" w:rsidRDefault="005D067E" w:rsidP="00C50A6F">
      <w:pPr>
        <w:pStyle w:val="ListBullet"/>
        <w:spacing w:line="252" w:lineRule="auto"/>
      </w:pPr>
      <w:r>
        <w:t>the AER</w:t>
      </w:r>
      <w:r w:rsidR="00C06B47">
        <w:t xml:space="preserve"> </w:t>
      </w:r>
      <w:r>
        <w:t xml:space="preserve">suggested the gaps in information reported by pipelines subject to full regulation be addressed </w:t>
      </w:r>
      <w:r w:rsidR="00735B54">
        <w:t xml:space="preserve">through </w:t>
      </w:r>
      <w:r w:rsidR="001F2D64">
        <w:t xml:space="preserve">regulatory </w:t>
      </w:r>
      <w:r>
        <w:t>information notices (RINs)</w:t>
      </w:r>
      <w:r w:rsidR="00C06B47">
        <w:t>; and</w:t>
      </w:r>
    </w:p>
    <w:p w14:paraId="1267C29E" w14:textId="6E981C56" w:rsidR="005D067E" w:rsidRDefault="005D067E" w:rsidP="00C50A6F">
      <w:pPr>
        <w:pStyle w:val="ListBullet"/>
        <w:spacing w:line="252" w:lineRule="auto"/>
      </w:pPr>
      <w:r>
        <w:t>AGPA, Jemena and APA</w:t>
      </w:r>
      <w:r w:rsidR="005B25E2">
        <w:t xml:space="preserve"> </w:t>
      </w:r>
      <w:r>
        <w:t xml:space="preserve">suggested </w:t>
      </w:r>
      <w:r w:rsidR="005B25E2">
        <w:t xml:space="preserve">the information deficiencies </w:t>
      </w:r>
      <w:r w:rsidR="006A5438">
        <w:t>be addressed by service providers</w:t>
      </w:r>
      <w:r w:rsidR="001F2D64">
        <w:t xml:space="preserve"> working </w:t>
      </w:r>
      <w:r w:rsidR="006A5438">
        <w:t xml:space="preserve">in consultation with shippers through </w:t>
      </w:r>
      <w:r>
        <w:t>the Energy Charter’s Better Together initiative.</w:t>
      </w:r>
      <w:r w:rsidR="00370905">
        <w:rPr>
          <w:rFonts w:ascii="ZWAdobeF" w:hAnsi="ZWAdobeF" w:cs="ZWAdobeF"/>
          <w:sz w:val="2"/>
          <w:szCs w:val="2"/>
        </w:rPr>
        <w:t>147F</w:t>
      </w:r>
      <w:r>
        <w:rPr>
          <w:rStyle w:val="FootnoteReference"/>
        </w:rPr>
        <w:footnoteReference w:id="149"/>
      </w:r>
      <w:r>
        <w:t xml:space="preserve"> While the EUAA and Chemistry Australia supported this initiative, they did not think it should replace the regulatory measures</w:t>
      </w:r>
      <w:r>
        <w:rPr>
          <w:szCs w:val="17"/>
        </w:rPr>
        <w:t>.</w:t>
      </w:r>
    </w:p>
    <w:p w14:paraId="31A1D6FB" w14:textId="77777777" w:rsidR="00735B54" w:rsidRDefault="00735B54" w:rsidP="00C50A6F">
      <w:pPr>
        <w:pStyle w:val="BodyText"/>
        <w:spacing w:before="120" w:after="60" w:line="252" w:lineRule="auto"/>
      </w:pPr>
      <w:r>
        <w:t xml:space="preserve">Given the diversity of views expressed on some of these issues, further consideration has been given to the issues raised by stakeholders and the extent to which they should be reflected in two alternative reform options that have been developed to reflect the outcomes of stakeholder feedback: Option 3A and Option 3B. In doing so, consideration has been given to: </w:t>
      </w:r>
    </w:p>
    <w:p w14:paraId="28C11BC6" w14:textId="27493422" w:rsidR="00735B54" w:rsidRDefault="00735B54" w:rsidP="00C50A6F">
      <w:pPr>
        <w:pStyle w:val="ListBullet"/>
        <w:spacing w:before="60" w:after="60" w:line="252" w:lineRule="auto"/>
        <w:ind w:left="357" w:hanging="357"/>
      </w:pPr>
      <w:r>
        <w:t xml:space="preserve">the problems that have been identified with this aspect of the regulatory framework (see section </w:t>
      </w:r>
      <w:r>
        <w:fldChar w:fldCharType="begin" w:fldLock="1"/>
      </w:r>
      <w:r>
        <w:instrText xml:space="preserve"> REF _Ref60420315 \r \h </w:instrText>
      </w:r>
      <w:r>
        <w:fldChar w:fldCharType="separate"/>
      </w:r>
      <w:r w:rsidR="00036405">
        <w:t>6.2.3</w:t>
      </w:r>
      <w:r>
        <w:fldChar w:fldCharType="end"/>
      </w:r>
      <w:r>
        <w:t>); and</w:t>
      </w:r>
    </w:p>
    <w:p w14:paraId="13534470" w14:textId="77777777" w:rsidR="00735B54" w:rsidRDefault="00735B54" w:rsidP="00C50A6F">
      <w:pPr>
        <w:pStyle w:val="ListBullet"/>
        <w:spacing w:before="60" w:after="60" w:line="252" w:lineRule="auto"/>
        <w:ind w:left="357" w:hanging="357"/>
      </w:pPr>
      <w:r>
        <w:t xml:space="preserve">the objectives of Energy National Cabinet Reform Committee action (see section 3.2). </w:t>
      </w:r>
    </w:p>
    <w:p w14:paraId="7C75376E" w14:textId="4D975B73" w:rsidR="00E26FA2" w:rsidRDefault="00735B54" w:rsidP="00C50A6F">
      <w:pPr>
        <w:pStyle w:val="BodyText"/>
        <w:spacing w:before="0" w:after="0" w:line="252" w:lineRule="auto"/>
      </w:pPr>
      <w:r w:rsidRPr="008F1132">
        <w:t xml:space="preserve">The results of this consideration </w:t>
      </w:r>
      <w:r>
        <w:t xml:space="preserve">are set out in </w:t>
      </w:r>
      <w:r>
        <w:fldChar w:fldCharType="begin" w:fldLock="1"/>
      </w:r>
      <w:r>
        <w:instrText xml:space="preserve"> REF _Ref60146464 \h </w:instrText>
      </w:r>
      <w:r>
        <w:fldChar w:fldCharType="separate"/>
      </w:r>
      <w:r w:rsidR="00036405" w:rsidRPr="008F1132">
        <w:rPr>
          <w:rFonts w:cs="Arial"/>
        </w:rPr>
        <w:t xml:space="preserve">Table </w:t>
      </w:r>
      <w:r w:rsidR="00036405">
        <w:rPr>
          <w:rFonts w:cs="Arial"/>
          <w:noProof/>
        </w:rPr>
        <w:t>6</w:t>
      </w:r>
      <w:r w:rsidR="00036405" w:rsidRPr="008F1132">
        <w:rPr>
          <w:rFonts w:cs="Arial"/>
        </w:rPr>
        <w:t>.</w:t>
      </w:r>
      <w:r w:rsidR="00036405">
        <w:rPr>
          <w:rFonts w:cs="Arial"/>
          <w:noProof/>
        </w:rPr>
        <w:t>5</w:t>
      </w:r>
      <w:r>
        <w:fldChar w:fldCharType="end"/>
      </w:r>
      <w:r>
        <w:t xml:space="preserve">, which also sets out how the feedback has been taken into account in options 3A and 3B. </w:t>
      </w:r>
    </w:p>
    <w:p w14:paraId="37DC6063" w14:textId="77777777" w:rsidR="00E26FA2" w:rsidRDefault="00E26FA2" w:rsidP="00C50A6F">
      <w:pPr>
        <w:pStyle w:val="BodyText"/>
        <w:spacing w:before="0" w:after="0" w:line="252" w:lineRule="auto"/>
        <w:sectPr w:rsidR="00E26FA2" w:rsidSect="00795317">
          <w:headerReference w:type="default" r:id="rId56"/>
          <w:footerReference w:type="default" r:id="rId57"/>
          <w:pgSz w:w="11907" w:h="16839" w:code="9"/>
          <w:pgMar w:top="1361" w:right="1418" w:bottom="992" w:left="1701" w:header="567" w:footer="397" w:gutter="0"/>
          <w:cols w:space="708"/>
          <w:docGrid w:linePitch="360"/>
        </w:sectPr>
      </w:pPr>
    </w:p>
    <w:p w14:paraId="1C6A7F52" w14:textId="117726C7" w:rsidR="00FE6015" w:rsidRPr="008F1132" w:rsidDel="00E200E0" w:rsidRDefault="00FE6015" w:rsidP="00FE6015">
      <w:pPr>
        <w:pStyle w:val="Caption"/>
        <w:spacing w:after="0"/>
        <w:rPr>
          <w:rFonts w:cs="Arial"/>
        </w:rPr>
      </w:pPr>
      <w:bookmarkStart w:id="145" w:name="_Ref60146464"/>
      <w:r w:rsidRPr="008F1132">
        <w:rPr>
          <w:rFonts w:cs="Arial"/>
        </w:rPr>
        <w:lastRenderedPageBreak/>
        <w:t xml:space="preserve">Table </w:t>
      </w:r>
      <w:r w:rsidRPr="008F1132">
        <w:rPr>
          <w:rFonts w:cs="Arial"/>
        </w:rPr>
        <w:fldChar w:fldCharType="begin" w:fldLock="1"/>
      </w:r>
      <w:r w:rsidRPr="008F1132">
        <w:rPr>
          <w:rFonts w:cs="Arial"/>
        </w:rPr>
        <w:instrText xml:space="preserve"> STYLEREF 1 \s </w:instrText>
      </w:r>
      <w:r w:rsidRPr="008F1132">
        <w:rPr>
          <w:rFonts w:cs="Arial"/>
        </w:rPr>
        <w:fldChar w:fldCharType="separate"/>
      </w:r>
      <w:r w:rsidR="00036405">
        <w:rPr>
          <w:rFonts w:cs="Arial"/>
          <w:noProof/>
        </w:rPr>
        <w:t>6</w:t>
      </w:r>
      <w:r w:rsidRPr="008F1132">
        <w:rPr>
          <w:rFonts w:cs="Arial"/>
          <w:noProof/>
        </w:rPr>
        <w:fldChar w:fldCharType="end"/>
      </w:r>
      <w:r w:rsidRPr="008F1132">
        <w:rPr>
          <w:rFonts w:cs="Arial"/>
        </w:rPr>
        <w:t>.</w:t>
      </w:r>
      <w:r w:rsidRPr="008F1132">
        <w:rPr>
          <w:rFonts w:cs="Arial"/>
        </w:rPr>
        <w:fldChar w:fldCharType="begin"/>
      </w:r>
      <w:r w:rsidRPr="008F1132">
        <w:rPr>
          <w:rFonts w:cs="Arial"/>
        </w:rPr>
        <w:instrText xml:space="preserve"> SEQ Table \* ARABIC \s 1 </w:instrText>
      </w:r>
      <w:r w:rsidRPr="008F1132">
        <w:rPr>
          <w:rFonts w:cs="Arial"/>
        </w:rPr>
        <w:fldChar w:fldCharType="separate"/>
      </w:r>
      <w:r w:rsidR="004031E8">
        <w:rPr>
          <w:rFonts w:cs="Arial"/>
          <w:noProof/>
        </w:rPr>
        <w:t>5</w:t>
      </w:r>
      <w:r w:rsidRPr="008F1132">
        <w:rPr>
          <w:rFonts w:cs="Arial"/>
          <w:noProof/>
        </w:rPr>
        <w:fldChar w:fldCharType="end"/>
      </w:r>
      <w:bookmarkEnd w:id="145"/>
      <w:r w:rsidRPr="008F1132">
        <w:rPr>
          <w:rFonts w:cs="Arial"/>
        </w:rPr>
        <w:t xml:space="preserve">: Assessment of the feedback </w:t>
      </w:r>
      <w:r w:rsidR="00D733AC">
        <w:rPr>
          <w:rFonts w:cs="Arial"/>
        </w:rPr>
        <w:t>and how it has been accounted for in options 3A and 3B</w:t>
      </w:r>
    </w:p>
    <w:tbl>
      <w:tblPr>
        <w:tblStyle w:val="TableGrid"/>
        <w:tblW w:w="5000" w:type="pct"/>
        <w:tblLook w:val="04A0" w:firstRow="1" w:lastRow="0" w:firstColumn="1" w:lastColumn="0" w:noHBand="0" w:noVBand="1"/>
      </w:tblPr>
      <w:tblGrid>
        <w:gridCol w:w="1281"/>
        <w:gridCol w:w="8347"/>
        <w:gridCol w:w="4092"/>
      </w:tblGrid>
      <w:tr w:rsidR="00773C4D" w:rsidRPr="00960823" w14:paraId="31B682B3" w14:textId="77777777" w:rsidTr="003D7B36">
        <w:trPr>
          <w:cnfStyle w:val="100000000000" w:firstRow="1" w:lastRow="0" w:firstColumn="0" w:lastColumn="0" w:oddVBand="0" w:evenVBand="0" w:oddHBand="0" w:evenHBand="0" w:firstRowFirstColumn="0" w:firstRowLastColumn="0" w:lastRowFirstColumn="0" w:lastRowLastColumn="0"/>
          <w:tblHeader/>
        </w:trPr>
        <w:tc>
          <w:tcPr>
            <w:tcW w:w="1281" w:type="dxa"/>
            <w:shd w:val="clear" w:color="auto" w:fill="002060"/>
          </w:tcPr>
          <w:p w14:paraId="3CA33FF6" w14:textId="77777777" w:rsidR="00FE6015" w:rsidRPr="00960823" w:rsidRDefault="00FE6015" w:rsidP="00B65E04">
            <w:pPr>
              <w:pStyle w:val="TableHeading"/>
              <w:spacing w:before="40" w:after="40" w:line="252" w:lineRule="auto"/>
              <w:rPr>
                <w:sz w:val="17"/>
                <w:szCs w:val="17"/>
              </w:rPr>
            </w:pPr>
            <w:r w:rsidRPr="00960823">
              <w:rPr>
                <w:sz w:val="17"/>
                <w:szCs w:val="17"/>
              </w:rPr>
              <w:t>Issue</w:t>
            </w:r>
          </w:p>
        </w:tc>
        <w:tc>
          <w:tcPr>
            <w:tcW w:w="8784" w:type="dxa"/>
            <w:shd w:val="clear" w:color="auto" w:fill="002060"/>
          </w:tcPr>
          <w:p w14:paraId="5DD98BAB" w14:textId="77777777" w:rsidR="00FE6015" w:rsidRPr="00960823" w:rsidRDefault="00FE6015" w:rsidP="00B65E04">
            <w:pPr>
              <w:pStyle w:val="TableHeading"/>
              <w:spacing w:before="40" w:after="40" w:line="252" w:lineRule="auto"/>
              <w:rPr>
                <w:sz w:val="17"/>
                <w:szCs w:val="17"/>
              </w:rPr>
            </w:pPr>
            <w:r w:rsidRPr="00960823">
              <w:rPr>
                <w:sz w:val="17"/>
                <w:szCs w:val="17"/>
              </w:rPr>
              <w:t>Assessment of the feedback</w:t>
            </w:r>
          </w:p>
        </w:tc>
        <w:tc>
          <w:tcPr>
            <w:tcW w:w="4253" w:type="dxa"/>
            <w:shd w:val="clear" w:color="auto" w:fill="002060"/>
          </w:tcPr>
          <w:p w14:paraId="7DD00E03" w14:textId="77777777" w:rsidR="00FE6015" w:rsidRPr="00960823" w:rsidRDefault="00D733AC" w:rsidP="00B65E04">
            <w:pPr>
              <w:pStyle w:val="TableHeading"/>
              <w:spacing w:before="40" w:after="40" w:line="252" w:lineRule="auto"/>
              <w:rPr>
                <w:sz w:val="17"/>
                <w:szCs w:val="17"/>
              </w:rPr>
            </w:pPr>
            <w:r>
              <w:rPr>
                <w:sz w:val="17"/>
                <w:szCs w:val="17"/>
              </w:rPr>
              <w:t>How feedback accounted for in options 3A and 3B</w:t>
            </w:r>
          </w:p>
        </w:tc>
      </w:tr>
      <w:tr w:rsidR="00773C4D" w:rsidRPr="00960823" w14:paraId="0898560B" w14:textId="77777777" w:rsidTr="003D7B36">
        <w:tc>
          <w:tcPr>
            <w:tcW w:w="1281" w:type="dxa"/>
          </w:tcPr>
          <w:p w14:paraId="41C0DF60" w14:textId="77777777" w:rsidR="00FE6015" w:rsidRPr="00A27FAA" w:rsidRDefault="00FE6015" w:rsidP="00B65E04">
            <w:pPr>
              <w:pStyle w:val="TableBodyText"/>
              <w:spacing w:before="0" w:after="120" w:line="252" w:lineRule="auto"/>
              <w:rPr>
                <w:rFonts w:asciiTheme="majorHAnsi" w:hAnsiTheme="majorHAnsi" w:cstheme="majorHAnsi"/>
                <w:sz w:val="17"/>
                <w:szCs w:val="17"/>
              </w:rPr>
            </w:pPr>
            <w:r w:rsidRPr="00A27FAA">
              <w:rPr>
                <w:rFonts w:asciiTheme="majorHAnsi" w:hAnsiTheme="majorHAnsi" w:cstheme="majorHAnsi"/>
                <w:sz w:val="17"/>
                <w:szCs w:val="17"/>
              </w:rPr>
              <w:t xml:space="preserve">Information to be published by full regulation pipelines </w:t>
            </w:r>
          </w:p>
        </w:tc>
        <w:tc>
          <w:tcPr>
            <w:tcW w:w="8784" w:type="dxa"/>
          </w:tcPr>
          <w:p w14:paraId="1F463141" w14:textId="77777777" w:rsidR="00E50A0B" w:rsidRPr="00A27FAA" w:rsidRDefault="00320968" w:rsidP="00B65E04">
            <w:pPr>
              <w:pStyle w:val="BodyText"/>
              <w:spacing w:before="0" w:after="60" w:line="252" w:lineRule="auto"/>
              <w:rPr>
                <w:sz w:val="17"/>
                <w:szCs w:val="17"/>
              </w:rPr>
            </w:pPr>
            <w:r w:rsidRPr="00A27FAA">
              <w:rPr>
                <w:rFonts w:asciiTheme="majorHAnsi" w:hAnsiTheme="majorHAnsi" w:cstheme="majorHAnsi"/>
                <w:sz w:val="17"/>
                <w:szCs w:val="17"/>
              </w:rPr>
              <w:t xml:space="preserve">As </w:t>
            </w:r>
            <w:r w:rsidR="00F31396" w:rsidRPr="00A27FAA">
              <w:rPr>
                <w:rFonts w:asciiTheme="majorHAnsi" w:hAnsiTheme="majorHAnsi" w:cstheme="majorHAnsi"/>
                <w:sz w:val="17"/>
                <w:szCs w:val="17"/>
              </w:rPr>
              <w:t xml:space="preserve">noted above, the majority of stakeholders supported the proposal for full regulation pipelines to publish equivalent information to </w:t>
            </w:r>
            <w:r w:rsidR="00AC637A" w:rsidRPr="00A27FAA">
              <w:rPr>
                <w:rFonts w:asciiTheme="majorHAnsi" w:hAnsiTheme="majorHAnsi" w:cstheme="majorHAnsi"/>
                <w:sz w:val="17"/>
                <w:szCs w:val="17"/>
              </w:rPr>
              <w:t xml:space="preserve">Part 23 </w:t>
            </w:r>
            <w:r w:rsidR="003A6E10" w:rsidRPr="00A27FAA">
              <w:rPr>
                <w:rFonts w:asciiTheme="majorHAnsi" w:hAnsiTheme="majorHAnsi" w:cstheme="majorHAnsi"/>
                <w:sz w:val="17"/>
                <w:szCs w:val="17"/>
              </w:rPr>
              <w:t>pipelines</w:t>
            </w:r>
            <w:r w:rsidR="00341796" w:rsidRPr="00A27FAA">
              <w:rPr>
                <w:rFonts w:asciiTheme="majorHAnsi" w:hAnsiTheme="majorHAnsi" w:cstheme="majorHAnsi"/>
                <w:sz w:val="17"/>
                <w:szCs w:val="17"/>
              </w:rPr>
              <w:t>, in addition to the AA related information</w:t>
            </w:r>
            <w:r w:rsidR="003A6E10" w:rsidRPr="00A27FAA">
              <w:rPr>
                <w:rFonts w:asciiTheme="majorHAnsi" w:hAnsiTheme="majorHAnsi" w:cstheme="majorHAnsi"/>
                <w:sz w:val="17"/>
                <w:szCs w:val="17"/>
              </w:rPr>
              <w:t xml:space="preserve">. </w:t>
            </w:r>
            <w:r w:rsidR="00E50A0B" w:rsidRPr="00A27FAA">
              <w:rPr>
                <w:rFonts w:asciiTheme="majorHAnsi" w:hAnsiTheme="majorHAnsi" w:cstheme="majorHAnsi"/>
                <w:sz w:val="17"/>
                <w:szCs w:val="17"/>
              </w:rPr>
              <w:t xml:space="preserve">While a small number of service providers questioned this proposal, it is clear from the feedback provided by other stakeholders that the </w:t>
            </w:r>
            <w:r w:rsidRPr="00A27FAA">
              <w:rPr>
                <w:sz w:val="17"/>
                <w:szCs w:val="17"/>
              </w:rPr>
              <w:t>limited information available to shippers negotiating access to non-reference services</w:t>
            </w:r>
            <w:r w:rsidR="00E50A0B" w:rsidRPr="00A27FAA">
              <w:rPr>
                <w:sz w:val="17"/>
                <w:szCs w:val="17"/>
              </w:rPr>
              <w:t xml:space="preserve"> is a problem that needs to be addressed</w:t>
            </w:r>
            <w:r w:rsidRPr="00A27FAA">
              <w:rPr>
                <w:sz w:val="17"/>
                <w:szCs w:val="17"/>
              </w:rPr>
              <w:t xml:space="preserve">. </w:t>
            </w:r>
          </w:p>
          <w:p w14:paraId="62DC5A1C" w14:textId="77777777" w:rsidR="00FE6015" w:rsidRPr="00A27FAA" w:rsidRDefault="00D62762" w:rsidP="00B65E04">
            <w:pPr>
              <w:pStyle w:val="BodyText"/>
              <w:spacing w:before="0" w:after="60" w:line="252" w:lineRule="auto"/>
              <w:rPr>
                <w:rFonts w:asciiTheme="majorHAnsi" w:hAnsiTheme="majorHAnsi" w:cstheme="majorHAnsi"/>
                <w:sz w:val="17"/>
                <w:szCs w:val="17"/>
              </w:rPr>
            </w:pPr>
            <w:r w:rsidRPr="00A27FAA">
              <w:rPr>
                <w:sz w:val="17"/>
                <w:szCs w:val="17"/>
              </w:rPr>
              <w:t xml:space="preserve">The most effective </w:t>
            </w:r>
            <w:r w:rsidR="00E117FF" w:rsidRPr="00A27FAA">
              <w:rPr>
                <w:sz w:val="17"/>
                <w:szCs w:val="17"/>
              </w:rPr>
              <w:t xml:space="preserve">and efficient way </w:t>
            </w:r>
            <w:r w:rsidRPr="00A27FAA">
              <w:rPr>
                <w:sz w:val="17"/>
                <w:szCs w:val="17"/>
              </w:rPr>
              <w:t xml:space="preserve">to </w:t>
            </w:r>
            <w:r w:rsidR="00567264" w:rsidRPr="00A27FAA">
              <w:rPr>
                <w:sz w:val="17"/>
                <w:szCs w:val="17"/>
              </w:rPr>
              <w:t>address this problem</w:t>
            </w:r>
            <w:r w:rsidRPr="00A27FAA">
              <w:rPr>
                <w:sz w:val="17"/>
                <w:szCs w:val="17"/>
              </w:rPr>
              <w:t xml:space="preserve">, is to require </w:t>
            </w:r>
            <w:r w:rsidR="00873E9F" w:rsidRPr="00A27FAA">
              <w:rPr>
                <w:sz w:val="17"/>
                <w:szCs w:val="17"/>
              </w:rPr>
              <w:t xml:space="preserve">full regulation </w:t>
            </w:r>
            <w:r w:rsidR="003C3426" w:rsidRPr="00A27FAA">
              <w:rPr>
                <w:sz w:val="17"/>
                <w:szCs w:val="17"/>
              </w:rPr>
              <w:t xml:space="preserve">pipelines to </w:t>
            </w:r>
            <w:r w:rsidR="00E50A0B" w:rsidRPr="00A27FAA">
              <w:rPr>
                <w:sz w:val="17"/>
                <w:szCs w:val="17"/>
              </w:rPr>
              <w:t xml:space="preserve">publish </w:t>
            </w:r>
            <w:r w:rsidR="003C3426" w:rsidRPr="00A27FAA">
              <w:rPr>
                <w:sz w:val="17"/>
                <w:szCs w:val="17"/>
              </w:rPr>
              <w:t xml:space="preserve">equivalent </w:t>
            </w:r>
            <w:r w:rsidR="00E50A0B" w:rsidRPr="00A27FAA">
              <w:rPr>
                <w:sz w:val="17"/>
                <w:szCs w:val="17"/>
              </w:rPr>
              <w:t xml:space="preserve">information </w:t>
            </w:r>
            <w:r w:rsidR="00320968" w:rsidRPr="00A27FAA">
              <w:rPr>
                <w:sz w:val="17"/>
                <w:szCs w:val="17"/>
              </w:rPr>
              <w:t xml:space="preserve">to </w:t>
            </w:r>
            <w:r w:rsidRPr="00A27FAA">
              <w:rPr>
                <w:sz w:val="17"/>
                <w:szCs w:val="17"/>
              </w:rPr>
              <w:t xml:space="preserve">that published by </w:t>
            </w:r>
            <w:r w:rsidR="00873E9F" w:rsidRPr="00A27FAA">
              <w:rPr>
                <w:sz w:val="17"/>
                <w:szCs w:val="17"/>
              </w:rPr>
              <w:t>Part 23 pipelines</w:t>
            </w:r>
            <w:r w:rsidR="00B27F24" w:rsidRPr="00A27FAA">
              <w:rPr>
                <w:sz w:val="17"/>
                <w:szCs w:val="17"/>
              </w:rPr>
              <w:t xml:space="preserve">. </w:t>
            </w:r>
            <w:r w:rsidR="00CA344F" w:rsidRPr="00A27FAA">
              <w:rPr>
                <w:sz w:val="17"/>
                <w:szCs w:val="17"/>
              </w:rPr>
              <w:t xml:space="preserve">Apart from facilitating more effective negotiations, the </w:t>
            </w:r>
            <w:r w:rsidR="00B27F24" w:rsidRPr="00A27FAA">
              <w:rPr>
                <w:sz w:val="17"/>
                <w:szCs w:val="17"/>
              </w:rPr>
              <w:t>publication of this information</w:t>
            </w:r>
            <w:r w:rsidR="00CA344F" w:rsidRPr="00A27FAA">
              <w:rPr>
                <w:sz w:val="17"/>
                <w:szCs w:val="17"/>
              </w:rPr>
              <w:t xml:space="preserve"> should </w:t>
            </w:r>
            <w:r w:rsidR="00320968" w:rsidRPr="00A27FAA">
              <w:rPr>
                <w:sz w:val="17"/>
                <w:szCs w:val="17"/>
              </w:rPr>
              <w:t xml:space="preserve">reduce </w:t>
            </w:r>
            <w:r w:rsidR="00CA344F" w:rsidRPr="00A27FAA">
              <w:rPr>
                <w:sz w:val="17"/>
                <w:szCs w:val="17"/>
              </w:rPr>
              <w:t xml:space="preserve">shippers’ </w:t>
            </w:r>
            <w:r w:rsidR="00320968" w:rsidRPr="00A27FAA">
              <w:rPr>
                <w:sz w:val="17"/>
                <w:szCs w:val="17"/>
              </w:rPr>
              <w:t>search and transaction costs and reduce the opportunities for market power to be exercised. It would also limit the opportunity for service providers to game any differences in reporting obligations, particularly in relation to financial reporting.</w:t>
            </w:r>
            <w:r w:rsidR="00AA4A22" w:rsidRPr="00A27FAA">
              <w:rPr>
                <w:sz w:val="17"/>
                <w:szCs w:val="17"/>
              </w:rPr>
              <w:t xml:space="preserve"> </w:t>
            </w:r>
            <w:r w:rsidR="00D238FD">
              <w:rPr>
                <w:sz w:val="17"/>
                <w:szCs w:val="17"/>
              </w:rPr>
              <w:t xml:space="preserve">Provision has therefore been made under options 3A and 3B for equivalent information to be published by pipelines subject to the stronger and lighter forms of regulation. </w:t>
            </w:r>
          </w:p>
        </w:tc>
        <w:tc>
          <w:tcPr>
            <w:tcW w:w="4253" w:type="dxa"/>
          </w:tcPr>
          <w:p w14:paraId="3A79D9A9" w14:textId="77777777" w:rsidR="00AA4A22" w:rsidRPr="002D49A4" w:rsidRDefault="00AA4A22" w:rsidP="00C50A6F">
            <w:pPr>
              <w:pStyle w:val="ListBullet"/>
              <w:numPr>
                <w:ilvl w:val="0"/>
                <w:numId w:val="0"/>
              </w:numPr>
              <w:spacing w:before="0" w:after="60"/>
              <w:ind w:left="85"/>
              <w:rPr>
                <w:rFonts w:asciiTheme="majorHAnsi" w:hAnsiTheme="majorHAnsi" w:cstheme="majorHAnsi"/>
              </w:rPr>
            </w:pPr>
            <w:r w:rsidRPr="002D49A4">
              <w:rPr>
                <w:rFonts w:asciiTheme="majorHAnsi" w:hAnsiTheme="majorHAnsi" w:cstheme="majorHAnsi"/>
              </w:rPr>
              <w:t xml:space="preserve">Under options 3A and 3B service providers </w:t>
            </w:r>
            <w:r w:rsidRPr="002D49A4">
              <w:t xml:space="preserve">subject to either the stronger or lighter forms of regulation </w:t>
            </w:r>
            <w:r w:rsidR="00E117FF" w:rsidRPr="002D49A4">
              <w:t xml:space="preserve">would be required </w:t>
            </w:r>
            <w:r w:rsidRPr="002D49A4">
              <w:t>to publish the following information unless they have obtained an exemption (see below):</w:t>
            </w:r>
          </w:p>
          <w:p w14:paraId="6F9FFB0A" w14:textId="77777777" w:rsidR="00AA4A22" w:rsidRPr="002D49A4" w:rsidRDefault="00AA4A22" w:rsidP="00B65E04">
            <w:pPr>
              <w:pStyle w:val="TableBullet10"/>
              <w:spacing w:before="0" w:after="40" w:line="252" w:lineRule="auto"/>
              <w:rPr>
                <w:rFonts w:asciiTheme="majorHAnsi" w:hAnsiTheme="majorHAnsi" w:cstheme="majorHAnsi"/>
                <w:i/>
                <w:iCs/>
                <w:sz w:val="17"/>
                <w:szCs w:val="17"/>
              </w:rPr>
            </w:pPr>
            <w:r w:rsidRPr="002D49A4">
              <w:rPr>
                <w:i/>
                <w:iCs/>
                <w:sz w:val="17"/>
                <w:szCs w:val="17"/>
              </w:rPr>
              <w:t xml:space="preserve">A set of Basic Information that shippers can use to determine whether to seek access and to assess the reasonableness of a service provider’s offer, which would include: </w:t>
            </w:r>
          </w:p>
          <w:p w14:paraId="676E95E2" w14:textId="77777777" w:rsidR="00AA4A22" w:rsidRPr="002D49A4" w:rsidRDefault="00AA4A22" w:rsidP="00B65E04">
            <w:pPr>
              <w:pStyle w:val="TableBullet2"/>
              <w:spacing w:before="0" w:after="40" w:line="252" w:lineRule="auto"/>
              <w:rPr>
                <w:rFonts w:asciiTheme="majorHAnsi" w:hAnsiTheme="majorHAnsi" w:cstheme="majorHAnsi"/>
                <w:i/>
                <w:iCs/>
                <w:sz w:val="17"/>
                <w:szCs w:val="17"/>
              </w:rPr>
            </w:pPr>
            <w:r w:rsidRPr="002D49A4">
              <w:rPr>
                <w:i/>
                <w:iCs/>
                <w:sz w:val="17"/>
                <w:szCs w:val="17"/>
              </w:rPr>
              <w:t>the pipeline information, pipeline service information, standing terms for each service offered, service availability information and service usage information in Table 6.1; and</w:t>
            </w:r>
          </w:p>
          <w:p w14:paraId="1878E4A2" w14:textId="77777777" w:rsidR="00AA4A22" w:rsidRPr="002D49A4" w:rsidRDefault="00AA4A22" w:rsidP="00B65E04">
            <w:pPr>
              <w:pStyle w:val="TableBullet2"/>
              <w:spacing w:before="0" w:after="40" w:line="252" w:lineRule="auto"/>
              <w:rPr>
                <w:rStyle w:val="FootnoteReference"/>
                <w:rFonts w:asciiTheme="majorHAnsi" w:hAnsiTheme="majorHAnsi" w:cstheme="majorHAnsi"/>
                <w:i/>
                <w:iCs/>
                <w:sz w:val="17"/>
                <w:szCs w:val="17"/>
                <w:vertAlign w:val="baseline"/>
              </w:rPr>
            </w:pPr>
            <w:r w:rsidRPr="002D49A4">
              <w:rPr>
                <w:i/>
                <w:iCs/>
                <w:sz w:val="17"/>
                <w:szCs w:val="17"/>
              </w:rPr>
              <w:t>information on the prices actually paid by other shippers for services (see below).</w:t>
            </w:r>
            <w:r w:rsidRPr="002D49A4">
              <w:rPr>
                <w:rStyle w:val="FootnoteReference"/>
                <w:i/>
                <w:iCs/>
                <w:sz w:val="17"/>
                <w:szCs w:val="17"/>
              </w:rPr>
              <w:t xml:space="preserve"> </w:t>
            </w:r>
          </w:p>
          <w:p w14:paraId="70E7D30C" w14:textId="77777777" w:rsidR="00FE6015" w:rsidRPr="00E117FF" w:rsidRDefault="00517663" w:rsidP="00B65E04">
            <w:pPr>
              <w:pStyle w:val="TableBullet10"/>
              <w:spacing w:before="0" w:after="40" w:line="252" w:lineRule="auto"/>
              <w:rPr>
                <w:rFonts w:asciiTheme="majorHAnsi" w:hAnsiTheme="majorHAnsi" w:cstheme="majorHAnsi"/>
                <w:sz w:val="17"/>
                <w:szCs w:val="17"/>
              </w:rPr>
            </w:pPr>
            <w:r>
              <w:rPr>
                <w:i/>
                <w:iCs/>
                <w:sz w:val="17"/>
                <w:szCs w:val="17"/>
              </w:rPr>
              <w:t>Historical financial</w:t>
            </w:r>
            <w:r w:rsidR="00AA4A22" w:rsidRPr="002D49A4">
              <w:rPr>
                <w:i/>
                <w:iCs/>
                <w:sz w:val="17"/>
                <w:szCs w:val="17"/>
              </w:rPr>
              <w:t xml:space="preserve"> and demand information.</w:t>
            </w:r>
          </w:p>
        </w:tc>
      </w:tr>
      <w:tr w:rsidR="00773C4D" w:rsidRPr="00960823" w14:paraId="51E2552F" w14:textId="77777777" w:rsidTr="003D7B36">
        <w:trPr>
          <w:cnfStyle w:val="000000010000" w:firstRow="0" w:lastRow="0" w:firstColumn="0" w:lastColumn="0" w:oddVBand="0" w:evenVBand="0" w:oddHBand="0" w:evenHBand="1" w:firstRowFirstColumn="0" w:firstRowLastColumn="0" w:lastRowFirstColumn="0" w:lastRowLastColumn="0"/>
        </w:trPr>
        <w:tc>
          <w:tcPr>
            <w:tcW w:w="1281" w:type="dxa"/>
          </w:tcPr>
          <w:p w14:paraId="5729A003" w14:textId="77777777" w:rsidR="00FE6015" w:rsidRPr="00DD2681" w:rsidRDefault="00FE6015" w:rsidP="00B65E04">
            <w:pPr>
              <w:pStyle w:val="TableBodyText"/>
              <w:spacing w:before="0" w:after="120" w:line="252" w:lineRule="auto"/>
              <w:rPr>
                <w:rFonts w:asciiTheme="majorHAnsi" w:hAnsiTheme="majorHAnsi" w:cstheme="majorHAnsi"/>
                <w:sz w:val="17"/>
                <w:szCs w:val="17"/>
              </w:rPr>
            </w:pPr>
            <w:r w:rsidRPr="00DD2681">
              <w:rPr>
                <w:rFonts w:asciiTheme="majorHAnsi" w:hAnsiTheme="majorHAnsi" w:cstheme="majorHAnsi"/>
                <w:sz w:val="17"/>
                <w:szCs w:val="17"/>
              </w:rPr>
              <w:t xml:space="preserve">Form of price reporting </w:t>
            </w:r>
          </w:p>
        </w:tc>
        <w:tc>
          <w:tcPr>
            <w:tcW w:w="8784" w:type="dxa"/>
          </w:tcPr>
          <w:p w14:paraId="72EC7FE2" w14:textId="73BB8C07" w:rsidR="00FE6015" w:rsidRPr="00DD2681" w:rsidRDefault="00FE6015" w:rsidP="00B65E04">
            <w:pPr>
              <w:pStyle w:val="BodyText"/>
              <w:spacing w:before="0" w:after="80" w:line="252" w:lineRule="auto"/>
              <w:rPr>
                <w:rFonts w:asciiTheme="majorHAnsi" w:hAnsiTheme="majorHAnsi" w:cstheme="majorHAnsi"/>
                <w:sz w:val="17"/>
                <w:szCs w:val="17"/>
              </w:rPr>
            </w:pPr>
            <w:r w:rsidRPr="00DD2681">
              <w:rPr>
                <w:rFonts w:asciiTheme="majorHAnsi" w:hAnsiTheme="majorHAnsi" w:cstheme="majorHAnsi"/>
                <w:sz w:val="17"/>
                <w:szCs w:val="17"/>
              </w:rPr>
              <w:t xml:space="preserve">As </w:t>
            </w:r>
            <w:r w:rsidRPr="00DD2681">
              <w:rPr>
                <w:rFonts w:asciiTheme="majorHAnsi" w:hAnsiTheme="majorHAnsi" w:cstheme="majorHAnsi"/>
                <w:sz w:val="17"/>
                <w:szCs w:val="17"/>
              </w:rPr>
              <w:fldChar w:fldCharType="begin" w:fldLock="1"/>
            </w:r>
            <w:r w:rsidRPr="00DD2681">
              <w:rPr>
                <w:rFonts w:asciiTheme="majorHAnsi" w:hAnsiTheme="majorHAnsi" w:cstheme="majorHAnsi"/>
                <w:sz w:val="17"/>
                <w:szCs w:val="17"/>
              </w:rPr>
              <w:instrText xml:space="preserve"> REF _Ref52955317 \h  \* MERGEFORMAT </w:instrText>
            </w:r>
            <w:r w:rsidRPr="00DD2681">
              <w:rPr>
                <w:rFonts w:asciiTheme="majorHAnsi" w:hAnsiTheme="majorHAnsi" w:cstheme="majorHAnsi"/>
                <w:sz w:val="17"/>
                <w:szCs w:val="17"/>
              </w:rPr>
            </w:r>
            <w:r w:rsidRPr="00DD2681">
              <w:rPr>
                <w:rFonts w:asciiTheme="majorHAnsi" w:hAnsiTheme="majorHAnsi" w:cstheme="majorHAnsi"/>
                <w:sz w:val="17"/>
                <w:szCs w:val="17"/>
              </w:rPr>
              <w:fldChar w:fldCharType="separate"/>
            </w:r>
            <w:r w:rsidR="00036405" w:rsidRPr="00036405">
              <w:rPr>
                <w:rFonts w:asciiTheme="majorHAnsi" w:hAnsiTheme="majorHAnsi" w:cstheme="majorHAnsi"/>
                <w:sz w:val="17"/>
                <w:szCs w:val="17"/>
              </w:rPr>
              <w:t xml:space="preserve">Table </w:t>
            </w:r>
            <w:r w:rsidR="00036405" w:rsidRPr="00036405">
              <w:rPr>
                <w:rFonts w:asciiTheme="majorHAnsi" w:hAnsiTheme="majorHAnsi" w:cstheme="majorHAnsi"/>
                <w:noProof/>
                <w:sz w:val="17"/>
                <w:szCs w:val="17"/>
              </w:rPr>
              <w:t>6.4</w:t>
            </w:r>
            <w:r w:rsidRPr="00DD2681">
              <w:rPr>
                <w:rFonts w:asciiTheme="majorHAnsi" w:hAnsiTheme="majorHAnsi" w:cstheme="majorHAnsi"/>
                <w:sz w:val="17"/>
                <w:szCs w:val="17"/>
              </w:rPr>
              <w:fldChar w:fldCharType="end"/>
            </w:r>
            <w:r w:rsidRPr="00DD2681">
              <w:rPr>
                <w:rFonts w:asciiTheme="majorHAnsi" w:hAnsiTheme="majorHAnsi" w:cstheme="majorHAnsi"/>
                <w:sz w:val="17"/>
                <w:szCs w:val="17"/>
              </w:rPr>
              <w:t xml:space="preserve"> highlights, mixed views were expressed on the form that price reporting should take, with a number of stakeholders supporting the proposal to publish individual prices and key terms and conditions, while others were opposed to this proposal. Those opposed to the publication of individual prices claimed it would ‘breach shipper confidentiality’ and could potentially affect: </w:t>
            </w:r>
          </w:p>
          <w:p w14:paraId="75F2F769" w14:textId="77777777" w:rsidR="00FE6015" w:rsidRPr="00DD2681" w:rsidRDefault="00FE6015" w:rsidP="00B65E04">
            <w:pPr>
              <w:pStyle w:val="TableBullet10"/>
              <w:spacing w:line="252" w:lineRule="auto"/>
              <w:rPr>
                <w:sz w:val="17"/>
                <w:szCs w:val="17"/>
              </w:rPr>
            </w:pPr>
            <w:r w:rsidRPr="00DD2681">
              <w:rPr>
                <w:sz w:val="17"/>
                <w:szCs w:val="17"/>
              </w:rPr>
              <w:t xml:space="preserve">the incentive pipeline operators have to offer bespoke services and discounts; and </w:t>
            </w:r>
          </w:p>
          <w:p w14:paraId="050A7028" w14:textId="77777777" w:rsidR="00FE6015" w:rsidRPr="00DD2681" w:rsidRDefault="00FE6015" w:rsidP="00B65E04">
            <w:pPr>
              <w:pStyle w:val="TableBullet10"/>
              <w:spacing w:line="252" w:lineRule="auto"/>
              <w:rPr>
                <w:sz w:val="17"/>
                <w:szCs w:val="17"/>
              </w:rPr>
            </w:pPr>
            <w:r w:rsidRPr="00DD2681">
              <w:rPr>
                <w:sz w:val="17"/>
                <w:szCs w:val="17"/>
              </w:rPr>
              <w:t xml:space="preserve">competition in </w:t>
            </w:r>
            <w:r w:rsidR="00A27FAA">
              <w:rPr>
                <w:sz w:val="17"/>
                <w:szCs w:val="17"/>
              </w:rPr>
              <w:t xml:space="preserve">upstream and downstream </w:t>
            </w:r>
            <w:r w:rsidRPr="00DD2681">
              <w:rPr>
                <w:sz w:val="17"/>
                <w:szCs w:val="17"/>
              </w:rPr>
              <w:t xml:space="preserve">markets, although no detail was provided on how this would occur. </w:t>
            </w:r>
          </w:p>
          <w:p w14:paraId="7C7D6F7E" w14:textId="77777777" w:rsidR="00FE6015" w:rsidRPr="00563559" w:rsidRDefault="00FE6015" w:rsidP="00B65E04">
            <w:pPr>
              <w:pStyle w:val="BodyText"/>
              <w:spacing w:before="0" w:line="252" w:lineRule="auto"/>
              <w:rPr>
                <w:rFonts w:asciiTheme="majorHAnsi" w:hAnsiTheme="majorHAnsi" w:cstheme="majorHAnsi"/>
                <w:sz w:val="17"/>
                <w:szCs w:val="17"/>
              </w:rPr>
            </w:pPr>
            <w:r w:rsidRPr="00DD2681">
              <w:rPr>
                <w:rFonts w:asciiTheme="majorHAnsi" w:hAnsiTheme="majorHAnsi" w:cstheme="majorHAnsi"/>
                <w:sz w:val="17"/>
                <w:szCs w:val="17"/>
              </w:rPr>
              <w:t xml:space="preserve">To help inform the choice between the options and address some of the issues raised by stakeholders, Brattle was asked to provide advice on how prices are reported in the US and the </w:t>
            </w:r>
            <w:r w:rsidRPr="00563559">
              <w:rPr>
                <w:rFonts w:asciiTheme="majorHAnsi" w:hAnsiTheme="majorHAnsi" w:cstheme="majorHAnsi"/>
                <w:sz w:val="17"/>
                <w:szCs w:val="17"/>
              </w:rPr>
              <w:t xml:space="preserve">potential impacts of individual price reporting on competition and service provider offers. </w:t>
            </w:r>
          </w:p>
          <w:p w14:paraId="732B211E" w14:textId="5C83FE5C" w:rsidR="00FE6015" w:rsidRPr="00DD2681" w:rsidRDefault="00FE6015" w:rsidP="00B65E04">
            <w:pPr>
              <w:pStyle w:val="BodyText"/>
              <w:spacing w:before="0" w:line="252" w:lineRule="auto"/>
              <w:rPr>
                <w:rFonts w:asciiTheme="majorHAnsi" w:hAnsiTheme="majorHAnsi" w:cstheme="majorHAnsi"/>
                <w:sz w:val="17"/>
                <w:szCs w:val="17"/>
              </w:rPr>
            </w:pPr>
            <w:r w:rsidRPr="00563559">
              <w:rPr>
                <w:rFonts w:asciiTheme="majorHAnsi" w:hAnsiTheme="majorHAnsi" w:cstheme="majorHAnsi"/>
                <w:sz w:val="17"/>
                <w:szCs w:val="17"/>
              </w:rPr>
              <w:t xml:space="preserve">In short, Brattle advised that </w:t>
            </w:r>
            <w:r w:rsidRPr="00563559">
              <w:rPr>
                <w:sz w:val="17"/>
                <w:szCs w:val="17"/>
              </w:rPr>
              <w:t xml:space="preserve">in the US all interstate pipelines are required to publish information on key terms and conditions in all GTAs and the prices agreed to in non-standard contracts (note that </w:t>
            </w:r>
            <w:r w:rsidRPr="00563559">
              <w:rPr>
                <w:rFonts w:cstheme="minorHAnsi"/>
                <w:sz w:val="17"/>
                <w:szCs w:val="17"/>
              </w:rPr>
              <w:t>prices in standard contracts are based on FERC approved rates so disclosure is not required)</w:t>
            </w:r>
            <w:r w:rsidRPr="00563559">
              <w:rPr>
                <w:sz w:val="17"/>
                <w:szCs w:val="17"/>
              </w:rPr>
              <w:t xml:space="preserve"> and that even with these disclosures, US pipelines continue to offer bespoke services and discounts.</w:t>
            </w:r>
            <w:r w:rsidR="00370905">
              <w:rPr>
                <w:rFonts w:ascii="ZWAdobeF" w:hAnsi="ZWAdobeF" w:cs="ZWAdobeF"/>
                <w:sz w:val="2"/>
                <w:szCs w:val="2"/>
              </w:rPr>
              <w:t>148F</w:t>
            </w:r>
            <w:r w:rsidRPr="00563559">
              <w:rPr>
                <w:rStyle w:val="FootnoteReference"/>
                <w:rFonts w:asciiTheme="majorHAnsi" w:hAnsiTheme="majorHAnsi" w:cstheme="majorHAnsi"/>
                <w:sz w:val="17"/>
                <w:szCs w:val="17"/>
              </w:rPr>
              <w:footnoteReference w:id="150"/>
            </w:r>
            <w:r w:rsidRPr="00563559">
              <w:rPr>
                <w:sz w:val="17"/>
                <w:szCs w:val="17"/>
              </w:rPr>
              <w:t xml:space="preserve"> Brattle also noted that </w:t>
            </w:r>
            <w:r w:rsidRPr="00563559">
              <w:rPr>
                <w:sz w:val="17"/>
                <w:szCs w:val="17"/>
              </w:rPr>
              <w:lastRenderedPageBreak/>
              <w:t xml:space="preserve">when deciding to require individual prices to be reported, FERC explicitly considered and rejected the argument that it would have an adverse effect on competition in other markets. </w:t>
            </w:r>
          </w:p>
          <w:p w14:paraId="58A26EEA" w14:textId="77777777" w:rsidR="00FE6015" w:rsidRPr="005331E1" w:rsidRDefault="00FE6015" w:rsidP="0052381D">
            <w:pPr>
              <w:pStyle w:val="BodyText"/>
              <w:spacing w:before="0" w:after="80" w:line="240" w:lineRule="auto"/>
              <w:rPr>
                <w:rFonts w:asciiTheme="majorHAnsi" w:hAnsiTheme="majorHAnsi" w:cstheme="majorHAnsi"/>
                <w:sz w:val="17"/>
                <w:szCs w:val="17"/>
              </w:rPr>
            </w:pPr>
            <w:r w:rsidRPr="00DD2681">
              <w:rPr>
                <w:rFonts w:asciiTheme="majorHAnsi" w:hAnsiTheme="majorHAnsi" w:cstheme="majorHAnsi"/>
                <w:sz w:val="17"/>
                <w:szCs w:val="17"/>
              </w:rPr>
              <w:t xml:space="preserve">Having regard to </w:t>
            </w:r>
            <w:r>
              <w:rPr>
                <w:rFonts w:asciiTheme="majorHAnsi" w:hAnsiTheme="majorHAnsi" w:cstheme="majorHAnsi"/>
                <w:sz w:val="17"/>
                <w:szCs w:val="17"/>
              </w:rPr>
              <w:t xml:space="preserve">stakeholder </w:t>
            </w:r>
            <w:r w:rsidRPr="00DD2681">
              <w:rPr>
                <w:rFonts w:asciiTheme="majorHAnsi" w:hAnsiTheme="majorHAnsi" w:cstheme="majorHAnsi"/>
                <w:sz w:val="17"/>
                <w:szCs w:val="17"/>
              </w:rPr>
              <w:t xml:space="preserve">feedback and the advice provided by Brattle, the publication of individual prices </w:t>
            </w:r>
            <w:r>
              <w:rPr>
                <w:rFonts w:asciiTheme="majorHAnsi" w:hAnsiTheme="majorHAnsi" w:cstheme="majorHAnsi"/>
                <w:sz w:val="17"/>
                <w:szCs w:val="17"/>
              </w:rPr>
              <w:t xml:space="preserve">(plus </w:t>
            </w:r>
            <w:r w:rsidRPr="00DD2681">
              <w:rPr>
                <w:rFonts w:asciiTheme="majorHAnsi" w:hAnsiTheme="majorHAnsi" w:cstheme="majorHAnsi"/>
                <w:sz w:val="17"/>
                <w:szCs w:val="17"/>
              </w:rPr>
              <w:t>key terms and conditions</w:t>
            </w:r>
            <w:r>
              <w:rPr>
                <w:rFonts w:asciiTheme="majorHAnsi" w:hAnsiTheme="majorHAnsi" w:cstheme="majorHAnsi"/>
                <w:sz w:val="17"/>
                <w:szCs w:val="17"/>
              </w:rPr>
              <w:t>) appears to</w:t>
            </w:r>
            <w:r w:rsidRPr="00DD2681">
              <w:rPr>
                <w:rFonts w:asciiTheme="majorHAnsi" w:hAnsiTheme="majorHAnsi" w:cstheme="majorHAnsi"/>
                <w:sz w:val="17"/>
                <w:szCs w:val="17"/>
              </w:rPr>
              <w:t xml:space="preserve"> offer a number of benefits over </w:t>
            </w:r>
            <w:r w:rsidRPr="005331E1">
              <w:rPr>
                <w:rFonts w:asciiTheme="majorHAnsi" w:hAnsiTheme="majorHAnsi" w:cstheme="majorHAnsi"/>
                <w:sz w:val="17"/>
                <w:szCs w:val="17"/>
              </w:rPr>
              <w:t xml:space="preserve">other alternatives. It would, for example, provide shippers with the most accurate information about the prices paid by other shippers for equivalent services. It would therefore overcome the problems the ACCC identified with weighted average price reporting (see Appendix B) and eliminate this as a source of information asymmetry for shippers in their negotiations with service providers. This is likely to be benefit smaller and less sophisticated shippers who may be able to use the information to leverage the bargaining power of larger shippers in their negotiations. </w:t>
            </w:r>
          </w:p>
          <w:p w14:paraId="6A85D9F3" w14:textId="77777777" w:rsidR="00FE6015" w:rsidRPr="005331E1" w:rsidRDefault="00AE23F4" w:rsidP="0052381D">
            <w:pPr>
              <w:pStyle w:val="TableBullet10"/>
              <w:numPr>
                <w:ilvl w:val="0"/>
                <w:numId w:val="0"/>
              </w:numPr>
              <w:spacing w:before="0" w:after="80" w:line="240" w:lineRule="auto"/>
              <w:ind w:left="85"/>
              <w:rPr>
                <w:rFonts w:asciiTheme="majorHAnsi" w:hAnsiTheme="majorHAnsi" w:cstheme="majorHAnsi"/>
                <w:sz w:val="17"/>
                <w:szCs w:val="17"/>
              </w:rPr>
            </w:pPr>
            <w:r>
              <w:rPr>
                <w:rFonts w:asciiTheme="majorHAnsi" w:hAnsiTheme="majorHAnsi" w:cstheme="majorHAnsi"/>
                <w:sz w:val="17"/>
                <w:szCs w:val="17"/>
              </w:rPr>
              <w:t>T</w:t>
            </w:r>
            <w:r w:rsidR="00FE6015" w:rsidRPr="005331E1">
              <w:rPr>
                <w:rFonts w:asciiTheme="majorHAnsi" w:hAnsiTheme="majorHAnsi" w:cstheme="majorHAnsi"/>
                <w:sz w:val="17"/>
                <w:szCs w:val="17"/>
              </w:rPr>
              <w:t>he publication of individual prices could also benefit end-users in negotiations with retailers and provide for better monitoring of whether service providers are favouring affiliates. It would also limit the opportunity for service providers to try and game the price reporting requirements, by, for example, classifying services in a particular way to avoid having to report on prices (e.g. because if there are less than two users of a service the price does not currently have to be reported).</w:t>
            </w:r>
            <w:r w:rsidR="00AB70DE">
              <w:rPr>
                <w:rFonts w:asciiTheme="majorHAnsi" w:hAnsiTheme="majorHAnsi" w:cstheme="majorHAnsi"/>
                <w:sz w:val="17"/>
                <w:szCs w:val="17"/>
              </w:rPr>
              <w:t xml:space="preserve"> </w:t>
            </w:r>
          </w:p>
          <w:p w14:paraId="2C074267" w14:textId="77777777" w:rsidR="00AE23F4" w:rsidRPr="00DD2681" w:rsidRDefault="00FE6015" w:rsidP="0052381D">
            <w:pPr>
              <w:pStyle w:val="TableBullet10"/>
              <w:numPr>
                <w:ilvl w:val="0"/>
                <w:numId w:val="0"/>
              </w:numPr>
              <w:spacing w:before="0" w:after="80" w:line="240" w:lineRule="auto"/>
              <w:ind w:left="85"/>
              <w:rPr>
                <w:rFonts w:asciiTheme="majorHAnsi" w:hAnsiTheme="majorHAnsi" w:cstheme="majorHAnsi"/>
                <w:sz w:val="17"/>
                <w:szCs w:val="17"/>
              </w:rPr>
            </w:pPr>
            <w:r w:rsidRPr="005331E1">
              <w:rPr>
                <w:rFonts w:cstheme="minorHAnsi"/>
                <w:sz w:val="17"/>
                <w:szCs w:val="17"/>
              </w:rPr>
              <w:t xml:space="preserve">While it has been suggested that the publication of individual prices could affect competition in upstream or downstream markets, or reduce the willingness of service providers to offer bespoke services or discounts, there is, as Brattle noted, no evidence of this occurring in the US where this information is disclosed. Stakeholders were also unable to provide any clear explanation for why this would occur in their feedback on the </w:t>
            </w:r>
            <w:r>
              <w:rPr>
                <w:rFonts w:cstheme="minorHAnsi"/>
                <w:sz w:val="17"/>
                <w:szCs w:val="17"/>
              </w:rPr>
              <w:t>Consultation RIS</w:t>
            </w:r>
            <w:r w:rsidRPr="005331E1">
              <w:rPr>
                <w:rFonts w:cstheme="minorHAnsi"/>
                <w:sz w:val="17"/>
                <w:szCs w:val="17"/>
              </w:rPr>
              <w:t>.</w:t>
            </w:r>
            <w:r w:rsidR="00F2199C">
              <w:rPr>
                <w:rFonts w:cstheme="minorHAnsi"/>
                <w:sz w:val="17"/>
                <w:szCs w:val="17"/>
              </w:rPr>
              <w:t xml:space="preserve"> </w:t>
            </w:r>
            <w:r w:rsidR="00F2199C">
              <w:rPr>
                <w:rFonts w:asciiTheme="majorHAnsi" w:hAnsiTheme="majorHAnsi" w:cstheme="majorHAnsi"/>
                <w:sz w:val="17"/>
                <w:szCs w:val="17"/>
              </w:rPr>
              <w:t>Provision</w:t>
            </w:r>
            <w:r w:rsidR="00AB70DE">
              <w:rPr>
                <w:rFonts w:asciiTheme="majorHAnsi" w:hAnsiTheme="majorHAnsi" w:cstheme="majorHAnsi"/>
                <w:sz w:val="17"/>
                <w:szCs w:val="17"/>
              </w:rPr>
              <w:t xml:space="preserve"> has </w:t>
            </w:r>
            <w:r w:rsidR="00F2199C">
              <w:rPr>
                <w:rFonts w:asciiTheme="majorHAnsi" w:hAnsiTheme="majorHAnsi" w:cstheme="majorHAnsi"/>
                <w:sz w:val="17"/>
                <w:szCs w:val="17"/>
              </w:rPr>
              <w:t xml:space="preserve">therefore </w:t>
            </w:r>
            <w:r w:rsidR="00AB70DE">
              <w:rPr>
                <w:rFonts w:asciiTheme="majorHAnsi" w:hAnsiTheme="majorHAnsi" w:cstheme="majorHAnsi"/>
                <w:sz w:val="17"/>
                <w:szCs w:val="17"/>
              </w:rPr>
              <w:t xml:space="preserve">been made in options 3A and 3B </w:t>
            </w:r>
            <w:r w:rsidR="003173B1">
              <w:rPr>
                <w:rFonts w:asciiTheme="majorHAnsi" w:hAnsiTheme="majorHAnsi" w:cstheme="majorHAnsi"/>
                <w:sz w:val="17"/>
                <w:szCs w:val="17"/>
              </w:rPr>
              <w:t xml:space="preserve">for service providers to report individual prices and the key terms and conditions that have a bearing on price. </w:t>
            </w:r>
          </w:p>
        </w:tc>
        <w:tc>
          <w:tcPr>
            <w:tcW w:w="4253" w:type="dxa"/>
          </w:tcPr>
          <w:p w14:paraId="2D8B3E50" w14:textId="4EC1F7A6" w:rsidR="00FE6015" w:rsidRPr="00DD2681" w:rsidRDefault="00D733AC" w:rsidP="00B65E04">
            <w:pPr>
              <w:pStyle w:val="BodyText"/>
              <w:spacing w:before="0" w:after="80" w:line="252" w:lineRule="auto"/>
              <w:rPr>
                <w:rFonts w:asciiTheme="majorHAnsi" w:hAnsiTheme="majorHAnsi" w:cstheme="majorHAnsi"/>
                <w:sz w:val="17"/>
                <w:szCs w:val="17"/>
              </w:rPr>
            </w:pPr>
            <w:r>
              <w:rPr>
                <w:rFonts w:asciiTheme="majorHAnsi" w:hAnsiTheme="majorHAnsi" w:cstheme="majorHAnsi"/>
                <w:i/>
                <w:iCs/>
                <w:sz w:val="17"/>
                <w:szCs w:val="17"/>
              </w:rPr>
              <w:lastRenderedPageBreak/>
              <w:t>Under o</w:t>
            </w:r>
            <w:r w:rsidRPr="00EB08A6">
              <w:rPr>
                <w:rFonts w:asciiTheme="majorHAnsi" w:hAnsiTheme="majorHAnsi" w:cstheme="majorHAnsi"/>
                <w:i/>
                <w:iCs/>
                <w:sz w:val="17"/>
                <w:szCs w:val="17"/>
              </w:rPr>
              <w:t xml:space="preserve">ptions 3A and 3B service providers </w:t>
            </w:r>
            <w:r>
              <w:rPr>
                <w:rFonts w:asciiTheme="majorHAnsi" w:hAnsiTheme="majorHAnsi" w:cstheme="majorHAnsi"/>
                <w:i/>
                <w:iCs/>
                <w:sz w:val="17"/>
                <w:szCs w:val="17"/>
              </w:rPr>
              <w:t xml:space="preserve">would be required </w:t>
            </w:r>
            <w:r w:rsidRPr="00EB08A6">
              <w:rPr>
                <w:rFonts w:asciiTheme="majorHAnsi" w:hAnsiTheme="majorHAnsi" w:cstheme="majorHAnsi"/>
                <w:i/>
                <w:iCs/>
                <w:sz w:val="17"/>
                <w:szCs w:val="17"/>
              </w:rPr>
              <w:t xml:space="preserve">to publish information on the individual </w:t>
            </w:r>
            <w:r w:rsidRPr="00EB08A6">
              <w:rPr>
                <w:i/>
                <w:iCs/>
                <w:sz w:val="17"/>
                <w:szCs w:val="17"/>
              </w:rPr>
              <w:t>prices (including key terms and conditions that can affect prices)</w:t>
            </w:r>
            <w:r w:rsidRPr="00EB08A6">
              <w:rPr>
                <w:rStyle w:val="FootnoteReference"/>
                <w:i/>
                <w:iCs/>
                <w:sz w:val="17"/>
                <w:szCs w:val="17"/>
              </w:rPr>
              <w:t xml:space="preserve"> </w:t>
            </w:r>
            <w:r w:rsidR="00370905">
              <w:rPr>
                <w:rFonts w:ascii="ZWAdobeF" w:hAnsi="ZWAdobeF" w:cs="ZWAdobeF"/>
                <w:sz w:val="2"/>
                <w:szCs w:val="2"/>
              </w:rPr>
              <w:t>149F</w:t>
            </w:r>
            <w:r w:rsidRPr="00EB08A6">
              <w:rPr>
                <w:rStyle w:val="FootnoteReference"/>
                <w:i/>
                <w:iCs/>
                <w:sz w:val="17"/>
                <w:szCs w:val="17"/>
              </w:rPr>
              <w:footnoteReference w:id="151"/>
            </w:r>
            <w:r w:rsidRPr="00EB08A6">
              <w:rPr>
                <w:i/>
                <w:iCs/>
                <w:sz w:val="17"/>
                <w:szCs w:val="17"/>
              </w:rPr>
              <w:t xml:space="preserve"> paid by shippers for services.</w:t>
            </w:r>
          </w:p>
        </w:tc>
      </w:tr>
      <w:tr w:rsidR="00773C4D" w:rsidRPr="00960823" w14:paraId="2F68634F" w14:textId="77777777" w:rsidTr="003D7B36">
        <w:tc>
          <w:tcPr>
            <w:tcW w:w="1281" w:type="dxa"/>
          </w:tcPr>
          <w:p w14:paraId="72EAC8E8" w14:textId="77777777" w:rsidR="00FE6015" w:rsidRPr="00960823" w:rsidRDefault="00FE6015" w:rsidP="0052381D">
            <w:pPr>
              <w:pStyle w:val="TableBodyText"/>
              <w:spacing w:before="40" w:after="40" w:line="240" w:lineRule="auto"/>
              <w:rPr>
                <w:sz w:val="17"/>
                <w:szCs w:val="17"/>
              </w:rPr>
            </w:pPr>
            <w:r w:rsidRPr="00960823">
              <w:rPr>
                <w:sz w:val="17"/>
                <w:szCs w:val="17"/>
              </w:rPr>
              <w:t xml:space="preserve">Adequacy of pricing methodologies and financial information </w:t>
            </w:r>
          </w:p>
        </w:tc>
        <w:tc>
          <w:tcPr>
            <w:tcW w:w="8784" w:type="dxa"/>
          </w:tcPr>
          <w:p w14:paraId="342A6E82" w14:textId="77777777" w:rsidR="00FE6015" w:rsidRPr="00960823" w:rsidRDefault="00FE6015" w:rsidP="0052381D">
            <w:pPr>
              <w:pStyle w:val="TableBullet10"/>
              <w:numPr>
                <w:ilvl w:val="0"/>
                <w:numId w:val="0"/>
              </w:numPr>
              <w:spacing w:before="40" w:after="0" w:line="240" w:lineRule="auto"/>
              <w:ind w:left="85"/>
              <w:rPr>
                <w:rFonts w:asciiTheme="majorHAnsi" w:hAnsiTheme="majorHAnsi" w:cstheme="majorHAnsi"/>
                <w:sz w:val="17"/>
                <w:szCs w:val="17"/>
                <w:lang w:eastAsia="fr-CA"/>
              </w:rPr>
            </w:pPr>
            <w:r>
              <w:rPr>
                <w:rFonts w:asciiTheme="majorHAnsi" w:hAnsiTheme="majorHAnsi" w:cstheme="majorHAnsi"/>
                <w:sz w:val="17"/>
                <w:szCs w:val="17"/>
                <w:lang w:eastAsia="fr-CA"/>
              </w:rPr>
              <w:t xml:space="preserve">The majority of stakeholders that commented on the inadequacies identified with the pricing methodologies and financial information supported </w:t>
            </w:r>
            <w:r w:rsidRPr="00960823">
              <w:rPr>
                <w:rFonts w:asciiTheme="majorHAnsi" w:hAnsiTheme="majorHAnsi" w:cstheme="majorHAnsi"/>
                <w:sz w:val="17"/>
                <w:szCs w:val="17"/>
                <w:lang w:eastAsia="fr-CA"/>
              </w:rPr>
              <w:t>the proposal to require:</w:t>
            </w:r>
          </w:p>
          <w:p w14:paraId="5ADE3F60" w14:textId="77777777" w:rsidR="00FE6015" w:rsidRPr="00960823" w:rsidRDefault="00FE6015" w:rsidP="0052381D">
            <w:pPr>
              <w:pStyle w:val="TableBodyText"/>
              <w:spacing w:before="20" w:afterLines="20" w:after="48" w:line="240" w:lineRule="auto"/>
              <w:rPr>
                <w:rFonts w:asciiTheme="majorHAnsi" w:hAnsiTheme="majorHAnsi" w:cstheme="majorHAnsi"/>
                <w:sz w:val="17"/>
                <w:szCs w:val="17"/>
                <w:lang w:eastAsia="fr-CA"/>
              </w:rPr>
            </w:pPr>
            <w:r w:rsidRPr="00960823">
              <w:rPr>
                <w:rFonts w:asciiTheme="majorHAnsi" w:hAnsiTheme="majorHAnsi" w:cstheme="majorHAnsi"/>
                <w:sz w:val="17"/>
                <w:szCs w:val="17"/>
                <w:lang w:eastAsia="fr-CA"/>
              </w:rPr>
              <w:t>(a) the publication of inputs used to calculate standing prices;</w:t>
            </w:r>
          </w:p>
          <w:p w14:paraId="1B323106" w14:textId="77777777" w:rsidR="00FE6015" w:rsidRPr="00960823" w:rsidRDefault="00FE6015" w:rsidP="0052381D">
            <w:pPr>
              <w:pStyle w:val="TableBodyText"/>
              <w:spacing w:before="20" w:afterLines="20" w:after="48" w:line="240" w:lineRule="auto"/>
              <w:rPr>
                <w:rFonts w:asciiTheme="majorHAnsi" w:hAnsiTheme="majorHAnsi" w:cstheme="majorHAnsi"/>
                <w:sz w:val="17"/>
                <w:szCs w:val="17"/>
                <w:lang w:eastAsia="fr-CA"/>
              </w:rPr>
            </w:pPr>
            <w:r w:rsidRPr="00960823">
              <w:rPr>
                <w:rFonts w:asciiTheme="majorHAnsi" w:hAnsiTheme="majorHAnsi" w:cstheme="majorHAnsi"/>
                <w:sz w:val="17"/>
                <w:szCs w:val="17"/>
                <w:lang w:eastAsia="fr-CA"/>
              </w:rPr>
              <w:t>(b) the regulator to publish a guide on information to be included in methodology; and</w:t>
            </w:r>
          </w:p>
          <w:p w14:paraId="6F8F8347" w14:textId="77777777" w:rsidR="00FE6015" w:rsidRPr="00960823" w:rsidRDefault="00FE6015" w:rsidP="0052381D">
            <w:pPr>
              <w:pStyle w:val="TableBodyText"/>
              <w:spacing w:before="20" w:after="80" w:line="240" w:lineRule="auto"/>
              <w:rPr>
                <w:rFonts w:asciiTheme="majorHAnsi" w:hAnsiTheme="majorHAnsi" w:cstheme="majorHAnsi"/>
                <w:sz w:val="17"/>
                <w:szCs w:val="17"/>
                <w:lang w:eastAsia="fr-CA"/>
              </w:rPr>
            </w:pPr>
            <w:r w:rsidRPr="00960823">
              <w:rPr>
                <w:rFonts w:asciiTheme="majorHAnsi" w:hAnsiTheme="majorHAnsi" w:cstheme="majorHAnsi"/>
                <w:sz w:val="17"/>
                <w:szCs w:val="17"/>
                <w:lang w:eastAsia="fr-CA"/>
              </w:rPr>
              <w:t xml:space="preserve">(c) the service providers to report on </w:t>
            </w:r>
            <w:r w:rsidR="00517663">
              <w:rPr>
                <w:rFonts w:asciiTheme="majorHAnsi" w:hAnsiTheme="majorHAnsi" w:cstheme="majorHAnsi"/>
                <w:sz w:val="17"/>
                <w:szCs w:val="17"/>
                <w:lang w:eastAsia="fr-CA"/>
              </w:rPr>
              <w:t>historical demand</w:t>
            </w:r>
            <w:r w:rsidRPr="00960823">
              <w:rPr>
                <w:rFonts w:asciiTheme="majorHAnsi" w:hAnsiTheme="majorHAnsi" w:cstheme="majorHAnsi"/>
                <w:sz w:val="17"/>
                <w:szCs w:val="17"/>
                <w:lang w:eastAsia="fr-CA"/>
              </w:rPr>
              <w:t xml:space="preserve"> information.</w:t>
            </w:r>
          </w:p>
          <w:p w14:paraId="6FAC1B4C" w14:textId="77777777" w:rsidR="00FE6015" w:rsidRDefault="00FE6015" w:rsidP="0052381D">
            <w:pPr>
              <w:pStyle w:val="TableBullet10"/>
              <w:numPr>
                <w:ilvl w:val="0"/>
                <w:numId w:val="0"/>
              </w:numPr>
              <w:spacing w:before="40" w:after="80" w:line="240" w:lineRule="auto"/>
              <w:ind w:left="85"/>
              <w:rPr>
                <w:rFonts w:asciiTheme="majorHAnsi" w:hAnsiTheme="majorHAnsi" w:cstheme="majorHAnsi"/>
                <w:sz w:val="17"/>
                <w:szCs w:val="17"/>
                <w:lang w:eastAsia="fr-CA"/>
              </w:rPr>
            </w:pPr>
            <w:r w:rsidRPr="00960823">
              <w:rPr>
                <w:rFonts w:asciiTheme="majorHAnsi" w:hAnsiTheme="majorHAnsi" w:cstheme="majorHAnsi"/>
                <w:sz w:val="17"/>
                <w:szCs w:val="17"/>
                <w:lang w:eastAsia="fr-CA"/>
              </w:rPr>
              <w:t xml:space="preserve">While there was also some support for the proposal to require service providers to report on the extent to which their future costs are likely to differ from historic costs, a number of concerns were raised by service providers about this measure. Further consideration </w:t>
            </w:r>
            <w:r>
              <w:rPr>
                <w:rFonts w:asciiTheme="majorHAnsi" w:hAnsiTheme="majorHAnsi" w:cstheme="majorHAnsi"/>
                <w:sz w:val="17"/>
                <w:szCs w:val="17"/>
                <w:lang w:eastAsia="fr-CA"/>
              </w:rPr>
              <w:t>has</w:t>
            </w:r>
            <w:r w:rsidRPr="00960823">
              <w:rPr>
                <w:rFonts w:asciiTheme="majorHAnsi" w:hAnsiTheme="majorHAnsi" w:cstheme="majorHAnsi"/>
                <w:sz w:val="17"/>
                <w:szCs w:val="17"/>
                <w:lang w:eastAsia="fr-CA"/>
              </w:rPr>
              <w:t xml:space="preserve"> therefore </w:t>
            </w:r>
            <w:r>
              <w:rPr>
                <w:rFonts w:asciiTheme="majorHAnsi" w:hAnsiTheme="majorHAnsi" w:cstheme="majorHAnsi"/>
                <w:sz w:val="17"/>
                <w:szCs w:val="17"/>
                <w:lang w:eastAsia="fr-CA"/>
              </w:rPr>
              <w:t xml:space="preserve">been </w:t>
            </w:r>
            <w:r w:rsidRPr="00960823">
              <w:rPr>
                <w:rFonts w:asciiTheme="majorHAnsi" w:hAnsiTheme="majorHAnsi" w:cstheme="majorHAnsi"/>
                <w:sz w:val="17"/>
                <w:szCs w:val="17"/>
                <w:lang w:eastAsia="fr-CA"/>
              </w:rPr>
              <w:t>given to this measure</w:t>
            </w:r>
            <w:r>
              <w:rPr>
                <w:rFonts w:asciiTheme="majorHAnsi" w:hAnsiTheme="majorHAnsi" w:cstheme="majorHAnsi"/>
                <w:sz w:val="17"/>
                <w:szCs w:val="17"/>
                <w:lang w:eastAsia="fr-CA"/>
              </w:rPr>
              <w:t xml:space="preserve"> and the proposal by a number of stakeholders that greater guidance and transparency be provided on the cost allocation methods employed by service providers. </w:t>
            </w:r>
          </w:p>
          <w:p w14:paraId="38A03104" w14:textId="77777777" w:rsidR="00FE6015" w:rsidRPr="00471562" w:rsidRDefault="00FE6015" w:rsidP="0052381D">
            <w:pPr>
              <w:pStyle w:val="TableBullet10"/>
              <w:numPr>
                <w:ilvl w:val="0"/>
                <w:numId w:val="0"/>
              </w:numPr>
              <w:spacing w:before="40" w:after="80" w:line="240" w:lineRule="auto"/>
              <w:ind w:left="85"/>
              <w:rPr>
                <w:rFonts w:asciiTheme="majorHAnsi" w:hAnsiTheme="majorHAnsi" w:cstheme="majorHAnsi"/>
                <w:b/>
                <w:bCs/>
                <w:sz w:val="17"/>
                <w:szCs w:val="17"/>
                <w:lang w:eastAsia="fr-CA"/>
              </w:rPr>
            </w:pPr>
            <w:r w:rsidRPr="00471562">
              <w:rPr>
                <w:rFonts w:asciiTheme="majorHAnsi" w:hAnsiTheme="majorHAnsi" w:cstheme="majorHAnsi"/>
                <w:b/>
                <w:bCs/>
                <w:sz w:val="17"/>
                <w:szCs w:val="17"/>
                <w:lang w:eastAsia="fr-CA"/>
              </w:rPr>
              <w:t>Historic costs versus future costs</w:t>
            </w:r>
          </w:p>
          <w:p w14:paraId="74852A69" w14:textId="77777777" w:rsidR="00FE6015" w:rsidRDefault="00FE6015" w:rsidP="0052381D">
            <w:pPr>
              <w:pStyle w:val="TableBullet10"/>
              <w:numPr>
                <w:ilvl w:val="0"/>
                <w:numId w:val="0"/>
              </w:numPr>
              <w:spacing w:before="20" w:after="80" w:line="240" w:lineRule="auto"/>
              <w:ind w:left="85"/>
              <w:rPr>
                <w:rFonts w:asciiTheme="majorHAnsi" w:hAnsiTheme="majorHAnsi" w:cstheme="majorHAnsi"/>
                <w:sz w:val="17"/>
                <w:szCs w:val="17"/>
                <w:lang w:eastAsia="fr-CA"/>
              </w:rPr>
            </w:pPr>
            <w:r w:rsidRPr="00960823">
              <w:rPr>
                <w:rFonts w:asciiTheme="majorHAnsi" w:hAnsiTheme="majorHAnsi" w:cstheme="majorHAnsi"/>
                <w:sz w:val="17"/>
                <w:szCs w:val="17"/>
                <w:lang w:eastAsia="fr-CA"/>
              </w:rPr>
              <w:t xml:space="preserve">As </w:t>
            </w:r>
            <w:r>
              <w:rPr>
                <w:rFonts w:asciiTheme="majorHAnsi" w:hAnsiTheme="majorHAnsi" w:cstheme="majorHAnsi"/>
                <w:sz w:val="17"/>
                <w:szCs w:val="17"/>
                <w:lang w:eastAsia="fr-CA"/>
              </w:rPr>
              <w:t xml:space="preserve">a number of </w:t>
            </w:r>
            <w:r w:rsidRPr="00960823">
              <w:rPr>
                <w:rFonts w:asciiTheme="majorHAnsi" w:hAnsiTheme="majorHAnsi" w:cstheme="majorHAnsi"/>
                <w:sz w:val="17"/>
                <w:szCs w:val="17"/>
                <w:lang w:eastAsia="fr-CA"/>
              </w:rPr>
              <w:t xml:space="preserve">service providers have noted, </w:t>
            </w:r>
            <w:r>
              <w:rPr>
                <w:rFonts w:asciiTheme="majorHAnsi" w:hAnsiTheme="majorHAnsi" w:cstheme="majorHAnsi"/>
                <w:sz w:val="17"/>
                <w:szCs w:val="17"/>
                <w:lang w:eastAsia="fr-CA"/>
              </w:rPr>
              <w:t xml:space="preserve">one of the problems with the proposal to report on the extent to which future costs are likely to differ from historic costs is that </w:t>
            </w:r>
            <w:r w:rsidRPr="00960823">
              <w:rPr>
                <w:rFonts w:asciiTheme="majorHAnsi" w:hAnsiTheme="majorHAnsi" w:cstheme="majorHAnsi"/>
                <w:sz w:val="17"/>
                <w:szCs w:val="17"/>
                <w:lang w:eastAsia="fr-CA"/>
              </w:rPr>
              <w:t xml:space="preserve">it </w:t>
            </w:r>
            <w:r>
              <w:rPr>
                <w:rFonts w:asciiTheme="majorHAnsi" w:hAnsiTheme="majorHAnsi" w:cstheme="majorHAnsi"/>
                <w:sz w:val="17"/>
                <w:szCs w:val="17"/>
                <w:lang w:eastAsia="fr-CA"/>
              </w:rPr>
              <w:t xml:space="preserve">would </w:t>
            </w:r>
            <w:r w:rsidRPr="00960823">
              <w:rPr>
                <w:rFonts w:asciiTheme="majorHAnsi" w:hAnsiTheme="majorHAnsi" w:cstheme="majorHAnsi"/>
                <w:sz w:val="17"/>
                <w:szCs w:val="17"/>
                <w:lang w:eastAsia="fr-CA"/>
              </w:rPr>
              <w:t xml:space="preserve">be difficult to get an auditor to sign off on this type of reporting requirement because it is a forecast. </w:t>
            </w:r>
          </w:p>
          <w:p w14:paraId="33B8F4AF" w14:textId="77777777" w:rsidR="00FE6015" w:rsidRPr="00960823" w:rsidRDefault="00FE6015" w:rsidP="0052381D">
            <w:pPr>
              <w:pStyle w:val="TableBullet10"/>
              <w:numPr>
                <w:ilvl w:val="0"/>
                <w:numId w:val="0"/>
              </w:numPr>
              <w:spacing w:before="20" w:after="80" w:line="240" w:lineRule="auto"/>
              <w:ind w:left="85"/>
              <w:rPr>
                <w:rFonts w:asciiTheme="majorHAnsi" w:hAnsiTheme="majorHAnsi" w:cstheme="majorHAnsi"/>
                <w:sz w:val="17"/>
                <w:szCs w:val="17"/>
              </w:rPr>
            </w:pPr>
            <w:r w:rsidRPr="00960823">
              <w:rPr>
                <w:rFonts w:asciiTheme="majorHAnsi" w:hAnsiTheme="majorHAnsi" w:cstheme="majorHAnsi"/>
                <w:sz w:val="17"/>
                <w:szCs w:val="17"/>
                <w:lang w:eastAsia="fr-CA"/>
              </w:rPr>
              <w:t xml:space="preserve">In the absence of this type of assurance, it is possible that this disclosure requirement could be used to mislead </w:t>
            </w:r>
            <w:r w:rsidRPr="00960823">
              <w:rPr>
                <w:rFonts w:asciiTheme="majorHAnsi" w:hAnsiTheme="majorHAnsi" w:cstheme="majorHAnsi"/>
                <w:sz w:val="17"/>
                <w:szCs w:val="17"/>
              </w:rPr>
              <w:t xml:space="preserve">shippers about future costs and the need for prices to increase. This is because, in contrast to pipelines subject to the stronger form of regulation, there would be no regulatory oversight of the service providers’ claim regarding future costs. Given the potential for shippers to be misled, </w:t>
            </w:r>
            <w:r w:rsidR="00F2199C">
              <w:rPr>
                <w:rFonts w:asciiTheme="majorHAnsi" w:hAnsiTheme="majorHAnsi" w:cstheme="majorHAnsi"/>
                <w:sz w:val="17"/>
                <w:szCs w:val="17"/>
              </w:rPr>
              <w:t xml:space="preserve">no provision has been made for this disclosure obligation in either option 3A or option 3B. </w:t>
            </w:r>
          </w:p>
          <w:p w14:paraId="598F9ED6" w14:textId="77777777" w:rsidR="00FE6015" w:rsidRPr="00471562" w:rsidRDefault="00FE6015" w:rsidP="0052381D">
            <w:pPr>
              <w:pStyle w:val="TableBullet10"/>
              <w:numPr>
                <w:ilvl w:val="0"/>
                <w:numId w:val="0"/>
              </w:numPr>
              <w:spacing w:before="40" w:after="80" w:line="240" w:lineRule="auto"/>
              <w:ind w:left="85"/>
              <w:rPr>
                <w:rFonts w:asciiTheme="majorHAnsi" w:hAnsiTheme="majorHAnsi" w:cstheme="majorHAnsi"/>
                <w:b/>
                <w:bCs/>
                <w:sz w:val="17"/>
                <w:szCs w:val="17"/>
                <w:lang w:eastAsia="fr-CA"/>
              </w:rPr>
            </w:pPr>
            <w:r w:rsidRPr="00471562">
              <w:rPr>
                <w:rFonts w:asciiTheme="majorHAnsi" w:hAnsiTheme="majorHAnsi" w:cstheme="majorHAnsi"/>
                <w:b/>
                <w:bCs/>
                <w:sz w:val="17"/>
                <w:szCs w:val="17"/>
                <w:lang w:eastAsia="fr-CA"/>
              </w:rPr>
              <w:t xml:space="preserve">Cost allocation </w:t>
            </w:r>
          </w:p>
          <w:p w14:paraId="75CD5998" w14:textId="77777777" w:rsidR="00FE6015" w:rsidRDefault="00FE6015" w:rsidP="0052381D">
            <w:pPr>
              <w:pStyle w:val="TableBullet10"/>
              <w:numPr>
                <w:ilvl w:val="0"/>
                <w:numId w:val="0"/>
              </w:numPr>
              <w:spacing w:before="40" w:after="80" w:line="240" w:lineRule="auto"/>
              <w:ind w:left="85"/>
              <w:rPr>
                <w:sz w:val="17"/>
                <w:szCs w:val="17"/>
              </w:rPr>
            </w:pPr>
            <w:r>
              <w:rPr>
                <w:rFonts w:asciiTheme="majorHAnsi" w:hAnsiTheme="majorHAnsi" w:cstheme="majorHAnsi"/>
                <w:sz w:val="17"/>
                <w:szCs w:val="17"/>
                <w:lang w:eastAsia="fr-CA"/>
              </w:rPr>
              <w:t xml:space="preserve">A number of stakeholders expressed concerns about the lack of transparency surrounding the cost allocation methods used by service providers for pricing and financial reporting purposes. </w:t>
            </w:r>
            <w:r w:rsidRPr="00960823">
              <w:rPr>
                <w:rFonts w:asciiTheme="majorHAnsi" w:hAnsiTheme="majorHAnsi" w:cstheme="majorHAnsi"/>
                <w:sz w:val="17"/>
                <w:szCs w:val="17"/>
                <w:lang w:eastAsia="fr-CA"/>
              </w:rPr>
              <w:t xml:space="preserve">As some </w:t>
            </w:r>
            <w:r w:rsidRPr="00960823">
              <w:rPr>
                <w:rFonts w:asciiTheme="majorHAnsi" w:hAnsiTheme="majorHAnsi" w:cstheme="majorHAnsi"/>
                <w:sz w:val="17"/>
                <w:szCs w:val="17"/>
                <w:lang w:eastAsia="fr-CA"/>
              </w:rPr>
              <w:lastRenderedPageBreak/>
              <w:t xml:space="preserve">stakeholders noted, this issue is not unique to Part 23 and light regulation pipelines. Rather it also affects full regulation pipelines, because the NGR does not </w:t>
            </w:r>
            <w:r>
              <w:rPr>
                <w:rFonts w:asciiTheme="majorHAnsi" w:hAnsiTheme="majorHAnsi" w:cstheme="majorHAnsi"/>
                <w:sz w:val="17"/>
                <w:szCs w:val="17"/>
                <w:lang w:eastAsia="fr-CA"/>
              </w:rPr>
              <w:t xml:space="preserve">currently </w:t>
            </w:r>
            <w:r w:rsidRPr="00960823">
              <w:rPr>
                <w:rFonts w:asciiTheme="majorHAnsi" w:hAnsiTheme="majorHAnsi" w:cstheme="majorHAnsi"/>
                <w:sz w:val="17"/>
                <w:szCs w:val="17"/>
                <w:lang w:eastAsia="fr-CA"/>
              </w:rPr>
              <w:t xml:space="preserve">provide any guidance on how shared costs are to be allocated. </w:t>
            </w:r>
            <w:r w:rsidRPr="00960823">
              <w:rPr>
                <w:sz w:val="17"/>
                <w:szCs w:val="17"/>
              </w:rPr>
              <w:t xml:space="preserve">This is in direct contrast to the National Electricity Rules, where cost allocation methods must be approved by the AER. </w:t>
            </w:r>
          </w:p>
          <w:p w14:paraId="61F324F6" w14:textId="77777777" w:rsidR="00FE6015" w:rsidRPr="00960823" w:rsidRDefault="00FE6015" w:rsidP="0052381D">
            <w:pPr>
              <w:pStyle w:val="TableBullet10"/>
              <w:numPr>
                <w:ilvl w:val="0"/>
                <w:numId w:val="0"/>
              </w:numPr>
              <w:spacing w:before="40" w:after="80" w:line="240" w:lineRule="auto"/>
              <w:ind w:left="85"/>
              <w:rPr>
                <w:sz w:val="17"/>
                <w:szCs w:val="17"/>
              </w:rPr>
            </w:pPr>
            <w:r w:rsidRPr="00960823">
              <w:rPr>
                <w:sz w:val="17"/>
                <w:szCs w:val="17"/>
              </w:rPr>
              <w:t xml:space="preserve">Given the large number of service providers that own multiple pipelines and other assets (including unregulated assets), there does appear to be value in requiring service providers to comply with cost allocation principles specified in the NGR and/or a guideline prepared by the relevant regulator. </w:t>
            </w:r>
          </w:p>
        </w:tc>
        <w:tc>
          <w:tcPr>
            <w:tcW w:w="4253" w:type="dxa"/>
          </w:tcPr>
          <w:p w14:paraId="47DDDE3D" w14:textId="77777777" w:rsidR="00D733AC" w:rsidRPr="00DF3656" w:rsidRDefault="00D733AC" w:rsidP="0052381D">
            <w:pPr>
              <w:pStyle w:val="TableBullet10"/>
              <w:numPr>
                <w:ilvl w:val="0"/>
                <w:numId w:val="0"/>
              </w:numPr>
              <w:spacing w:before="0" w:after="0" w:line="240" w:lineRule="auto"/>
              <w:ind w:left="85"/>
              <w:rPr>
                <w:rFonts w:asciiTheme="majorHAnsi" w:hAnsiTheme="majorHAnsi" w:cstheme="majorHAnsi"/>
                <w:i/>
                <w:sz w:val="17"/>
                <w:szCs w:val="17"/>
              </w:rPr>
            </w:pPr>
            <w:r>
              <w:rPr>
                <w:rFonts w:asciiTheme="majorHAnsi" w:hAnsiTheme="majorHAnsi" w:cstheme="majorHAnsi"/>
                <w:i/>
                <w:iCs/>
                <w:sz w:val="17"/>
                <w:szCs w:val="17"/>
                <w:lang w:eastAsia="fr-CA"/>
              </w:rPr>
              <w:lastRenderedPageBreak/>
              <w:t>Under o</w:t>
            </w:r>
            <w:r w:rsidRPr="00EB08A6">
              <w:rPr>
                <w:rFonts w:asciiTheme="majorHAnsi" w:hAnsiTheme="majorHAnsi" w:cstheme="majorHAnsi"/>
                <w:i/>
                <w:iCs/>
                <w:sz w:val="17"/>
                <w:szCs w:val="17"/>
                <w:lang w:eastAsia="fr-CA"/>
              </w:rPr>
              <w:t xml:space="preserve">ptions 3A and 3B </w:t>
            </w:r>
            <w:r w:rsidRPr="00EB08A6">
              <w:rPr>
                <w:rFonts w:asciiTheme="majorHAnsi" w:hAnsiTheme="majorHAnsi" w:cstheme="majorHAnsi"/>
                <w:i/>
                <w:iCs/>
                <w:sz w:val="17"/>
                <w:szCs w:val="17"/>
              </w:rPr>
              <w:t xml:space="preserve">the deficiencies in pricing methodologies and financial information </w:t>
            </w:r>
            <w:r>
              <w:rPr>
                <w:rFonts w:asciiTheme="majorHAnsi" w:hAnsiTheme="majorHAnsi" w:cstheme="majorHAnsi"/>
                <w:i/>
                <w:iCs/>
                <w:sz w:val="17"/>
                <w:szCs w:val="17"/>
              </w:rPr>
              <w:t xml:space="preserve">would </w:t>
            </w:r>
            <w:r w:rsidRPr="00EB08A6">
              <w:rPr>
                <w:rFonts w:asciiTheme="majorHAnsi" w:hAnsiTheme="majorHAnsi" w:cstheme="majorHAnsi"/>
                <w:i/>
                <w:iCs/>
                <w:sz w:val="17"/>
                <w:szCs w:val="17"/>
              </w:rPr>
              <w:t xml:space="preserve">be </w:t>
            </w:r>
            <w:r w:rsidR="0002647B">
              <w:rPr>
                <w:rFonts w:asciiTheme="majorHAnsi" w:hAnsiTheme="majorHAnsi" w:cstheme="majorHAnsi"/>
                <w:i/>
                <w:iCs/>
                <w:sz w:val="17"/>
                <w:szCs w:val="17"/>
              </w:rPr>
              <w:t>addressed</w:t>
            </w:r>
            <w:r w:rsidRPr="00EB08A6">
              <w:rPr>
                <w:rFonts w:asciiTheme="majorHAnsi" w:hAnsiTheme="majorHAnsi" w:cstheme="majorHAnsi"/>
                <w:i/>
                <w:iCs/>
                <w:sz w:val="17"/>
                <w:szCs w:val="17"/>
              </w:rPr>
              <w:t xml:space="preserve"> by </w:t>
            </w:r>
            <w:r w:rsidRPr="00EB08A6">
              <w:rPr>
                <w:rFonts w:asciiTheme="majorHAnsi" w:hAnsiTheme="majorHAnsi" w:cstheme="majorHAnsi"/>
                <w:i/>
                <w:iCs/>
                <w:sz w:val="17"/>
                <w:szCs w:val="17"/>
                <w:lang w:eastAsia="en-US"/>
              </w:rPr>
              <w:t>requiring:</w:t>
            </w:r>
            <w:r w:rsidRPr="00DF3656">
              <w:rPr>
                <w:rFonts w:asciiTheme="majorHAnsi" w:hAnsiTheme="majorHAnsi" w:cstheme="majorHAnsi"/>
                <w:i/>
                <w:sz w:val="17"/>
                <w:szCs w:val="17"/>
              </w:rPr>
              <w:t xml:space="preserve"> </w:t>
            </w:r>
          </w:p>
          <w:p w14:paraId="25A3A114" w14:textId="77777777" w:rsidR="00D733AC" w:rsidRDefault="00D733AC" w:rsidP="000A3668">
            <w:pPr>
              <w:pStyle w:val="TableBullet10"/>
              <w:numPr>
                <w:ilvl w:val="0"/>
                <w:numId w:val="145"/>
              </w:numPr>
              <w:spacing w:before="0" w:after="0" w:line="240" w:lineRule="auto"/>
              <w:ind w:left="442" w:hanging="357"/>
              <w:rPr>
                <w:rFonts w:asciiTheme="majorHAnsi" w:hAnsiTheme="majorHAnsi" w:cstheme="majorHAnsi"/>
                <w:i/>
                <w:sz w:val="17"/>
                <w:szCs w:val="17"/>
              </w:rPr>
            </w:pPr>
            <w:r>
              <w:rPr>
                <w:rFonts w:asciiTheme="majorHAnsi" w:hAnsiTheme="majorHAnsi" w:cstheme="majorHAnsi"/>
                <w:i/>
                <w:sz w:val="17"/>
                <w:szCs w:val="17"/>
              </w:rPr>
              <w:t xml:space="preserve">service providers to </w:t>
            </w:r>
            <w:r w:rsidRPr="00DF3656">
              <w:rPr>
                <w:rFonts w:asciiTheme="majorHAnsi" w:hAnsiTheme="majorHAnsi" w:cstheme="majorHAnsi"/>
                <w:i/>
                <w:sz w:val="17"/>
                <w:szCs w:val="17"/>
              </w:rPr>
              <w:t>publish the inputs used to calculate the standing prices</w:t>
            </w:r>
            <w:r>
              <w:rPr>
                <w:rFonts w:asciiTheme="majorHAnsi" w:hAnsiTheme="majorHAnsi" w:cstheme="majorHAnsi"/>
                <w:i/>
                <w:sz w:val="17"/>
                <w:szCs w:val="17"/>
              </w:rPr>
              <w:t>;</w:t>
            </w:r>
          </w:p>
          <w:p w14:paraId="11674AB8" w14:textId="77777777" w:rsidR="00D733AC" w:rsidRPr="00DF3656" w:rsidRDefault="00D733AC" w:rsidP="000A3668">
            <w:pPr>
              <w:pStyle w:val="TableBullet10"/>
              <w:numPr>
                <w:ilvl w:val="0"/>
                <w:numId w:val="145"/>
              </w:numPr>
              <w:spacing w:before="0" w:after="0" w:line="240" w:lineRule="auto"/>
              <w:ind w:left="442" w:hanging="357"/>
              <w:rPr>
                <w:rFonts w:asciiTheme="majorHAnsi" w:hAnsiTheme="majorHAnsi" w:cstheme="majorHAnsi"/>
                <w:i/>
                <w:sz w:val="17"/>
                <w:szCs w:val="17"/>
              </w:rPr>
            </w:pPr>
            <w:r w:rsidRPr="00DF3656">
              <w:rPr>
                <w:rFonts w:asciiTheme="majorHAnsi" w:hAnsiTheme="majorHAnsi" w:cstheme="majorHAnsi"/>
                <w:i/>
                <w:sz w:val="17"/>
                <w:szCs w:val="17"/>
              </w:rPr>
              <w:t>the relevant regulator to publish a guide on information</w:t>
            </w:r>
            <w:r>
              <w:rPr>
                <w:rFonts w:asciiTheme="majorHAnsi" w:hAnsiTheme="majorHAnsi" w:cstheme="majorHAnsi"/>
                <w:i/>
                <w:sz w:val="17"/>
                <w:szCs w:val="17"/>
              </w:rPr>
              <w:t xml:space="preserve"> </w:t>
            </w:r>
            <w:r w:rsidR="004523FC">
              <w:rPr>
                <w:rFonts w:asciiTheme="majorHAnsi" w:hAnsiTheme="majorHAnsi" w:cstheme="majorHAnsi"/>
                <w:i/>
                <w:sz w:val="17"/>
                <w:szCs w:val="17"/>
              </w:rPr>
              <w:t xml:space="preserve">to include in </w:t>
            </w:r>
            <w:r w:rsidR="00B65E04">
              <w:rPr>
                <w:rFonts w:asciiTheme="majorHAnsi" w:hAnsiTheme="majorHAnsi" w:cstheme="majorHAnsi"/>
                <w:i/>
                <w:sz w:val="17"/>
                <w:szCs w:val="17"/>
              </w:rPr>
              <w:t xml:space="preserve">a </w:t>
            </w:r>
            <w:r w:rsidRPr="00DF3656">
              <w:rPr>
                <w:rFonts w:asciiTheme="majorHAnsi" w:hAnsiTheme="majorHAnsi" w:cstheme="majorHAnsi"/>
                <w:i/>
                <w:sz w:val="17"/>
                <w:szCs w:val="17"/>
              </w:rPr>
              <w:t xml:space="preserve">pricing methodology; </w:t>
            </w:r>
          </w:p>
          <w:p w14:paraId="42AA2F23" w14:textId="77777777" w:rsidR="00D733AC" w:rsidRPr="00DF3656" w:rsidRDefault="00D733AC" w:rsidP="000A3668">
            <w:pPr>
              <w:pStyle w:val="TableBullet10"/>
              <w:numPr>
                <w:ilvl w:val="0"/>
                <w:numId w:val="145"/>
              </w:numPr>
              <w:spacing w:before="0" w:after="0" w:line="240" w:lineRule="auto"/>
              <w:ind w:left="442" w:hanging="357"/>
              <w:rPr>
                <w:rFonts w:asciiTheme="majorHAnsi" w:hAnsiTheme="majorHAnsi" w:cstheme="majorHAnsi"/>
                <w:i/>
                <w:sz w:val="17"/>
                <w:szCs w:val="17"/>
              </w:rPr>
            </w:pPr>
            <w:r>
              <w:rPr>
                <w:rFonts w:asciiTheme="majorHAnsi" w:hAnsiTheme="majorHAnsi" w:cstheme="majorHAnsi"/>
                <w:i/>
                <w:sz w:val="17"/>
                <w:szCs w:val="17"/>
              </w:rPr>
              <w:t xml:space="preserve">service providers to </w:t>
            </w:r>
            <w:r w:rsidRPr="00DF3656">
              <w:rPr>
                <w:rFonts w:asciiTheme="majorHAnsi" w:hAnsiTheme="majorHAnsi" w:cstheme="majorHAnsi"/>
                <w:i/>
                <w:sz w:val="17"/>
                <w:szCs w:val="17"/>
              </w:rPr>
              <w:t xml:space="preserve">publish </w:t>
            </w:r>
            <w:r w:rsidR="00517663">
              <w:rPr>
                <w:rFonts w:asciiTheme="majorHAnsi" w:hAnsiTheme="majorHAnsi" w:cstheme="majorHAnsi"/>
                <w:i/>
                <w:sz w:val="17"/>
                <w:szCs w:val="17"/>
              </w:rPr>
              <w:t>historical demand</w:t>
            </w:r>
            <w:r w:rsidRPr="00DF3656">
              <w:rPr>
                <w:rFonts w:asciiTheme="majorHAnsi" w:hAnsiTheme="majorHAnsi" w:cstheme="majorHAnsi"/>
                <w:i/>
                <w:sz w:val="17"/>
                <w:szCs w:val="17"/>
              </w:rPr>
              <w:t xml:space="preserve"> information</w:t>
            </w:r>
            <w:r>
              <w:rPr>
                <w:rFonts w:asciiTheme="majorHAnsi" w:hAnsiTheme="majorHAnsi" w:cstheme="majorHAnsi"/>
                <w:i/>
                <w:sz w:val="17"/>
                <w:szCs w:val="17"/>
              </w:rPr>
              <w:t xml:space="preserve"> alongside the </w:t>
            </w:r>
            <w:r w:rsidR="00517663">
              <w:rPr>
                <w:rFonts w:asciiTheme="majorHAnsi" w:hAnsiTheme="majorHAnsi" w:cstheme="majorHAnsi"/>
                <w:i/>
                <w:sz w:val="17"/>
                <w:szCs w:val="17"/>
              </w:rPr>
              <w:t>historical financial</w:t>
            </w:r>
            <w:r>
              <w:rPr>
                <w:rFonts w:asciiTheme="majorHAnsi" w:hAnsiTheme="majorHAnsi" w:cstheme="majorHAnsi"/>
                <w:i/>
                <w:sz w:val="17"/>
                <w:szCs w:val="17"/>
              </w:rPr>
              <w:t xml:space="preserve"> information</w:t>
            </w:r>
            <w:r w:rsidRPr="00DF3656">
              <w:rPr>
                <w:rFonts w:asciiTheme="majorHAnsi" w:hAnsiTheme="majorHAnsi" w:cstheme="majorHAnsi"/>
                <w:i/>
                <w:sz w:val="17"/>
                <w:szCs w:val="17"/>
              </w:rPr>
              <w:t>; and</w:t>
            </w:r>
          </w:p>
          <w:p w14:paraId="15DF37B2" w14:textId="77777777" w:rsidR="00FE6015" w:rsidRDefault="00D733AC" w:rsidP="000A3668">
            <w:pPr>
              <w:pStyle w:val="TableBullet10"/>
              <w:numPr>
                <w:ilvl w:val="0"/>
                <w:numId w:val="145"/>
              </w:numPr>
              <w:spacing w:before="0" w:after="0" w:line="240" w:lineRule="auto"/>
              <w:ind w:left="442" w:hanging="357"/>
              <w:rPr>
                <w:rFonts w:asciiTheme="majorHAnsi" w:hAnsiTheme="majorHAnsi" w:cstheme="majorHAnsi"/>
                <w:sz w:val="17"/>
                <w:szCs w:val="17"/>
                <w:lang w:eastAsia="fr-CA"/>
              </w:rPr>
            </w:pPr>
            <w:r>
              <w:rPr>
                <w:rFonts w:asciiTheme="majorHAnsi" w:hAnsiTheme="majorHAnsi" w:cstheme="majorHAnsi"/>
                <w:i/>
                <w:sz w:val="17"/>
                <w:szCs w:val="17"/>
              </w:rPr>
              <w:t xml:space="preserve">service providers to </w:t>
            </w:r>
            <w:r w:rsidRPr="00DF3656">
              <w:rPr>
                <w:rFonts w:asciiTheme="majorHAnsi" w:hAnsiTheme="majorHAnsi" w:cstheme="majorHAnsi"/>
                <w:i/>
                <w:sz w:val="17"/>
                <w:szCs w:val="17"/>
              </w:rPr>
              <w:t xml:space="preserve">publish their cost allocation methodology, which would need to comply with cost allocation principles in the NGR </w:t>
            </w:r>
            <w:r>
              <w:rPr>
                <w:rFonts w:asciiTheme="majorHAnsi" w:hAnsiTheme="majorHAnsi" w:cstheme="majorHAnsi"/>
                <w:i/>
                <w:sz w:val="17"/>
                <w:szCs w:val="17"/>
              </w:rPr>
              <w:t>and/</w:t>
            </w:r>
            <w:r w:rsidRPr="00DF3656">
              <w:rPr>
                <w:rFonts w:asciiTheme="majorHAnsi" w:hAnsiTheme="majorHAnsi" w:cstheme="majorHAnsi"/>
                <w:i/>
                <w:sz w:val="17"/>
                <w:szCs w:val="17"/>
              </w:rPr>
              <w:t>or a guideline prepared by the relevant regulator.</w:t>
            </w:r>
          </w:p>
        </w:tc>
      </w:tr>
      <w:tr w:rsidR="00773C4D" w:rsidRPr="00960823" w14:paraId="38FAF2FF" w14:textId="77777777" w:rsidTr="003D7B36">
        <w:trPr>
          <w:cnfStyle w:val="000000010000" w:firstRow="0" w:lastRow="0" w:firstColumn="0" w:lastColumn="0" w:oddVBand="0" w:evenVBand="0" w:oddHBand="0" w:evenHBand="1" w:firstRowFirstColumn="0" w:firstRowLastColumn="0" w:lastRowFirstColumn="0" w:lastRowLastColumn="0"/>
        </w:trPr>
        <w:tc>
          <w:tcPr>
            <w:tcW w:w="1281" w:type="dxa"/>
          </w:tcPr>
          <w:p w14:paraId="52B697A7" w14:textId="77777777" w:rsidR="00FE6015" w:rsidRPr="003E1299" w:rsidRDefault="00FE6015" w:rsidP="00C1493F">
            <w:pPr>
              <w:pStyle w:val="TableBodyText"/>
              <w:spacing w:before="40" w:after="40" w:line="247" w:lineRule="auto"/>
              <w:rPr>
                <w:sz w:val="17"/>
                <w:szCs w:val="17"/>
              </w:rPr>
            </w:pPr>
            <w:r w:rsidRPr="003E1299">
              <w:rPr>
                <w:sz w:val="17"/>
                <w:szCs w:val="17"/>
              </w:rPr>
              <w:t xml:space="preserve">Quality and reliability of information </w:t>
            </w:r>
          </w:p>
        </w:tc>
        <w:tc>
          <w:tcPr>
            <w:tcW w:w="8784" w:type="dxa"/>
          </w:tcPr>
          <w:p w14:paraId="41E4C639" w14:textId="77777777" w:rsidR="00FE6015" w:rsidRPr="003E1299" w:rsidRDefault="00FE6015" w:rsidP="00C1493F">
            <w:pPr>
              <w:pStyle w:val="TableBullet10"/>
              <w:keepNext/>
              <w:numPr>
                <w:ilvl w:val="0"/>
                <w:numId w:val="0"/>
              </w:numPr>
              <w:spacing w:before="20" w:after="20" w:line="247" w:lineRule="auto"/>
              <w:ind w:left="85"/>
              <w:rPr>
                <w:rFonts w:asciiTheme="majorHAnsi" w:hAnsiTheme="majorHAnsi" w:cstheme="majorHAnsi"/>
                <w:sz w:val="17"/>
                <w:szCs w:val="17"/>
                <w:lang w:eastAsia="fr-CA"/>
              </w:rPr>
            </w:pPr>
            <w:r w:rsidRPr="003E1299">
              <w:rPr>
                <w:rFonts w:asciiTheme="majorHAnsi" w:hAnsiTheme="majorHAnsi" w:cstheme="majorHAnsi"/>
                <w:sz w:val="17"/>
                <w:szCs w:val="17"/>
                <w:lang w:eastAsia="fr-CA"/>
              </w:rPr>
              <w:t xml:space="preserve">The majority of stakeholders that commented on the options to improve the quality and reliability of information supported the proposals to: </w:t>
            </w:r>
          </w:p>
          <w:p w14:paraId="00954969" w14:textId="77777777" w:rsidR="00FE6015" w:rsidRPr="003E1299" w:rsidRDefault="00FE6015" w:rsidP="00C50A6F">
            <w:pPr>
              <w:pStyle w:val="TableBullet10"/>
              <w:keepNext/>
              <w:numPr>
                <w:ilvl w:val="2"/>
                <w:numId w:val="163"/>
              </w:numPr>
              <w:spacing w:before="20" w:after="20" w:line="247" w:lineRule="auto"/>
              <w:ind w:left="442" w:hanging="357"/>
              <w:rPr>
                <w:rFonts w:asciiTheme="majorHAnsi" w:hAnsiTheme="majorHAnsi" w:cstheme="majorHAnsi"/>
                <w:sz w:val="17"/>
                <w:szCs w:val="17"/>
              </w:rPr>
            </w:pPr>
            <w:r w:rsidRPr="003E1299">
              <w:rPr>
                <w:rFonts w:asciiTheme="majorHAnsi" w:hAnsiTheme="majorHAnsi" w:cstheme="majorHAnsi"/>
                <w:sz w:val="17"/>
                <w:szCs w:val="17"/>
                <w:lang w:eastAsia="fr-CA"/>
              </w:rPr>
              <w:t xml:space="preserve">require </w:t>
            </w:r>
            <w:r w:rsidRPr="003E1299">
              <w:rPr>
                <w:rFonts w:asciiTheme="majorHAnsi" w:hAnsiTheme="majorHAnsi" w:cstheme="majorHAnsi"/>
                <w:sz w:val="17"/>
                <w:szCs w:val="17"/>
              </w:rPr>
              <w:t xml:space="preserve">greater regulatory oversight of the financial and price information reported by service providers; </w:t>
            </w:r>
          </w:p>
          <w:p w14:paraId="7A2DE64E" w14:textId="77777777" w:rsidR="00FE6015" w:rsidRPr="003E1299" w:rsidRDefault="00FE6015" w:rsidP="00C50A6F">
            <w:pPr>
              <w:pStyle w:val="TableBullet10"/>
              <w:keepNext/>
              <w:numPr>
                <w:ilvl w:val="2"/>
                <w:numId w:val="163"/>
              </w:numPr>
              <w:spacing w:before="20" w:after="20" w:line="247" w:lineRule="auto"/>
              <w:ind w:left="442" w:hanging="357"/>
              <w:rPr>
                <w:rFonts w:asciiTheme="majorHAnsi" w:hAnsiTheme="majorHAnsi" w:cstheme="majorHAnsi"/>
                <w:sz w:val="17"/>
                <w:szCs w:val="17"/>
              </w:rPr>
            </w:pPr>
            <w:r w:rsidRPr="003E1299">
              <w:rPr>
                <w:rFonts w:asciiTheme="majorHAnsi" w:hAnsiTheme="majorHAnsi" w:cstheme="majorHAnsi"/>
                <w:sz w:val="17"/>
                <w:szCs w:val="17"/>
              </w:rPr>
              <w:t>amend the access information standard;</w:t>
            </w:r>
          </w:p>
          <w:p w14:paraId="4DE94223" w14:textId="77777777" w:rsidR="00FE6015" w:rsidRPr="003E1299" w:rsidRDefault="00FE6015" w:rsidP="00C50A6F">
            <w:pPr>
              <w:pStyle w:val="TableBullet10"/>
              <w:keepNext/>
              <w:numPr>
                <w:ilvl w:val="2"/>
                <w:numId w:val="163"/>
              </w:numPr>
              <w:spacing w:before="20" w:after="20" w:line="247" w:lineRule="auto"/>
              <w:ind w:left="442" w:hanging="357"/>
              <w:rPr>
                <w:rFonts w:asciiTheme="majorHAnsi" w:hAnsiTheme="majorHAnsi" w:cstheme="majorHAnsi"/>
                <w:sz w:val="17"/>
                <w:szCs w:val="17"/>
              </w:rPr>
            </w:pPr>
            <w:r w:rsidRPr="003E1299">
              <w:rPr>
                <w:rFonts w:asciiTheme="majorHAnsi" w:hAnsiTheme="majorHAnsi" w:cstheme="majorHAnsi"/>
                <w:sz w:val="17"/>
                <w:szCs w:val="17"/>
              </w:rPr>
              <w:t>increas</w:t>
            </w:r>
            <w:r>
              <w:rPr>
                <w:rFonts w:asciiTheme="majorHAnsi" w:hAnsiTheme="majorHAnsi" w:cstheme="majorHAnsi"/>
                <w:sz w:val="17"/>
                <w:szCs w:val="17"/>
              </w:rPr>
              <w:t>e</w:t>
            </w:r>
            <w:r w:rsidRPr="003E1299">
              <w:rPr>
                <w:rFonts w:asciiTheme="majorHAnsi" w:hAnsiTheme="majorHAnsi" w:cstheme="majorHAnsi"/>
                <w:sz w:val="17"/>
                <w:szCs w:val="17"/>
              </w:rPr>
              <w:t xml:space="preserve"> the penalties </w:t>
            </w:r>
            <w:r>
              <w:rPr>
                <w:rFonts w:asciiTheme="majorHAnsi" w:hAnsiTheme="majorHAnsi" w:cstheme="majorHAnsi"/>
                <w:sz w:val="17"/>
                <w:szCs w:val="17"/>
              </w:rPr>
              <w:t xml:space="preserve">associated with </w:t>
            </w:r>
            <w:r w:rsidRPr="003E1299">
              <w:rPr>
                <w:rFonts w:asciiTheme="majorHAnsi" w:hAnsiTheme="majorHAnsi" w:cstheme="majorHAnsi"/>
                <w:sz w:val="17"/>
                <w:szCs w:val="17"/>
              </w:rPr>
              <w:t xml:space="preserve">the information disclosure obligations; and </w:t>
            </w:r>
          </w:p>
          <w:p w14:paraId="089B0B37" w14:textId="77777777" w:rsidR="00FE6015" w:rsidRPr="003E1299" w:rsidRDefault="00FE6015" w:rsidP="00C50A6F">
            <w:pPr>
              <w:pStyle w:val="TableBullet10"/>
              <w:keepNext/>
              <w:numPr>
                <w:ilvl w:val="2"/>
                <w:numId w:val="163"/>
              </w:numPr>
              <w:spacing w:before="20" w:after="120" w:line="247" w:lineRule="auto"/>
              <w:ind w:left="442" w:hanging="357"/>
              <w:rPr>
                <w:rFonts w:asciiTheme="majorHAnsi" w:hAnsiTheme="majorHAnsi" w:cstheme="majorHAnsi"/>
                <w:sz w:val="17"/>
                <w:szCs w:val="17"/>
              </w:rPr>
            </w:pPr>
            <w:r w:rsidRPr="003E1299">
              <w:rPr>
                <w:rFonts w:asciiTheme="majorHAnsi" w:hAnsiTheme="majorHAnsi" w:cstheme="majorHAnsi"/>
                <w:sz w:val="17"/>
                <w:szCs w:val="17"/>
              </w:rPr>
              <w:t>implement the changes to the financial reporting guideline identified by the ACCC and Brattle</w:t>
            </w:r>
            <w:r>
              <w:rPr>
                <w:rFonts w:asciiTheme="majorHAnsi" w:hAnsiTheme="majorHAnsi" w:cstheme="majorHAnsi"/>
                <w:sz w:val="17"/>
                <w:szCs w:val="17"/>
              </w:rPr>
              <w:t>.</w:t>
            </w:r>
          </w:p>
          <w:p w14:paraId="3F09EFEF" w14:textId="77777777" w:rsidR="00FE6015" w:rsidRPr="00D733AC" w:rsidRDefault="00FE6015" w:rsidP="00C1493F">
            <w:pPr>
              <w:pStyle w:val="TableBullet10"/>
              <w:keepNext/>
              <w:numPr>
                <w:ilvl w:val="0"/>
                <w:numId w:val="0"/>
              </w:numPr>
              <w:spacing w:before="20" w:after="20" w:line="247" w:lineRule="auto"/>
              <w:ind w:left="85"/>
              <w:rPr>
                <w:rFonts w:asciiTheme="majorHAnsi" w:hAnsiTheme="majorHAnsi" w:cstheme="majorHAnsi"/>
                <w:sz w:val="17"/>
                <w:szCs w:val="17"/>
              </w:rPr>
            </w:pPr>
            <w:r w:rsidRPr="003E1299">
              <w:rPr>
                <w:rFonts w:asciiTheme="majorHAnsi" w:hAnsiTheme="majorHAnsi" w:cstheme="majorHAnsi"/>
                <w:sz w:val="17"/>
                <w:szCs w:val="17"/>
              </w:rPr>
              <w:t xml:space="preserve">While some questions were raised about the need for </w:t>
            </w:r>
            <w:r>
              <w:rPr>
                <w:rFonts w:asciiTheme="majorHAnsi" w:hAnsiTheme="majorHAnsi" w:cstheme="majorHAnsi"/>
                <w:sz w:val="17"/>
                <w:szCs w:val="17"/>
              </w:rPr>
              <w:t>(a) and (c)</w:t>
            </w:r>
            <w:r w:rsidRPr="003E1299">
              <w:rPr>
                <w:rFonts w:asciiTheme="majorHAnsi" w:hAnsiTheme="majorHAnsi" w:cstheme="majorHAnsi"/>
                <w:sz w:val="17"/>
                <w:szCs w:val="17"/>
              </w:rPr>
              <w:t xml:space="preserve">, it is clear from the issues identified by both the ACCC and Brattle (see Appendix B) that </w:t>
            </w:r>
            <w:r>
              <w:rPr>
                <w:rFonts w:asciiTheme="majorHAnsi" w:hAnsiTheme="majorHAnsi" w:cstheme="majorHAnsi"/>
                <w:sz w:val="17"/>
                <w:szCs w:val="17"/>
              </w:rPr>
              <w:t xml:space="preserve">greater regulatory oversight and higher penalties </w:t>
            </w:r>
            <w:r w:rsidRPr="003E1299">
              <w:rPr>
                <w:rFonts w:asciiTheme="majorHAnsi" w:hAnsiTheme="majorHAnsi" w:cstheme="majorHAnsi"/>
                <w:sz w:val="17"/>
                <w:szCs w:val="17"/>
              </w:rPr>
              <w:t xml:space="preserve">are required to impose greater discipline on service providers when reporting information and to restore confidence in the information that is reported. </w:t>
            </w:r>
            <w:r w:rsidR="0052381D">
              <w:rPr>
                <w:rFonts w:asciiTheme="majorHAnsi" w:hAnsiTheme="majorHAnsi" w:cstheme="majorHAnsi"/>
                <w:sz w:val="17"/>
                <w:szCs w:val="17"/>
              </w:rPr>
              <w:t xml:space="preserve">Provision has therefore been made for all of these measures in options 3A and 3B. </w:t>
            </w:r>
          </w:p>
        </w:tc>
        <w:tc>
          <w:tcPr>
            <w:tcW w:w="4253" w:type="dxa"/>
          </w:tcPr>
          <w:p w14:paraId="7B466B14" w14:textId="77777777" w:rsidR="00D733AC" w:rsidRPr="003E1299" w:rsidRDefault="00D733AC" w:rsidP="00C1493F">
            <w:pPr>
              <w:pStyle w:val="TableBullet10"/>
              <w:numPr>
                <w:ilvl w:val="0"/>
                <w:numId w:val="0"/>
              </w:numPr>
              <w:spacing w:before="20" w:after="20" w:line="247" w:lineRule="auto"/>
              <w:ind w:left="85"/>
              <w:rPr>
                <w:rFonts w:asciiTheme="majorHAnsi" w:hAnsiTheme="majorHAnsi" w:cstheme="majorHAnsi"/>
                <w:i/>
                <w:sz w:val="17"/>
                <w:szCs w:val="17"/>
              </w:rPr>
            </w:pPr>
            <w:r>
              <w:rPr>
                <w:rFonts w:asciiTheme="majorHAnsi" w:hAnsiTheme="majorHAnsi" w:cstheme="majorHAnsi"/>
                <w:i/>
                <w:iCs/>
                <w:sz w:val="17"/>
                <w:szCs w:val="17"/>
                <w:lang w:eastAsia="fr-CA"/>
              </w:rPr>
              <w:t>Under o</w:t>
            </w:r>
            <w:r w:rsidRPr="00EB08A6">
              <w:rPr>
                <w:rFonts w:asciiTheme="majorHAnsi" w:hAnsiTheme="majorHAnsi" w:cstheme="majorHAnsi"/>
                <w:i/>
                <w:iCs/>
                <w:sz w:val="17"/>
                <w:szCs w:val="17"/>
                <w:lang w:eastAsia="fr-CA"/>
              </w:rPr>
              <w:t xml:space="preserve">ptions 3A and 3B </w:t>
            </w:r>
            <w:r>
              <w:rPr>
                <w:rFonts w:asciiTheme="majorHAnsi" w:hAnsiTheme="majorHAnsi" w:cstheme="majorHAnsi"/>
                <w:i/>
                <w:iCs/>
                <w:sz w:val="17"/>
                <w:szCs w:val="17"/>
                <w:lang w:eastAsia="fr-CA"/>
              </w:rPr>
              <w:t xml:space="preserve">the </w:t>
            </w:r>
            <w:r w:rsidRPr="003E1299">
              <w:rPr>
                <w:rFonts w:asciiTheme="majorHAnsi" w:hAnsiTheme="majorHAnsi" w:cstheme="majorHAnsi"/>
                <w:i/>
                <w:sz w:val="17"/>
                <w:szCs w:val="17"/>
              </w:rPr>
              <w:t xml:space="preserve">quality and reliability of information published by service providers </w:t>
            </w:r>
            <w:r>
              <w:rPr>
                <w:rFonts w:asciiTheme="majorHAnsi" w:hAnsiTheme="majorHAnsi" w:cstheme="majorHAnsi"/>
                <w:i/>
                <w:sz w:val="17"/>
                <w:szCs w:val="17"/>
              </w:rPr>
              <w:t xml:space="preserve">would </w:t>
            </w:r>
            <w:r w:rsidRPr="003E1299">
              <w:rPr>
                <w:rFonts w:asciiTheme="majorHAnsi" w:hAnsiTheme="majorHAnsi" w:cstheme="majorHAnsi"/>
                <w:i/>
                <w:sz w:val="17"/>
                <w:szCs w:val="17"/>
              </w:rPr>
              <w:t>be improved by:</w:t>
            </w:r>
          </w:p>
          <w:p w14:paraId="5786D480" w14:textId="77777777" w:rsidR="00D733AC" w:rsidRPr="003E1299" w:rsidRDefault="00D733AC" w:rsidP="00C50A6F">
            <w:pPr>
              <w:pStyle w:val="ListBullet2"/>
              <w:numPr>
                <w:ilvl w:val="0"/>
                <w:numId w:val="144"/>
              </w:numPr>
              <w:ind w:left="442" w:hanging="357"/>
            </w:pPr>
            <w:r w:rsidRPr="003E1299">
              <w:t xml:space="preserve">requiring greater regulatory oversight of the </w:t>
            </w:r>
            <w:r w:rsidR="00517663">
              <w:t>historical financial</w:t>
            </w:r>
            <w:r w:rsidRPr="003E1299">
              <w:t xml:space="preserve"> information and information on the prices paid by shippers as part of the relevant regulator’s new monitoring function;</w:t>
            </w:r>
          </w:p>
          <w:p w14:paraId="6A93249D" w14:textId="77777777" w:rsidR="00D733AC" w:rsidRPr="003E1299" w:rsidRDefault="00D733AC" w:rsidP="00C50A6F">
            <w:pPr>
              <w:pStyle w:val="ListBullet2"/>
              <w:numPr>
                <w:ilvl w:val="0"/>
                <w:numId w:val="144"/>
              </w:numPr>
              <w:ind w:left="442" w:hanging="357"/>
            </w:pPr>
            <w:r w:rsidRPr="003E1299">
              <w:t>amending the access information standard in the NGR to require service providers to update information as soon as practicable if it is found to no longer be accurate;</w:t>
            </w:r>
          </w:p>
          <w:p w14:paraId="29F08D61" w14:textId="77777777" w:rsidR="00D733AC" w:rsidRPr="003E1299" w:rsidRDefault="00D733AC" w:rsidP="00C50A6F">
            <w:pPr>
              <w:pStyle w:val="ListBullet2"/>
              <w:numPr>
                <w:ilvl w:val="0"/>
                <w:numId w:val="144"/>
              </w:numPr>
              <w:ind w:left="442" w:hanging="357"/>
            </w:pPr>
            <w:r w:rsidRPr="003E1299">
              <w:t xml:space="preserve">increasing the penalties </w:t>
            </w:r>
            <w:r w:rsidR="00885B0E">
              <w:t xml:space="preserve">associated with the </w:t>
            </w:r>
            <w:r w:rsidRPr="003E1299">
              <w:t xml:space="preserve">information disclosure obligations; and </w:t>
            </w:r>
          </w:p>
          <w:p w14:paraId="0C6C7CC3" w14:textId="77777777" w:rsidR="00FE6015" w:rsidRPr="003E1299" w:rsidRDefault="00D733AC" w:rsidP="000A3668">
            <w:pPr>
              <w:pStyle w:val="TableBullet10"/>
              <w:keepNext/>
              <w:numPr>
                <w:ilvl w:val="0"/>
                <w:numId w:val="144"/>
              </w:numPr>
              <w:spacing w:before="0" w:after="0" w:line="247" w:lineRule="auto"/>
              <w:ind w:left="442" w:hanging="357"/>
              <w:rPr>
                <w:rFonts w:asciiTheme="majorHAnsi" w:hAnsiTheme="majorHAnsi" w:cstheme="majorHAnsi"/>
                <w:sz w:val="17"/>
                <w:szCs w:val="17"/>
                <w:lang w:eastAsia="fr-CA"/>
              </w:rPr>
            </w:pPr>
            <w:r w:rsidRPr="003E1299">
              <w:rPr>
                <w:rFonts w:asciiTheme="majorHAnsi" w:hAnsiTheme="majorHAnsi" w:cstheme="majorHAnsi"/>
                <w:i/>
                <w:iCs/>
                <w:sz w:val="17"/>
                <w:szCs w:val="17"/>
              </w:rPr>
              <w:t>requiring the relevant regulator to review the financial reporting guideline and consult on how it should be amended to address the issues identified by the ACCC and Brattle (see Appendix B).</w:t>
            </w:r>
          </w:p>
        </w:tc>
      </w:tr>
      <w:tr w:rsidR="00773C4D" w:rsidRPr="00960823" w14:paraId="6D22579F" w14:textId="77777777" w:rsidTr="003D7B36">
        <w:tc>
          <w:tcPr>
            <w:tcW w:w="1281" w:type="dxa"/>
          </w:tcPr>
          <w:p w14:paraId="0E48F648" w14:textId="77777777" w:rsidR="00FE6015" w:rsidRPr="00960823" w:rsidRDefault="00FE6015" w:rsidP="00C1493F">
            <w:pPr>
              <w:pStyle w:val="TableBodyText"/>
              <w:keepNext/>
              <w:spacing w:before="40" w:after="40" w:line="247" w:lineRule="auto"/>
              <w:rPr>
                <w:sz w:val="17"/>
                <w:szCs w:val="17"/>
              </w:rPr>
            </w:pPr>
            <w:r w:rsidRPr="00960823">
              <w:rPr>
                <w:sz w:val="17"/>
                <w:szCs w:val="17"/>
              </w:rPr>
              <w:lastRenderedPageBreak/>
              <w:t xml:space="preserve">Accessibility of information </w:t>
            </w:r>
          </w:p>
        </w:tc>
        <w:tc>
          <w:tcPr>
            <w:tcW w:w="8784" w:type="dxa"/>
          </w:tcPr>
          <w:p w14:paraId="201CF33D" w14:textId="77777777" w:rsidR="00FE6015" w:rsidRPr="00960823" w:rsidRDefault="00FE6015" w:rsidP="00C1493F">
            <w:pPr>
              <w:pStyle w:val="TableBullet10"/>
              <w:numPr>
                <w:ilvl w:val="0"/>
                <w:numId w:val="0"/>
              </w:numPr>
              <w:spacing w:before="20" w:after="20" w:line="247" w:lineRule="auto"/>
              <w:ind w:left="85"/>
              <w:rPr>
                <w:rFonts w:asciiTheme="majorHAnsi" w:hAnsiTheme="majorHAnsi" w:cstheme="majorHAnsi"/>
                <w:sz w:val="17"/>
                <w:szCs w:val="17"/>
              </w:rPr>
            </w:pPr>
            <w:r>
              <w:rPr>
                <w:rFonts w:asciiTheme="majorHAnsi" w:hAnsiTheme="majorHAnsi" w:cstheme="majorHAnsi"/>
                <w:sz w:val="17"/>
                <w:szCs w:val="17"/>
              </w:rPr>
              <w:t xml:space="preserve">While stakeholders agreed that the information published by some service providers can be difficult to find, very few commented on the options to improve the accessibility of this information. Having regard to the feedback that was provided, </w:t>
            </w:r>
            <w:r w:rsidRPr="00960823">
              <w:rPr>
                <w:rFonts w:asciiTheme="majorHAnsi" w:hAnsiTheme="majorHAnsi" w:cstheme="majorHAnsi"/>
                <w:sz w:val="17"/>
                <w:szCs w:val="17"/>
              </w:rPr>
              <w:t xml:space="preserve">there </w:t>
            </w:r>
            <w:r>
              <w:rPr>
                <w:rFonts w:asciiTheme="majorHAnsi" w:hAnsiTheme="majorHAnsi" w:cstheme="majorHAnsi"/>
                <w:sz w:val="17"/>
                <w:szCs w:val="17"/>
              </w:rPr>
              <w:t xml:space="preserve">would appear to be </w:t>
            </w:r>
            <w:r w:rsidRPr="00960823">
              <w:rPr>
                <w:rFonts w:asciiTheme="majorHAnsi" w:hAnsiTheme="majorHAnsi" w:cstheme="majorHAnsi"/>
                <w:sz w:val="17"/>
                <w:szCs w:val="17"/>
              </w:rPr>
              <w:t xml:space="preserve">value in: </w:t>
            </w:r>
          </w:p>
          <w:p w14:paraId="11AC1ECA" w14:textId="77777777" w:rsidR="00FE6015" w:rsidRPr="00960823" w:rsidRDefault="00FE6015" w:rsidP="00C1493F">
            <w:pPr>
              <w:pStyle w:val="TableBodyText"/>
              <w:spacing w:before="20" w:after="20" w:line="247" w:lineRule="auto"/>
              <w:ind w:left="312" w:hanging="227"/>
              <w:rPr>
                <w:rFonts w:asciiTheme="majorHAnsi" w:hAnsiTheme="majorHAnsi" w:cstheme="majorHAnsi"/>
                <w:sz w:val="17"/>
                <w:szCs w:val="17"/>
                <w:lang w:eastAsia="fr-CA"/>
              </w:rPr>
            </w:pPr>
            <w:r w:rsidRPr="00960823">
              <w:rPr>
                <w:rFonts w:asciiTheme="majorHAnsi" w:hAnsiTheme="majorHAnsi" w:cstheme="majorHAnsi"/>
                <w:sz w:val="17"/>
                <w:szCs w:val="17"/>
                <w:lang w:eastAsia="fr-CA"/>
              </w:rPr>
              <w:t>(a) requiring a regulatory guide to set out how information is to be disclosed; and</w:t>
            </w:r>
          </w:p>
          <w:p w14:paraId="1325E4A2" w14:textId="0246682F" w:rsidR="00FE6015" w:rsidRPr="00960823" w:rsidRDefault="00FE6015" w:rsidP="00C1493F">
            <w:pPr>
              <w:pStyle w:val="TableBodyText"/>
              <w:spacing w:before="20" w:after="80" w:line="247" w:lineRule="auto"/>
              <w:ind w:left="312" w:hanging="227"/>
              <w:rPr>
                <w:rFonts w:asciiTheme="majorHAnsi" w:hAnsiTheme="majorHAnsi" w:cstheme="majorHAnsi"/>
                <w:sz w:val="17"/>
                <w:szCs w:val="17"/>
                <w:lang w:eastAsia="fr-CA"/>
              </w:rPr>
            </w:pPr>
            <w:r w:rsidRPr="00960823">
              <w:rPr>
                <w:rFonts w:asciiTheme="majorHAnsi" w:hAnsiTheme="majorHAnsi" w:cstheme="majorHAnsi"/>
                <w:sz w:val="17"/>
                <w:szCs w:val="17"/>
                <w:lang w:eastAsia="fr-CA"/>
              </w:rPr>
              <w:t xml:space="preserve">(b) publishing links to service provider websites on the AEMC’s pipeline register so that </w:t>
            </w:r>
            <w:r>
              <w:rPr>
                <w:rFonts w:asciiTheme="majorHAnsi" w:hAnsiTheme="majorHAnsi" w:cstheme="majorHAnsi"/>
                <w:sz w:val="17"/>
                <w:szCs w:val="17"/>
                <w:lang w:eastAsia="fr-CA"/>
              </w:rPr>
              <w:t>the information</w:t>
            </w:r>
            <w:r w:rsidRPr="00960823">
              <w:rPr>
                <w:rFonts w:asciiTheme="majorHAnsi" w:hAnsiTheme="majorHAnsi" w:cstheme="majorHAnsi"/>
                <w:sz w:val="17"/>
                <w:szCs w:val="17"/>
                <w:lang w:eastAsia="fr-CA"/>
              </w:rPr>
              <w:t xml:space="preserve"> can be found more readily by shippers.</w:t>
            </w:r>
            <w:r w:rsidR="00370905">
              <w:rPr>
                <w:rFonts w:ascii="ZWAdobeF" w:hAnsi="ZWAdobeF" w:cs="ZWAdobeF"/>
                <w:sz w:val="2"/>
                <w:szCs w:val="2"/>
                <w:lang w:eastAsia="fr-CA"/>
              </w:rPr>
              <w:t>150F</w:t>
            </w:r>
            <w:r>
              <w:rPr>
                <w:rStyle w:val="FootnoteReference"/>
                <w:rFonts w:asciiTheme="majorHAnsi" w:hAnsiTheme="majorHAnsi" w:cstheme="majorHAnsi"/>
                <w:sz w:val="17"/>
                <w:szCs w:val="17"/>
                <w:lang w:eastAsia="fr-CA"/>
              </w:rPr>
              <w:footnoteReference w:id="152"/>
            </w:r>
            <w:r w:rsidRPr="00960823">
              <w:rPr>
                <w:rFonts w:asciiTheme="majorHAnsi" w:hAnsiTheme="majorHAnsi" w:cstheme="majorHAnsi"/>
                <w:sz w:val="17"/>
                <w:szCs w:val="17"/>
                <w:lang w:eastAsia="fr-CA"/>
              </w:rPr>
              <w:t xml:space="preserve"> </w:t>
            </w:r>
          </w:p>
          <w:p w14:paraId="2FC0C5A3" w14:textId="77777777" w:rsidR="00FE6015" w:rsidRDefault="00FE6015" w:rsidP="00C1493F">
            <w:pPr>
              <w:pStyle w:val="TableBullet10"/>
              <w:numPr>
                <w:ilvl w:val="0"/>
                <w:numId w:val="0"/>
              </w:numPr>
              <w:spacing w:before="20" w:after="80" w:line="247" w:lineRule="auto"/>
              <w:ind w:left="85"/>
              <w:rPr>
                <w:rFonts w:asciiTheme="majorHAnsi" w:hAnsiTheme="majorHAnsi" w:cstheme="majorHAnsi"/>
                <w:sz w:val="17"/>
                <w:szCs w:val="17"/>
              </w:rPr>
            </w:pPr>
            <w:r w:rsidRPr="00960823">
              <w:rPr>
                <w:rFonts w:asciiTheme="majorHAnsi" w:hAnsiTheme="majorHAnsi" w:cstheme="majorHAnsi"/>
                <w:sz w:val="17"/>
                <w:szCs w:val="17"/>
              </w:rPr>
              <w:t>While consideration has also been given to the proposed development of a single repository, the costs associated with developing and maintaining such a repository are expected to be quite high and it is unclear what additional benefits it would offer over the measures in (a) and (b).</w:t>
            </w:r>
          </w:p>
          <w:p w14:paraId="116ACD31" w14:textId="77777777" w:rsidR="00C1493F" w:rsidRPr="00D733AC" w:rsidRDefault="00C1493F" w:rsidP="00C1493F">
            <w:pPr>
              <w:pStyle w:val="TableBullet10"/>
              <w:numPr>
                <w:ilvl w:val="0"/>
                <w:numId w:val="0"/>
              </w:numPr>
              <w:spacing w:before="20" w:after="80" w:line="247" w:lineRule="auto"/>
              <w:ind w:left="85"/>
              <w:rPr>
                <w:rFonts w:asciiTheme="majorHAnsi" w:hAnsiTheme="majorHAnsi" w:cstheme="majorHAnsi"/>
                <w:sz w:val="17"/>
                <w:szCs w:val="17"/>
              </w:rPr>
            </w:pPr>
            <w:r>
              <w:rPr>
                <w:rFonts w:asciiTheme="majorHAnsi" w:hAnsiTheme="majorHAnsi" w:cstheme="majorHAnsi"/>
                <w:sz w:val="17"/>
                <w:szCs w:val="17"/>
              </w:rPr>
              <w:t xml:space="preserve">Provision has therefore only been made for the measures set out in (a) and (b) in options 3A and 3B. </w:t>
            </w:r>
          </w:p>
        </w:tc>
        <w:tc>
          <w:tcPr>
            <w:tcW w:w="4253" w:type="dxa"/>
          </w:tcPr>
          <w:p w14:paraId="494E9583" w14:textId="77777777" w:rsidR="00D733AC" w:rsidRPr="00960823" w:rsidRDefault="00D733AC" w:rsidP="00C1493F">
            <w:pPr>
              <w:pStyle w:val="TableBullet10"/>
              <w:numPr>
                <w:ilvl w:val="0"/>
                <w:numId w:val="0"/>
              </w:numPr>
              <w:spacing w:before="20" w:after="20" w:line="247" w:lineRule="auto"/>
              <w:ind w:left="85"/>
              <w:rPr>
                <w:rFonts w:asciiTheme="majorHAnsi" w:hAnsiTheme="majorHAnsi" w:cstheme="majorHAnsi"/>
                <w:i/>
                <w:sz w:val="17"/>
                <w:szCs w:val="17"/>
              </w:rPr>
            </w:pPr>
            <w:r>
              <w:rPr>
                <w:rFonts w:asciiTheme="majorHAnsi" w:hAnsiTheme="majorHAnsi" w:cstheme="majorHAnsi"/>
                <w:i/>
                <w:iCs/>
                <w:sz w:val="17"/>
                <w:szCs w:val="17"/>
                <w:lang w:eastAsia="fr-CA"/>
              </w:rPr>
              <w:t>Under o</w:t>
            </w:r>
            <w:r w:rsidRPr="00EB08A6">
              <w:rPr>
                <w:rFonts w:asciiTheme="majorHAnsi" w:hAnsiTheme="majorHAnsi" w:cstheme="majorHAnsi"/>
                <w:i/>
                <w:iCs/>
                <w:sz w:val="17"/>
                <w:szCs w:val="17"/>
                <w:lang w:eastAsia="fr-CA"/>
              </w:rPr>
              <w:t xml:space="preserve">ptions 3A and 3B </w:t>
            </w:r>
            <w:r>
              <w:rPr>
                <w:rFonts w:asciiTheme="majorHAnsi" w:hAnsiTheme="majorHAnsi" w:cstheme="majorHAnsi"/>
                <w:i/>
                <w:iCs/>
                <w:sz w:val="17"/>
                <w:szCs w:val="17"/>
                <w:lang w:eastAsia="fr-CA"/>
              </w:rPr>
              <w:t xml:space="preserve">the </w:t>
            </w:r>
            <w:r>
              <w:rPr>
                <w:rFonts w:asciiTheme="majorHAnsi" w:hAnsiTheme="majorHAnsi" w:cstheme="majorHAnsi"/>
                <w:i/>
                <w:sz w:val="17"/>
                <w:szCs w:val="17"/>
              </w:rPr>
              <w:t>accessibility of</w:t>
            </w:r>
            <w:r w:rsidRPr="00960823">
              <w:rPr>
                <w:rFonts w:asciiTheme="majorHAnsi" w:hAnsiTheme="majorHAnsi" w:cstheme="majorHAnsi"/>
                <w:i/>
                <w:sz w:val="17"/>
                <w:szCs w:val="17"/>
              </w:rPr>
              <w:t xml:space="preserve"> information published by service providers </w:t>
            </w:r>
            <w:r>
              <w:rPr>
                <w:rFonts w:asciiTheme="majorHAnsi" w:hAnsiTheme="majorHAnsi" w:cstheme="majorHAnsi"/>
                <w:i/>
                <w:sz w:val="17"/>
                <w:szCs w:val="17"/>
              </w:rPr>
              <w:t xml:space="preserve">would </w:t>
            </w:r>
            <w:r w:rsidRPr="00960823">
              <w:rPr>
                <w:rFonts w:asciiTheme="majorHAnsi" w:hAnsiTheme="majorHAnsi" w:cstheme="majorHAnsi"/>
                <w:i/>
                <w:sz w:val="17"/>
                <w:szCs w:val="17"/>
              </w:rPr>
              <w:t>be improved by requiring:</w:t>
            </w:r>
          </w:p>
          <w:p w14:paraId="66CA8BB8" w14:textId="77777777" w:rsidR="00D733AC" w:rsidRPr="00960823" w:rsidRDefault="00D733AC" w:rsidP="000A3668">
            <w:pPr>
              <w:pStyle w:val="TableBullet10"/>
              <w:numPr>
                <w:ilvl w:val="0"/>
                <w:numId w:val="155"/>
              </w:numPr>
              <w:spacing w:line="247" w:lineRule="auto"/>
              <w:ind w:left="442" w:hanging="357"/>
              <w:rPr>
                <w:rFonts w:asciiTheme="majorHAnsi" w:hAnsiTheme="majorHAnsi" w:cstheme="majorHAnsi"/>
                <w:i/>
                <w:sz w:val="17"/>
                <w:szCs w:val="17"/>
              </w:rPr>
            </w:pPr>
            <w:r w:rsidRPr="00960823">
              <w:rPr>
                <w:rFonts w:asciiTheme="majorHAnsi" w:hAnsiTheme="majorHAnsi" w:cstheme="majorHAnsi"/>
                <w:i/>
                <w:sz w:val="17"/>
                <w:szCs w:val="17"/>
              </w:rPr>
              <w:t xml:space="preserve">the relevant regulator to prepare a guide that sets out where and how information is to be reported on a service provider’s website; and </w:t>
            </w:r>
          </w:p>
          <w:p w14:paraId="035EF67A" w14:textId="77777777" w:rsidR="00FE6015" w:rsidRDefault="00D733AC" w:rsidP="000A3668">
            <w:pPr>
              <w:pStyle w:val="TableBullet10"/>
              <w:numPr>
                <w:ilvl w:val="0"/>
                <w:numId w:val="155"/>
              </w:numPr>
              <w:spacing w:before="20" w:after="20" w:line="247" w:lineRule="auto"/>
              <w:ind w:left="442" w:hanging="357"/>
              <w:rPr>
                <w:rFonts w:asciiTheme="majorHAnsi" w:hAnsiTheme="majorHAnsi" w:cstheme="majorHAnsi"/>
                <w:sz w:val="17"/>
                <w:szCs w:val="17"/>
              </w:rPr>
            </w:pPr>
            <w:r w:rsidRPr="00960823">
              <w:rPr>
                <w:rFonts w:asciiTheme="majorHAnsi" w:hAnsiTheme="majorHAnsi" w:cstheme="majorHAnsi"/>
                <w:i/>
                <w:sz w:val="17"/>
                <w:szCs w:val="17"/>
              </w:rPr>
              <w:t>service providers to advise the AEMC of the location of the information on their respective websites, which could then be published as a link in the AEMC’s pipeline register.</w:t>
            </w:r>
          </w:p>
        </w:tc>
      </w:tr>
      <w:tr w:rsidR="00773C4D" w:rsidRPr="00960823" w14:paraId="046422F5" w14:textId="77777777" w:rsidTr="003D7B36">
        <w:trPr>
          <w:cnfStyle w:val="000000010000" w:firstRow="0" w:lastRow="0" w:firstColumn="0" w:lastColumn="0" w:oddVBand="0" w:evenVBand="0" w:oddHBand="0" w:evenHBand="1" w:firstRowFirstColumn="0" w:firstRowLastColumn="0" w:lastRowFirstColumn="0" w:lastRowLastColumn="0"/>
        </w:trPr>
        <w:tc>
          <w:tcPr>
            <w:tcW w:w="1281" w:type="dxa"/>
          </w:tcPr>
          <w:p w14:paraId="59885C88" w14:textId="77777777" w:rsidR="00FE6015" w:rsidRPr="00960823" w:rsidRDefault="00FE6015" w:rsidP="00C1493F">
            <w:pPr>
              <w:pStyle w:val="TableBodyText"/>
              <w:spacing w:before="40" w:after="40" w:line="247" w:lineRule="auto"/>
              <w:rPr>
                <w:sz w:val="17"/>
                <w:szCs w:val="17"/>
              </w:rPr>
            </w:pPr>
            <w:r w:rsidRPr="00960823">
              <w:rPr>
                <w:sz w:val="17"/>
                <w:szCs w:val="17"/>
              </w:rPr>
              <w:t xml:space="preserve">Usability of information </w:t>
            </w:r>
          </w:p>
        </w:tc>
        <w:tc>
          <w:tcPr>
            <w:tcW w:w="8784" w:type="dxa"/>
          </w:tcPr>
          <w:p w14:paraId="5F52AB4A" w14:textId="77777777" w:rsidR="00FE6015" w:rsidRPr="00960823" w:rsidRDefault="00FE6015" w:rsidP="00C1493F">
            <w:pPr>
              <w:pStyle w:val="TableBullet10"/>
              <w:numPr>
                <w:ilvl w:val="0"/>
                <w:numId w:val="0"/>
              </w:numPr>
              <w:spacing w:before="20" w:after="20" w:line="247" w:lineRule="auto"/>
              <w:ind w:left="85"/>
              <w:rPr>
                <w:rFonts w:asciiTheme="majorHAnsi" w:hAnsiTheme="majorHAnsi" w:cstheme="majorHAnsi"/>
                <w:sz w:val="17"/>
                <w:szCs w:val="17"/>
                <w:lang w:eastAsia="fr-CA"/>
              </w:rPr>
            </w:pPr>
            <w:r w:rsidRPr="00960823">
              <w:rPr>
                <w:rFonts w:asciiTheme="majorHAnsi" w:hAnsiTheme="majorHAnsi" w:cstheme="majorHAnsi"/>
                <w:sz w:val="17"/>
                <w:szCs w:val="17"/>
                <w:lang w:eastAsia="fr-CA"/>
              </w:rPr>
              <w:t xml:space="preserve">The majority of stakeholders that commented on </w:t>
            </w:r>
            <w:r>
              <w:rPr>
                <w:rFonts w:asciiTheme="majorHAnsi" w:hAnsiTheme="majorHAnsi" w:cstheme="majorHAnsi"/>
                <w:sz w:val="17"/>
                <w:szCs w:val="17"/>
                <w:lang w:eastAsia="fr-CA"/>
              </w:rPr>
              <w:t xml:space="preserve">the options to improve </w:t>
            </w:r>
            <w:r w:rsidRPr="00960823">
              <w:rPr>
                <w:rFonts w:asciiTheme="majorHAnsi" w:hAnsiTheme="majorHAnsi" w:cstheme="majorHAnsi"/>
                <w:sz w:val="17"/>
                <w:szCs w:val="17"/>
                <w:lang w:eastAsia="fr-CA"/>
              </w:rPr>
              <w:t xml:space="preserve">the usability of information published by service providers </w:t>
            </w:r>
            <w:r>
              <w:rPr>
                <w:rFonts w:asciiTheme="majorHAnsi" w:hAnsiTheme="majorHAnsi" w:cstheme="majorHAnsi"/>
                <w:sz w:val="17"/>
                <w:szCs w:val="17"/>
                <w:lang w:eastAsia="fr-CA"/>
              </w:rPr>
              <w:t xml:space="preserve">agreed that it </w:t>
            </w:r>
            <w:r w:rsidRPr="00960823">
              <w:rPr>
                <w:rFonts w:asciiTheme="majorHAnsi" w:hAnsiTheme="majorHAnsi" w:cstheme="majorHAnsi"/>
                <w:sz w:val="17"/>
                <w:szCs w:val="17"/>
                <w:lang w:eastAsia="fr-CA"/>
              </w:rPr>
              <w:t xml:space="preserve">could be improved by: </w:t>
            </w:r>
          </w:p>
          <w:p w14:paraId="01822694" w14:textId="77777777" w:rsidR="00FE6015" w:rsidRPr="00960823" w:rsidRDefault="00FE6015" w:rsidP="00C1493F">
            <w:pPr>
              <w:pStyle w:val="TableBullet10"/>
              <w:spacing w:line="247" w:lineRule="auto"/>
              <w:rPr>
                <w:rFonts w:asciiTheme="majorHAnsi" w:hAnsiTheme="majorHAnsi" w:cstheme="majorHAnsi"/>
                <w:sz w:val="17"/>
                <w:szCs w:val="17"/>
                <w:lang w:eastAsia="fr-CA"/>
              </w:rPr>
            </w:pPr>
            <w:r w:rsidRPr="00960823">
              <w:rPr>
                <w:rFonts w:asciiTheme="majorHAnsi" w:hAnsiTheme="majorHAnsi" w:cstheme="majorHAnsi"/>
                <w:sz w:val="17"/>
                <w:szCs w:val="17"/>
                <w:lang w:eastAsia="fr-CA"/>
              </w:rPr>
              <w:t xml:space="preserve">including a summary tab in the financial reporting template; and </w:t>
            </w:r>
          </w:p>
          <w:p w14:paraId="790EB66E" w14:textId="77777777" w:rsidR="00FE6015" w:rsidRPr="00960823" w:rsidRDefault="00FE6015" w:rsidP="00C1493F">
            <w:pPr>
              <w:pStyle w:val="TableBullet10"/>
              <w:spacing w:line="247" w:lineRule="auto"/>
              <w:rPr>
                <w:rFonts w:asciiTheme="majorHAnsi" w:hAnsiTheme="majorHAnsi" w:cstheme="majorHAnsi"/>
                <w:sz w:val="17"/>
                <w:szCs w:val="17"/>
                <w:lang w:eastAsia="fr-CA"/>
              </w:rPr>
            </w:pPr>
            <w:r w:rsidRPr="00960823">
              <w:rPr>
                <w:rFonts w:asciiTheme="majorHAnsi" w:hAnsiTheme="majorHAnsi" w:cstheme="majorHAnsi"/>
                <w:sz w:val="17"/>
                <w:szCs w:val="17"/>
                <w:lang w:eastAsia="fr-CA"/>
              </w:rPr>
              <w:t xml:space="preserve">requiring the relevant regulator to develop a price benchmark template. </w:t>
            </w:r>
          </w:p>
          <w:p w14:paraId="4479A2C8" w14:textId="77777777" w:rsidR="00FE6015" w:rsidRDefault="00FE6015" w:rsidP="000C47EF">
            <w:pPr>
              <w:pStyle w:val="TableBullet10"/>
              <w:numPr>
                <w:ilvl w:val="0"/>
                <w:numId w:val="0"/>
              </w:numPr>
              <w:spacing w:line="247" w:lineRule="auto"/>
              <w:ind w:left="85"/>
              <w:rPr>
                <w:rFonts w:asciiTheme="majorHAnsi" w:hAnsiTheme="majorHAnsi" w:cstheme="majorHAnsi"/>
                <w:sz w:val="17"/>
                <w:szCs w:val="17"/>
              </w:rPr>
            </w:pPr>
            <w:r w:rsidRPr="00960823">
              <w:rPr>
                <w:rFonts w:asciiTheme="majorHAnsi" w:hAnsiTheme="majorHAnsi" w:cstheme="majorHAnsi"/>
                <w:sz w:val="17"/>
                <w:szCs w:val="17"/>
                <w:lang w:eastAsia="fr-CA"/>
              </w:rPr>
              <w:t xml:space="preserve">While some </w:t>
            </w:r>
            <w:r w:rsidR="00C97E61">
              <w:rPr>
                <w:rFonts w:asciiTheme="majorHAnsi" w:hAnsiTheme="majorHAnsi" w:cstheme="majorHAnsi"/>
                <w:sz w:val="17"/>
                <w:szCs w:val="17"/>
                <w:lang w:eastAsia="fr-CA"/>
              </w:rPr>
              <w:t xml:space="preserve">service providers expressed </w:t>
            </w:r>
            <w:r w:rsidRPr="00960823">
              <w:rPr>
                <w:rFonts w:asciiTheme="majorHAnsi" w:hAnsiTheme="majorHAnsi" w:cstheme="majorHAnsi"/>
                <w:sz w:val="17"/>
                <w:szCs w:val="17"/>
                <w:lang w:eastAsia="fr-CA"/>
              </w:rPr>
              <w:t xml:space="preserve">concerns about the latter option, </w:t>
            </w:r>
            <w:r w:rsidR="009B6184">
              <w:rPr>
                <w:rFonts w:asciiTheme="majorHAnsi" w:hAnsiTheme="majorHAnsi" w:cstheme="majorHAnsi"/>
                <w:sz w:val="17"/>
                <w:szCs w:val="17"/>
                <w:lang w:eastAsia="fr-CA"/>
              </w:rPr>
              <w:t xml:space="preserve">user associations and a range of other stakeholders </w:t>
            </w:r>
            <w:r w:rsidR="001C7C7B">
              <w:rPr>
                <w:rFonts w:asciiTheme="majorHAnsi" w:hAnsiTheme="majorHAnsi" w:cstheme="majorHAnsi"/>
                <w:sz w:val="17"/>
                <w:szCs w:val="17"/>
                <w:lang w:eastAsia="fr-CA"/>
              </w:rPr>
              <w:t xml:space="preserve">agreed that it </w:t>
            </w:r>
            <w:r w:rsidR="000C47EF">
              <w:rPr>
                <w:rFonts w:asciiTheme="majorHAnsi" w:hAnsiTheme="majorHAnsi" w:cstheme="majorHAnsi"/>
                <w:sz w:val="17"/>
                <w:szCs w:val="17"/>
                <w:lang w:eastAsia="fr-CA"/>
              </w:rPr>
              <w:t xml:space="preserve">would </w:t>
            </w:r>
            <w:r w:rsidRPr="00960823">
              <w:rPr>
                <w:rFonts w:asciiTheme="majorHAnsi" w:hAnsiTheme="majorHAnsi" w:cstheme="majorHAnsi"/>
                <w:sz w:val="17"/>
                <w:szCs w:val="17"/>
                <w:lang w:eastAsia="fr-CA"/>
              </w:rPr>
              <w:t>help smaller shippers using pipelines subject to the lighter form of regulation</w:t>
            </w:r>
            <w:r w:rsidR="005D20C9">
              <w:rPr>
                <w:rFonts w:asciiTheme="majorHAnsi" w:hAnsiTheme="majorHAnsi" w:cstheme="majorHAnsi"/>
                <w:sz w:val="17"/>
                <w:szCs w:val="17"/>
                <w:lang w:eastAsia="fr-CA"/>
              </w:rPr>
              <w:t xml:space="preserve"> transform the </w:t>
            </w:r>
            <w:r w:rsidRPr="00960823">
              <w:rPr>
                <w:rFonts w:asciiTheme="majorHAnsi" w:hAnsiTheme="majorHAnsi" w:cstheme="majorHAnsi"/>
                <w:sz w:val="17"/>
                <w:szCs w:val="17"/>
              </w:rPr>
              <w:t xml:space="preserve">complex financial and demand information into one or more cost-based pricing benchmarks that </w:t>
            </w:r>
            <w:r w:rsidR="001C7C7B">
              <w:rPr>
                <w:rFonts w:asciiTheme="majorHAnsi" w:hAnsiTheme="majorHAnsi" w:cstheme="majorHAnsi"/>
                <w:sz w:val="17"/>
                <w:szCs w:val="17"/>
              </w:rPr>
              <w:t xml:space="preserve">they </w:t>
            </w:r>
            <w:r w:rsidR="000C47EF">
              <w:rPr>
                <w:rFonts w:asciiTheme="majorHAnsi" w:hAnsiTheme="majorHAnsi" w:cstheme="majorHAnsi"/>
                <w:sz w:val="17"/>
                <w:szCs w:val="17"/>
              </w:rPr>
              <w:t>could</w:t>
            </w:r>
            <w:r w:rsidRPr="00960823">
              <w:rPr>
                <w:rFonts w:asciiTheme="majorHAnsi" w:hAnsiTheme="majorHAnsi" w:cstheme="majorHAnsi"/>
                <w:sz w:val="17"/>
                <w:szCs w:val="17"/>
              </w:rPr>
              <w:t xml:space="preserve"> then </w:t>
            </w:r>
            <w:r w:rsidR="000C47EF">
              <w:rPr>
                <w:rFonts w:asciiTheme="majorHAnsi" w:hAnsiTheme="majorHAnsi" w:cstheme="majorHAnsi"/>
                <w:sz w:val="17"/>
                <w:szCs w:val="17"/>
              </w:rPr>
              <w:t xml:space="preserve">be </w:t>
            </w:r>
            <w:r w:rsidRPr="00960823">
              <w:rPr>
                <w:rFonts w:asciiTheme="majorHAnsi" w:hAnsiTheme="majorHAnsi" w:cstheme="majorHAnsi"/>
                <w:sz w:val="17"/>
                <w:szCs w:val="17"/>
              </w:rPr>
              <w:t>use</w:t>
            </w:r>
            <w:r w:rsidR="000C47EF">
              <w:rPr>
                <w:rFonts w:asciiTheme="majorHAnsi" w:hAnsiTheme="majorHAnsi" w:cstheme="majorHAnsi"/>
                <w:sz w:val="17"/>
                <w:szCs w:val="17"/>
              </w:rPr>
              <w:t>d</w:t>
            </w:r>
            <w:r w:rsidRPr="00960823">
              <w:rPr>
                <w:rFonts w:asciiTheme="majorHAnsi" w:hAnsiTheme="majorHAnsi" w:cstheme="majorHAnsi"/>
                <w:sz w:val="17"/>
                <w:szCs w:val="17"/>
              </w:rPr>
              <w:t xml:space="preserve"> to assess the cost reflective nature of prices offered by service providers. Importantly, there would be nothing in the regulatory framework that would require service providers of pipelines subject to the lighter form of regulation to charge these prices. Rather, it would be a tool that shippers could use and it would be open to service providers to explain why the cost benchmarks are not relevant for a particular service. </w:t>
            </w:r>
          </w:p>
          <w:p w14:paraId="0966AB9A" w14:textId="77777777" w:rsidR="000C47EF" w:rsidRPr="00D733AC" w:rsidRDefault="000C47EF" w:rsidP="000C47EF">
            <w:pPr>
              <w:pStyle w:val="TableBullet10"/>
              <w:numPr>
                <w:ilvl w:val="0"/>
                <w:numId w:val="0"/>
              </w:numPr>
              <w:spacing w:line="247" w:lineRule="auto"/>
              <w:ind w:left="85"/>
              <w:rPr>
                <w:rFonts w:asciiTheme="majorHAnsi" w:hAnsiTheme="majorHAnsi" w:cstheme="majorHAnsi"/>
                <w:sz w:val="17"/>
                <w:szCs w:val="17"/>
              </w:rPr>
            </w:pPr>
            <w:r>
              <w:rPr>
                <w:rFonts w:asciiTheme="majorHAnsi" w:hAnsiTheme="majorHAnsi" w:cstheme="majorHAnsi"/>
                <w:sz w:val="17"/>
                <w:szCs w:val="17"/>
              </w:rPr>
              <w:t xml:space="preserve">Provision has therefore been made for both of these measures in options 3A and 3B. </w:t>
            </w:r>
          </w:p>
        </w:tc>
        <w:tc>
          <w:tcPr>
            <w:tcW w:w="4253" w:type="dxa"/>
          </w:tcPr>
          <w:p w14:paraId="42D1D75C" w14:textId="77777777" w:rsidR="00D733AC" w:rsidRPr="00960823" w:rsidRDefault="00D733AC" w:rsidP="00C1493F">
            <w:pPr>
              <w:pStyle w:val="TableBullet10"/>
              <w:numPr>
                <w:ilvl w:val="0"/>
                <w:numId w:val="0"/>
              </w:numPr>
              <w:spacing w:before="20" w:after="20" w:line="247" w:lineRule="auto"/>
              <w:ind w:left="85"/>
              <w:rPr>
                <w:rFonts w:asciiTheme="majorHAnsi" w:hAnsiTheme="majorHAnsi" w:cstheme="majorHAnsi"/>
                <w:i/>
                <w:sz w:val="17"/>
                <w:szCs w:val="17"/>
              </w:rPr>
            </w:pPr>
            <w:r>
              <w:rPr>
                <w:rFonts w:asciiTheme="majorHAnsi" w:hAnsiTheme="majorHAnsi" w:cstheme="majorHAnsi"/>
                <w:i/>
                <w:iCs/>
                <w:sz w:val="17"/>
                <w:szCs w:val="17"/>
                <w:lang w:eastAsia="fr-CA"/>
              </w:rPr>
              <w:t>Under o</w:t>
            </w:r>
            <w:r w:rsidRPr="00EB08A6">
              <w:rPr>
                <w:rFonts w:asciiTheme="majorHAnsi" w:hAnsiTheme="majorHAnsi" w:cstheme="majorHAnsi"/>
                <w:i/>
                <w:iCs/>
                <w:sz w:val="17"/>
                <w:szCs w:val="17"/>
                <w:lang w:eastAsia="fr-CA"/>
              </w:rPr>
              <w:t xml:space="preserve">ptions 3A and 3B provide for </w:t>
            </w:r>
            <w:r w:rsidRPr="00EB08A6">
              <w:rPr>
                <w:rFonts w:asciiTheme="majorHAnsi" w:hAnsiTheme="majorHAnsi" w:cstheme="majorHAnsi"/>
                <w:i/>
                <w:iCs/>
                <w:sz w:val="17"/>
                <w:szCs w:val="17"/>
              </w:rPr>
              <w:t>the</w:t>
            </w:r>
            <w:r>
              <w:rPr>
                <w:rFonts w:asciiTheme="majorHAnsi" w:hAnsiTheme="majorHAnsi" w:cstheme="majorHAnsi"/>
                <w:b/>
                <w:bCs/>
                <w:sz w:val="17"/>
                <w:szCs w:val="17"/>
                <w:lang w:eastAsia="fr-CA"/>
              </w:rPr>
              <w:t xml:space="preserve"> </w:t>
            </w:r>
            <w:r>
              <w:rPr>
                <w:rFonts w:asciiTheme="majorHAnsi" w:hAnsiTheme="majorHAnsi" w:cstheme="majorHAnsi"/>
                <w:i/>
                <w:sz w:val="17"/>
                <w:szCs w:val="17"/>
              </w:rPr>
              <w:t>usability of</w:t>
            </w:r>
            <w:r w:rsidRPr="00960823">
              <w:rPr>
                <w:rFonts w:asciiTheme="majorHAnsi" w:hAnsiTheme="majorHAnsi" w:cstheme="majorHAnsi"/>
                <w:i/>
                <w:sz w:val="17"/>
                <w:szCs w:val="17"/>
              </w:rPr>
              <w:t xml:space="preserve"> information published by service providers </w:t>
            </w:r>
            <w:r>
              <w:rPr>
                <w:rFonts w:asciiTheme="majorHAnsi" w:hAnsiTheme="majorHAnsi" w:cstheme="majorHAnsi"/>
                <w:i/>
                <w:sz w:val="17"/>
                <w:szCs w:val="17"/>
              </w:rPr>
              <w:t>to</w:t>
            </w:r>
            <w:r w:rsidRPr="00960823">
              <w:rPr>
                <w:rFonts w:asciiTheme="majorHAnsi" w:hAnsiTheme="majorHAnsi" w:cstheme="majorHAnsi"/>
                <w:i/>
                <w:sz w:val="17"/>
                <w:szCs w:val="17"/>
              </w:rPr>
              <w:t xml:space="preserve"> be improved by:</w:t>
            </w:r>
          </w:p>
          <w:p w14:paraId="073FC8E8" w14:textId="77777777" w:rsidR="00D733AC" w:rsidRPr="00960823" w:rsidRDefault="00D733AC" w:rsidP="000A3668">
            <w:pPr>
              <w:pStyle w:val="TableBullet10"/>
              <w:numPr>
                <w:ilvl w:val="0"/>
                <w:numId w:val="146"/>
              </w:numPr>
              <w:spacing w:line="247" w:lineRule="auto"/>
              <w:ind w:left="442" w:hanging="357"/>
              <w:rPr>
                <w:rFonts w:asciiTheme="majorHAnsi" w:hAnsiTheme="majorHAnsi" w:cstheme="majorHAnsi"/>
                <w:i/>
                <w:sz w:val="17"/>
                <w:szCs w:val="17"/>
              </w:rPr>
            </w:pPr>
            <w:r w:rsidRPr="00960823">
              <w:rPr>
                <w:rFonts w:asciiTheme="majorHAnsi" w:hAnsiTheme="majorHAnsi" w:cstheme="majorHAnsi"/>
                <w:i/>
                <w:sz w:val="17"/>
                <w:szCs w:val="17"/>
              </w:rPr>
              <w:t>including a summary tab in the relevant regulator’s financial reporting template that provides a high level summary of key financial and price information; and</w:t>
            </w:r>
          </w:p>
          <w:p w14:paraId="350B0FA6" w14:textId="77777777" w:rsidR="00FE6015" w:rsidRPr="00960823" w:rsidRDefault="00D733AC" w:rsidP="000A3668">
            <w:pPr>
              <w:pStyle w:val="TableBullet10"/>
              <w:numPr>
                <w:ilvl w:val="0"/>
                <w:numId w:val="146"/>
              </w:numPr>
              <w:spacing w:before="20" w:after="20" w:line="247" w:lineRule="auto"/>
              <w:ind w:left="442" w:hanging="357"/>
              <w:rPr>
                <w:rFonts w:asciiTheme="majorHAnsi" w:hAnsiTheme="majorHAnsi" w:cstheme="majorHAnsi"/>
                <w:sz w:val="17"/>
                <w:szCs w:val="17"/>
                <w:lang w:eastAsia="fr-CA"/>
              </w:rPr>
            </w:pPr>
            <w:r w:rsidRPr="00960823">
              <w:rPr>
                <w:rFonts w:asciiTheme="majorHAnsi" w:hAnsiTheme="majorHAnsi" w:cstheme="majorHAnsi"/>
                <w:i/>
                <w:sz w:val="17"/>
                <w:szCs w:val="17"/>
              </w:rPr>
              <w:t>requiring the relevant regulator to publish a price benchmark template for pipelines subject to the lighter form of regulation.</w:t>
            </w:r>
          </w:p>
        </w:tc>
      </w:tr>
      <w:tr w:rsidR="00773C4D" w:rsidRPr="00960823" w14:paraId="79F1778A" w14:textId="77777777" w:rsidTr="003D7B36">
        <w:tc>
          <w:tcPr>
            <w:tcW w:w="1281" w:type="dxa"/>
          </w:tcPr>
          <w:p w14:paraId="109DC7B4" w14:textId="77777777" w:rsidR="00FE6015" w:rsidRPr="00960823" w:rsidRDefault="00FE6015" w:rsidP="00B65E04">
            <w:pPr>
              <w:pStyle w:val="TableBodyText"/>
              <w:spacing w:before="40" w:after="40" w:line="252" w:lineRule="auto"/>
              <w:rPr>
                <w:sz w:val="17"/>
                <w:szCs w:val="17"/>
              </w:rPr>
            </w:pPr>
            <w:r w:rsidRPr="00960823">
              <w:rPr>
                <w:sz w:val="17"/>
                <w:szCs w:val="17"/>
              </w:rPr>
              <w:t>Exemptions from disclosure obligations</w:t>
            </w:r>
          </w:p>
        </w:tc>
        <w:tc>
          <w:tcPr>
            <w:tcW w:w="8784" w:type="dxa"/>
          </w:tcPr>
          <w:p w14:paraId="10030ECC" w14:textId="77777777" w:rsidR="00FE6015" w:rsidRDefault="00FE6015" w:rsidP="00B65E04">
            <w:pPr>
              <w:pStyle w:val="TableListNumber"/>
              <w:numPr>
                <w:ilvl w:val="0"/>
                <w:numId w:val="0"/>
              </w:numPr>
              <w:spacing w:before="40" w:after="60" w:line="252" w:lineRule="auto"/>
              <w:ind w:left="85"/>
              <w:rPr>
                <w:sz w:val="17"/>
                <w:szCs w:val="17"/>
              </w:rPr>
            </w:pPr>
            <w:r w:rsidRPr="00960823">
              <w:rPr>
                <w:sz w:val="17"/>
                <w:szCs w:val="17"/>
              </w:rPr>
              <w:t>As outlined above, a range of views were expressed about the potential exemptions from the disclosure obligations</w:t>
            </w:r>
            <w:r>
              <w:rPr>
                <w:sz w:val="17"/>
                <w:szCs w:val="17"/>
              </w:rPr>
              <w:t xml:space="preserve"> and size threshold that should be assumed for small pipelines. F</w:t>
            </w:r>
            <w:r w:rsidRPr="00960823">
              <w:rPr>
                <w:sz w:val="17"/>
                <w:szCs w:val="17"/>
              </w:rPr>
              <w:t xml:space="preserve">urther consideration has </w:t>
            </w:r>
            <w:r>
              <w:rPr>
                <w:sz w:val="17"/>
                <w:szCs w:val="17"/>
              </w:rPr>
              <w:t xml:space="preserve">therefore </w:t>
            </w:r>
            <w:r w:rsidRPr="00960823">
              <w:rPr>
                <w:sz w:val="17"/>
                <w:szCs w:val="17"/>
              </w:rPr>
              <w:t xml:space="preserve">been given to </w:t>
            </w:r>
            <w:r>
              <w:rPr>
                <w:sz w:val="17"/>
                <w:szCs w:val="17"/>
              </w:rPr>
              <w:t xml:space="preserve">these two issues. </w:t>
            </w:r>
          </w:p>
          <w:p w14:paraId="605B69BF" w14:textId="77777777" w:rsidR="00FE6015" w:rsidRDefault="00773C4D" w:rsidP="00B65E04">
            <w:pPr>
              <w:pStyle w:val="TableListNumber"/>
              <w:numPr>
                <w:ilvl w:val="0"/>
                <w:numId w:val="0"/>
              </w:numPr>
              <w:spacing w:before="40" w:after="40" w:line="252" w:lineRule="auto"/>
              <w:ind w:left="85"/>
              <w:rPr>
                <w:b/>
                <w:bCs/>
                <w:sz w:val="17"/>
                <w:szCs w:val="17"/>
              </w:rPr>
            </w:pPr>
            <w:r>
              <w:rPr>
                <w:b/>
                <w:bCs/>
                <w:sz w:val="17"/>
                <w:szCs w:val="17"/>
              </w:rPr>
              <w:t>In what circumstances should e</w:t>
            </w:r>
            <w:r w:rsidR="00FE6015" w:rsidRPr="00EE5DF8">
              <w:rPr>
                <w:b/>
                <w:bCs/>
                <w:sz w:val="17"/>
                <w:szCs w:val="17"/>
              </w:rPr>
              <w:t>xemptions</w:t>
            </w:r>
            <w:r>
              <w:rPr>
                <w:b/>
                <w:bCs/>
                <w:sz w:val="17"/>
                <w:szCs w:val="17"/>
              </w:rPr>
              <w:t xml:space="preserve"> be available? </w:t>
            </w:r>
          </w:p>
          <w:p w14:paraId="2DF4A2B9" w14:textId="77777777" w:rsidR="00FE6015" w:rsidRPr="00570A2E" w:rsidRDefault="00FE6015" w:rsidP="00B65E04">
            <w:pPr>
              <w:pStyle w:val="TableListNumber"/>
              <w:numPr>
                <w:ilvl w:val="0"/>
                <w:numId w:val="0"/>
              </w:numPr>
              <w:spacing w:before="40" w:after="120" w:line="252" w:lineRule="auto"/>
              <w:ind w:left="85"/>
              <w:rPr>
                <w:sz w:val="17"/>
                <w:szCs w:val="17"/>
              </w:rPr>
            </w:pPr>
            <w:r w:rsidRPr="00570A2E">
              <w:rPr>
                <w:sz w:val="17"/>
                <w:szCs w:val="17"/>
              </w:rPr>
              <w:t xml:space="preserve">Stakeholder submissions on exemptions were quite varied, with some suggesting that exemptions should be wound back (i.e. with either no exemptions available or all pipelines providing third party access having to, at a minimum, publish the set of Basic Information), while others suggested either the retention of the current exemptions, or an expansion (e.g. to include greenfield pipelines). </w:t>
            </w:r>
          </w:p>
          <w:p w14:paraId="1D1360FC" w14:textId="77777777" w:rsidR="00FE6015" w:rsidRPr="00570A2E" w:rsidRDefault="00FE6015" w:rsidP="00B65E04">
            <w:pPr>
              <w:pStyle w:val="TableListNumber"/>
              <w:numPr>
                <w:ilvl w:val="0"/>
                <w:numId w:val="0"/>
              </w:numPr>
              <w:spacing w:before="40" w:after="40" w:line="252" w:lineRule="auto"/>
              <w:ind w:left="85"/>
              <w:rPr>
                <w:sz w:val="17"/>
                <w:szCs w:val="17"/>
              </w:rPr>
            </w:pPr>
            <w:r w:rsidRPr="00570A2E">
              <w:rPr>
                <w:sz w:val="17"/>
                <w:szCs w:val="17"/>
              </w:rPr>
              <w:t xml:space="preserve">Given the diversity of views expressed on this issue, further consideration has been given to what exemptions </w:t>
            </w:r>
            <w:r w:rsidR="0002647B">
              <w:rPr>
                <w:sz w:val="17"/>
                <w:szCs w:val="17"/>
              </w:rPr>
              <w:t>from</w:t>
            </w:r>
            <w:r w:rsidRPr="00570A2E">
              <w:rPr>
                <w:sz w:val="17"/>
                <w:szCs w:val="17"/>
              </w:rPr>
              <w:t xml:space="preserve"> the disclosure obligations should be available. In doing so, consideration has been given to the concerns that have been raised by stakeholders about: </w:t>
            </w:r>
          </w:p>
          <w:p w14:paraId="0B7C6BDB" w14:textId="77777777" w:rsidR="00FE6015" w:rsidRPr="00570A2E" w:rsidRDefault="00FE6015" w:rsidP="00B65E04">
            <w:pPr>
              <w:pStyle w:val="TableBullet10"/>
              <w:widowControl w:val="0"/>
              <w:spacing w:line="252" w:lineRule="auto"/>
              <w:rPr>
                <w:sz w:val="17"/>
                <w:szCs w:val="17"/>
              </w:rPr>
            </w:pPr>
            <w:r w:rsidRPr="00570A2E">
              <w:rPr>
                <w:sz w:val="17"/>
                <w:szCs w:val="17"/>
              </w:rPr>
              <w:t xml:space="preserve">the lack of </w:t>
            </w:r>
            <w:r w:rsidR="0002647B">
              <w:rPr>
                <w:sz w:val="17"/>
                <w:szCs w:val="17"/>
              </w:rPr>
              <w:t xml:space="preserve">even </w:t>
            </w:r>
            <w:r w:rsidRPr="00570A2E">
              <w:rPr>
                <w:sz w:val="17"/>
                <w:szCs w:val="17"/>
              </w:rPr>
              <w:t xml:space="preserve">basic information available to shippers negotiating access to single user or small pipelines and the effect this is having on the ability of shippers to negotiate access to these pipelines; and </w:t>
            </w:r>
          </w:p>
          <w:p w14:paraId="3F426EE6" w14:textId="77777777" w:rsidR="00FE6015" w:rsidRPr="00570A2E" w:rsidRDefault="00FE6015" w:rsidP="00B65E04">
            <w:pPr>
              <w:pStyle w:val="TableBullet10"/>
              <w:widowControl w:val="0"/>
              <w:spacing w:after="120" w:line="252" w:lineRule="auto"/>
              <w:rPr>
                <w:sz w:val="17"/>
                <w:szCs w:val="17"/>
              </w:rPr>
            </w:pPr>
            <w:r w:rsidRPr="00570A2E">
              <w:rPr>
                <w:sz w:val="17"/>
                <w:szCs w:val="17"/>
              </w:rPr>
              <w:t xml:space="preserve">the costs and administrative burden that can be associated with the </w:t>
            </w:r>
            <w:r w:rsidR="00517663">
              <w:rPr>
                <w:sz w:val="17"/>
                <w:szCs w:val="17"/>
              </w:rPr>
              <w:t>historical financial</w:t>
            </w:r>
            <w:r w:rsidRPr="00570A2E">
              <w:rPr>
                <w:sz w:val="17"/>
                <w:szCs w:val="17"/>
              </w:rPr>
              <w:t xml:space="preserve"> and demand </w:t>
            </w:r>
            <w:r w:rsidRPr="00570A2E">
              <w:rPr>
                <w:sz w:val="17"/>
                <w:szCs w:val="17"/>
              </w:rPr>
              <w:lastRenderedPageBreak/>
              <w:t xml:space="preserve">reporting, particularly on single user and small pipelines where the costs </w:t>
            </w:r>
            <w:r>
              <w:rPr>
                <w:sz w:val="17"/>
                <w:szCs w:val="17"/>
              </w:rPr>
              <w:t xml:space="preserve">of reporting this information (i.e. the costs of preparing the information and having it signed off with the appropriate level of assurance) </w:t>
            </w:r>
            <w:r w:rsidRPr="00570A2E">
              <w:rPr>
                <w:sz w:val="17"/>
                <w:szCs w:val="17"/>
              </w:rPr>
              <w:t>may outweigh the benefits.</w:t>
            </w:r>
          </w:p>
          <w:p w14:paraId="72A54C30" w14:textId="77777777" w:rsidR="00FE6015" w:rsidRPr="00570A2E" w:rsidRDefault="00FE6015" w:rsidP="00B65E04">
            <w:pPr>
              <w:pStyle w:val="TableListNumber"/>
              <w:numPr>
                <w:ilvl w:val="0"/>
                <w:numId w:val="0"/>
              </w:numPr>
              <w:spacing w:before="0" w:after="60" w:line="252" w:lineRule="auto"/>
              <w:ind w:left="85"/>
              <w:rPr>
                <w:sz w:val="17"/>
                <w:szCs w:val="17"/>
              </w:rPr>
            </w:pPr>
            <w:r w:rsidRPr="00570A2E">
              <w:rPr>
                <w:sz w:val="17"/>
                <w:szCs w:val="17"/>
              </w:rPr>
              <w:t>As a number of stakeholders suggested, these two concerns could be</w:t>
            </w:r>
            <w:r>
              <w:rPr>
                <w:sz w:val="17"/>
                <w:szCs w:val="17"/>
              </w:rPr>
              <w:t xml:space="preserve"> </w:t>
            </w:r>
            <w:r w:rsidRPr="00570A2E">
              <w:rPr>
                <w:sz w:val="17"/>
                <w:szCs w:val="17"/>
              </w:rPr>
              <w:t>addressed by amending the current exemption framework to require all pipelines that are providing third party access to:</w:t>
            </w:r>
          </w:p>
          <w:p w14:paraId="4A68B716" w14:textId="77777777" w:rsidR="00FE6015" w:rsidRPr="002F7413" w:rsidRDefault="00FE6015" w:rsidP="00B65E04">
            <w:pPr>
              <w:pStyle w:val="TableBullet10"/>
              <w:spacing w:line="252" w:lineRule="auto"/>
              <w:rPr>
                <w:sz w:val="17"/>
                <w:szCs w:val="17"/>
              </w:rPr>
            </w:pPr>
            <w:r w:rsidRPr="002F7413">
              <w:rPr>
                <w:sz w:val="17"/>
                <w:szCs w:val="17"/>
              </w:rPr>
              <w:t xml:space="preserve">publish a set of Basic Information </w:t>
            </w:r>
            <w:r>
              <w:rPr>
                <w:sz w:val="17"/>
                <w:szCs w:val="17"/>
              </w:rPr>
              <w:t xml:space="preserve">that shippers can use to determine whether to seek access to a pipeline and assess the reasonableness of an offer </w:t>
            </w:r>
            <w:r w:rsidRPr="002F7413">
              <w:rPr>
                <w:sz w:val="17"/>
                <w:szCs w:val="17"/>
              </w:rPr>
              <w:t xml:space="preserve">(i.e. the pipeline information, pipeline service information, standing terms, service availability information and service usage information in Table 6.1 and information on the prices actually paid by shippers for services); and </w:t>
            </w:r>
          </w:p>
          <w:p w14:paraId="2E44A554" w14:textId="77777777" w:rsidR="00FE6015" w:rsidRPr="002F7413" w:rsidRDefault="00FE6015" w:rsidP="00B65E04">
            <w:pPr>
              <w:pStyle w:val="TableBullet10"/>
              <w:spacing w:line="252" w:lineRule="auto"/>
              <w:rPr>
                <w:sz w:val="17"/>
                <w:szCs w:val="17"/>
              </w:rPr>
            </w:pPr>
            <w:r w:rsidRPr="002F7413">
              <w:rPr>
                <w:sz w:val="17"/>
                <w:szCs w:val="17"/>
              </w:rPr>
              <w:t xml:space="preserve">publish </w:t>
            </w:r>
            <w:r w:rsidR="00517663">
              <w:rPr>
                <w:sz w:val="17"/>
                <w:szCs w:val="17"/>
              </w:rPr>
              <w:t>historical financial</w:t>
            </w:r>
            <w:r w:rsidRPr="002F7413">
              <w:rPr>
                <w:sz w:val="17"/>
                <w:szCs w:val="17"/>
              </w:rPr>
              <w:t xml:space="preserve"> and demand information unless they have obtained an exemption from the obligation to publish this information, with exemptions only available to single user pipelines and small pipelines. </w:t>
            </w:r>
          </w:p>
          <w:p w14:paraId="1A87554B" w14:textId="77777777" w:rsidR="00FE6015" w:rsidRDefault="00FE6015" w:rsidP="00B65E04">
            <w:pPr>
              <w:pStyle w:val="TableListNumber"/>
              <w:numPr>
                <w:ilvl w:val="0"/>
                <w:numId w:val="0"/>
              </w:numPr>
              <w:spacing w:before="0" w:after="120" w:line="252" w:lineRule="auto"/>
              <w:ind w:left="85"/>
              <w:rPr>
                <w:sz w:val="17"/>
                <w:szCs w:val="17"/>
              </w:rPr>
            </w:pPr>
            <w:r>
              <w:rPr>
                <w:sz w:val="17"/>
                <w:szCs w:val="17"/>
              </w:rPr>
              <w:t xml:space="preserve">For those pipelines that are not providing third party access, exemptions from all of the disclosure obligations would be available.  </w:t>
            </w:r>
          </w:p>
          <w:p w14:paraId="54DFE68D" w14:textId="77777777" w:rsidR="00FE6015" w:rsidRDefault="00FE6015" w:rsidP="003E3B36">
            <w:pPr>
              <w:pStyle w:val="TableListNumber"/>
              <w:numPr>
                <w:ilvl w:val="0"/>
                <w:numId w:val="0"/>
              </w:numPr>
              <w:spacing w:before="0" w:after="120" w:line="252" w:lineRule="auto"/>
              <w:ind w:left="85"/>
              <w:rPr>
                <w:sz w:val="17"/>
                <w:szCs w:val="17"/>
              </w:rPr>
            </w:pPr>
            <w:r>
              <w:rPr>
                <w:sz w:val="17"/>
                <w:szCs w:val="17"/>
              </w:rPr>
              <w:t>The main difference between this approach and the current exemption framework is that all pipelines providing third party access (including small pipeline and single user pipelines) would be required to publish the Basic Information set out above and exemptions</w:t>
            </w:r>
            <w:r w:rsidR="005917AA">
              <w:rPr>
                <w:sz w:val="17"/>
                <w:szCs w:val="17"/>
              </w:rPr>
              <w:t xml:space="preserve"> for pipelines providing third party access</w:t>
            </w:r>
            <w:r>
              <w:rPr>
                <w:sz w:val="17"/>
                <w:szCs w:val="17"/>
              </w:rPr>
              <w:t xml:space="preserve"> would only be available from the obligation to publish the </w:t>
            </w:r>
            <w:r w:rsidR="00517663">
              <w:rPr>
                <w:sz w:val="17"/>
                <w:szCs w:val="17"/>
              </w:rPr>
              <w:t>historical financial</w:t>
            </w:r>
            <w:r>
              <w:rPr>
                <w:sz w:val="17"/>
                <w:szCs w:val="17"/>
              </w:rPr>
              <w:t xml:space="preserve"> and demand information. </w:t>
            </w:r>
            <w:r w:rsidR="00757B74">
              <w:rPr>
                <w:sz w:val="17"/>
                <w:szCs w:val="17"/>
              </w:rPr>
              <w:t>Put simply, t</w:t>
            </w:r>
            <w:r w:rsidR="003E3B36">
              <w:rPr>
                <w:sz w:val="17"/>
                <w:szCs w:val="17"/>
              </w:rPr>
              <w:t xml:space="preserve">his approach would better address </w:t>
            </w:r>
            <w:r>
              <w:rPr>
                <w:sz w:val="17"/>
                <w:szCs w:val="17"/>
              </w:rPr>
              <w:t xml:space="preserve">the information asymmetries faced by shippers </w:t>
            </w:r>
            <w:r w:rsidR="003E3B36">
              <w:rPr>
                <w:sz w:val="17"/>
                <w:szCs w:val="17"/>
              </w:rPr>
              <w:t xml:space="preserve">(particularly </w:t>
            </w:r>
            <w:r>
              <w:rPr>
                <w:sz w:val="17"/>
                <w:szCs w:val="17"/>
              </w:rPr>
              <w:t>on small and single user pipelines</w:t>
            </w:r>
            <w:r w:rsidR="003E3B36">
              <w:rPr>
                <w:sz w:val="17"/>
                <w:szCs w:val="17"/>
              </w:rPr>
              <w:t>)</w:t>
            </w:r>
            <w:r>
              <w:rPr>
                <w:sz w:val="17"/>
                <w:szCs w:val="17"/>
              </w:rPr>
              <w:t xml:space="preserve">, whilst also minimising the administrative burden and compliance cost. </w:t>
            </w:r>
            <w:r w:rsidR="003B3D81">
              <w:rPr>
                <w:sz w:val="17"/>
                <w:szCs w:val="17"/>
              </w:rPr>
              <w:t xml:space="preserve">Provision has therefore been made for this alternative exemption framework in options 3A and 3B. </w:t>
            </w:r>
          </w:p>
          <w:p w14:paraId="2C9C93EE" w14:textId="77777777" w:rsidR="00FE6015" w:rsidRDefault="00FE6015" w:rsidP="00B65E04">
            <w:pPr>
              <w:pStyle w:val="TableListNumber"/>
              <w:numPr>
                <w:ilvl w:val="0"/>
                <w:numId w:val="0"/>
              </w:numPr>
              <w:spacing w:before="0" w:after="120" w:line="252" w:lineRule="auto"/>
              <w:ind w:left="85"/>
              <w:rPr>
                <w:sz w:val="17"/>
                <w:szCs w:val="17"/>
              </w:rPr>
            </w:pPr>
            <w:r>
              <w:rPr>
                <w:sz w:val="17"/>
                <w:szCs w:val="17"/>
              </w:rPr>
              <w:t xml:space="preserve">As to the suggestion by some stakeholders that exemptions also be available to greenfield pipelines, it is </w:t>
            </w:r>
            <w:r w:rsidR="00565B6E">
              <w:rPr>
                <w:sz w:val="17"/>
                <w:szCs w:val="17"/>
              </w:rPr>
              <w:t xml:space="preserve">important to recognise </w:t>
            </w:r>
            <w:r>
              <w:rPr>
                <w:sz w:val="17"/>
                <w:szCs w:val="17"/>
              </w:rPr>
              <w:t xml:space="preserve">that users of these pipelines are likely to face the same information asymmetries when negotiating access as </w:t>
            </w:r>
            <w:r w:rsidR="00D03258">
              <w:rPr>
                <w:sz w:val="17"/>
                <w:szCs w:val="17"/>
              </w:rPr>
              <w:t xml:space="preserve">users on </w:t>
            </w:r>
            <w:r>
              <w:rPr>
                <w:sz w:val="17"/>
                <w:szCs w:val="17"/>
              </w:rPr>
              <w:t xml:space="preserve">other pipelines. There is no </w:t>
            </w:r>
            <w:r w:rsidR="00D03258">
              <w:rPr>
                <w:sz w:val="17"/>
                <w:szCs w:val="17"/>
              </w:rPr>
              <w:t xml:space="preserve">basis </w:t>
            </w:r>
            <w:r>
              <w:rPr>
                <w:sz w:val="17"/>
                <w:szCs w:val="17"/>
              </w:rPr>
              <w:t xml:space="preserve">therefore to treat these pipelines any differently from other pipelines. </w:t>
            </w:r>
            <w:r w:rsidR="00D03258">
              <w:rPr>
                <w:sz w:val="17"/>
                <w:szCs w:val="17"/>
              </w:rPr>
              <w:t xml:space="preserve">No provision has therefore been made for this in options 3A or 3B. </w:t>
            </w:r>
          </w:p>
          <w:p w14:paraId="0DE3C9BC" w14:textId="77777777" w:rsidR="00FE6015" w:rsidRPr="00570A2E" w:rsidRDefault="00773C4D" w:rsidP="00D03258">
            <w:pPr>
              <w:pStyle w:val="TableListNumber"/>
              <w:keepNext/>
              <w:numPr>
                <w:ilvl w:val="0"/>
                <w:numId w:val="0"/>
              </w:numPr>
              <w:spacing w:before="0" w:after="60" w:line="252" w:lineRule="auto"/>
              <w:ind w:left="85"/>
              <w:rPr>
                <w:b/>
                <w:bCs/>
                <w:sz w:val="17"/>
                <w:szCs w:val="17"/>
              </w:rPr>
            </w:pPr>
            <w:r>
              <w:rPr>
                <w:b/>
                <w:bCs/>
                <w:sz w:val="17"/>
                <w:szCs w:val="17"/>
              </w:rPr>
              <w:t>What s</w:t>
            </w:r>
            <w:r w:rsidR="00FE6015" w:rsidRPr="00570A2E">
              <w:rPr>
                <w:b/>
                <w:bCs/>
                <w:sz w:val="17"/>
                <w:szCs w:val="17"/>
              </w:rPr>
              <w:t>ize threshold</w:t>
            </w:r>
            <w:r>
              <w:rPr>
                <w:b/>
                <w:bCs/>
                <w:sz w:val="17"/>
                <w:szCs w:val="17"/>
              </w:rPr>
              <w:t xml:space="preserve"> should be adopted</w:t>
            </w:r>
          </w:p>
          <w:p w14:paraId="76BEF494" w14:textId="77777777" w:rsidR="00FE6015" w:rsidRDefault="00FE6015" w:rsidP="00B65E04">
            <w:pPr>
              <w:pStyle w:val="TableListNumber"/>
              <w:numPr>
                <w:ilvl w:val="0"/>
                <w:numId w:val="0"/>
              </w:numPr>
              <w:spacing w:before="0" w:after="120" w:line="252" w:lineRule="auto"/>
              <w:ind w:left="85"/>
              <w:rPr>
                <w:sz w:val="17"/>
                <w:szCs w:val="17"/>
              </w:rPr>
            </w:pPr>
            <w:r>
              <w:rPr>
                <w:sz w:val="17"/>
                <w:szCs w:val="17"/>
              </w:rPr>
              <w:t xml:space="preserve">A range of views were expressed by stakeholders on the proposal to adopt a common size threshold for exemptions, with some supporting the proposal to move to a 10 TJ/day nameplate capacity threshold, while others supported the retention of the existing flow based threshold. </w:t>
            </w:r>
          </w:p>
          <w:p w14:paraId="16B9D651" w14:textId="4B5F2238" w:rsidR="00FE6015" w:rsidRPr="003D7945" w:rsidRDefault="00EF11E4" w:rsidP="004E04F3">
            <w:pPr>
              <w:pStyle w:val="TableListNumber"/>
              <w:numPr>
                <w:ilvl w:val="0"/>
                <w:numId w:val="0"/>
              </w:numPr>
              <w:spacing w:before="0" w:after="120" w:line="252" w:lineRule="auto"/>
              <w:ind w:left="85"/>
              <w:rPr>
                <w:i/>
                <w:iCs/>
                <w:sz w:val="17"/>
                <w:szCs w:val="17"/>
              </w:rPr>
            </w:pPr>
            <w:r>
              <w:rPr>
                <w:sz w:val="17"/>
                <w:szCs w:val="17"/>
              </w:rPr>
              <w:t xml:space="preserve">The benefit that the </w:t>
            </w:r>
            <w:r w:rsidR="00FE6015">
              <w:rPr>
                <w:sz w:val="17"/>
                <w:szCs w:val="17"/>
              </w:rPr>
              <w:t xml:space="preserve">10 TJ/day nameplate capacity </w:t>
            </w:r>
            <w:r>
              <w:rPr>
                <w:sz w:val="17"/>
                <w:szCs w:val="17"/>
              </w:rPr>
              <w:t xml:space="preserve">threshold </w:t>
            </w:r>
            <w:r w:rsidR="00FE6015">
              <w:rPr>
                <w:sz w:val="17"/>
                <w:szCs w:val="17"/>
              </w:rPr>
              <w:t xml:space="preserve">(and if necessary a pressure threshold for distribution pipelines) </w:t>
            </w:r>
            <w:r>
              <w:rPr>
                <w:sz w:val="17"/>
                <w:szCs w:val="17"/>
              </w:rPr>
              <w:t xml:space="preserve">offers over the existing </w:t>
            </w:r>
            <w:r w:rsidR="005B076B">
              <w:rPr>
                <w:sz w:val="17"/>
                <w:szCs w:val="17"/>
              </w:rPr>
              <w:t xml:space="preserve">threshold is that it would provide for </w:t>
            </w:r>
            <w:r w:rsidR="00A84377">
              <w:rPr>
                <w:sz w:val="17"/>
                <w:szCs w:val="17"/>
              </w:rPr>
              <w:t xml:space="preserve">a consistent threshold to be employed across </w:t>
            </w:r>
            <w:r w:rsidR="005B076B">
              <w:rPr>
                <w:sz w:val="17"/>
                <w:szCs w:val="17"/>
              </w:rPr>
              <w:t>the NGR</w:t>
            </w:r>
            <w:r w:rsidR="005F488F">
              <w:rPr>
                <w:sz w:val="17"/>
                <w:szCs w:val="17"/>
              </w:rPr>
              <w:t xml:space="preserve"> </w:t>
            </w:r>
            <w:r w:rsidR="00FE6015" w:rsidRPr="00960823">
              <w:rPr>
                <w:sz w:val="17"/>
                <w:szCs w:val="17"/>
              </w:rPr>
              <w:t xml:space="preserve">(i.e. the </w:t>
            </w:r>
            <w:r w:rsidR="00265DEB">
              <w:rPr>
                <w:rFonts w:asciiTheme="majorHAnsi" w:hAnsiTheme="majorHAnsi" w:cstheme="majorHAnsi"/>
                <w:sz w:val="17"/>
                <w:szCs w:val="17"/>
              </w:rPr>
              <w:t>BB/GBB</w:t>
            </w:r>
            <w:r w:rsidR="00265DEB" w:rsidRPr="00960823" w:rsidDel="00265DEB">
              <w:rPr>
                <w:sz w:val="17"/>
                <w:szCs w:val="17"/>
              </w:rPr>
              <w:t xml:space="preserve"> </w:t>
            </w:r>
            <w:r w:rsidR="005F488F">
              <w:rPr>
                <w:sz w:val="17"/>
                <w:szCs w:val="17"/>
              </w:rPr>
              <w:t xml:space="preserve">and </w:t>
            </w:r>
            <w:r w:rsidR="00FE6015">
              <w:rPr>
                <w:sz w:val="17"/>
                <w:szCs w:val="17"/>
              </w:rPr>
              <w:t xml:space="preserve">the </w:t>
            </w:r>
            <w:r w:rsidR="00FE6015" w:rsidRPr="00960823">
              <w:rPr>
                <w:sz w:val="17"/>
                <w:szCs w:val="17"/>
              </w:rPr>
              <w:t>capacity trading provisions)</w:t>
            </w:r>
            <w:r w:rsidR="00FE6015">
              <w:rPr>
                <w:sz w:val="17"/>
                <w:szCs w:val="17"/>
              </w:rPr>
              <w:t xml:space="preserve">. </w:t>
            </w:r>
            <w:r w:rsidR="005F488F">
              <w:rPr>
                <w:sz w:val="17"/>
                <w:szCs w:val="17"/>
              </w:rPr>
              <w:t xml:space="preserve">It would therefore reduce regulatory complexity </w:t>
            </w:r>
            <w:r w:rsidR="004E04F3">
              <w:rPr>
                <w:sz w:val="17"/>
                <w:szCs w:val="17"/>
              </w:rPr>
              <w:t xml:space="preserve">and, </w:t>
            </w:r>
            <w:r w:rsidR="00FE6015" w:rsidRPr="00960823">
              <w:rPr>
                <w:sz w:val="17"/>
                <w:szCs w:val="17"/>
              </w:rPr>
              <w:t xml:space="preserve">as APA noted, avoid any confusion amongst small pipelines about their obligations under the NGR. </w:t>
            </w:r>
            <w:r w:rsidR="004E04F3">
              <w:rPr>
                <w:sz w:val="17"/>
                <w:szCs w:val="17"/>
              </w:rPr>
              <w:t xml:space="preserve">Provision has therefore been made for </w:t>
            </w:r>
            <w:r w:rsidR="00545F35">
              <w:rPr>
                <w:sz w:val="17"/>
                <w:szCs w:val="17"/>
              </w:rPr>
              <w:t xml:space="preserve">this change in options 3A and 3B. </w:t>
            </w:r>
          </w:p>
        </w:tc>
        <w:tc>
          <w:tcPr>
            <w:tcW w:w="4253" w:type="dxa"/>
          </w:tcPr>
          <w:p w14:paraId="725FA156" w14:textId="77777777" w:rsidR="00D733AC" w:rsidRPr="00960823" w:rsidRDefault="00D733AC" w:rsidP="00B65E04">
            <w:pPr>
              <w:pStyle w:val="TableBullet10"/>
              <w:numPr>
                <w:ilvl w:val="0"/>
                <w:numId w:val="0"/>
              </w:numPr>
              <w:spacing w:before="20" w:after="20" w:line="252" w:lineRule="auto"/>
              <w:ind w:left="85"/>
              <w:rPr>
                <w:rFonts w:asciiTheme="majorHAnsi" w:hAnsiTheme="majorHAnsi" w:cstheme="majorHAnsi"/>
                <w:i/>
                <w:sz w:val="17"/>
                <w:szCs w:val="17"/>
              </w:rPr>
            </w:pPr>
            <w:r>
              <w:rPr>
                <w:rFonts w:asciiTheme="majorHAnsi" w:hAnsiTheme="majorHAnsi" w:cstheme="majorHAnsi"/>
                <w:i/>
                <w:iCs/>
                <w:sz w:val="17"/>
                <w:szCs w:val="17"/>
                <w:lang w:eastAsia="fr-CA"/>
              </w:rPr>
              <w:lastRenderedPageBreak/>
              <w:t>Under o</w:t>
            </w:r>
            <w:r w:rsidRPr="00EB08A6">
              <w:rPr>
                <w:rFonts w:asciiTheme="majorHAnsi" w:hAnsiTheme="majorHAnsi" w:cstheme="majorHAnsi"/>
                <w:i/>
                <w:iCs/>
                <w:sz w:val="17"/>
                <w:szCs w:val="17"/>
                <w:lang w:eastAsia="fr-CA"/>
              </w:rPr>
              <w:t>ptions 3A and 3B</w:t>
            </w:r>
            <w:r w:rsidR="00773C4D">
              <w:rPr>
                <w:rFonts w:asciiTheme="majorHAnsi" w:hAnsiTheme="majorHAnsi" w:cstheme="majorHAnsi"/>
                <w:i/>
                <w:iCs/>
                <w:sz w:val="17"/>
                <w:szCs w:val="17"/>
                <w:lang w:eastAsia="fr-CA"/>
              </w:rPr>
              <w:t xml:space="preserve"> the following exemptions from the disclosure obligations would be available</w:t>
            </w:r>
            <w:r w:rsidRPr="00960823">
              <w:rPr>
                <w:rFonts w:asciiTheme="majorHAnsi" w:hAnsiTheme="majorHAnsi" w:cstheme="majorHAnsi"/>
                <w:i/>
                <w:sz w:val="17"/>
                <w:szCs w:val="17"/>
              </w:rPr>
              <w:t>:</w:t>
            </w:r>
          </w:p>
          <w:p w14:paraId="59BD5E1F" w14:textId="77777777" w:rsidR="00D733AC" w:rsidRPr="00773C4D" w:rsidRDefault="00D733AC" w:rsidP="00B65E04">
            <w:pPr>
              <w:pStyle w:val="TableBullet10"/>
              <w:spacing w:before="20" w:after="20" w:line="252" w:lineRule="auto"/>
              <w:rPr>
                <w:i/>
                <w:iCs/>
                <w:sz w:val="17"/>
                <w:szCs w:val="17"/>
              </w:rPr>
            </w:pPr>
            <w:r w:rsidRPr="003D7945">
              <w:rPr>
                <w:i/>
                <w:iCs/>
                <w:sz w:val="17"/>
                <w:szCs w:val="17"/>
              </w:rPr>
              <w:t xml:space="preserve">Pipelines not providing third party access would be able to obtain an exemption from the requirement to publish the Basic Information and the </w:t>
            </w:r>
            <w:r w:rsidR="00517663">
              <w:rPr>
                <w:i/>
                <w:iCs/>
                <w:sz w:val="17"/>
                <w:szCs w:val="17"/>
              </w:rPr>
              <w:t>historical financial</w:t>
            </w:r>
            <w:r w:rsidRPr="003D7945">
              <w:rPr>
                <w:i/>
                <w:iCs/>
                <w:sz w:val="17"/>
                <w:szCs w:val="17"/>
              </w:rPr>
              <w:t xml:space="preserve"> and demand information outlined above. </w:t>
            </w:r>
          </w:p>
          <w:p w14:paraId="50D0AB18" w14:textId="6217947C" w:rsidR="00773C4D" w:rsidRPr="00773C4D" w:rsidRDefault="00D733AC" w:rsidP="00B65E04">
            <w:pPr>
              <w:pStyle w:val="TableBullet10"/>
              <w:spacing w:before="20" w:after="20" w:line="252" w:lineRule="auto"/>
            </w:pPr>
            <w:r w:rsidRPr="00773C4D">
              <w:rPr>
                <w:i/>
                <w:iCs/>
                <w:sz w:val="17"/>
                <w:szCs w:val="17"/>
              </w:rPr>
              <w:t>Pipelines providing third party access that are either a single user pipeline or have a nameplate capacity less than 10 TJ/day</w:t>
            </w:r>
            <w:r w:rsidR="00370905">
              <w:rPr>
                <w:rFonts w:ascii="ZWAdobeF" w:hAnsi="ZWAdobeF" w:cs="ZWAdobeF"/>
                <w:iCs/>
                <w:sz w:val="2"/>
                <w:szCs w:val="2"/>
              </w:rPr>
              <w:t>151F</w:t>
            </w:r>
            <w:r w:rsidRPr="00773C4D">
              <w:rPr>
                <w:rStyle w:val="FootnoteReference"/>
                <w:i/>
                <w:iCs/>
                <w:sz w:val="17"/>
                <w:szCs w:val="17"/>
              </w:rPr>
              <w:footnoteReference w:id="153"/>
            </w:r>
            <w:r w:rsidRPr="00773C4D">
              <w:rPr>
                <w:i/>
                <w:iCs/>
                <w:sz w:val="17"/>
                <w:szCs w:val="17"/>
              </w:rPr>
              <w:t xml:space="preserve"> would be able to obtain an exemption from the obligation to publish </w:t>
            </w:r>
            <w:r w:rsidR="00517663">
              <w:rPr>
                <w:i/>
                <w:iCs/>
                <w:sz w:val="17"/>
                <w:szCs w:val="17"/>
              </w:rPr>
              <w:t>historical financial</w:t>
            </w:r>
            <w:r w:rsidRPr="00773C4D">
              <w:rPr>
                <w:i/>
                <w:iCs/>
                <w:sz w:val="17"/>
                <w:szCs w:val="17"/>
              </w:rPr>
              <w:t xml:space="preserve"> and demand information, but </w:t>
            </w:r>
            <w:r w:rsidRPr="00773C4D">
              <w:rPr>
                <w:b/>
                <w:bCs/>
                <w:i/>
                <w:iCs/>
                <w:sz w:val="17"/>
                <w:szCs w:val="17"/>
                <w:u w:val="single"/>
              </w:rPr>
              <w:t>not</w:t>
            </w:r>
            <w:r w:rsidRPr="00773C4D">
              <w:rPr>
                <w:i/>
                <w:iCs/>
                <w:sz w:val="17"/>
                <w:szCs w:val="17"/>
              </w:rPr>
              <w:t xml:space="preserve"> from the obligation publish the Basic Information. </w:t>
            </w:r>
          </w:p>
          <w:p w14:paraId="70409DC5" w14:textId="77777777" w:rsidR="00FE6015" w:rsidRPr="00960823" w:rsidRDefault="00D733AC" w:rsidP="00B65E04">
            <w:pPr>
              <w:pStyle w:val="TableBullet10"/>
              <w:numPr>
                <w:ilvl w:val="0"/>
                <w:numId w:val="0"/>
              </w:numPr>
              <w:spacing w:line="252" w:lineRule="auto"/>
              <w:ind w:left="85"/>
            </w:pPr>
            <w:r w:rsidRPr="00773C4D">
              <w:rPr>
                <w:i/>
                <w:iCs/>
                <w:sz w:val="17"/>
                <w:szCs w:val="17"/>
              </w:rPr>
              <w:lastRenderedPageBreak/>
              <w:t xml:space="preserve">If a pipeline no longer satisfies these </w:t>
            </w:r>
            <w:r w:rsidR="00773C4D">
              <w:rPr>
                <w:i/>
                <w:iCs/>
                <w:sz w:val="17"/>
                <w:szCs w:val="17"/>
              </w:rPr>
              <w:t>exemption criteria</w:t>
            </w:r>
            <w:r w:rsidRPr="00773C4D">
              <w:rPr>
                <w:i/>
                <w:iCs/>
                <w:sz w:val="17"/>
                <w:szCs w:val="17"/>
              </w:rPr>
              <w:t>, the exemption would be revoked.</w:t>
            </w:r>
          </w:p>
        </w:tc>
      </w:tr>
      <w:tr w:rsidR="00773C4D" w:rsidRPr="00960823" w14:paraId="754AB399" w14:textId="77777777" w:rsidTr="003D7B36">
        <w:trPr>
          <w:cnfStyle w:val="000000010000" w:firstRow="0" w:lastRow="0" w:firstColumn="0" w:lastColumn="0" w:oddVBand="0" w:evenVBand="0" w:oddHBand="0" w:evenHBand="1" w:firstRowFirstColumn="0" w:firstRowLastColumn="0" w:lastRowFirstColumn="0" w:lastRowLastColumn="0"/>
        </w:trPr>
        <w:tc>
          <w:tcPr>
            <w:tcW w:w="1281" w:type="dxa"/>
          </w:tcPr>
          <w:p w14:paraId="3F83D568" w14:textId="77777777" w:rsidR="00FE6015" w:rsidRPr="00773C4D" w:rsidRDefault="00FE6015" w:rsidP="00B65E04">
            <w:pPr>
              <w:pStyle w:val="TableBodyText"/>
              <w:keepNext/>
              <w:spacing w:before="40" w:after="40" w:line="252" w:lineRule="auto"/>
              <w:rPr>
                <w:sz w:val="17"/>
                <w:szCs w:val="17"/>
              </w:rPr>
            </w:pPr>
            <w:r w:rsidRPr="00773C4D">
              <w:rPr>
                <w:sz w:val="17"/>
                <w:szCs w:val="17"/>
              </w:rPr>
              <w:lastRenderedPageBreak/>
              <w:t xml:space="preserve">How the improvements should be implemented </w:t>
            </w:r>
          </w:p>
        </w:tc>
        <w:tc>
          <w:tcPr>
            <w:tcW w:w="8784" w:type="dxa"/>
          </w:tcPr>
          <w:p w14:paraId="3F9EBC64" w14:textId="77777777" w:rsidR="00FE6015" w:rsidRPr="00773C4D" w:rsidRDefault="00FE6015" w:rsidP="00B65E04">
            <w:pPr>
              <w:pStyle w:val="BodyText"/>
              <w:keepNext/>
              <w:spacing w:before="0" w:after="60" w:line="252" w:lineRule="auto"/>
              <w:rPr>
                <w:sz w:val="17"/>
                <w:szCs w:val="17"/>
              </w:rPr>
            </w:pPr>
            <w:r w:rsidRPr="00773C4D">
              <w:rPr>
                <w:sz w:val="17"/>
                <w:szCs w:val="17"/>
              </w:rPr>
              <w:t xml:space="preserve">As noted above, the majority of stakeholders agreed that measures to address the identified deficiencies should be implemented through changes to the NGR and/or guidelines. </w:t>
            </w:r>
            <w:r w:rsidRPr="00773C4D">
              <w:t>There were, however, some alternative proposals by the AER and a number of service providers. Further consideration has therefore been given to these proposals.</w:t>
            </w:r>
          </w:p>
          <w:p w14:paraId="47AE185A" w14:textId="77777777" w:rsidR="00FE6015" w:rsidRPr="00773C4D" w:rsidRDefault="00FE6015" w:rsidP="00B65E04">
            <w:pPr>
              <w:pStyle w:val="BodyText"/>
              <w:keepNext/>
              <w:spacing w:before="0" w:after="20" w:line="252" w:lineRule="auto"/>
              <w:rPr>
                <w:b/>
                <w:bCs/>
                <w:sz w:val="17"/>
                <w:szCs w:val="17"/>
              </w:rPr>
            </w:pPr>
            <w:r w:rsidRPr="00773C4D">
              <w:rPr>
                <w:b/>
                <w:bCs/>
                <w:sz w:val="17"/>
                <w:szCs w:val="17"/>
              </w:rPr>
              <w:t>Use of RINs</w:t>
            </w:r>
          </w:p>
          <w:p w14:paraId="7CE90E3B" w14:textId="77777777" w:rsidR="00FE6015" w:rsidRPr="00773C4D" w:rsidRDefault="00FE6015" w:rsidP="00B65E04">
            <w:pPr>
              <w:pStyle w:val="BodyText"/>
              <w:keepNext/>
              <w:spacing w:before="0" w:line="252" w:lineRule="auto"/>
              <w:rPr>
                <w:sz w:val="17"/>
                <w:szCs w:val="17"/>
              </w:rPr>
            </w:pPr>
            <w:r w:rsidRPr="00773C4D">
              <w:rPr>
                <w:sz w:val="17"/>
                <w:szCs w:val="17"/>
              </w:rPr>
              <w:t xml:space="preserve">In its submission, the AER suggested that the gaps that have been identified in the information reported by pipelines subject to full regulation could be addressed through the use of the relevant regulator’s RIN power. </w:t>
            </w:r>
          </w:p>
          <w:p w14:paraId="13D3EFF6" w14:textId="77777777" w:rsidR="00FE6015" w:rsidRPr="00773C4D" w:rsidRDefault="00FE6015" w:rsidP="00B65E04">
            <w:pPr>
              <w:pStyle w:val="BodyText"/>
              <w:keepNext/>
              <w:spacing w:before="0" w:line="252" w:lineRule="auto"/>
              <w:rPr>
                <w:sz w:val="17"/>
                <w:szCs w:val="17"/>
              </w:rPr>
            </w:pPr>
            <w:r w:rsidRPr="00773C4D">
              <w:rPr>
                <w:sz w:val="17"/>
                <w:szCs w:val="17"/>
              </w:rPr>
              <w:t xml:space="preserve">The problem with this proposal is that regulator’s power to obtain information can only be exercised if the regulator considers it reasonably necessary for the performance or exercise of </w:t>
            </w:r>
            <w:r w:rsidRPr="005838A5">
              <w:rPr>
                <w:i/>
                <w:iCs/>
                <w:sz w:val="17"/>
                <w:szCs w:val="17"/>
              </w:rPr>
              <w:t>the regulator’s functions or powers</w:t>
            </w:r>
            <w:r w:rsidRPr="00773C4D">
              <w:rPr>
                <w:sz w:val="17"/>
                <w:szCs w:val="17"/>
              </w:rPr>
              <w:t xml:space="preserve"> under the NGL or the NGR. It may be difficult therefore for the relevant regulator to issue a RIN on the basis that shippers require the information to negotiate more effectively with service providers access, because this is not one of the regulator’s stated functions or powers. </w:t>
            </w:r>
          </w:p>
          <w:p w14:paraId="44A97407" w14:textId="3DA848D8" w:rsidR="00FE6015" w:rsidRPr="00773C4D" w:rsidRDefault="00FE6015" w:rsidP="00B65E04">
            <w:pPr>
              <w:pStyle w:val="BodyText"/>
              <w:keepNext/>
              <w:spacing w:before="0" w:line="252" w:lineRule="auto"/>
              <w:rPr>
                <w:sz w:val="17"/>
                <w:szCs w:val="17"/>
              </w:rPr>
            </w:pPr>
            <w:r w:rsidRPr="00773C4D">
              <w:rPr>
                <w:sz w:val="17"/>
                <w:szCs w:val="17"/>
              </w:rPr>
              <w:t>The other problem with RINs is that information may not be collected in a standardised and uniform manner across pipelines</w:t>
            </w:r>
            <w:r w:rsidR="00370905">
              <w:rPr>
                <w:rFonts w:ascii="ZWAdobeF" w:hAnsi="ZWAdobeF" w:cs="ZWAdobeF"/>
                <w:sz w:val="2"/>
                <w:szCs w:val="2"/>
              </w:rPr>
              <w:t>152F</w:t>
            </w:r>
            <w:r w:rsidRPr="00773C4D">
              <w:rPr>
                <w:rStyle w:val="FootnoteReference"/>
                <w:sz w:val="17"/>
                <w:szCs w:val="17"/>
              </w:rPr>
              <w:footnoteReference w:id="154"/>
            </w:r>
            <w:r w:rsidRPr="00773C4D">
              <w:rPr>
                <w:sz w:val="17"/>
                <w:szCs w:val="17"/>
              </w:rPr>
              <w:t xml:space="preserve"> and it may not be made available in a timely manner to shippers. The same problems do not arise in relation to the NGR and/or regulator issued guidelines. </w:t>
            </w:r>
          </w:p>
          <w:p w14:paraId="33D50B35" w14:textId="77777777" w:rsidR="00FE6015" w:rsidRPr="00773C4D" w:rsidRDefault="00FE6015" w:rsidP="00B65E04">
            <w:pPr>
              <w:pStyle w:val="BodyText"/>
              <w:keepNext/>
              <w:spacing w:before="0" w:after="20" w:line="252" w:lineRule="auto"/>
              <w:rPr>
                <w:b/>
                <w:bCs/>
                <w:sz w:val="17"/>
                <w:szCs w:val="17"/>
              </w:rPr>
            </w:pPr>
            <w:r w:rsidRPr="00773C4D">
              <w:rPr>
                <w:b/>
                <w:bCs/>
                <w:sz w:val="17"/>
                <w:szCs w:val="17"/>
              </w:rPr>
              <w:t xml:space="preserve">Better Together Initiative </w:t>
            </w:r>
          </w:p>
          <w:p w14:paraId="0F1BC1DB" w14:textId="77777777" w:rsidR="00FE6015" w:rsidRPr="00773C4D" w:rsidRDefault="00FE6015" w:rsidP="00B65E04">
            <w:pPr>
              <w:pStyle w:val="TableBullet10"/>
              <w:keepNext/>
              <w:numPr>
                <w:ilvl w:val="0"/>
                <w:numId w:val="0"/>
              </w:numPr>
              <w:spacing w:before="40" w:after="80" w:line="252" w:lineRule="auto"/>
              <w:ind w:left="85"/>
              <w:rPr>
                <w:rFonts w:asciiTheme="majorHAnsi" w:hAnsiTheme="majorHAnsi" w:cstheme="majorHAnsi"/>
                <w:sz w:val="17"/>
                <w:szCs w:val="17"/>
              </w:rPr>
            </w:pPr>
            <w:r w:rsidRPr="00773C4D">
              <w:rPr>
                <w:rFonts w:asciiTheme="majorHAnsi" w:hAnsiTheme="majorHAnsi" w:cstheme="majorHAnsi"/>
                <w:sz w:val="17"/>
                <w:szCs w:val="17"/>
              </w:rPr>
              <w:t xml:space="preserve">In their respective submissions, APGA, APA and Jemena </w:t>
            </w:r>
            <w:r w:rsidRPr="00773C4D">
              <w:rPr>
                <w:sz w:val="17"/>
                <w:szCs w:val="17"/>
              </w:rPr>
              <w:t xml:space="preserve">suggested that the identified information deficiencies be addressed through the Energy Charter’s ‘Better Together’ initiative. </w:t>
            </w:r>
          </w:p>
          <w:p w14:paraId="36E89A9E" w14:textId="77777777" w:rsidR="00FE6015" w:rsidRPr="00773C4D" w:rsidRDefault="00FE6015" w:rsidP="00B65E04">
            <w:pPr>
              <w:pStyle w:val="TableBullet10"/>
              <w:keepNext/>
              <w:numPr>
                <w:ilvl w:val="0"/>
                <w:numId w:val="0"/>
              </w:numPr>
              <w:spacing w:before="40" w:after="80" w:line="252" w:lineRule="auto"/>
              <w:ind w:left="85"/>
              <w:rPr>
                <w:rFonts w:asciiTheme="majorHAnsi" w:hAnsiTheme="majorHAnsi" w:cstheme="majorHAnsi"/>
                <w:sz w:val="17"/>
                <w:szCs w:val="17"/>
              </w:rPr>
            </w:pPr>
            <w:r w:rsidRPr="00773C4D">
              <w:rPr>
                <w:rFonts w:asciiTheme="majorHAnsi" w:hAnsiTheme="majorHAnsi" w:cstheme="majorHAnsi"/>
                <w:sz w:val="17"/>
                <w:szCs w:val="17"/>
              </w:rPr>
              <w:t xml:space="preserve">While recognising the work that APGA and signatories to the Energy Charter have undertaken to better understand the information requirements of shippers over the last 12 months, there are two material problems with this proposal.  </w:t>
            </w:r>
          </w:p>
          <w:p w14:paraId="148071BF" w14:textId="77777777" w:rsidR="00FE6015" w:rsidRPr="00773C4D" w:rsidRDefault="00FE6015" w:rsidP="00B65E04">
            <w:pPr>
              <w:pStyle w:val="TableBullet10"/>
              <w:keepNext/>
              <w:spacing w:line="252" w:lineRule="auto"/>
              <w:rPr>
                <w:sz w:val="17"/>
                <w:szCs w:val="17"/>
              </w:rPr>
            </w:pPr>
            <w:r w:rsidRPr="00773C4D">
              <w:rPr>
                <w:sz w:val="17"/>
                <w:szCs w:val="17"/>
              </w:rPr>
              <w:t xml:space="preserve">First, not all service providers are signatories to the Energy Charter. Any voluntary approach endorsed through the Energy Charter could not therefore be relied upon to capture all pipelines. </w:t>
            </w:r>
          </w:p>
          <w:p w14:paraId="1E9877C4" w14:textId="77777777" w:rsidR="00FE6015" w:rsidRPr="00773C4D" w:rsidRDefault="00FE6015" w:rsidP="00B65E04">
            <w:pPr>
              <w:pStyle w:val="TableBullet10"/>
              <w:keepNext/>
              <w:spacing w:line="252" w:lineRule="auto"/>
              <w:rPr>
                <w:sz w:val="17"/>
                <w:szCs w:val="17"/>
              </w:rPr>
            </w:pPr>
            <w:r w:rsidRPr="00773C4D">
              <w:rPr>
                <w:sz w:val="17"/>
                <w:szCs w:val="17"/>
              </w:rPr>
              <w:t>Second, the monitoring and enforcement mechanism in the Energy Charter is not as effective as that provided for in the NGL and NGR, which is problematic given the problems that the ACCC and Brattle have found with the reporting to date (see Appendix B).</w:t>
            </w:r>
          </w:p>
          <w:p w14:paraId="5A3769B3" w14:textId="77777777" w:rsidR="00FE6015" w:rsidRPr="00825085" w:rsidRDefault="00FE6015" w:rsidP="00B65E04">
            <w:pPr>
              <w:pStyle w:val="TableBullet10"/>
              <w:keepNext/>
              <w:numPr>
                <w:ilvl w:val="0"/>
                <w:numId w:val="0"/>
              </w:numPr>
              <w:spacing w:before="40" w:after="80" w:line="252" w:lineRule="auto"/>
              <w:ind w:left="85"/>
              <w:rPr>
                <w:rFonts w:asciiTheme="majorHAnsi" w:hAnsiTheme="majorHAnsi" w:cstheme="majorHAnsi"/>
                <w:sz w:val="17"/>
                <w:szCs w:val="17"/>
              </w:rPr>
            </w:pPr>
            <w:r w:rsidRPr="00773C4D">
              <w:rPr>
                <w:rFonts w:asciiTheme="majorHAnsi" w:hAnsiTheme="majorHAnsi" w:cstheme="majorHAnsi"/>
                <w:sz w:val="17"/>
                <w:szCs w:val="17"/>
              </w:rPr>
              <w:t xml:space="preserve">That is not to say that signatories to the Energy Charter should not continue to work with shippers to find ways to improve their disclosures. It is just that this voluntary mechanism cannot be relied upon to ensure that a uniform approach is taken to addressing existing issues in the information disclosures. </w:t>
            </w:r>
          </w:p>
        </w:tc>
        <w:tc>
          <w:tcPr>
            <w:tcW w:w="4253" w:type="dxa"/>
          </w:tcPr>
          <w:p w14:paraId="1ADEED84" w14:textId="77777777" w:rsidR="00FE6015" w:rsidRPr="00773C4D" w:rsidRDefault="00773C4D" w:rsidP="00B65E04">
            <w:pPr>
              <w:pStyle w:val="TableBullet10"/>
              <w:keepNext/>
              <w:numPr>
                <w:ilvl w:val="0"/>
                <w:numId w:val="0"/>
              </w:numPr>
              <w:spacing w:before="20" w:after="20" w:line="252" w:lineRule="auto"/>
              <w:ind w:left="85"/>
              <w:rPr>
                <w:i/>
                <w:iCs/>
                <w:sz w:val="17"/>
                <w:szCs w:val="17"/>
              </w:rPr>
            </w:pPr>
            <w:r w:rsidRPr="00773C4D">
              <w:rPr>
                <w:rFonts w:asciiTheme="majorHAnsi" w:hAnsiTheme="majorHAnsi" w:cstheme="majorHAnsi"/>
                <w:i/>
                <w:iCs/>
                <w:sz w:val="17"/>
                <w:szCs w:val="17"/>
                <w:lang w:eastAsia="fr-CA"/>
              </w:rPr>
              <w:t xml:space="preserve">Under options 3A and 3B the measures to address the identified information deficiencies would be implemented through changes to the NGR and/or guidelines. </w:t>
            </w:r>
            <w:r w:rsidRPr="00773C4D">
              <w:rPr>
                <w:i/>
                <w:iCs/>
                <w:sz w:val="17"/>
                <w:szCs w:val="17"/>
              </w:rPr>
              <w:t xml:space="preserve"> </w:t>
            </w:r>
          </w:p>
        </w:tc>
      </w:tr>
    </w:tbl>
    <w:p w14:paraId="4DD8DBD5" w14:textId="77777777" w:rsidR="00E26FA2" w:rsidRDefault="00E26FA2" w:rsidP="00CD12B8">
      <w:pPr>
        <w:pStyle w:val="BodyText"/>
        <w:sectPr w:rsidR="00E26FA2" w:rsidSect="0052381D">
          <w:pgSz w:w="16839" w:h="11907" w:orient="landscape" w:code="9"/>
          <w:pgMar w:top="1134" w:right="1418" w:bottom="709" w:left="1701" w:header="567" w:footer="397" w:gutter="0"/>
          <w:cols w:space="708"/>
          <w:docGrid w:linePitch="360"/>
        </w:sectPr>
      </w:pPr>
    </w:p>
    <w:p w14:paraId="13765FE9" w14:textId="77777777" w:rsidR="003F4837" w:rsidRDefault="009D1ADD" w:rsidP="005316A1">
      <w:pPr>
        <w:pStyle w:val="Heading2"/>
        <w:spacing w:before="240" w:after="120"/>
      </w:pPr>
      <w:bookmarkStart w:id="146" w:name="_Toc62219417"/>
      <w:r>
        <w:lastRenderedPageBreak/>
        <w:t xml:space="preserve">Summary of policy options for </w:t>
      </w:r>
      <w:r w:rsidR="003D081F">
        <w:t>information disclosure</w:t>
      </w:r>
      <w:bookmarkEnd w:id="146"/>
    </w:p>
    <w:p w14:paraId="3F4A25D7" w14:textId="19B8F9B7" w:rsidR="009D1ADD" w:rsidRDefault="009D1ADD" w:rsidP="005316A1">
      <w:pPr>
        <w:pStyle w:val="BodyText"/>
        <w:spacing w:before="120"/>
      </w:pPr>
      <w:r>
        <w:fldChar w:fldCharType="begin" w:fldLock="1"/>
      </w:r>
      <w:r>
        <w:instrText xml:space="preserve"> REF _Ref52942477 \h </w:instrText>
      </w:r>
      <w:r>
        <w:fldChar w:fldCharType="separate"/>
      </w:r>
      <w:r w:rsidR="00036405" w:rsidRPr="006B4639">
        <w:t xml:space="preserve">Table </w:t>
      </w:r>
      <w:r w:rsidR="00036405">
        <w:rPr>
          <w:noProof/>
        </w:rPr>
        <w:t>6</w:t>
      </w:r>
      <w:r w:rsidR="00036405">
        <w:t>.</w:t>
      </w:r>
      <w:r w:rsidR="00036405">
        <w:rPr>
          <w:noProof/>
        </w:rPr>
        <w:t>6</w:t>
      </w:r>
      <w:r>
        <w:fldChar w:fldCharType="end"/>
      </w:r>
      <w:r>
        <w:t xml:space="preserve"> </w:t>
      </w:r>
      <w:r w:rsidRPr="00E8405E">
        <w:t xml:space="preserve">sets out the policy options </w:t>
      </w:r>
      <w:r>
        <w:t xml:space="preserve">for this aspect of the regulatory framework </w:t>
      </w:r>
      <w:r w:rsidRPr="00E8405E">
        <w:t xml:space="preserve">that have been considered as part of the Decision RIS.  </w:t>
      </w:r>
    </w:p>
    <w:p w14:paraId="1A9A8BCA" w14:textId="7D51582F" w:rsidR="00175A40" w:rsidRDefault="00175A40" w:rsidP="00175A40">
      <w:pPr>
        <w:pStyle w:val="Caption"/>
        <w:spacing w:before="0" w:after="0"/>
      </w:pPr>
      <w:bookmarkStart w:id="147" w:name="_Ref52942477"/>
      <w:r w:rsidRPr="006B4639">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6</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6</w:t>
      </w:r>
      <w:r w:rsidR="00F323B2">
        <w:rPr>
          <w:noProof/>
        </w:rPr>
        <w:fldChar w:fldCharType="end"/>
      </w:r>
      <w:bookmarkEnd w:id="147"/>
      <w:r w:rsidRPr="006B4639">
        <w:t xml:space="preserve">: </w:t>
      </w:r>
      <w:r>
        <w:t>Policy options identified for the Decision RIS</w:t>
      </w:r>
    </w:p>
    <w:tbl>
      <w:tblPr>
        <w:tblStyle w:val="TableGrid"/>
        <w:tblW w:w="5246" w:type="pct"/>
        <w:tblLook w:val="04A0" w:firstRow="1" w:lastRow="0" w:firstColumn="1" w:lastColumn="0" w:noHBand="0" w:noVBand="1"/>
      </w:tblPr>
      <w:tblGrid>
        <w:gridCol w:w="1536"/>
        <w:gridCol w:w="1725"/>
        <w:gridCol w:w="1983"/>
        <w:gridCol w:w="1418"/>
        <w:gridCol w:w="1276"/>
        <w:gridCol w:w="1282"/>
      </w:tblGrid>
      <w:tr w:rsidR="00B210F6" w:rsidRPr="009708B7" w14:paraId="0B3F4E30" w14:textId="77777777" w:rsidTr="00A4446E">
        <w:trPr>
          <w:cnfStyle w:val="100000000000" w:firstRow="1" w:lastRow="0" w:firstColumn="0" w:lastColumn="0" w:oddVBand="0" w:evenVBand="0" w:oddHBand="0" w:evenHBand="0" w:firstRowFirstColumn="0" w:firstRowLastColumn="0" w:lastRowFirstColumn="0" w:lastRowLastColumn="0"/>
          <w:tblHeader/>
        </w:trPr>
        <w:tc>
          <w:tcPr>
            <w:tcW w:w="1536" w:type="dxa"/>
            <w:tcBorders>
              <w:bottom w:val="single" w:sz="4" w:space="0" w:color="auto"/>
            </w:tcBorders>
            <w:shd w:val="clear" w:color="auto" w:fill="002060"/>
          </w:tcPr>
          <w:p w14:paraId="35F18054" w14:textId="77777777" w:rsidR="00B210F6" w:rsidRPr="009708B7" w:rsidRDefault="00B210F6" w:rsidP="00ED5A00">
            <w:pPr>
              <w:keepNext/>
              <w:spacing w:before="40" w:after="40" w:line="240" w:lineRule="auto"/>
              <w:rPr>
                <w:rFonts w:cs="Arial"/>
                <w:b w:val="0"/>
                <w:bCs/>
                <w:sz w:val="16"/>
                <w:szCs w:val="16"/>
              </w:rPr>
            </w:pPr>
          </w:p>
        </w:tc>
        <w:tc>
          <w:tcPr>
            <w:tcW w:w="1725" w:type="dxa"/>
            <w:tcBorders>
              <w:bottom w:val="single" w:sz="4" w:space="0" w:color="auto"/>
              <w:right w:val="single" w:sz="4" w:space="0" w:color="FFFFFF" w:themeColor="background1"/>
            </w:tcBorders>
            <w:shd w:val="clear" w:color="auto" w:fill="002060"/>
          </w:tcPr>
          <w:p w14:paraId="0CD4D5FC" w14:textId="77777777" w:rsidR="00B210F6" w:rsidRPr="009708B7" w:rsidRDefault="00B210F6" w:rsidP="00ED5A00">
            <w:pPr>
              <w:pStyle w:val="BodyText"/>
              <w:keepNext/>
              <w:spacing w:before="40" w:after="40"/>
              <w:jc w:val="center"/>
              <w:rPr>
                <w:rFonts w:cs="Arial"/>
                <w:b w:val="0"/>
                <w:bCs/>
                <w:sz w:val="16"/>
                <w:szCs w:val="16"/>
              </w:rPr>
            </w:pPr>
            <w:r w:rsidRPr="009708B7">
              <w:rPr>
                <w:rFonts w:cs="Arial"/>
                <w:bCs/>
                <w:sz w:val="16"/>
                <w:szCs w:val="16"/>
              </w:rPr>
              <w:t xml:space="preserve">Option 1 </w:t>
            </w:r>
            <w:r w:rsidR="003E2DE0">
              <w:rPr>
                <w:rFonts w:cs="Arial"/>
                <w:bCs/>
                <w:sz w:val="16"/>
                <w:szCs w:val="16"/>
              </w:rPr>
              <w:br/>
            </w:r>
            <w:r w:rsidRPr="009708B7">
              <w:rPr>
                <w:rFonts w:cs="Arial"/>
                <w:bCs/>
                <w:sz w:val="16"/>
                <w:szCs w:val="16"/>
              </w:rPr>
              <w:t>(Status quo)</w:t>
            </w:r>
          </w:p>
        </w:tc>
        <w:tc>
          <w:tcPr>
            <w:tcW w:w="1983" w:type="dxa"/>
            <w:tcBorders>
              <w:left w:val="single" w:sz="4" w:space="0" w:color="FFFFFF" w:themeColor="background1"/>
              <w:bottom w:val="single" w:sz="4" w:space="0" w:color="auto"/>
              <w:right w:val="single" w:sz="4" w:space="0" w:color="FFFFFF" w:themeColor="background1"/>
            </w:tcBorders>
            <w:shd w:val="clear" w:color="auto" w:fill="002060"/>
          </w:tcPr>
          <w:p w14:paraId="5C21D240" w14:textId="77777777" w:rsidR="00B210F6" w:rsidRPr="009708B7" w:rsidRDefault="00B210F6" w:rsidP="00ED5A00">
            <w:pPr>
              <w:pStyle w:val="BodyText"/>
              <w:keepNext/>
              <w:spacing w:before="40" w:after="40"/>
              <w:jc w:val="center"/>
              <w:rPr>
                <w:rFonts w:cs="Arial"/>
                <w:b w:val="0"/>
                <w:bCs/>
                <w:sz w:val="16"/>
                <w:szCs w:val="16"/>
              </w:rPr>
            </w:pPr>
            <w:r w:rsidRPr="009708B7">
              <w:rPr>
                <w:rFonts w:cs="Arial"/>
                <w:bCs/>
                <w:sz w:val="16"/>
                <w:szCs w:val="16"/>
              </w:rPr>
              <w:t>Option 2</w:t>
            </w:r>
          </w:p>
        </w:tc>
        <w:tc>
          <w:tcPr>
            <w:tcW w:w="1418" w:type="dxa"/>
            <w:tcBorders>
              <w:left w:val="single" w:sz="4" w:space="0" w:color="FFFFFF" w:themeColor="background1"/>
              <w:bottom w:val="single" w:sz="4" w:space="0" w:color="auto"/>
              <w:right w:val="single" w:sz="4" w:space="0" w:color="FFFFFF" w:themeColor="background1"/>
            </w:tcBorders>
            <w:shd w:val="clear" w:color="auto" w:fill="002060"/>
          </w:tcPr>
          <w:p w14:paraId="188BD9D0" w14:textId="77777777" w:rsidR="00B210F6" w:rsidRPr="009708B7" w:rsidRDefault="00B210F6" w:rsidP="00ED5A00">
            <w:pPr>
              <w:pStyle w:val="BodyText"/>
              <w:keepNext/>
              <w:spacing w:before="40" w:after="40"/>
              <w:jc w:val="center"/>
              <w:rPr>
                <w:rFonts w:cs="Arial"/>
                <w:b w:val="0"/>
                <w:bCs/>
                <w:sz w:val="16"/>
                <w:szCs w:val="16"/>
              </w:rPr>
            </w:pPr>
            <w:r w:rsidRPr="009708B7">
              <w:rPr>
                <w:rFonts w:cs="Arial"/>
                <w:bCs/>
                <w:sz w:val="16"/>
                <w:szCs w:val="16"/>
              </w:rPr>
              <w:t xml:space="preserve">Option </w:t>
            </w:r>
            <w:r>
              <w:rPr>
                <w:rFonts w:cs="Arial"/>
                <w:bCs/>
                <w:sz w:val="16"/>
                <w:szCs w:val="16"/>
              </w:rPr>
              <w:t>3</w:t>
            </w:r>
            <w:r w:rsidRPr="009708B7">
              <w:rPr>
                <w:rFonts w:cs="Arial"/>
                <w:bCs/>
                <w:sz w:val="16"/>
                <w:szCs w:val="16"/>
              </w:rPr>
              <w:t>A</w:t>
            </w:r>
          </w:p>
        </w:tc>
        <w:tc>
          <w:tcPr>
            <w:tcW w:w="1276" w:type="dxa"/>
            <w:tcBorders>
              <w:left w:val="single" w:sz="4" w:space="0" w:color="FFFFFF" w:themeColor="background1"/>
              <w:bottom w:val="single" w:sz="4" w:space="0" w:color="auto"/>
              <w:right w:val="single" w:sz="4" w:space="0" w:color="FFFFFF" w:themeColor="background1"/>
            </w:tcBorders>
            <w:shd w:val="clear" w:color="auto" w:fill="002060"/>
          </w:tcPr>
          <w:p w14:paraId="482FBE01" w14:textId="77777777" w:rsidR="00B210F6" w:rsidRPr="0048187C" w:rsidRDefault="00B210F6" w:rsidP="00ED5A00">
            <w:pPr>
              <w:pStyle w:val="BodyText"/>
              <w:keepNext/>
              <w:spacing w:before="40" w:after="40"/>
              <w:ind w:right="-10"/>
              <w:jc w:val="center"/>
              <w:rPr>
                <w:rFonts w:cs="Arial"/>
                <w:bCs/>
                <w:sz w:val="16"/>
                <w:szCs w:val="16"/>
              </w:rPr>
            </w:pPr>
            <w:r w:rsidRPr="0048187C">
              <w:rPr>
                <w:rFonts w:cs="Arial"/>
                <w:bCs/>
                <w:sz w:val="16"/>
                <w:szCs w:val="16"/>
              </w:rPr>
              <w:t>Option 3B</w:t>
            </w:r>
          </w:p>
        </w:tc>
        <w:tc>
          <w:tcPr>
            <w:tcW w:w="1282" w:type="dxa"/>
            <w:tcBorders>
              <w:left w:val="single" w:sz="4" w:space="0" w:color="FFFFFF" w:themeColor="background1"/>
              <w:bottom w:val="single" w:sz="4" w:space="0" w:color="auto"/>
            </w:tcBorders>
            <w:shd w:val="clear" w:color="auto" w:fill="002060"/>
          </w:tcPr>
          <w:p w14:paraId="6A99041A" w14:textId="77777777" w:rsidR="00B210F6" w:rsidRPr="0048187C" w:rsidRDefault="00B210F6" w:rsidP="00ED5A00">
            <w:pPr>
              <w:pStyle w:val="BodyText"/>
              <w:keepNext/>
              <w:spacing w:before="40" w:after="40"/>
              <w:jc w:val="center"/>
              <w:rPr>
                <w:rFonts w:cs="Arial"/>
                <w:bCs/>
                <w:sz w:val="16"/>
                <w:szCs w:val="16"/>
              </w:rPr>
            </w:pPr>
            <w:r w:rsidRPr="0048187C">
              <w:rPr>
                <w:rFonts w:cs="Arial"/>
                <w:bCs/>
                <w:sz w:val="16"/>
                <w:szCs w:val="16"/>
              </w:rPr>
              <w:t>Option 4</w:t>
            </w:r>
          </w:p>
        </w:tc>
      </w:tr>
      <w:tr w:rsidR="00B210F6" w:rsidRPr="004E18B9" w14:paraId="09B0D1E7" w14:textId="77777777" w:rsidTr="00175A40">
        <w:trPr>
          <w:trHeight w:val="636"/>
        </w:trPr>
        <w:tc>
          <w:tcPr>
            <w:tcW w:w="1536" w:type="dxa"/>
            <w:vMerge w:val="restart"/>
            <w:shd w:val="clear" w:color="auto" w:fill="FFFFFF" w:themeFill="background1"/>
          </w:tcPr>
          <w:p w14:paraId="16A73AC4" w14:textId="77777777" w:rsidR="00B210F6" w:rsidRPr="004E18B9" w:rsidRDefault="00B210F6" w:rsidP="00ED5A00">
            <w:pPr>
              <w:pStyle w:val="BodyText"/>
              <w:keepNext/>
              <w:spacing w:before="20" w:after="20"/>
              <w:rPr>
                <w:rFonts w:cs="Arial"/>
                <w:b/>
                <w:sz w:val="16"/>
                <w:szCs w:val="16"/>
              </w:rPr>
            </w:pPr>
            <w:r w:rsidRPr="004E18B9">
              <w:rPr>
                <w:rFonts w:cs="Arial"/>
                <w:b/>
                <w:sz w:val="16"/>
                <w:szCs w:val="16"/>
              </w:rPr>
              <w:t xml:space="preserve">Information to be disclosed </w:t>
            </w:r>
          </w:p>
        </w:tc>
        <w:tc>
          <w:tcPr>
            <w:tcW w:w="1725" w:type="dxa"/>
            <w:vMerge w:val="restart"/>
            <w:shd w:val="clear" w:color="auto" w:fill="FFFFFF" w:themeFill="background1"/>
          </w:tcPr>
          <w:p w14:paraId="288634F1" w14:textId="77777777" w:rsidR="00B210F6" w:rsidRPr="004E18B9" w:rsidRDefault="00B210F6" w:rsidP="00ED5A00">
            <w:pPr>
              <w:pStyle w:val="BodyText"/>
              <w:keepNext/>
              <w:spacing w:before="20" w:after="20"/>
              <w:rPr>
                <w:rFonts w:cs="Arial"/>
                <w:sz w:val="16"/>
                <w:szCs w:val="16"/>
              </w:rPr>
            </w:pPr>
            <w:r w:rsidRPr="004E18B9">
              <w:rPr>
                <w:rFonts w:cs="Arial"/>
                <w:sz w:val="16"/>
                <w:szCs w:val="16"/>
              </w:rPr>
              <w:t>Retain the existing information disclosure requirements across the forms of regulation.</w:t>
            </w:r>
          </w:p>
        </w:tc>
        <w:tc>
          <w:tcPr>
            <w:tcW w:w="5959" w:type="dxa"/>
            <w:gridSpan w:val="4"/>
            <w:shd w:val="clear" w:color="auto" w:fill="FFFFFF" w:themeFill="background1"/>
          </w:tcPr>
          <w:p w14:paraId="3FA9BCD2" w14:textId="77777777" w:rsidR="00D0107D" w:rsidRPr="004E18B9" w:rsidRDefault="00D0107D" w:rsidP="00ED5A00">
            <w:pPr>
              <w:pStyle w:val="BodyText"/>
              <w:keepNext/>
              <w:spacing w:before="20" w:after="0" w:line="247" w:lineRule="auto"/>
              <w:rPr>
                <w:rFonts w:cs="Arial"/>
                <w:sz w:val="16"/>
                <w:szCs w:val="16"/>
              </w:rPr>
            </w:pPr>
            <w:r w:rsidRPr="004E18B9">
              <w:rPr>
                <w:rFonts w:cs="Arial"/>
                <w:sz w:val="16"/>
                <w:szCs w:val="16"/>
              </w:rPr>
              <w:t>All service providers to publish</w:t>
            </w:r>
            <w:r>
              <w:rPr>
                <w:rFonts w:cs="Arial"/>
                <w:sz w:val="16"/>
                <w:szCs w:val="16"/>
              </w:rPr>
              <w:t xml:space="preserve"> the following unless they obtain an exemption</w:t>
            </w:r>
            <w:r w:rsidRPr="004E18B9">
              <w:rPr>
                <w:rFonts w:cs="Arial"/>
                <w:sz w:val="16"/>
                <w:szCs w:val="16"/>
              </w:rPr>
              <w:t xml:space="preserve">: </w:t>
            </w:r>
          </w:p>
          <w:p w14:paraId="6DBD91C3" w14:textId="77777777" w:rsidR="00B210F6" w:rsidRDefault="00B210F6" w:rsidP="000A3668">
            <w:pPr>
              <w:pStyle w:val="BodyText"/>
              <w:keepNext/>
              <w:numPr>
                <w:ilvl w:val="0"/>
                <w:numId w:val="69"/>
              </w:numPr>
              <w:spacing w:before="20" w:after="0" w:line="247" w:lineRule="auto"/>
              <w:ind w:left="312" w:hanging="227"/>
              <w:rPr>
                <w:rFonts w:cs="Arial"/>
                <w:sz w:val="16"/>
                <w:szCs w:val="16"/>
              </w:rPr>
            </w:pPr>
            <w:r w:rsidRPr="004E18B9">
              <w:rPr>
                <w:rFonts w:cs="Arial"/>
                <w:sz w:val="16"/>
                <w:szCs w:val="16"/>
              </w:rPr>
              <w:t>Basic Information</w:t>
            </w:r>
            <w:r w:rsidR="00131FC0">
              <w:rPr>
                <w:rFonts w:cs="Arial"/>
                <w:sz w:val="16"/>
                <w:szCs w:val="16"/>
              </w:rPr>
              <w:t xml:space="preserve"> (i.e. </w:t>
            </w:r>
            <w:r w:rsidR="002C1FEA">
              <w:rPr>
                <w:rFonts w:cs="Arial"/>
                <w:sz w:val="16"/>
                <w:szCs w:val="16"/>
              </w:rPr>
              <w:t xml:space="preserve">pipeline </w:t>
            </w:r>
            <w:r w:rsidR="002C1FEA" w:rsidRPr="004E18B9">
              <w:rPr>
                <w:rFonts w:cs="Arial"/>
                <w:sz w:val="16"/>
                <w:szCs w:val="16"/>
              </w:rPr>
              <w:t>information</w:t>
            </w:r>
            <w:r w:rsidR="002C1FEA">
              <w:rPr>
                <w:rFonts w:cs="Arial"/>
                <w:sz w:val="16"/>
                <w:szCs w:val="16"/>
              </w:rPr>
              <w:t xml:space="preserve">, </w:t>
            </w:r>
            <w:r w:rsidR="008F72D8">
              <w:rPr>
                <w:rFonts w:cs="Arial"/>
                <w:sz w:val="16"/>
                <w:szCs w:val="16"/>
              </w:rPr>
              <w:t xml:space="preserve">pipeline </w:t>
            </w:r>
            <w:r w:rsidR="002C1FEA">
              <w:rPr>
                <w:rFonts w:cs="Arial"/>
                <w:sz w:val="16"/>
                <w:szCs w:val="16"/>
              </w:rPr>
              <w:t xml:space="preserve">service information, </w:t>
            </w:r>
            <w:r w:rsidR="002C1FEA" w:rsidRPr="004E18B9">
              <w:rPr>
                <w:rFonts w:cs="Arial"/>
                <w:sz w:val="16"/>
                <w:szCs w:val="16"/>
              </w:rPr>
              <w:t>service availability</w:t>
            </w:r>
            <w:r w:rsidR="002C1FEA">
              <w:rPr>
                <w:rFonts w:cs="Arial"/>
                <w:sz w:val="16"/>
                <w:szCs w:val="16"/>
              </w:rPr>
              <w:t xml:space="preserve"> information</w:t>
            </w:r>
            <w:r w:rsidR="002C1FEA" w:rsidRPr="004E18B9">
              <w:rPr>
                <w:rFonts w:cs="Arial"/>
                <w:sz w:val="16"/>
                <w:szCs w:val="16"/>
              </w:rPr>
              <w:t xml:space="preserve">, </w:t>
            </w:r>
            <w:r w:rsidR="002C1FEA">
              <w:rPr>
                <w:rFonts w:cs="Arial"/>
                <w:sz w:val="16"/>
                <w:szCs w:val="16"/>
              </w:rPr>
              <w:t xml:space="preserve">service usage information, </w:t>
            </w:r>
            <w:r w:rsidR="002C1FEA" w:rsidRPr="004E18B9">
              <w:rPr>
                <w:rFonts w:cs="Arial"/>
                <w:sz w:val="16"/>
                <w:szCs w:val="16"/>
              </w:rPr>
              <w:t>standing terms</w:t>
            </w:r>
            <w:r w:rsidR="002C1FEA">
              <w:rPr>
                <w:rFonts w:cs="Arial"/>
                <w:sz w:val="16"/>
                <w:szCs w:val="16"/>
              </w:rPr>
              <w:t xml:space="preserve"> for each </w:t>
            </w:r>
            <w:r w:rsidR="008F72D8">
              <w:rPr>
                <w:rFonts w:cs="Arial"/>
                <w:sz w:val="16"/>
                <w:szCs w:val="16"/>
              </w:rPr>
              <w:t xml:space="preserve">offered </w:t>
            </w:r>
            <w:r w:rsidR="002C1FEA">
              <w:rPr>
                <w:rFonts w:cs="Arial"/>
                <w:sz w:val="16"/>
                <w:szCs w:val="16"/>
              </w:rPr>
              <w:t xml:space="preserve">service </w:t>
            </w:r>
            <w:r w:rsidR="002C1FEA" w:rsidRPr="004E18B9">
              <w:rPr>
                <w:rFonts w:cs="Arial"/>
                <w:sz w:val="16"/>
                <w:szCs w:val="16"/>
              </w:rPr>
              <w:t xml:space="preserve">and </w:t>
            </w:r>
            <w:r w:rsidR="002C1FEA">
              <w:rPr>
                <w:rFonts w:cs="Arial"/>
                <w:sz w:val="16"/>
                <w:szCs w:val="16"/>
              </w:rPr>
              <w:t xml:space="preserve">information on the </w:t>
            </w:r>
            <w:r w:rsidR="002C1FEA" w:rsidRPr="004E18B9">
              <w:rPr>
                <w:rFonts w:cs="Arial"/>
                <w:sz w:val="16"/>
                <w:szCs w:val="16"/>
              </w:rPr>
              <w:t xml:space="preserve">prices </w:t>
            </w:r>
            <w:r w:rsidR="002C1FEA">
              <w:rPr>
                <w:rFonts w:cs="Arial"/>
                <w:sz w:val="16"/>
                <w:szCs w:val="16"/>
              </w:rPr>
              <w:t xml:space="preserve">actually </w:t>
            </w:r>
            <w:r w:rsidR="002C1FEA" w:rsidRPr="004E18B9">
              <w:rPr>
                <w:rFonts w:cs="Arial"/>
                <w:sz w:val="16"/>
                <w:szCs w:val="16"/>
              </w:rPr>
              <w:t>paid by shippers</w:t>
            </w:r>
            <w:r w:rsidR="008F72D8">
              <w:rPr>
                <w:rFonts w:cs="Arial"/>
                <w:sz w:val="16"/>
                <w:szCs w:val="16"/>
              </w:rPr>
              <w:t>)</w:t>
            </w:r>
            <w:r w:rsidRPr="004E18B9">
              <w:rPr>
                <w:rFonts w:cs="Arial"/>
                <w:sz w:val="16"/>
                <w:szCs w:val="16"/>
              </w:rPr>
              <w:t xml:space="preserve">. </w:t>
            </w:r>
          </w:p>
          <w:p w14:paraId="1C8DDF00" w14:textId="77777777" w:rsidR="00B210F6" w:rsidRPr="007F752A" w:rsidRDefault="00517663" w:rsidP="000A3668">
            <w:pPr>
              <w:pStyle w:val="BodyText"/>
              <w:keepNext/>
              <w:numPr>
                <w:ilvl w:val="0"/>
                <w:numId w:val="69"/>
              </w:numPr>
              <w:spacing w:before="20" w:after="0" w:line="247" w:lineRule="auto"/>
              <w:ind w:left="312" w:hanging="227"/>
              <w:rPr>
                <w:rFonts w:cs="Arial"/>
                <w:sz w:val="16"/>
                <w:szCs w:val="16"/>
              </w:rPr>
            </w:pPr>
            <w:r>
              <w:rPr>
                <w:rFonts w:cs="Arial"/>
                <w:sz w:val="16"/>
                <w:szCs w:val="16"/>
              </w:rPr>
              <w:t>Historical financial</w:t>
            </w:r>
            <w:r w:rsidR="00B210F6" w:rsidRPr="007F752A">
              <w:rPr>
                <w:rFonts w:cs="Arial"/>
                <w:sz w:val="16"/>
                <w:szCs w:val="16"/>
              </w:rPr>
              <w:t xml:space="preserve"> and </w:t>
            </w:r>
            <w:r w:rsidR="000675A7">
              <w:rPr>
                <w:rFonts w:cs="Arial"/>
                <w:sz w:val="16"/>
                <w:szCs w:val="16"/>
              </w:rPr>
              <w:t xml:space="preserve">demand </w:t>
            </w:r>
            <w:r w:rsidR="00B210F6" w:rsidRPr="007F752A">
              <w:rPr>
                <w:rFonts w:cs="Arial"/>
                <w:sz w:val="16"/>
                <w:szCs w:val="16"/>
              </w:rPr>
              <w:t xml:space="preserve">information. </w:t>
            </w:r>
          </w:p>
        </w:tc>
      </w:tr>
      <w:tr w:rsidR="00A4446E" w:rsidRPr="004E18B9" w14:paraId="1F1623C9" w14:textId="77777777" w:rsidTr="00004D3B">
        <w:trPr>
          <w:cnfStyle w:val="000000010000" w:firstRow="0" w:lastRow="0" w:firstColumn="0" w:lastColumn="0" w:oddVBand="0" w:evenVBand="0" w:oddHBand="0" w:evenHBand="1" w:firstRowFirstColumn="0" w:firstRowLastColumn="0" w:lastRowFirstColumn="0" w:lastRowLastColumn="0"/>
          <w:trHeight w:val="731"/>
        </w:trPr>
        <w:tc>
          <w:tcPr>
            <w:tcW w:w="1536" w:type="dxa"/>
            <w:vMerge/>
            <w:shd w:val="clear" w:color="auto" w:fill="FFFFFF" w:themeFill="background1"/>
          </w:tcPr>
          <w:p w14:paraId="5F7148A8" w14:textId="77777777" w:rsidR="00A4446E" w:rsidRPr="004E18B9" w:rsidRDefault="00A4446E" w:rsidP="00ED5A00">
            <w:pPr>
              <w:pStyle w:val="BodyText"/>
              <w:keepNext/>
              <w:spacing w:before="20" w:after="20"/>
              <w:rPr>
                <w:rFonts w:cs="Arial"/>
                <w:b/>
                <w:sz w:val="16"/>
                <w:szCs w:val="16"/>
              </w:rPr>
            </w:pPr>
          </w:p>
        </w:tc>
        <w:tc>
          <w:tcPr>
            <w:tcW w:w="1725" w:type="dxa"/>
            <w:vMerge/>
            <w:shd w:val="clear" w:color="auto" w:fill="FFFFFF" w:themeFill="background1"/>
          </w:tcPr>
          <w:p w14:paraId="17FD48A6" w14:textId="77777777" w:rsidR="00A4446E" w:rsidRPr="004E18B9" w:rsidRDefault="00A4446E" w:rsidP="00ED5A00">
            <w:pPr>
              <w:pStyle w:val="BodyText"/>
              <w:keepNext/>
              <w:spacing w:before="20" w:after="20"/>
              <w:rPr>
                <w:rFonts w:cs="Arial"/>
                <w:sz w:val="16"/>
                <w:szCs w:val="16"/>
              </w:rPr>
            </w:pPr>
          </w:p>
        </w:tc>
        <w:tc>
          <w:tcPr>
            <w:tcW w:w="1983" w:type="dxa"/>
            <w:shd w:val="clear" w:color="auto" w:fill="FFFFFF" w:themeFill="background1"/>
          </w:tcPr>
          <w:p w14:paraId="6AD8C631" w14:textId="77777777" w:rsidR="00A4446E" w:rsidRPr="004E18B9" w:rsidRDefault="00A4446E" w:rsidP="00ED5A00">
            <w:pPr>
              <w:pStyle w:val="BodyText"/>
              <w:keepNext/>
              <w:spacing w:before="20" w:after="20"/>
              <w:rPr>
                <w:rFonts w:cs="Arial"/>
                <w:sz w:val="16"/>
                <w:szCs w:val="16"/>
              </w:rPr>
            </w:pPr>
            <w:r w:rsidRPr="004E18B9">
              <w:rPr>
                <w:rFonts w:cs="Arial"/>
                <w:sz w:val="16"/>
                <w:szCs w:val="16"/>
              </w:rPr>
              <w:t>Information on prices paid by other shippers based on weighted average price plus minimum and maximum prices for each service.</w:t>
            </w:r>
          </w:p>
        </w:tc>
        <w:tc>
          <w:tcPr>
            <w:tcW w:w="3976" w:type="dxa"/>
            <w:gridSpan w:val="3"/>
            <w:shd w:val="clear" w:color="auto" w:fill="FFFFFF" w:themeFill="background1"/>
          </w:tcPr>
          <w:p w14:paraId="1938475B" w14:textId="77777777" w:rsidR="00A4446E" w:rsidRPr="004E18B9" w:rsidRDefault="00A4446E" w:rsidP="00ED5A00">
            <w:pPr>
              <w:pStyle w:val="BodyText"/>
              <w:keepNext/>
              <w:spacing w:before="20" w:after="20"/>
              <w:rPr>
                <w:rFonts w:cs="Arial"/>
                <w:b/>
                <w:bCs/>
                <w:sz w:val="16"/>
                <w:szCs w:val="16"/>
              </w:rPr>
            </w:pPr>
            <w:r w:rsidRPr="006B4639">
              <w:rPr>
                <w:rFonts w:asciiTheme="majorHAnsi" w:hAnsiTheme="majorHAnsi" w:cstheme="majorHAnsi"/>
                <w:sz w:val="16"/>
                <w:szCs w:val="16"/>
              </w:rPr>
              <w:t>Information on the prices paid by other shippers to be based on the individual prices (including key terms and conditions) paid by shippers</w:t>
            </w:r>
            <w:r>
              <w:rPr>
                <w:rFonts w:asciiTheme="majorHAnsi" w:hAnsiTheme="majorHAnsi" w:cstheme="majorHAnsi"/>
                <w:sz w:val="16"/>
                <w:szCs w:val="16"/>
              </w:rPr>
              <w:t>.</w:t>
            </w:r>
          </w:p>
        </w:tc>
      </w:tr>
      <w:tr w:rsidR="00B210F6" w:rsidRPr="004E18B9" w14:paraId="75937407" w14:textId="77777777" w:rsidTr="00175A40">
        <w:trPr>
          <w:trHeight w:val="84"/>
        </w:trPr>
        <w:tc>
          <w:tcPr>
            <w:tcW w:w="1536" w:type="dxa"/>
            <w:vMerge/>
            <w:tcBorders>
              <w:bottom w:val="single" w:sz="4" w:space="0" w:color="auto"/>
            </w:tcBorders>
            <w:shd w:val="clear" w:color="auto" w:fill="FFFFFF" w:themeFill="background1"/>
          </w:tcPr>
          <w:p w14:paraId="2F679290" w14:textId="77777777" w:rsidR="00B210F6" w:rsidRPr="004E18B9" w:rsidRDefault="00B210F6" w:rsidP="00ED5A00">
            <w:pPr>
              <w:pStyle w:val="BodyText"/>
              <w:keepNext/>
              <w:spacing w:before="20" w:after="20"/>
              <w:rPr>
                <w:rFonts w:cs="Arial"/>
                <w:b/>
                <w:sz w:val="16"/>
                <w:szCs w:val="16"/>
              </w:rPr>
            </w:pPr>
          </w:p>
        </w:tc>
        <w:tc>
          <w:tcPr>
            <w:tcW w:w="1725" w:type="dxa"/>
            <w:vMerge/>
            <w:tcBorders>
              <w:bottom w:val="single" w:sz="4" w:space="0" w:color="auto"/>
            </w:tcBorders>
            <w:shd w:val="clear" w:color="auto" w:fill="FFFFFF" w:themeFill="background1"/>
          </w:tcPr>
          <w:p w14:paraId="336E6F29" w14:textId="77777777" w:rsidR="00B210F6" w:rsidRPr="004E18B9" w:rsidRDefault="00B210F6" w:rsidP="00ED5A00">
            <w:pPr>
              <w:pStyle w:val="BodyText"/>
              <w:keepNext/>
              <w:spacing w:before="20" w:after="20"/>
              <w:rPr>
                <w:rFonts w:cs="Arial"/>
                <w:sz w:val="16"/>
                <w:szCs w:val="16"/>
              </w:rPr>
            </w:pPr>
          </w:p>
        </w:tc>
        <w:tc>
          <w:tcPr>
            <w:tcW w:w="1983" w:type="dxa"/>
            <w:tcBorders>
              <w:bottom w:val="single" w:sz="4" w:space="0" w:color="auto"/>
            </w:tcBorders>
            <w:shd w:val="clear" w:color="auto" w:fill="FFFFFF" w:themeFill="background1"/>
          </w:tcPr>
          <w:p w14:paraId="2EAB515C" w14:textId="77777777" w:rsidR="00B210F6" w:rsidRPr="004E18B9" w:rsidRDefault="00B210F6" w:rsidP="00ED5A00">
            <w:pPr>
              <w:pStyle w:val="BodyText"/>
              <w:keepNext/>
              <w:spacing w:before="20" w:after="20"/>
              <w:rPr>
                <w:rFonts w:cs="Arial"/>
                <w:sz w:val="16"/>
                <w:szCs w:val="16"/>
              </w:rPr>
            </w:pPr>
            <w:r w:rsidRPr="004E18B9">
              <w:rPr>
                <w:rFonts w:cs="Arial"/>
                <w:sz w:val="16"/>
                <w:szCs w:val="16"/>
              </w:rPr>
              <w:t>n.a.</w:t>
            </w:r>
          </w:p>
        </w:tc>
        <w:tc>
          <w:tcPr>
            <w:tcW w:w="3976" w:type="dxa"/>
            <w:gridSpan w:val="3"/>
            <w:tcBorders>
              <w:bottom w:val="single" w:sz="4" w:space="0" w:color="auto"/>
            </w:tcBorders>
            <w:shd w:val="clear" w:color="auto" w:fill="FFFFFF" w:themeFill="background1"/>
          </w:tcPr>
          <w:p w14:paraId="7D5D0B9D" w14:textId="77777777" w:rsidR="00B210F6" w:rsidRPr="004E18B9" w:rsidRDefault="00B210F6" w:rsidP="00ED5A00">
            <w:pPr>
              <w:pStyle w:val="BodyText"/>
              <w:keepNext/>
              <w:spacing w:before="20" w:after="20"/>
              <w:rPr>
                <w:rFonts w:cs="Arial"/>
                <w:sz w:val="16"/>
                <w:szCs w:val="16"/>
              </w:rPr>
            </w:pPr>
            <w:r w:rsidRPr="004E18B9">
              <w:rPr>
                <w:rFonts w:cs="Arial"/>
                <w:sz w:val="16"/>
                <w:szCs w:val="16"/>
              </w:rPr>
              <w:t>Disclosure requirements amended to address the identified information deficiencies and improve the quality</w:t>
            </w:r>
            <w:r w:rsidR="001F35E4">
              <w:rPr>
                <w:rFonts w:cs="Arial"/>
                <w:sz w:val="16"/>
                <w:szCs w:val="16"/>
              </w:rPr>
              <w:t xml:space="preserve"> and </w:t>
            </w:r>
            <w:r w:rsidRPr="004E18B9">
              <w:rPr>
                <w:rFonts w:cs="Arial"/>
                <w:sz w:val="16"/>
                <w:szCs w:val="16"/>
              </w:rPr>
              <w:t>reliability, accessibility and usability.</w:t>
            </w:r>
          </w:p>
        </w:tc>
      </w:tr>
      <w:tr w:rsidR="001E289E" w:rsidRPr="004E18B9" w14:paraId="506B8A08" w14:textId="77777777" w:rsidTr="001E289E">
        <w:trPr>
          <w:cnfStyle w:val="000000010000" w:firstRow="0" w:lastRow="0" w:firstColumn="0" w:lastColumn="0" w:oddVBand="0" w:evenVBand="0" w:oddHBand="0" w:evenHBand="1" w:firstRowFirstColumn="0" w:firstRowLastColumn="0" w:lastRowFirstColumn="0" w:lastRowLastColumn="0"/>
          <w:trHeight w:val="1985"/>
        </w:trPr>
        <w:tc>
          <w:tcPr>
            <w:tcW w:w="1536" w:type="dxa"/>
          </w:tcPr>
          <w:p w14:paraId="34D72342" w14:textId="77777777" w:rsidR="001E289E" w:rsidRPr="004E18B9" w:rsidRDefault="001E289E" w:rsidP="00ED5A00">
            <w:pPr>
              <w:pStyle w:val="BodyText"/>
              <w:keepNext/>
              <w:spacing w:before="20" w:after="20"/>
              <w:rPr>
                <w:rFonts w:cs="Arial"/>
                <w:b/>
                <w:sz w:val="16"/>
                <w:szCs w:val="16"/>
              </w:rPr>
            </w:pPr>
            <w:r w:rsidRPr="004E18B9">
              <w:rPr>
                <w:rFonts w:cs="Arial"/>
                <w:b/>
                <w:sz w:val="16"/>
                <w:szCs w:val="16"/>
              </w:rPr>
              <w:t xml:space="preserve">Exemptions from disclosure requirements </w:t>
            </w:r>
          </w:p>
        </w:tc>
        <w:tc>
          <w:tcPr>
            <w:tcW w:w="1725" w:type="dxa"/>
          </w:tcPr>
          <w:p w14:paraId="3C70786A" w14:textId="77777777" w:rsidR="001E289E" w:rsidRPr="004E18B9" w:rsidRDefault="001E289E" w:rsidP="00ED5A00">
            <w:pPr>
              <w:pStyle w:val="BodyText"/>
              <w:keepNext/>
              <w:spacing w:before="20" w:after="20"/>
              <w:rPr>
                <w:rFonts w:cs="Arial"/>
                <w:sz w:val="16"/>
                <w:szCs w:val="16"/>
              </w:rPr>
            </w:pPr>
            <w:r w:rsidRPr="004E18B9">
              <w:rPr>
                <w:rFonts w:cs="Arial"/>
                <w:sz w:val="16"/>
                <w:szCs w:val="16"/>
              </w:rPr>
              <w:t>Retain existing exemptions from disclosure under Part 23 and light regulation.</w:t>
            </w:r>
          </w:p>
        </w:tc>
        <w:tc>
          <w:tcPr>
            <w:tcW w:w="1983" w:type="dxa"/>
          </w:tcPr>
          <w:p w14:paraId="41C84164" w14:textId="77777777" w:rsidR="001E289E" w:rsidRPr="001E289E" w:rsidRDefault="001E289E" w:rsidP="000A3668">
            <w:pPr>
              <w:pStyle w:val="BodyText"/>
              <w:keepNext/>
              <w:numPr>
                <w:ilvl w:val="0"/>
                <w:numId w:val="76"/>
              </w:numPr>
              <w:spacing w:before="20" w:after="20"/>
              <w:ind w:left="312" w:hanging="227"/>
              <w:rPr>
                <w:rFonts w:cs="Arial"/>
                <w:sz w:val="16"/>
                <w:szCs w:val="16"/>
              </w:rPr>
            </w:pPr>
            <w:r w:rsidRPr="001E289E">
              <w:rPr>
                <w:rFonts w:cs="Arial"/>
                <w:sz w:val="16"/>
                <w:szCs w:val="16"/>
              </w:rPr>
              <w:t xml:space="preserve">No exemptions for regulated pipelines. </w:t>
            </w:r>
          </w:p>
          <w:p w14:paraId="3A816CB9" w14:textId="77777777" w:rsidR="001E289E" w:rsidRPr="001E289E" w:rsidRDefault="001E289E" w:rsidP="000A3668">
            <w:pPr>
              <w:pStyle w:val="BodyText"/>
              <w:keepNext/>
              <w:numPr>
                <w:ilvl w:val="0"/>
                <w:numId w:val="76"/>
              </w:numPr>
              <w:spacing w:before="20" w:after="20"/>
              <w:ind w:left="312" w:hanging="227"/>
              <w:rPr>
                <w:rFonts w:cs="Arial"/>
                <w:sz w:val="16"/>
                <w:szCs w:val="16"/>
              </w:rPr>
            </w:pPr>
            <w:r w:rsidRPr="001E289E">
              <w:rPr>
                <w:rFonts w:cs="Arial"/>
                <w:sz w:val="16"/>
                <w:szCs w:val="16"/>
              </w:rPr>
              <w:t>Pipelines with exemption from regulation that provide 3</w:t>
            </w:r>
            <w:r w:rsidRPr="001E289E">
              <w:rPr>
                <w:rFonts w:cs="Arial"/>
                <w:sz w:val="16"/>
                <w:szCs w:val="16"/>
                <w:vertAlign w:val="superscript"/>
              </w:rPr>
              <w:t>rd</w:t>
            </w:r>
            <w:r w:rsidRPr="001E289E">
              <w:rPr>
                <w:rFonts w:cs="Arial"/>
                <w:sz w:val="16"/>
                <w:szCs w:val="16"/>
              </w:rPr>
              <w:t xml:space="preserve"> party access can obtain exemption from </w:t>
            </w:r>
            <w:r w:rsidR="00517663">
              <w:rPr>
                <w:rFonts w:cs="Arial"/>
                <w:sz w:val="16"/>
                <w:szCs w:val="16"/>
              </w:rPr>
              <w:t>historical financial</w:t>
            </w:r>
            <w:r w:rsidRPr="001E289E">
              <w:rPr>
                <w:rFonts w:cs="Arial"/>
                <w:sz w:val="16"/>
                <w:szCs w:val="16"/>
              </w:rPr>
              <w:t xml:space="preserve"> and </w:t>
            </w:r>
            <w:r w:rsidR="008F72D8">
              <w:rPr>
                <w:rFonts w:cs="Arial"/>
                <w:sz w:val="16"/>
                <w:szCs w:val="16"/>
              </w:rPr>
              <w:t xml:space="preserve">demand </w:t>
            </w:r>
            <w:r w:rsidRPr="001E289E">
              <w:rPr>
                <w:rFonts w:cs="Arial"/>
                <w:sz w:val="16"/>
                <w:szCs w:val="16"/>
              </w:rPr>
              <w:t>information, but not Basic Information.</w:t>
            </w:r>
          </w:p>
        </w:tc>
        <w:tc>
          <w:tcPr>
            <w:tcW w:w="3976" w:type="dxa"/>
            <w:gridSpan w:val="3"/>
          </w:tcPr>
          <w:p w14:paraId="1234D56B" w14:textId="77777777" w:rsidR="001E289E" w:rsidRPr="001E289E" w:rsidRDefault="001E289E" w:rsidP="00ED5A00">
            <w:pPr>
              <w:pStyle w:val="BodyText"/>
              <w:keepNext/>
              <w:spacing w:before="20" w:after="0" w:line="247" w:lineRule="auto"/>
              <w:rPr>
                <w:rFonts w:cs="Arial"/>
                <w:sz w:val="16"/>
                <w:szCs w:val="16"/>
              </w:rPr>
            </w:pPr>
            <w:r w:rsidRPr="001E289E">
              <w:rPr>
                <w:rFonts w:cs="Arial"/>
                <w:sz w:val="16"/>
                <w:szCs w:val="16"/>
              </w:rPr>
              <w:t>Exemptions from:</w:t>
            </w:r>
          </w:p>
          <w:p w14:paraId="0FEC260B" w14:textId="77777777" w:rsidR="001E289E" w:rsidRPr="001E289E" w:rsidRDefault="001E289E" w:rsidP="00ED5A00">
            <w:pPr>
              <w:pStyle w:val="TableBullet10"/>
              <w:keepNext/>
              <w:rPr>
                <w:sz w:val="16"/>
                <w:szCs w:val="16"/>
              </w:rPr>
            </w:pPr>
            <w:r w:rsidRPr="001E289E">
              <w:rPr>
                <w:sz w:val="16"/>
                <w:szCs w:val="16"/>
              </w:rPr>
              <w:t xml:space="preserve">Basic Information and </w:t>
            </w:r>
            <w:r w:rsidR="00517663">
              <w:rPr>
                <w:sz w:val="16"/>
                <w:szCs w:val="16"/>
              </w:rPr>
              <w:t>historical financial</w:t>
            </w:r>
            <w:r w:rsidRPr="001E289E">
              <w:rPr>
                <w:sz w:val="16"/>
                <w:szCs w:val="16"/>
              </w:rPr>
              <w:t xml:space="preserve"> and </w:t>
            </w:r>
            <w:r w:rsidR="001F35E4">
              <w:rPr>
                <w:sz w:val="16"/>
                <w:szCs w:val="16"/>
              </w:rPr>
              <w:t xml:space="preserve">demand </w:t>
            </w:r>
            <w:r w:rsidRPr="001E289E">
              <w:rPr>
                <w:sz w:val="16"/>
                <w:szCs w:val="16"/>
              </w:rPr>
              <w:t>reporting available to pipelines that are not providing 3</w:t>
            </w:r>
            <w:r w:rsidRPr="001E289E">
              <w:rPr>
                <w:sz w:val="16"/>
                <w:szCs w:val="16"/>
                <w:vertAlign w:val="superscript"/>
              </w:rPr>
              <w:t>rd</w:t>
            </w:r>
            <w:r w:rsidRPr="001E289E">
              <w:rPr>
                <w:sz w:val="16"/>
                <w:szCs w:val="16"/>
              </w:rPr>
              <w:t xml:space="preserve"> party access; and</w:t>
            </w:r>
          </w:p>
          <w:p w14:paraId="717C2200" w14:textId="77777777" w:rsidR="001E289E" w:rsidRPr="001E289E" w:rsidRDefault="00517663" w:rsidP="00ED5A00">
            <w:pPr>
              <w:pStyle w:val="TableBullet10"/>
              <w:keepNext/>
              <w:rPr>
                <w:sz w:val="16"/>
                <w:szCs w:val="16"/>
              </w:rPr>
            </w:pPr>
            <w:r>
              <w:rPr>
                <w:sz w:val="16"/>
                <w:szCs w:val="16"/>
              </w:rPr>
              <w:t>Historical financial</w:t>
            </w:r>
            <w:r w:rsidR="001E289E" w:rsidRPr="001E289E">
              <w:rPr>
                <w:sz w:val="16"/>
                <w:szCs w:val="16"/>
              </w:rPr>
              <w:t xml:space="preserve"> and </w:t>
            </w:r>
            <w:r w:rsidR="001F35E4">
              <w:rPr>
                <w:sz w:val="16"/>
                <w:szCs w:val="16"/>
              </w:rPr>
              <w:t xml:space="preserve">demand </w:t>
            </w:r>
            <w:r w:rsidR="001E289E" w:rsidRPr="001E289E">
              <w:rPr>
                <w:sz w:val="16"/>
                <w:szCs w:val="16"/>
              </w:rPr>
              <w:t xml:space="preserve">information available to: </w:t>
            </w:r>
          </w:p>
          <w:p w14:paraId="42314812" w14:textId="77777777" w:rsidR="001E289E" w:rsidRPr="001E289E" w:rsidRDefault="001E289E" w:rsidP="00ED5A00">
            <w:pPr>
              <w:pStyle w:val="TableBullet2"/>
              <w:keepNext/>
              <w:rPr>
                <w:sz w:val="16"/>
                <w:szCs w:val="16"/>
              </w:rPr>
            </w:pPr>
            <w:r w:rsidRPr="001E289E">
              <w:rPr>
                <w:sz w:val="16"/>
                <w:szCs w:val="16"/>
              </w:rPr>
              <w:t xml:space="preserve">single shipper pipelines; and </w:t>
            </w:r>
          </w:p>
          <w:p w14:paraId="77A6ADEE" w14:textId="7BFF513E" w:rsidR="001E289E" w:rsidRPr="001E289E" w:rsidRDefault="005316A1" w:rsidP="00ED5A00">
            <w:pPr>
              <w:pStyle w:val="TableBullet2"/>
              <w:keepNext/>
              <w:rPr>
                <w:sz w:val="16"/>
                <w:szCs w:val="16"/>
              </w:rPr>
            </w:pPr>
            <w:r>
              <w:rPr>
                <w:sz w:val="16"/>
                <w:szCs w:val="16"/>
              </w:rPr>
              <w:t xml:space="preserve">pipelines with a </w:t>
            </w:r>
            <w:r w:rsidR="001E289E" w:rsidRPr="001E289E">
              <w:rPr>
                <w:sz w:val="16"/>
                <w:szCs w:val="16"/>
              </w:rPr>
              <w:t xml:space="preserve">nameplate </w:t>
            </w:r>
            <w:r>
              <w:rPr>
                <w:sz w:val="16"/>
                <w:szCs w:val="16"/>
              </w:rPr>
              <w:t xml:space="preserve">capacity less than </w:t>
            </w:r>
            <w:r w:rsidR="001E289E" w:rsidRPr="001E289E">
              <w:rPr>
                <w:sz w:val="16"/>
                <w:szCs w:val="16"/>
              </w:rPr>
              <w:t>10 TJ/day.</w:t>
            </w:r>
            <w:r w:rsidR="00370905">
              <w:rPr>
                <w:rFonts w:ascii="ZWAdobeF" w:hAnsi="ZWAdobeF" w:cs="ZWAdobeF"/>
                <w:sz w:val="2"/>
                <w:szCs w:val="2"/>
              </w:rPr>
              <w:t>153F</w:t>
            </w:r>
            <w:r w:rsidR="001F35E4">
              <w:rPr>
                <w:rStyle w:val="FootnoteReference"/>
                <w:sz w:val="16"/>
                <w:szCs w:val="16"/>
              </w:rPr>
              <w:footnoteReference w:id="155"/>
            </w:r>
          </w:p>
        </w:tc>
      </w:tr>
    </w:tbl>
    <w:p w14:paraId="489B3770" w14:textId="77777777" w:rsidR="00DD4BA8" w:rsidRPr="003E2A83" w:rsidRDefault="00DD4BA8" w:rsidP="005316A1">
      <w:pPr>
        <w:pStyle w:val="BodyText"/>
        <w:spacing w:before="120" w:after="0"/>
        <w:rPr>
          <w:szCs w:val="18"/>
          <w:lang w:eastAsia="fr-CA"/>
        </w:rPr>
      </w:pPr>
      <w:r w:rsidRPr="00973551">
        <w:t>Further detail on how these options form part of a broader regulatory package is provided in Chapter 8, while Chapter 9 sets out the results of regulatory impact assessment of these reform options and Chapter 10 sets out the preferred option.</w:t>
      </w:r>
    </w:p>
    <w:p w14:paraId="05AA9810" w14:textId="77777777" w:rsidR="00F14ED7" w:rsidRPr="006B4639" w:rsidRDefault="00F14ED7" w:rsidP="00810B28">
      <w:pPr>
        <w:pStyle w:val="BodyText"/>
        <w:spacing w:before="0" w:after="0"/>
        <w:rPr>
          <w:sz w:val="2"/>
          <w:szCs w:val="2"/>
        </w:rPr>
      </w:pPr>
      <w:r w:rsidRPr="006B4639">
        <w:rPr>
          <w:sz w:val="2"/>
          <w:szCs w:val="2"/>
        </w:rPr>
        <w:br w:type="page"/>
      </w:r>
    </w:p>
    <w:p w14:paraId="7C983F27" w14:textId="77777777" w:rsidR="00FC183A" w:rsidRPr="006B4639" w:rsidRDefault="00FC183A" w:rsidP="00FC183A">
      <w:pPr>
        <w:pStyle w:val="Heading1"/>
      </w:pPr>
      <w:bookmarkStart w:id="148" w:name="_Toc62219418"/>
      <w:r w:rsidRPr="006B4639">
        <w:lastRenderedPageBreak/>
        <w:t xml:space="preserve">Reform focus 4: </w:t>
      </w:r>
      <w:r w:rsidR="00100284" w:rsidRPr="006B4639">
        <w:t>Negotiation framework</w:t>
      </w:r>
      <w:r w:rsidR="00AF4BAE" w:rsidRPr="006B4639">
        <w:t>s</w:t>
      </w:r>
      <w:r w:rsidR="00100284" w:rsidRPr="006B4639">
        <w:t xml:space="preserve"> and </w:t>
      </w:r>
      <w:r w:rsidR="007C5969" w:rsidRPr="006B4639">
        <w:t>dispute resolution</w:t>
      </w:r>
      <w:r w:rsidRPr="006B4639">
        <w:t xml:space="preserve"> mechanism</w:t>
      </w:r>
      <w:r w:rsidR="00AF4BAE" w:rsidRPr="006B4639">
        <w:t>s</w:t>
      </w:r>
      <w:bookmarkEnd w:id="148"/>
    </w:p>
    <w:p w14:paraId="77BBB4D9" w14:textId="77777777" w:rsidR="007C5969" w:rsidRPr="006B4639" w:rsidRDefault="00FB42E0" w:rsidP="00CC37FC">
      <w:pPr>
        <w:pStyle w:val="BodyText"/>
        <w:spacing w:line="252" w:lineRule="auto"/>
        <w:rPr>
          <w:lang w:eastAsia="fr-CA"/>
        </w:rPr>
      </w:pPr>
      <w:r w:rsidRPr="006B4639">
        <w:rPr>
          <w:lang w:eastAsia="fr-CA"/>
        </w:rPr>
        <w:t xml:space="preserve">Under the </w:t>
      </w:r>
      <w:r w:rsidR="00400660" w:rsidRPr="006B4639">
        <w:rPr>
          <w:lang w:eastAsia="fr-CA"/>
        </w:rPr>
        <w:t xml:space="preserve">current regulatory framework, which is based on the </w:t>
      </w:r>
      <w:r w:rsidRPr="006B4639">
        <w:rPr>
          <w:lang w:eastAsia="fr-CA"/>
        </w:rPr>
        <w:t xml:space="preserve">negotiate-arbitrate form of regulation, the </w:t>
      </w:r>
      <w:r w:rsidR="0085411A" w:rsidRPr="006B4639">
        <w:rPr>
          <w:lang w:eastAsia="fr-CA"/>
        </w:rPr>
        <w:t xml:space="preserve">purpose </w:t>
      </w:r>
      <w:r w:rsidR="001D5473" w:rsidRPr="006B4639">
        <w:rPr>
          <w:lang w:eastAsia="fr-CA"/>
        </w:rPr>
        <w:t>of the</w:t>
      </w:r>
      <w:r w:rsidR="00CC37FC" w:rsidRPr="006B4639">
        <w:rPr>
          <w:lang w:eastAsia="fr-CA"/>
        </w:rPr>
        <w:t xml:space="preserve"> </w:t>
      </w:r>
      <w:r w:rsidRPr="006B4639">
        <w:rPr>
          <w:lang w:eastAsia="fr-CA"/>
        </w:rPr>
        <w:t xml:space="preserve">negotiation framework is to facilitate timely and effective commercial negotiations between </w:t>
      </w:r>
      <w:r w:rsidR="001D5473" w:rsidRPr="006B4639">
        <w:rPr>
          <w:lang w:eastAsia="fr-CA"/>
        </w:rPr>
        <w:t xml:space="preserve">shippers </w:t>
      </w:r>
      <w:r w:rsidRPr="006B4639">
        <w:rPr>
          <w:lang w:eastAsia="fr-CA"/>
        </w:rPr>
        <w:t>and service providers</w:t>
      </w:r>
      <w:r w:rsidR="00CC37FC" w:rsidRPr="006B4639">
        <w:rPr>
          <w:lang w:eastAsia="fr-CA"/>
        </w:rPr>
        <w:t xml:space="preserve">. The </w:t>
      </w:r>
      <w:r w:rsidR="0085411A" w:rsidRPr="006B4639">
        <w:rPr>
          <w:lang w:eastAsia="fr-CA"/>
        </w:rPr>
        <w:t xml:space="preserve">purpose </w:t>
      </w:r>
      <w:r w:rsidR="00CC37FC" w:rsidRPr="006B4639">
        <w:rPr>
          <w:lang w:eastAsia="fr-CA"/>
        </w:rPr>
        <w:t xml:space="preserve">of the </w:t>
      </w:r>
      <w:r w:rsidR="007C5969" w:rsidRPr="006B4639">
        <w:rPr>
          <w:lang w:eastAsia="fr-CA"/>
        </w:rPr>
        <w:t xml:space="preserve">dispute resolution </w:t>
      </w:r>
      <w:r w:rsidRPr="006B4639">
        <w:rPr>
          <w:lang w:eastAsia="fr-CA"/>
        </w:rPr>
        <w:t>mechanism</w:t>
      </w:r>
      <w:r w:rsidR="00CC37FC" w:rsidRPr="006B4639">
        <w:rPr>
          <w:lang w:eastAsia="fr-CA"/>
        </w:rPr>
        <w:t>, on the other hand,</w:t>
      </w:r>
      <w:r w:rsidRPr="006B4639">
        <w:rPr>
          <w:lang w:eastAsia="fr-CA"/>
        </w:rPr>
        <w:t xml:space="preserve"> </w:t>
      </w:r>
      <w:r w:rsidR="007C5969" w:rsidRPr="006B4639">
        <w:rPr>
          <w:lang w:eastAsia="fr-CA"/>
        </w:rPr>
        <w:t xml:space="preserve">is to: </w:t>
      </w:r>
    </w:p>
    <w:p w14:paraId="7715E86F" w14:textId="77777777" w:rsidR="007C5969" w:rsidRPr="006B4639" w:rsidRDefault="007C5969" w:rsidP="00AD36B8">
      <w:pPr>
        <w:pStyle w:val="ListBullet"/>
        <w:rPr>
          <w:lang w:eastAsia="fr-CA"/>
        </w:rPr>
      </w:pPr>
      <w:r w:rsidRPr="006B4639">
        <w:rPr>
          <w:lang w:eastAsia="fr-CA"/>
        </w:rPr>
        <w:t xml:space="preserve">constrain the exercise of market power by service providers during negotiations by providing </w:t>
      </w:r>
      <w:r w:rsidR="00400660" w:rsidRPr="006B4639">
        <w:rPr>
          <w:lang w:eastAsia="fr-CA"/>
        </w:rPr>
        <w:t xml:space="preserve">for </w:t>
      </w:r>
      <w:r w:rsidRPr="006B4639">
        <w:rPr>
          <w:lang w:eastAsia="fr-CA"/>
        </w:rPr>
        <w:t xml:space="preserve">a credible threat of intervention </w:t>
      </w:r>
      <w:r w:rsidR="00400660" w:rsidRPr="006B4639">
        <w:rPr>
          <w:lang w:eastAsia="fr-CA"/>
        </w:rPr>
        <w:t xml:space="preserve">by a dispute resolution body </w:t>
      </w:r>
      <w:r w:rsidRPr="006B4639">
        <w:rPr>
          <w:lang w:eastAsia="fr-CA"/>
        </w:rPr>
        <w:t>if negotiations fail; and</w:t>
      </w:r>
    </w:p>
    <w:p w14:paraId="1E82D10E" w14:textId="77777777" w:rsidR="007C5969" w:rsidRPr="006B4639" w:rsidRDefault="007C5969" w:rsidP="00AD36B8">
      <w:pPr>
        <w:pStyle w:val="ListBullet"/>
        <w:rPr>
          <w:lang w:eastAsia="fr-CA"/>
        </w:rPr>
      </w:pPr>
      <w:r w:rsidRPr="006B4639">
        <w:rPr>
          <w:lang w:eastAsia="fr-CA"/>
        </w:rPr>
        <w:t xml:space="preserve">enable those disputes that cannot be resolved through negotiations to be </w:t>
      </w:r>
      <w:r w:rsidR="001E2295" w:rsidRPr="006B4639">
        <w:rPr>
          <w:lang w:eastAsia="fr-CA"/>
        </w:rPr>
        <w:t>resolved</w:t>
      </w:r>
      <w:r w:rsidRPr="006B4639">
        <w:rPr>
          <w:lang w:eastAsia="fr-CA"/>
        </w:rPr>
        <w:t xml:space="preserve"> in a cost-effective and efficient manner.</w:t>
      </w:r>
    </w:p>
    <w:p w14:paraId="1B9ABAC3" w14:textId="77777777" w:rsidR="00400660" w:rsidRPr="006B4639" w:rsidRDefault="00400660" w:rsidP="001D5473">
      <w:pPr>
        <w:pStyle w:val="BodyText"/>
        <w:spacing w:line="252" w:lineRule="auto"/>
      </w:pPr>
      <w:r w:rsidRPr="006B4639">
        <w:t xml:space="preserve">Like the information disclosure requirements, </w:t>
      </w:r>
      <w:r w:rsidR="0085411A" w:rsidRPr="006B4639">
        <w:t xml:space="preserve">some </w:t>
      </w:r>
      <w:r w:rsidRPr="006B4639">
        <w:t xml:space="preserve">steps have been taken over the last </w:t>
      </w:r>
      <w:r w:rsidR="00494CE4">
        <w:t>three</w:t>
      </w:r>
      <w:r w:rsidRPr="006B4639">
        <w:t xml:space="preserve"> years to strengthen the negotiation frameworks and dispute resolution mechanisms applying to scheme and non-scheme pipelines. It would appear, however, from the recent reviews of the regulatory framework </w:t>
      </w:r>
      <w:r w:rsidR="00765D6E">
        <w:t>(see Appendix B)</w:t>
      </w:r>
      <w:r w:rsidRPr="006B4639">
        <w:t xml:space="preserve">, that some aspects of the negotiation frameworks and dispute resolution mechanisms may not be </w:t>
      </w:r>
      <w:r w:rsidR="0085411A" w:rsidRPr="006B4639">
        <w:t xml:space="preserve">working as intended </w:t>
      </w:r>
      <w:r w:rsidR="00E53207" w:rsidRPr="006B4639">
        <w:t xml:space="preserve">and, as a consequence </w:t>
      </w:r>
      <w:r w:rsidRPr="006B4639">
        <w:t>may be:</w:t>
      </w:r>
    </w:p>
    <w:p w14:paraId="19FB98EB" w14:textId="77777777" w:rsidR="00400660" w:rsidRPr="006B4639" w:rsidRDefault="00400660" w:rsidP="00D73A94">
      <w:pPr>
        <w:pStyle w:val="ListNumber"/>
        <w:numPr>
          <w:ilvl w:val="0"/>
          <w:numId w:val="51"/>
        </w:numPr>
        <w:ind w:left="357" w:hanging="357"/>
      </w:pPr>
      <w:bookmarkStart w:id="149" w:name="_Hlk19243020"/>
      <w:r w:rsidRPr="006B4639">
        <w:t>hindering the ability of shippers to negotiate effectively with service providers;</w:t>
      </w:r>
    </w:p>
    <w:p w14:paraId="64262D2F" w14:textId="77777777" w:rsidR="00400660" w:rsidRPr="006B4639" w:rsidRDefault="0095488F" w:rsidP="00D73A94">
      <w:pPr>
        <w:pStyle w:val="ListNumber"/>
        <w:numPr>
          <w:ilvl w:val="0"/>
          <w:numId w:val="51"/>
        </w:numPr>
        <w:ind w:left="357" w:hanging="357"/>
      </w:pPr>
      <w:r>
        <w:t xml:space="preserve">limiting the credibility of the threat of dispute resolution mechanism and </w:t>
      </w:r>
      <w:r w:rsidR="00400660" w:rsidRPr="006B4639">
        <w:t>making shippers more susceptible to exercises of market power; and/or</w:t>
      </w:r>
    </w:p>
    <w:p w14:paraId="27A05EA9" w14:textId="77777777" w:rsidR="00400660" w:rsidRPr="006B4639" w:rsidRDefault="00F36D30" w:rsidP="00D73A94">
      <w:pPr>
        <w:pStyle w:val="ListNumber"/>
        <w:numPr>
          <w:ilvl w:val="0"/>
          <w:numId w:val="51"/>
        </w:numPr>
        <w:ind w:left="357" w:hanging="357"/>
      </w:pPr>
      <w:r w:rsidRPr="006B4639">
        <w:t xml:space="preserve">imposing </w:t>
      </w:r>
      <w:r w:rsidR="00400660" w:rsidRPr="006B4639">
        <w:t>unnecessary costs</w:t>
      </w:r>
      <w:r w:rsidR="00BD4F97" w:rsidRPr="006B4639">
        <w:t xml:space="preserve"> and </w:t>
      </w:r>
      <w:r w:rsidR="00400660" w:rsidRPr="006B4639">
        <w:t xml:space="preserve">risks </w:t>
      </w:r>
      <w:r w:rsidRPr="006B4639">
        <w:t xml:space="preserve">on </w:t>
      </w:r>
      <w:r w:rsidR="00400660" w:rsidRPr="006B4639">
        <w:t>shippers and</w:t>
      </w:r>
      <w:r w:rsidRPr="006B4639">
        <w:t>/or</w:t>
      </w:r>
      <w:r w:rsidR="00400660" w:rsidRPr="006B4639">
        <w:t xml:space="preserve"> service providers.  </w:t>
      </w:r>
    </w:p>
    <w:bookmarkEnd w:id="149"/>
    <w:p w14:paraId="4E5C332A" w14:textId="77777777" w:rsidR="00590D61" w:rsidRDefault="00590D61" w:rsidP="00590D61">
      <w:pPr>
        <w:pStyle w:val="BodyText"/>
      </w:pPr>
      <w:r>
        <w:t xml:space="preserve">These potential problems are </w:t>
      </w:r>
      <w:r w:rsidRPr="006B4639">
        <w:t xml:space="preserve">discussed in further detail in the remainder of this chapter, which commences with a brief overview of the </w:t>
      </w:r>
      <w:r w:rsidR="00713D85">
        <w:t xml:space="preserve">existing </w:t>
      </w:r>
      <w:r w:rsidR="0095488F">
        <w:t xml:space="preserve">negotiation </w:t>
      </w:r>
      <w:r w:rsidR="00713D85">
        <w:t xml:space="preserve">frameworks </w:t>
      </w:r>
      <w:r w:rsidR="0095488F">
        <w:t xml:space="preserve">and dispute resolution mechanisms. </w:t>
      </w:r>
      <w:r>
        <w:t xml:space="preserve">It then sets out the </w:t>
      </w:r>
      <w:r w:rsidR="00713D85">
        <w:t xml:space="preserve">potential </w:t>
      </w:r>
      <w:r w:rsidRPr="006B4639">
        <w:t xml:space="preserve">problems </w:t>
      </w:r>
      <w:r>
        <w:t xml:space="preserve">that have been </w:t>
      </w:r>
      <w:r w:rsidRPr="006B4639">
        <w:t>identified</w:t>
      </w:r>
      <w:r>
        <w:t xml:space="preserve"> with this aspect of the regulatory framework, the feedback that stakeholders provided on the options identified in the Consultation RIS to address these </w:t>
      </w:r>
      <w:r w:rsidR="00713D85">
        <w:t xml:space="preserve">potential </w:t>
      </w:r>
      <w:r>
        <w:t xml:space="preserve">problems and how this feedback has been taken into account in the development of the reform options. </w:t>
      </w:r>
    </w:p>
    <w:p w14:paraId="4223ADD2" w14:textId="77777777" w:rsidR="007F694E" w:rsidRPr="006B4639" w:rsidRDefault="007F694E" w:rsidP="007F694E">
      <w:pPr>
        <w:pStyle w:val="Heading2"/>
      </w:pPr>
      <w:bookmarkStart w:id="150" w:name="_Ref18557990"/>
      <w:bookmarkStart w:id="151" w:name="_Toc62219419"/>
      <w:r w:rsidRPr="006B4639">
        <w:t>What is the current situation?</w:t>
      </w:r>
      <w:bookmarkEnd w:id="150"/>
      <w:bookmarkEnd w:id="151"/>
    </w:p>
    <w:p w14:paraId="6DD029C7" w14:textId="77777777" w:rsidR="00791126" w:rsidRPr="006B4639" w:rsidRDefault="00791126" w:rsidP="007F694E">
      <w:pPr>
        <w:pStyle w:val="BodyText"/>
      </w:pPr>
      <w:r w:rsidRPr="006B4639">
        <w:t>T</w:t>
      </w:r>
      <w:r w:rsidR="00B84AEF" w:rsidRPr="006B4639">
        <w:t>he regulatory framework</w:t>
      </w:r>
      <w:r w:rsidRPr="006B4639">
        <w:t xml:space="preserve"> currently provides for both:</w:t>
      </w:r>
    </w:p>
    <w:p w14:paraId="65DFA4FC" w14:textId="77777777" w:rsidR="00791126" w:rsidRPr="006B4639" w:rsidRDefault="00791126" w:rsidP="00AD36B8">
      <w:pPr>
        <w:pStyle w:val="ListBullet"/>
      </w:pPr>
      <w:r w:rsidRPr="006B4639">
        <w:t>a regulatory</w:t>
      </w:r>
      <w:r w:rsidR="00A401EE" w:rsidRPr="006B4639">
        <w:t>-</w:t>
      </w:r>
      <w:r w:rsidRPr="006B4639">
        <w:t>oriented negotiate-arbitrate model</w:t>
      </w:r>
      <w:r w:rsidR="0016414A">
        <w:t xml:space="preserve"> </w:t>
      </w:r>
      <w:r w:rsidR="00782640" w:rsidRPr="006B4639">
        <w:t xml:space="preserve">under </w:t>
      </w:r>
      <w:r w:rsidRPr="006B4639">
        <w:t>full and light regulation; and</w:t>
      </w:r>
    </w:p>
    <w:p w14:paraId="4FC954C0" w14:textId="77777777" w:rsidR="00791126" w:rsidRPr="006B4639" w:rsidRDefault="00791126" w:rsidP="00AD36B8">
      <w:pPr>
        <w:pStyle w:val="ListBullet"/>
      </w:pPr>
      <w:r w:rsidRPr="006B4639">
        <w:t>a commercially</w:t>
      </w:r>
      <w:r w:rsidR="00A401EE" w:rsidRPr="006B4639">
        <w:t>-</w:t>
      </w:r>
      <w:r w:rsidRPr="006B4639">
        <w:t>oriented negotiate-arbitrate model</w:t>
      </w:r>
      <w:r w:rsidR="0016414A">
        <w:t xml:space="preserve"> </w:t>
      </w:r>
      <w:r w:rsidR="00782640" w:rsidRPr="006B4639">
        <w:t>under Part 23</w:t>
      </w:r>
      <w:r w:rsidRPr="006B4639">
        <w:t>.</w:t>
      </w:r>
    </w:p>
    <w:p w14:paraId="79C53797" w14:textId="7B4EF72C" w:rsidR="00B031C0" w:rsidRPr="006B4639" w:rsidRDefault="00E2542E" w:rsidP="007F694E">
      <w:pPr>
        <w:pStyle w:val="BodyText"/>
      </w:pPr>
      <w:r w:rsidRPr="006B4639">
        <w:fldChar w:fldCharType="begin" w:fldLock="1"/>
      </w:r>
      <w:r w:rsidRPr="006B4639">
        <w:instrText xml:space="preserve"> REF _Ref17273913 \h </w:instrText>
      </w:r>
      <w:r w:rsidRPr="006B4639">
        <w:fldChar w:fldCharType="separate"/>
      </w:r>
      <w:r w:rsidR="00036405" w:rsidRPr="006B4639">
        <w:t xml:space="preserve">Table </w:t>
      </w:r>
      <w:r w:rsidR="00036405">
        <w:rPr>
          <w:noProof/>
        </w:rPr>
        <w:t>7</w:t>
      </w:r>
      <w:r w:rsidR="00036405">
        <w:t>.</w:t>
      </w:r>
      <w:r w:rsidR="00036405">
        <w:rPr>
          <w:noProof/>
        </w:rPr>
        <w:t>1</w:t>
      </w:r>
      <w:r w:rsidRPr="006B4639">
        <w:fldChar w:fldCharType="end"/>
      </w:r>
      <w:r w:rsidRPr="006B4639">
        <w:t xml:space="preserve"> provides </w:t>
      </w:r>
      <w:r w:rsidR="00137D50" w:rsidRPr="006B4639">
        <w:t xml:space="preserve">an overview of the </w:t>
      </w:r>
      <w:r w:rsidRPr="006B4639">
        <w:t xml:space="preserve">negotiation frameworks </w:t>
      </w:r>
      <w:r w:rsidR="008E06B3" w:rsidRPr="006B4639">
        <w:t xml:space="preserve">and dispute resolution mechanisms </w:t>
      </w:r>
      <w:r w:rsidRPr="006B4639">
        <w:t xml:space="preserve">applying under these two </w:t>
      </w:r>
      <w:r w:rsidR="00400660" w:rsidRPr="006B4639">
        <w:t xml:space="preserve">negotiate-arbitrate </w:t>
      </w:r>
      <w:r w:rsidRPr="006B4639">
        <w:t>models</w:t>
      </w:r>
      <w:r w:rsidR="00BC6A53" w:rsidRPr="006B4639">
        <w:t xml:space="preserve">, while </w:t>
      </w:r>
      <w:fldSimple w:instr=" REF _Ref18255106 " w:fldLock="1">
        <w:r w:rsidR="00036405" w:rsidRPr="006B4639">
          <w:t xml:space="preserve">Box </w:t>
        </w:r>
        <w:r w:rsidR="00036405">
          <w:rPr>
            <w:noProof/>
          </w:rPr>
          <w:t>7</w:t>
        </w:r>
        <w:r w:rsidR="00036405">
          <w:t>.</w:t>
        </w:r>
        <w:r w:rsidR="00036405">
          <w:rPr>
            <w:noProof/>
          </w:rPr>
          <w:t>1</w:t>
        </w:r>
      </w:fldSimple>
      <w:r w:rsidR="008E06B3" w:rsidRPr="006B4639">
        <w:t xml:space="preserve"> sets out the pricing principles </w:t>
      </w:r>
      <w:r w:rsidR="00137D50" w:rsidRPr="006B4639">
        <w:t xml:space="preserve">the relevant dispute resolution body must have regard to </w:t>
      </w:r>
      <w:r w:rsidR="008E06B3" w:rsidRPr="006B4639">
        <w:t xml:space="preserve">under the two </w:t>
      </w:r>
      <w:r w:rsidR="00CC37FC" w:rsidRPr="006B4639">
        <w:t xml:space="preserve">negotiate-arbitrate </w:t>
      </w:r>
      <w:r w:rsidR="008E06B3" w:rsidRPr="006B4639">
        <w:t>models</w:t>
      </w:r>
      <w:r w:rsidRPr="006B4639">
        <w:t>.</w:t>
      </w:r>
      <w:r w:rsidR="00373D36" w:rsidRPr="006B4639">
        <w:t xml:space="preserve"> </w:t>
      </w:r>
    </w:p>
    <w:p w14:paraId="1DF2A700" w14:textId="77777777" w:rsidR="00BC6A53" w:rsidRPr="006B4639" w:rsidRDefault="00BC6A53" w:rsidP="007F694E">
      <w:pPr>
        <w:pStyle w:val="BodyText"/>
      </w:pPr>
    </w:p>
    <w:p w14:paraId="00FD6A52" w14:textId="77777777" w:rsidR="009D2BE9" w:rsidRPr="006B4639" w:rsidRDefault="009D2BE9" w:rsidP="009D2BE9">
      <w:pPr>
        <w:pStyle w:val="Caption"/>
        <w:spacing w:after="0"/>
        <w:sectPr w:rsidR="009D2BE9" w:rsidRPr="006B4639" w:rsidSect="00795317">
          <w:headerReference w:type="default" r:id="rId58"/>
          <w:footerReference w:type="default" r:id="rId59"/>
          <w:pgSz w:w="11907" w:h="16839" w:code="9"/>
          <w:pgMar w:top="1361" w:right="1418" w:bottom="992" w:left="1701" w:header="567" w:footer="397" w:gutter="0"/>
          <w:cols w:space="708"/>
          <w:docGrid w:linePitch="360"/>
        </w:sectPr>
      </w:pPr>
    </w:p>
    <w:p w14:paraId="14E46B90" w14:textId="310B514C" w:rsidR="009D2BE9" w:rsidRPr="006B4639" w:rsidRDefault="009D2BE9" w:rsidP="009D2BE9">
      <w:pPr>
        <w:pStyle w:val="Caption"/>
        <w:spacing w:before="0" w:after="0"/>
      </w:pPr>
      <w:bookmarkStart w:id="152" w:name="_Ref17273913"/>
      <w:r w:rsidRPr="006B4639">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7</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1</w:t>
      </w:r>
      <w:r w:rsidR="00F323B2">
        <w:rPr>
          <w:noProof/>
        </w:rPr>
        <w:fldChar w:fldCharType="end"/>
      </w:r>
      <w:bookmarkEnd w:id="152"/>
      <w:r w:rsidRPr="006B4639">
        <w:t>: Key differences between negotiation and dispute resolution mechanisms</w:t>
      </w:r>
    </w:p>
    <w:tbl>
      <w:tblPr>
        <w:tblStyle w:val="TableGrid"/>
        <w:tblW w:w="5000" w:type="pct"/>
        <w:tblLayout w:type="fixed"/>
        <w:tblLook w:val="0420" w:firstRow="1" w:lastRow="0" w:firstColumn="0" w:lastColumn="0" w:noHBand="0" w:noVBand="1"/>
      </w:tblPr>
      <w:tblGrid>
        <w:gridCol w:w="802"/>
        <w:gridCol w:w="263"/>
        <w:gridCol w:w="1070"/>
        <w:gridCol w:w="5727"/>
        <w:gridCol w:w="5858"/>
      </w:tblGrid>
      <w:tr w:rsidR="009D2BE9" w:rsidRPr="006B4639" w14:paraId="588FCD7F" w14:textId="77777777" w:rsidTr="0097597C">
        <w:trPr>
          <w:cnfStyle w:val="100000000000" w:firstRow="1" w:lastRow="0" w:firstColumn="0" w:lastColumn="0" w:oddVBand="0" w:evenVBand="0" w:oddHBand="0" w:evenHBand="0" w:firstRowFirstColumn="0" w:firstRowLastColumn="0" w:lastRowFirstColumn="0" w:lastRowLastColumn="0"/>
          <w:cantSplit/>
          <w:trHeight w:val="56"/>
          <w:tblHeader/>
        </w:trPr>
        <w:tc>
          <w:tcPr>
            <w:tcW w:w="778" w:type="pct"/>
            <w:gridSpan w:val="3"/>
            <w:tcBorders>
              <w:bottom w:val="single" w:sz="4" w:space="0" w:color="auto"/>
              <w:right w:val="single" w:sz="4" w:space="0" w:color="FFFFFF" w:themeColor="background1"/>
            </w:tcBorders>
            <w:shd w:val="clear" w:color="auto" w:fill="002060"/>
          </w:tcPr>
          <w:p w14:paraId="19FF2764" w14:textId="663E1057" w:rsidR="009D2BE9" w:rsidRPr="006B4639" w:rsidRDefault="0097597C" w:rsidP="0097597C">
            <w:pPr>
              <w:pStyle w:val="TableHeading"/>
              <w:rPr>
                <w:rFonts w:asciiTheme="majorHAnsi" w:hAnsiTheme="majorHAnsi" w:cstheme="majorHAnsi"/>
                <w:sz w:val="17"/>
                <w:szCs w:val="17"/>
                <w:lang w:eastAsia="fr-CA"/>
              </w:rPr>
            </w:pPr>
            <w:r>
              <w:rPr>
                <w:rFonts w:asciiTheme="majorHAnsi" w:hAnsiTheme="majorHAnsi" w:cstheme="majorHAnsi"/>
                <w:sz w:val="17"/>
                <w:szCs w:val="17"/>
                <w:lang w:eastAsia="fr-CA"/>
              </w:rPr>
              <w:t>Element</w:t>
            </w:r>
          </w:p>
        </w:tc>
        <w:tc>
          <w:tcPr>
            <w:tcW w:w="2087" w:type="pct"/>
            <w:tcBorders>
              <w:left w:val="single" w:sz="4" w:space="0" w:color="FFFFFF" w:themeColor="background1"/>
              <w:bottom w:val="single" w:sz="4" w:space="0" w:color="auto"/>
              <w:right w:val="single" w:sz="4" w:space="0" w:color="FFFFFF" w:themeColor="background1"/>
            </w:tcBorders>
            <w:shd w:val="clear" w:color="auto" w:fill="002060"/>
          </w:tcPr>
          <w:p w14:paraId="6C96EF85" w14:textId="77777777" w:rsidR="009D2BE9" w:rsidRPr="006B4639" w:rsidRDefault="009D2BE9" w:rsidP="00B031C0">
            <w:pPr>
              <w:pStyle w:val="TableHeading"/>
              <w:jc w:val="center"/>
              <w:rPr>
                <w:rFonts w:asciiTheme="majorHAnsi" w:hAnsiTheme="majorHAnsi" w:cstheme="majorHAnsi"/>
                <w:sz w:val="17"/>
                <w:szCs w:val="17"/>
                <w:lang w:eastAsia="fr-CA"/>
              </w:rPr>
            </w:pPr>
            <w:r w:rsidRPr="006B4639">
              <w:rPr>
                <w:rFonts w:asciiTheme="majorHAnsi" w:hAnsiTheme="majorHAnsi" w:cstheme="majorHAnsi"/>
                <w:sz w:val="17"/>
                <w:szCs w:val="17"/>
                <w:lang w:eastAsia="fr-CA"/>
              </w:rPr>
              <w:t>Full and light regulation</w:t>
            </w:r>
            <w:r w:rsidR="00DF63AB">
              <w:rPr>
                <w:rFonts w:asciiTheme="majorHAnsi" w:hAnsiTheme="majorHAnsi" w:cstheme="majorHAnsi"/>
                <w:sz w:val="17"/>
                <w:szCs w:val="17"/>
                <w:lang w:eastAsia="fr-CA"/>
              </w:rPr>
              <w:t xml:space="preserve"> (scheme pipelines)</w:t>
            </w:r>
          </w:p>
        </w:tc>
        <w:tc>
          <w:tcPr>
            <w:tcW w:w="2135" w:type="pct"/>
            <w:tcBorders>
              <w:left w:val="single" w:sz="4" w:space="0" w:color="FFFFFF" w:themeColor="background1"/>
              <w:bottom w:val="single" w:sz="4" w:space="0" w:color="auto"/>
            </w:tcBorders>
            <w:shd w:val="clear" w:color="auto" w:fill="002060"/>
          </w:tcPr>
          <w:p w14:paraId="756FAEBF" w14:textId="77777777" w:rsidR="009D2BE9" w:rsidRPr="006B4639" w:rsidRDefault="009D2BE9" w:rsidP="00B031C0">
            <w:pPr>
              <w:pStyle w:val="TableHeading"/>
              <w:jc w:val="center"/>
              <w:rPr>
                <w:rFonts w:asciiTheme="majorHAnsi" w:hAnsiTheme="majorHAnsi" w:cstheme="majorHAnsi"/>
                <w:sz w:val="17"/>
                <w:szCs w:val="17"/>
                <w:lang w:eastAsia="fr-CA"/>
              </w:rPr>
            </w:pPr>
            <w:r w:rsidRPr="006B4639">
              <w:rPr>
                <w:rFonts w:asciiTheme="majorHAnsi" w:hAnsiTheme="majorHAnsi" w:cstheme="majorHAnsi"/>
                <w:sz w:val="17"/>
                <w:szCs w:val="17"/>
                <w:lang w:eastAsia="fr-CA"/>
              </w:rPr>
              <w:t>Part 23</w:t>
            </w:r>
            <w:r w:rsidR="00DF63AB">
              <w:rPr>
                <w:rFonts w:asciiTheme="majorHAnsi" w:hAnsiTheme="majorHAnsi" w:cstheme="majorHAnsi"/>
                <w:sz w:val="17"/>
                <w:szCs w:val="17"/>
                <w:lang w:eastAsia="fr-CA"/>
              </w:rPr>
              <w:t xml:space="preserve"> (non-scheme pipelines)</w:t>
            </w:r>
          </w:p>
        </w:tc>
      </w:tr>
      <w:tr w:rsidR="009D2BE9" w:rsidRPr="006B4639" w14:paraId="586AEF1C" w14:textId="77777777" w:rsidTr="0097597C">
        <w:trPr>
          <w:cantSplit/>
        </w:trPr>
        <w:tc>
          <w:tcPr>
            <w:tcW w:w="5000" w:type="pct"/>
            <w:gridSpan w:val="5"/>
            <w:shd w:val="clear" w:color="auto" w:fill="65697F" w:themeFill="background2" w:themeFillShade="80"/>
          </w:tcPr>
          <w:p w14:paraId="1FCB6192" w14:textId="77777777" w:rsidR="009D2BE9" w:rsidRPr="006B4639" w:rsidRDefault="009D2BE9" w:rsidP="00B031C0">
            <w:pPr>
              <w:pStyle w:val="TableBodyText"/>
              <w:jc w:val="center"/>
              <w:rPr>
                <w:rFonts w:asciiTheme="majorHAnsi" w:hAnsiTheme="majorHAnsi" w:cstheme="majorHAnsi"/>
                <w:b/>
                <w:bCs/>
                <w:color w:val="FFFFFF" w:themeColor="background1"/>
                <w:sz w:val="17"/>
                <w:szCs w:val="17"/>
                <w:lang w:eastAsia="fr-CA"/>
              </w:rPr>
            </w:pPr>
            <w:r w:rsidRPr="006B4639">
              <w:rPr>
                <w:rFonts w:asciiTheme="majorHAnsi" w:hAnsiTheme="majorHAnsi" w:cstheme="majorHAnsi"/>
                <w:b/>
                <w:bCs/>
                <w:color w:val="FFFFFF" w:themeColor="background1"/>
                <w:sz w:val="17"/>
                <w:szCs w:val="17"/>
                <w:lang w:eastAsia="fr-CA"/>
              </w:rPr>
              <w:t>Negotiation frameworks</w:t>
            </w:r>
          </w:p>
        </w:tc>
      </w:tr>
      <w:tr w:rsidR="00A61CE7" w:rsidRPr="006B4639" w14:paraId="4B9E1867" w14:textId="77777777" w:rsidTr="0097597C">
        <w:trPr>
          <w:cnfStyle w:val="000000010000" w:firstRow="0" w:lastRow="0" w:firstColumn="0" w:lastColumn="0" w:oddVBand="0" w:evenVBand="0" w:oddHBand="0" w:evenHBand="1" w:firstRowFirstColumn="0" w:firstRowLastColumn="0" w:lastRowFirstColumn="0" w:lastRowLastColumn="0"/>
          <w:cantSplit/>
          <w:trHeight w:val="562"/>
        </w:trPr>
        <w:tc>
          <w:tcPr>
            <w:tcW w:w="388" w:type="pct"/>
            <w:gridSpan w:val="2"/>
            <w:vMerge w:val="restart"/>
            <w:tcBorders>
              <w:right w:val="single" w:sz="4" w:space="0" w:color="auto"/>
            </w:tcBorders>
          </w:tcPr>
          <w:p w14:paraId="1963F38B" w14:textId="77777777" w:rsidR="00A61CE7" w:rsidRPr="006B4639" w:rsidRDefault="00A61CE7"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Negotiation process</w:t>
            </w:r>
          </w:p>
        </w:tc>
        <w:tc>
          <w:tcPr>
            <w:tcW w:w="390" w:type="pct"/>
            <w:tcBorders>
              <w:right w:val="single" w:sz="4" w:space="0" w:color="auto"/>
            </w:tcBorders>
          </w:tcPr>
          <w:p w14:paraId="2A82E454" w14:textId="77777777" w:rsidR="00A61CE7" w:rsidRPr="006B4639" w:rsidRDefault="00A61CE7"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User access guide</w:t>
            </w:r>
          </w:p>
        </w:tc>
        <w:tc>
          <w:tcPr>
            <w:tcW w:w="2087" w:type="pct"/>
            <w:tcBorders>
              <w:left w:val="single" w:sz="4" w:space="0" w:color="auto"/>
              <w:bottom w:val="single" w:sz="4" w:space="0" w:color="auto"/>
            </w:tcBorders>
          </w:tcPr>
          <w:p w14:paraId="7A7E3345" w14:textId="77777777" w:rsidR="00A61CE7" w:rsidRPr="006B4639" w:rsidRDefault="00A61CE7" w:rsidP="00B031C0">
            <w:pPr>
              <w:pStyle w:val="TableBullet10"/>
              <w:numPr>
                <w:ilvl w:val="0"/>
                <w:numId w:val="0"/>
              </w:numPr>
              <w:ind w:left="85"/>
              <w:rPr>
                <w:rFonts w:asciiTheme="majorHAnsi" w:hAnsiTheme="majorHAnsi" w:cstheme="majorHAnsi"/>
                <w:sz w:val="17"/>
                <w:szCs w:val="17"/>
                <w:lang w:eastAsia="fr-CA"/>
              </w:rPr>
            </w:pPr>
            <w:r w:rsidRPr="006B4639">
              <w:rPr>
                <w:rFonts w:asciiTheme="majorHAnsi" w:hAnsiTheme="majorHAnsi" w:cstheme="majorHAnsi"/>
                <w:sz w:val="17"/>
                <w:szCs w:val="17"/>
                <w:lang w:eastAsia="fr-CA"/>
              </w:rPr>
              <w:t>n.a.</w:t>
            </w:r>
          </w:p>
        </w:tc>
        <w:tc>
          <w:tcPr>
            <w:tcW w:w="2135" w:type="pct"/>
            <w:tcBorders>
              <w:bottom w:val="single" w:sz="4" w:space="0" w:color="auto"/>
            </w:tcBorders>
          </w:tcPr>
          <w:p w14:paraId="5681C637" w14:textId="77777777" w:rsidR="00A61CE7" w:rsidRPr="006B4639" w:rsidRDefault="00A61CE7" w:rsidP="00B031C0">
            <w:pPr>
              <w:pStyle w:val="TableBullet10"/>
              <w:numPr>
                <w:ilvl w:val="0"/>
                <w:numId w:val="0"/>
              </w:numPr>
              <w:ind w:left="85"/>
              <w:rPr>
                <w:rFonts w:asciiTheme="majorHAnsi" w:hAnsiTheme="majorHAnsi" w:cstheme="majorHAnsi"/>
                <w:b/>
                <w:bCs/>
                <w:sz w:val="17"/>
                <w:szCs w:val="17"/>
                <w:lang w:eastAsia="fr-CA"/>
              </w:rPr>
            </w:pPr>
            <w:r w:rsidRPr="006B4639">
              <w:rPr>
                <w:rFonts w:asciiTheme="majorHAnsi" w:hAnsiTheme="majorHAnsi" w:cstheme="majorHAnsi"/>
                <w:sz w:val="17"/>
                <w:szCs w:val="17"/>
                <w:lang w:eastAsia="fr-CA"/>
              </w:rPr>
              <w:t>Service providers must publish a user access guide</w:t>
            </w:r>
            <w:r w:rsidR="00EB63DF" w:rsidRPr="006B4639">
              <w:rPr>
                <w:rFonts w:asciiTheme="majorHAnsi" w:hAnsiTheme="majorHAnsi" w:cstheme="majorHAnsi"/>
                <w:sz w:val="17"/>
                <w:szCs w:val="17"/>
                <w:lang w:eastAsia="fr-CA"/>
              </w:rPr>
              <w:t xml:space="preserve"> to assist shippers seeking access to the pipeline </w:t>
            </w:r>
            <w:r w:rsidRPr="006B4639">
              <w:rPr>
                <w:rFonts w:asciiTheme="majorHAnsi" w:hAnsiTheme="majorHAnsi" w:cstheme="majorHAnsi"/>
                <w:sz w:val="17"/>
                <w:szCs w:val="17"/>
                <w:lang w:eastAsia="fr-CA"/>
              </w:rPr>
              <w:t>(</w:t>
            </w:r>
            <w:r w:rsidR="00C73EAE">
              <w:rPr>
                <w:rFonts w:asciiTheme="majorHAnsi" w:hAnsiTheme="majorHAnsi" w:cstheme="majorHAnsi"/>
                <w:sz w:val="17"/>
                <w:szCs w:val="17"/>
                <w:lang w:eastAsia="fr-CA"/>
              </w:rPr>
              <w:t xml:space="preserve">rule </w:t>
            </w:r>
            <w:r w:rsidRPr="006B4639">
              <w:rPr>
                <w:rFonts w:asciiTheme="majorHAnsi" w:hAnsiTheme="majorHAnsi" w:cstheme="majorHAnsi"/>
                <w:sz w:val="17"/>
                <w:szCs w:val="17"/>
                <w:lang w:eastAsia="fr-CA"/>
              </w:rPr>
              <w:t xml:space="preserve">558 of NGR). </w:t>
            </w:r>
          </w:p>
        </w:tc>
      </w:tr>
      <w:tr w:rsidR="00A61CE7" w:rsidRPr="006B4639" w14:paraId="54BA6137" w14:textId="77777777" w:rsidTr="0097597C">
        <w:trPr>
          <w:cantSplit/>
          <w:trHeight w:val="516"/>
        </w:trPr>
        <w:tc>
          <w:tcPr>
            <w:tcW w:w="388" w:type="pct"/>
            <w:gridSpan w:val="2"/>
            <w:vMerge/>
            <w:tcBorders>
              <w:right w:val="single" w:sz="4" w:space="0" w:color="auto"/>
            </w:tcBorders>
          </w:tcPr>
          <w:p w14:paraId="0B1AFAE4" w14:textId="77777777" w:rsidR="00A61CE7" w:rsidRPr="006B4639" w:rsidRDefault="00A61CE7" w:rsidP="00B031C0">
            <w:pPr>
              <w:pStyle w:val="TableBodyText"/>
              <w:rPr>
                <w:rFonts w:asciiTheme="majorHAnsi" w:hAnsiTheme="majorHAnsi" w:cstheme="majorHAnsi"/>
                <w:sz w:val="17"/>
                <w:szCs w:val="17"/>
                <w:lang w:eastAsia="fr-CA"/>
              </w:rPr>
            </w:pPr>
          </w:p>
        </w:tc>
        <w:tc>
          <w:tcPr>
            <w:tcW w:w="390" w:type="pct"/>
            <w:tcBorders>
              <w:right w:val="single" w:sz="4" w:space="0" w:color="auto"/>
            </w:tcBorders>
          </w:tcPr>
          <w:p w14:paraId="2517BDA5" w14:textId="77777777" w:rsidR="00A61CE7" w:rsidRPr="006B4639" w:rsidRDefault="00A61CE7"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Access request</w:t>
            </w:r>
          </w:p>
        </w:tc>
        <w:tc>
          <w:tcPr>
            <w:tcW w:w="2087" w:type="pct"/>
            <w:tcBorders>
              <w:left w:val="single" w:sz="4" w:space="0" w:color="auto"/>
              <w:bottom w:val="single" w:sz="4" w:space="0" w:color="auto"/>
            </w:tcBorders>
            <w:shd w:val="clear" w:color="auto" w:fill="FFFFFF" w:themeFill="background1"/>
          </w:tcPr>
          <w:p w14:paraId="1AD31AFE" w14:textId="77777777" w:rsidR="00A61CE7" w:rsidRPr="006B4639" w:rsidRDefault="00A61CE7" w:rsidP="00B031C0">
            <w:pPr>
              <w:pStyle w:val="TableBullet10"/>
              <w:numPr>
                <w:ilvl w:val="0"/>
                <w:numId w:val="0"/>
              </w:numPr>
              <w:ind w:left="85"/>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Shippers may make access requests, which must be in writing and contain the information set out in </w:t>
            </w:r>
            <w:r w:rsidR="00C73EAE">
              <w:rPr>
                <w:rFonts w:asciiTheme="majorHAnsi" w:hAnsiTheme="majorHAnsi" w:cstheme="majorHAnsi"/>
                <w:sz w:val="17"/>
                <w:szCs w:val="17"/>
                <w:lang w:eastAsia="fr-CA"/>
              </w:rPr>
              <w:t xml:space="preserve">rule </w:t>
            </w:r>
            <w:r w:rsidRPr="006B4639">
              <w:rPr>
                <w:rFonts w:asciiTheme="majorHAnsi" w:hAnsiTheme="majorHAnsi" w:cstheme="majorHAnsi"/>
                <w:sz w:val="17"/>
                <w:szCs w:val="17"/>
                <w:lang w:eastAsia="fr-CA"/>
              </w:rPr>
              <w:t xml:space="preserve">112 of NGR. </w:t>
            </w:r>
          </w:p>
        </w:tc>
        <w:tc>
          <w:tcPr>
            <w:tcW w:w="2135" w:type="pct"/>
            <w:tcBorders>
              <w:bottom w:val="single" w:sz="4" w:space="0" w:color="auto"/>
            </w:tcBorders>
            <w:shd w:val="clear" w:color="auto" w:fill="FFFFFF" w:themeFill="background1"/>
          </w:tcPr>
          <w:p w14:paraId="2FBF30A8" w14:textId="77777777" w:rsidR="00A61CE7" w:rsidRPr="006B4639" w:rsidRDefault="00A61CE7" w:rsidP="00B031C0">
            <w:pPr>
              <w:pStyle w:val="TableBullet10"/>
              <w:numPr>
                <w:ilvl w:val="0"/>
                <w:numId w:val="0"/>
              </w:numPr>
              <w:ind w:left="85"/>
              <w:rPr>
                <w:rFonts w:asciiTheme="majorHAnsi" w:hAnsiTheme="majorHAnsi" w:cstheme="majorHAnsi"/>
                <w:sz w:val="17"/>
                <w:szCs w:val="17"/>
                <w:lang w:eastAsia="fr-CA"/>
              </w:rPr>
            </w:pPr>
            <w:r w:rsidRPr="006B4639">
              <w:rPr>
                <w:rFonts w:asciiTheme="majorHAnsi" w:hAnsiTheme="majorHAnsi" w:cstheme="majorHAnsi"/>
                <w:sz w:val="17"/>
                <w:szCs w:val="17"/>
                <w:lang w:eastAsia="fr-CA"/>
              </w:rPr>
              <w:t>Shippers may make preliminary enquiries before an access request. Access requests must be in writing and include the information “reasonably required” for the service provider to respond (</w:t>
            </w:r>
            <w:r w:rsidR="00C73EAE">
              <w:rPr>
                <w:rFonts w:asciiTheme="majorHAnsi" w:hAnsiTheme="majorHAnsi" w:cstheme="majorHAnsi"/>
                <w:sz w:val="17"/>
                <w:szCs w:val="17"/>
                <w:lang w:eastAsia="fr-CA"/>
              </w:rPr>
              <w:t xml:space="preserve">rule </w:t>
            </w:r>
            <w:r w:rsidRPr="006B4639">
              <w:rPr>
                <w:rFonts w:asciiTheme="majorHAnsi" w:hAnsiTheme="majorHAnsi" w:cstheme="majorHAnsi"/>
                <w:sz w:val="17"/>
                <w:szCs w:val="17"/>
                <w:lang w:eastAsia="fr-CA"/>
              </w:rPr>
              <w:t xml:space="preserve">559 of NGR). </w:t>
            </w:r>
          </w:p>
        </w:tc>
      </w:tr>
      <w:tr w:rsidR="00A61CE7" w:rsidRPr="006B4639" w14:paraId="6C683D7D" w14:textId="77777777" w:rsidTr="0097597C">
        <w:trPr>
          <w:cnfStyle w:val="000000010000" w:firstRow="0" w:lastRow="0" w:firstColumn="0" w:lastColumn="0" w:oddVBand="0" w:evenVBand="0" w:oddHBand="0" w:evenHBand="1" w:firstRowFirstColumn="0" w:firstRowLastColumn="0" w:lastRowFirstColumn="0" w:lastRowLastColumn="0"/>
          <w:cantSplit/>
          <w:trHeight w:val="887"/>
        </w:trPr>
        <w:tc>
          <w:tcPr>
            <w:tcW w:w="388" w:type="pct"/>
            <w:gridSpan w:val="2"/>
            <w:vMerge/>
            <w:tcBorders>
              <w:right w:val="single" w:sz="4" w:space="0" w:color="auto"/>
            </w:tcBorders>
          </w:tcPr>
          <w:p w14:paraId="0D306010" w14:textId="77777777" w:rsidR="00A61CE7" w:rsidRPr="006B4639" w:rsidRDefault="00A61CE7" w:rsidP="00B031C0">
            <w:pPr>
              <w:pStyle w:val="TableBodyText"/>
              <w:rPr>
                <w:rFonts w:asciiTheme="majorHAnsi" w:hAnsiTheme="majorHAnsi" w:cstheme="majorHAnsi"/>
                <w:sz w:val="17"/>
                <w:szCs w:val="17"/>
                <w:lang w:eastAsia="fr-CA"/>
              </w:rPr>
            </w:pPr>
          </w:p>
        </w:tc>
        <w:tc>
          <w:tcPr>
            <w:tcW w:w="390" w:type="pct"/>
            <w:tcBorders>
              <w:left w:val="single" w:sz="4" w:space="0" w:color="auto"/>
            </w:tcBorders>
          </w:tcPr>
          <w:p w14:paraId="13E1FA91" w14:textId="77777777" w:rsidR="00A61CE7" w:rsidRPr="006B4639" w:rsidRDefault="00BF417E"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Access offer</w:t>
            </w:r>
          </w:p>
        </w:tc>
        <w:tc>
          <w:tcPr>
            <w:tcW w:w="2087" w:type="pct"/>
            <w:tcBorders>
              <w:bottom w:val="single" w:sz="4" w:space="0" w:color="auto"/>
            </w:tcBorders>
          </w:tcPr>
          <w:p w14:paraId="5F563B5B" w14:textId="77777777" w:rsidR="00A61CE7" w:rsidRPr="006B4639" w:rsidRDefault="00A61CE7" w:rsidP="00B031C0">
            <w:pPr>
              <w:pStyle w:val="TableBullet10"/>
              <w:numPr>
                <w:ilvl w:val="0"/>
                <w:numId w:val="0"/>
              </w:numPr>
              <w:ind w:left="85"/>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Service providers must respond in accordance with the timeframes set out in </w:t>
            </w:r>
            <w:r w:rsidR="00C73EAE">
              <w:rPr>
                <w:rFonts w:asciiTheme="majorHAnsi" w:hAnsiTheme="majorHAnsi" w:cstheme="majorHAnsi"/>
                <w:sz w:val="17"/>
                <w:szCs w:val="17"/>
                <w:lang w:eastAsia="fr-CA"/>
              </w:rPr>
              <w:t xml:space="preserve">rule </w:t>
            </w:r>
            <w:r w:rsidRPr="006B4639">
              <w:rPr>
                <w:rFonts w:asciiTheme="majorHAnsi" w:hAnsiTheme="majorHAnsi" w:cstheme="majorHAnsi"/>
                <w:sz w:val="17"/>
                <w:szCs w:val="17"/>
                <w:lang w:eastAsia="fr-CA"/>
              </w:rPr>
              <w:t>112 of NGR (i.e. access proposal required in 25 business days if no further investigation required or 40 business days if investigations are required - these times can be extended by agreement).</w:t>
            </w:r>
          </w:p>
        </w:tc>
        <w:tc>
          <w:tcPr>
            <w:tcW w:w="2135" w:type="pct"/>
            <w:tcBorders>
              <w:bottom w:val="single" w:sz="4" w:space="0" w:color="auto"/>
            </w:tcBorders>
          </w:tcPr>
          <w:p w14:paraId="0A2FF21F" w14:textId="77777777" w:rsidR="00A61CE7" w:rsidRPr="006B4639" w:rsidRDefault="00A61CE7" w:rsidP="00B031C0">
            <w:pPr>
              <w:pStyle w:val="TableBullet10"/>
              <w:numPr>
                <w:ilvl w:val="0"/>
                <w:numId w:val="0"/>
              </w:numPr>
              <w:ind w:left="85"/>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Service providers must respond to access requests in accordance with the timeframes set out in </w:t>
            </w:r>
            <w:r w:rsidR="00C73EAE">
              <w:rPr>
                <w:rFonts w:asciiTheme="majorHAnsi" w:hAnsiTheme="majorHAnsi" w:cstheme="majorHAnsi"/>
                <w:sz w:val="17"/>
                <w:szCs w:val="17"/>
                <w:lang w:eastAsia="fr-CA"/>
              </w:rPr>
              <w:t xml:space="preserve">rule </w:t>
            </w:r>
            <w:r w:rsidRPr="006B4639">
              <w:rPr>
                <w:rFonts w:asciiTheme="majorHAnsi" w:hAnsiTheme="majorHAnsi" w:cstheme="majorHAnsi"/>
                <w:sz w:val="17"/>
                <w:szCs w:val="17"/>
                <w:lang w:eastAsia="fr-CA"/>
              </w:rPr>
              <w:t>560 of NGR (i.e. response required in 20 business days if no further investigation required or 60 business days if investigation required – these times can be extended by agreement).</w:t>
            </w:r>
          </w:p>
        </w:tc>
      </w:tr>
      <w:tr w:rsidR="00A61CE7" w:rsidRPr="006B4639" w14:paraId="46AAA86B" w14:textId="77777777" w:rsidTr="0097597C">
        <w:trPr>
          <w:cantSplit/>
          <w:trHeight w:val="887"/>
        </w:trPr>
        <w:tc>
          <w:tcPr>
            <w:tcW w:w="388" w:type="pct"/>
            <w:gridSpan w:val="2"/>
            <w:vMerge/>
            <w:tcBorders>
              <w:right w:val="single" w:sz="4" w:space="0" w:color="auto"/>
            </w:tcBorders>
          </w:tcPr>
          <w:p w14:paraId="760BE762" w14:textId="77777777" w:rsidR="00A61CE7" w:rsidRPr="006B4639" w:rsidRDefault="00A61CE7" w:rsidP="00B031C0">
            <w:pPr>
              <w:pStyle w:val="TableBodyText"/>
              <w:rPr>
                <w:rFonts w:asciiTheme="majorHAnsi" w:hAnsiTheme="majorHAnsi" w:cstheme="majorHAnsi"/>
                <w:sz w:val="17"/>
                <w:szCs w:val="17"/>
                <w:lang w:eastAsia="fr-CA"/>
              </w:rPr>
            </w:pPr>
          </w:p>
        </w:tc>
        <w:tc>
          <w:tcPr>
            <w:tcW w:w="390" w:type="pct"/>
            <w:tcBorders>
              <w:right w:val="single" w:sz="4" w:space="0" w:color="auto"/>
            </w:tcBorders>
          </w:tcPr>
          <w:p w14:paraId="41B887EC" w14:textId="77777777" w:rsidR="00A61CE7" w:rsidRPr="006B4639" w:rsidRDefault="00A61CE7"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Negotiation</w:t>
            </w:r>
          </w:p>
        </w:tc>
        <w:tc>
          <w:tcPr>
            <w:tcW w:w="2087" w:type="pct"/>
            <w:tcBorders>
              <w:left w:val="single" w:sz="4" w:space="0" w:color="auto"/>
              <w:bottom w:val="single" w:sz="4" w:space="0" w:color="auto"/>
            </w:tcBorders>
            <w:shd w:val="clear" w:color="auto" w:fill="FFFFFF" w:themeFill="background1"/>
          </w:tcPr>
          <w:p w14:paraId="5F43432C" w14:textId="77777777" w:rsidR="00A61CE7" w:rsidRPr="006B4639" w:rsidRDefault="00A61CE7" w:rsidP="00B031C0">
            <w:pPr>
              <w:pStyle w:val="TableBullet10"/>
              <w:numPr>
                <w:ilvl w:val="0"/>
                <w:numId w:val="0"/>
              </w:numPr>
              <w:ind w:left="85"/>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The </w:t>
            </w:r>
            <w:r w:rsidR="00BD4F97" w:rsidRPr="006B4639">
              <w:rPr>
                <w:rFonts w:asciiTheme="majorHAnsi" w:hAnsiTheme="majorHAnsi" w:cstheme="majorHAnsi"/>
                <w:sz w:val="17"/>
                <w:szCs w:val="17"/>
                <w:lang w:eastAsia="fr-CA"/>
              </w:rPr>
              <w:t xml:space="preserve">number </w:t>
            </w:r>
            <w:r w:rsidRPr="006B4639">
              <w:rPr>
                <w:rFonts w:asciiTheme="majorHAnsi" w:hAnsiTheme="majorHAnsi" w:cstheme="majorHAnsi"/>
                <w:sz w:val="17"/>
                <w:szCs w:val="17"/>
                <w:lang w:eastAsia="fr-CA"/>
              </w:rPr>
              <w:t xml:space="preserve">of days each party has to respond following the access request and response process are set out in </w:t>
            </w:r>
            <w:r w:rsidR="00C73EAE">
              <w:rPr>
                <w:rFonts w:asciiTheme="majorHAnsi" w:hAnsiTheme="majorHAnsi" w:cstheme="majorHAnsi"/>
                <w:sz w:val="17"/>
                <w:szCs w:val="17"/>
                <w:lang w:eastAsia="fr-CA"/>
              </w:rPr>
              <w:t xml:space="preserve">rule </w:t>
            </w:r>
            <w:r w:rsidRPr="006B4639">
              <w:rPr>
                <w:rFonts w:asciiTheme="majorHAnsi" w:hAnsiTheme="majorHAnsi" w:cstheme="majorHAnsi"/>
                <w:sz w:val="17"/>
                <w:szCs w:val="17"/>
                <w:lang w:eastAsia="fr-CA"/>
              </w:rPr>
              <w:t>112 of NGR. This rule also states that if the service provider’s proposal is not agreed to within the specified time, the service provider is taken to have rejected the request. This can act as the trigger for a dispute.</w:t>
            </w:r>
          </w:p>
        </w:tc>
        <w:tc>
          <w:tcPr>
            <w:tcW w:w="2135" w:type="pct"/>
            <w:tcBorders>
              <w:bottom w:val="single" w:sz="4" w:space="0" w:color="auto"/>
            </w:tcBorders>
            <w:shd w:val="clear" w:color="auto" w:fill="FFFFFF" w:themeFill="background1"/>
          </w:tcPr>
          <w:p w14:paraId="3274D20A" w14:textId="77777777" w:rsidR="00A61CE7" w:rsidRPr="006B4639" w:rsidRDefault="00A61CE7" w:rsidP="00B031C0">
            <w:pPr>
              <w:pStyle w:val="TableBullet10"/>
              <w:numPr>
                <w:ilvl w:val="0"/>
                <w:numId w:val="0"/>
              </w:numPr>
              <w:ind w:left="85"/>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A shipper that has made an access request under </w:t>
            </w:r>
            <w:r w:rsidR="00C73EAE">
              <w:rPr>
                <w:rFonts w:asciiTheme="majorHAnsi" w:hAnsiTheme="majorHAnsi" w:cstheme="majorHAnsi"/>
                <w:sz w:val="17"/>
                <w:szCs w:val="17"/>
                <w:lang w:eastAsia="fr-CA"/>
              </w:rPr>
              <w:t xml:space="preserve">rule </w:t>
            </w:r>
            <w:r w:rsidRPr="006B4639">
              <w:rPr>
                <w:rFonts w:asciiTheme="majorHAnsi" w:hAnsiTheme="majorHAnsi" w:cstheme="majorHAnsi"/>
                <w:sz w:val="17"/>
                <w:szCs w:val="17"/>
                <w:lang w:eastAsia="fr-CA"/>
              </w:rPr>
              <w:t>559 of NGR may by notice to the service provider request negotiations. If a notice is issued, the parties must agree on a timetable for negotiations and comply with the exchange of information provisions (</w:t>
            </w:r>
            <w:r w:rsidR="00C73EAE">
              <w:rPr>
                <w:rFonts w:asciiTheme="majorHAnsi" w:hAnsiTheme="majorHAnsi" w:cstheme="majorHAnsi"/>
                <w:sz w:val="17"/>
                <w:szCs w:val="17"/>
                <w:lang w:eastAsia="fr-CA"/>
              </w:rPr>
              <w:t xml:space="preserve">rule </w:t>
            </w:r>
            <w:r w:rsidRPr="006B4639">
              <w:rPr>
                <w:rFonts w:asciiTheme="majorHAnsi" w:hAnsiTheme="majorHAnsi" w:cstheme="majorHAnsi"/>
                <w:sz w:val="17"/>
                <w:szCs w:val="17"/>
                <w:lang w:eastAsia="fr-CA"/>
              </w:rPr>
              <w:t>561 of NGR). They must also negotiate in good faith (s.216G of NGL) .</w:t>
            </w:r>
          </w:p>
        </w:tc>
      </w:tr>
      <w:tr w:rsidR="00A61CE7" w:rsidRPr="006B4639" w14:paraId="18FD67DA" w14:textId="77777777" w:rsidTr="0097597C">
        <w:trPr>
          <w:cnfStyle w:val="000000010000" w:firstRow="0" w:lastRow="0" w:firstColumn="0" w:lastColumn="0" w:oddVBand="0" w:evenVBand="0" w:oddHBand="0" w:evenHBand="1" w:firstRowFirstColumn="0" w:firstRowLastColumn="0" w:lastRowFirstColumn="0" w:lastRowLastColumn="0"/>
          <w:cantSplit/>
          <w:trHeight w:val="887"/>
        </w:trPr>
        <w:tc>
          <w:tcPr>
            <w:tcW w:w="388" w:type="pct"/>
            <w:gridSpan w:val="2"/>
            <w:vMerge/>
            <w:tcBorders>
              <w:bottom w:val="single" w:sz="4" w:space="0" w:color="auto"/>
              <w:right w:val="single" w:sz="4" w:space="0" w:color="auto"/>
            </w:tcBorders>
          </w:tcPr>
          <w:p w14:paraId="1C0BE219" w14:textId="77777777" w:rsidR="00A61CE7" w:rsidRPr="006B4639" w:rsidRDefault="00A61CE7" w:rsidP="00B031C0">
            <w:pPr>
              <w:pStyle w:val="TableBodyText"/>
              <w:rPr>
                <w:rFonts w:asciiTheme="majorHAnsi" w:hAnsiTheme="majorHAnsi" w:cstheme="majorHAnsi"/>
                <w:sz w:val="17"/>
                <w:szCs w:val="17"/>
                <w:lang w:eastAsia="fr-CA"/>
              </w:rPr>
            </w:pPr>
          </w:p>
        </w:tc>
        <w:tc>
          <w:tcPr>
            <w:tcW w:w="390" w:type="pct"/>
            <w:tcBorders>
              <w:left w:val="single" w:sz="4" w:space="0" w:color="auto"/>
              <w:bottom w:val="single" w:sz="4" w:space="0" w:color="auto"/>
            </w:tcBorders>
          </w:tcPr>
          <w:p w14:paraId="0EED88AA" w14:textId="77777777" w:rsidR="00A61CE7" w:rsidRPr="006B4639" w:rsidRDefault="003619F8"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Ability of shipper to seek additional information </w:t>
            </w:r>
          </w:p>
        </w:tc>
        <w:tc>
          <w:tcPr>
            <w:tcW w:w="2087" w:type="pct"/>
            <w:tcBorders>
              <w:bottom w:val="single" w:sz="4" w:space="0" w:color="auto"/>
            </w:tcBorders>
          </w:tcPr>
          <w:p w14:paraId="49A0A259" w14:textId="77777777" w:rsidR="00A61CE7" w:rsidRPr="006B4639" w:rsidRDefault="00A61CE7" w:rsidP="00B031C0">
            <w:pPr>
              <w:pStyle w:val="TableBullet10"/>
              <w:numPr>
                <w:ilvl w:val="0"/>
                <w:numId w:val="0"/>
              </w:numPr>
              <w:ind w:left="85"/>
              <w:rPr>
                <w:rFonts w:asciiTheme="majorHAnsi" w:hAnsiTheme="majorHAnsi" w:cstheme="majorHAnsi"/>
                <w:b/>
                <w:bCs/>
                <w:sz w:val="17"/>
                <w:szCs w:val="17"/>
                <w:lang w:eastAsia="fr-CA"/>
              </w:rPr>
            </w:pPr>
            <w:r w:rsidRPr="006B4639">
              <w:rPr>
                <w:rFonts w:asciiTheme="majorHAnsi" w:hAnsiTheme="majorHAnsi" w:cstheme="majorHAnsi"/>
                <w:sz w:val="17"/>
                <w:szCs w:val="17"/>
                <w:lang w:eastAsia="fr-CA"/>
              </w:rPr>
              <w:t xml:space="preserve">There is no formal process for </w:t>
            </w:r>
            <w:r w:rsidR="003619F8" w:rsidRPr="006B4639">
              <w:rPr>
                <w:rFonts w:asciiTheme="majorHAnsi" w:hAnsiTheme="majorHAnsi" w:cstheme="majorHAnsi"/>
                <w:sz w:val="17"/>
                <w:szCs w:val="17"/>
                <w:lang w:eastAsia="fr-CA"/>
              </w:rPr>
              <w:t xml:space="preserve">a shipper to seek information from a service provider </w:t>
            </w:r>
            <w:r w:rsidRPr="006B4639">
              <w:rPr>
                <w:rFonts w:asciiTheme="majorHAnsi" w:hAnsiTheme="majorHAnsi" w:cstheme="majorHAnsi"/>
                <w:sz w:val="17"/>
                <w:szCs w:val="17"/>
                <w:lang w:eastAsia="fr-CA"/>
              </w:rPr>
              <w:t xml:space="preserve">during negotiations, but </w:t>
            </w:r>
            <w:r w:rsidR="00C73EAE">
              <w:rPr>
                <w:rFonts w:asciiTheme="majorHAnsi" w:hAnsiTheme="majorHAnsi" w:cstheme="majorHAnsi"/>
                <w:sz w:val="17"/>
                <w:szCs w:val="17"/>
                <w:lang w:eastAsia="fr-CA"/>
              </w:rPr>
              <w:t xml:space="preserve">rule </w:t>
            </w:r>
            <w:r w:rsidRPr="006B4639">
              <w:rPr>
                <w:rFonts w:asciiTheme="majorHAnsi" w:hAnsiTheme="majorHAnsi" w:cstheme="majorHAnsi"/>
                <w:sz w:val="17"/>
                <w:szCs w:val="17"/>
                <w:lang w:eastAsia="fr-CA"/>
              </w:rPr>
              <w:t xml:space="preserve">107 of NGR allows the relevant </w:t>
            </w:r>
            <w:r w:rsidRPr="006B4639">
              <w:rPr>
                <w:rFonts w:asciiTheme="majorHAnsi" w:hAnsiTheme="majorHAnsi" w:cstheme="majorHAnsi"/>
                <w:sz w:val="17"/>
                <w:szCs w:val="17"/>
              </w:rPr>
              <w:t>regulator, at the shipper’s request, to issue a notice to a service provider requiring them to provide the shipper with information if it is reasonably required to decide whether to seek access to a service.</w:t>
            </w:r>
          </w:p>
        </w:tc>
        <w:tc>
          <w:tcPr>
            <w:tcW w:w="2135" w:type="pct"/>
            <w:tcBorders>
              <w:bottom w:val="single" w:sz="4" w:space="0" w:color="auto"/>
            </w:tcBorders>
          </w:tcPr>
          <w:p w14:paraId="3280F9D6" w14:textId="77777777" w:rsidR="00A61CE7" w:rsidRPr="006B4639" w:rsidRDefault="00A61CE7" w:rsidP="00B031C0">
            <w:pPr>
              <w:pStyle w:val="TableBullet10"/>
              <w:numPr>
                <w:ilvl w:val="0"/>
                <w:numId w:val="0"/>
              </w:numPr>
              <w:ind w:left="85"/>
              <w:rPr>
                <w:rFonts w:asciiTheme="majorHAnsi" w:hAnsiTheme="majorHAnsi" w:cstheme="majorHAnsi"/>
                <w:b/>
                <w:bCs/>
                <w:sz w:val="17"/>
                <w:szCs w:val="17"/>
                <w:lang w:eastAsia="fr-CA"/>
              </w:rPr>
            </w:pPr>
            <w:r w:rsidRPr="006B4639">
              <w:rPr>
                <w:rFonts w:asciiTheme="majorHAnsi" w:hAnsiTheme="majorHAnsi" w:cstheme="majorHAnsi"/>
                <w:sz w:val="17"/>
                <w:szCs w:val="17"/>
                <w:lang w:eastAsia="fr-CA"/>
              </w:rPr>
              <w:t>S</w:t>
            </w:r>
            <w:r w:rsidRPr="006B4639">
              <w:rPr>
                <w:rFonts w:asciiTheme="majorHAnsi" w:hAnsiTheme="majorHAnsi" w:cstheme="majorHAnsi"/>
                <w:sz w:val="17"/>
                <w:szCs w:val="17"/>
              </w:rPr>
              <w:t xml:space="preserve">hippers are able to </w:t>
            </w:r>
            <w:r w:rsidR="00782640" w:rsidRPr="006B4639">
              <w:rPr>
                <w:rFonts w:asciiTheme="majorHAnsi" w:hAnsiTheme="majorHAnsi" w:cstheme="majorHAnsi"/>
                <w:sz w:val="17"/>
                <w:szCs w:val="17"/>
              </w:rPr>
              <w:t xml:space="preserve">request </w:t>
            </w:r>
            <w:r w:rsidRPr="006B4639">
              <w:rPr>
                <w:rFonts w:asciiTheme="majorHAnsi" w:hAnsiTheme="majorHAnsi" w:cstheme="majorHAnsi"/>
                <w:sz w:val="17"/>
                <w:szCs w:val="17"/>
              </w:rPr>
              <w:t>information from service providers during negotiations and service providers must comply with the request (unless to do so would breach a confidentiality obligation or a third party has not given consent to the disclosure) within 15 business days (or longer if agreed). Service providers must comply with the access information standard when providing information (</w:t>
            </w:r>
            <w:r w:rsidR="00C73EAE">
              <w:rPr>
                <w:rFonts w:asciiTheme="majorHAnsi" w:hAnsiTheme="majorHAnsi" w:cstheme="majorHAnsi"/>
                <w:sz w:val="17"/>
                <w:szCs w:val="17"/>
              </w:rPr>
              <w:t xml:space="preserve">rule </w:t>
            </w:r>
            <w:r w:rsidRPr="006B4639">
              <w:rPr>
                <w:rFonts w:asciiTheme="majorHAnsi" w:hAnsiTheme="majorHAnsi" w:cstheme="majorHAnsi"/>
                <w:sz w:val="17"/>
                <w:szCs w:val="17"/>
              </w:rPr>
              <w:t>562 of NGR).</w:t>
            </w:r>
          </w:p>
        </w:tc>
      </w:tr>
      <w:tr w:rsidR="009D2BE9" w:rsidRPr="006B4639" w14:paraId="45EC8242" w14:textId="77777777" w:rsidTr="0097597C">
        <w:trPr>
          <w:cantSplit/>
        </w:trPr>
        <w:tc>
          <w:tcPr>
            <w:tcW w:w="5000" w:type="pct"/>
            <w:gridSpan w:val="5"/>
            <w:shd w:val="clear" w:color="auto" w:fill="65697F" w:themeFill="background2" w:themeFillShade="80"/>
          </w:tcPr>
          <w:p w14:paraId="4C85D941" w14:textId="77777777" w:rsidR="009D2BE9" w:rsidRPr="006B4639" w:rsidRDefault="009D2BE9" w:rsidP="00B031C0">
            <w:pPr>
              <w:pStyle w:val="TableBodyText"/>
              <w:jc w:val="center"/>
              <w:rPr>
                <w:rFonts w:asciiTheme="majorHAnsi" w:hAnsiTheme="majorHAnsi" w:cstheme="majorHAnsi"/>
                <w:b/>
                <w:bCs/>
                <w:color w:val="FFFFFF" w:themeColor="background1"/>
                <w:sz w:val="17"/>
                <w:szCs w:val="17"/>
                <w:lang w:eastAsia="fr-CA"/>
              </w:rPr>
            </w:pPr>
            <w:r w:rsidRPr="006B4639">
              <w:rPr>
                <w:rFonts w:asciiTheme="majorHAnsi" w:hAnsiTheme="majorHAnsi" w:cstheme="majorHAnsi"/>
                <w:b/>
                <w:bCs/>
                <w:color w:val="FFFFFF" w:themeColor="background1"/>
                <w:sz w:val="17"/>
                <w:szCs w:val="17"/>
                <w:lang w:eastAsia="fr-CA"/>
              </w:rPr>
              <w:t>Dispute resolution</w:t>
            </w:r>
            <w:r w:rsidR="00B031C0" w:rsidRPr="006B4639">
              <w:rPr>
                <w:rFonts w:asciiTheme="majorHAnsi" w:hAnsiTheme="majorHAnsi" w:cstheme="majorHAnsi"/>
                <w:b/>
                <w:bCs/>
                <w:color w:val="FFFFFF" w:themeColor="background1"/>
                <w:sz w:val="17"/>
                <w:szCs w:val="17"/>
                <w:lang w:eastAsia="fr-CA"/>
              </w:rPr>
              <w:t xml:space="preserve"> mechanisms</w:t>
            </w:r>
          </w:p>
        </w:tc>
      </w:tr>
      <w:tr w:rsidR="009D2BE9" w:rsidRPr="006B4639" w14:paraId="075055C8" w14:textId="77777777" w:rsidTr="0097597C">
        <w:trPr>
          <w:cnfStyle w:val="000000010000" w:firstRow="0" w:lastRow="0" w:firstColumn="0" w:lastColumn="0" w:oddVBand="0" w:evenVBand="0" w:oddHBand="0" w:evenHBand="1" w:firstRowFirstColumn="0" w:firstRowLastColumn="0" w:lastRowFirstColumn="0" w:lastRowLastColumn="0"/>
          <w:cantSplit/>
        </w:trPr>
        <w:tc>
          <w:tcPr>
            <w:tcW w:w="778" w:type="pct"/>
            <w:gridSpan w:val="3"/>
          </w:tcPr>
          <w:p w14:paraId="1D4DEA2E" w14:textId="77777777" w:rsidR="009D2BE9" w:rsidRPr="006B4639" w:rsidRDefault="009D2BE9"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Forms of dispute resolution </w:t>
            </w:r>
          </w:p>
        </w:tc>
        <w:tc>
          <w:tcPr>
            <w:tcW w:w="2087" w:type="pct"/>
          </w:tcPr>
          <w:p w14:paraId="511DB622" w14:textId="77777777" w:rsidR="009D2BE9" w:rsidRPr="006B4639" w:rsidRDefault="009D2BE9"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Mediation, conciliation, alternative dispute and arbitration</w:t>
            </w:r>
            <w:r w:rsidR="00D3366A" w:rsidRPr="006B4639">
              <w:rPr>
                <w:rFonts w:asciiTheme="majorHAnsi" w:hAnsiTheme="majorHAnsi" w:cstheme="majorHAnsi"/>
                <w:sz w:val="17"/>
                <w:szCs w:val="17"/>
                <w:lang w:eastAsia="fr-CA"/>
              </w:rPr>
              <w:t xml:space="preserve"> (s. 185 of NGL)</w:t>
            </w:r>
          </w:p>
        </w:tc>
        <w:tc>
          <w:tcPr>
            <w:tcW w:w="2135" w:type="pct"/>
          </w:tcPr>
          <w:p w14:paraId="7BE124DE" w14:textId="77777777" w:rsidR="009D2BE9" w:rsidRPr="006B4639" w:rsidRDefault="009D2BE9"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Arbitration</w:t>
            </w:r>
            <w:r w:rsidR="00D3366A" w:rsidRPr="006B4639">
              <w:rPr>
                <w:rFonts w:asciiTheme="majorHAnsi" w:hAnsiTheme="majorHAnsi" w:cstheme="majorHAnsi"/>
                <w:sz w:val="17"/>
                <w:szCs w:val="17"/>
                <w:lang w:eastAsia="fr-CA"/>
              </w:rPr>
              <w:t xml:space="preserve"> (Ch. 6A, Part 3 of NGL)</w:t>
            </w:r>
          </w:p>
        </w:tc>
      </w:tr>
      <w:tr w:rsidR="009D2BE9" w:rsidRPr="006B4639" w14:paraId="5BC2B0F3" w14:textId="77777777" w:rsidTr="0097597C">
        <w:trPr>
          <w:cantSplit/>
        </w:trPr>
        <w:tc>
          <w:tcPr>
            <w:tcW w:w="778" w:type="pct"/>
            <w:gridSpan w:val="3"/>
          </w:tcPr>
          <w:p w14:paraId="2FF79A52" w14:textId="77777777" w:rsidR="009D2BE9" w:rsidRPr="006B4639" w:rsidRDefault="009D2BE9"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Dispute resolution body </w:t>
            </w:r>
          </w:p>
        </w:tc>
        <w:tc>
          <w:tcPr>
            <w:tcW w:w="2087" w:type="pct"/>
          </w:tcPr>
          <w:p w14:paraId="48E80C43" w14:textId="77777777" w:rsidR="009D2BE9" w:rsidRPr="006B4639" w:rsidRDefault="009D2BE9"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AER and Energy Disputes Arbitrator for WA disputes</w:t>
            </w:r>
          </w:p>
        </w:tc>
        <w:tc>
          <w:tcPr>
            <w:tcW w:w="2135" w:type="pct"/>
          </w:tcPr>
          <w:p w14:paraId="092B4354" w14:textId="77777777" w:rsidR="009D2BE9" w:rsidRPr="006B4639" w:rsidRDefault="009D2BE9"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Commercial arbitrator selected from pool established by relevant regulator </w:t>
            </w:r>
          </w:p>
        </w:tc>
      </w:tr>
      <w:tr w:rsidR="008D3AA7" w:rsidRPr="006B4639" w14:paraId="06998BC1" w14:textId="77777777" w:rsidTr="0097597C">
        <w:trPr>
          <w:cnfStyle w:val="000000010000" w:firstRow="0" w:lastRow="0" w:firstColumn="0" w:lastColumn="0" w:oddVBand="0" w:evenVBand="0" w:oddHBand="0" w:evenHBand="1" w:firstRowFirstColumn="0" w:firstRowLastColumn="0" w:lastRowFirstColumn="0" w:lastRowLastColumn="0"/>
          <w:cantSplit/>
        </w:trPr>
        <w:tc>
          <w:tcPr>
            <w:tcW w:w="778" w:type="pct"/>
            <w:gridSpan w:val="3"/>
          </w:tcPr>
          <w:p w14:paraId="570B4666" w14:textId="77777777" w:rsidR="008D3AA7" w:rsidRPr="006B4639" w:rsidRDefault="008D3AA7" w:rsidP="008D3AA7">
            <w:pPr>
              <w:pStyle w:val="TableBodyText"/>
              <w:rPr>
                <w:rFonts w:asciiTheme="majorHAnsi" w:hAnsiTheme="majorHAnsi" w:cstheme="majorHAnsi"/>
                <w:bCs/>
                <w:sz w:val="17"/>
                <w:szCs w:val="17"/>
                <w:lang w:eastAsia="fr-CA"/>
              </w:rPr>
            </w:pPr>
            <w:r w:rsidRPr="006B4639">
              <w:rPr>
                <w:rFonts w:asciiTheme="majorHAnsi" w:hAnsiTheme="majorHAnsi" w:cstheme="majorHAnsi"/>
                <w:bCs/>
                <w:sz w:val="17"/>
                <w:szCs w:val="17"/>
              </w:rPr>
              <w:t>Availability of arbitration</w:t>
            </w:r>
          </w:p>
        </w:tc>
        <w:tc>
          <w:tcPr>
            <w:tcW w:w="4222" w:type="pct"/>
            <w:gridSpan w:val="2"/>
          </w:tcPr>
          <w:p w14:paraId="66989503" w14:textId="77777777" w:rsidR="008D3AA7" w:rsidRPr="006B4639" w:rsidRDefault="008D3AA7" w:rsidP="00EB63DF">
            <w:pPr>
              <w:spacing w:before="20" w:after="20" w:line="240" w:lineRule="auto"/>
              <w:rPr>
                <w:rFonts w:asciiTheme="majorHAnsi" w:hAnsiTheme="majorHAnsi" w:cstheme="majorHAnsi"/>
                <w:sz w:val="17"/>
                <w:szCs w:val="17"/>
              </w:rPr>
            </w:pPr>
            <w:r w:rsidRPr="006B4639">
              <w:rPr>
                <w:rFonts w:asciiTheme="majorHAnsi" w:hAnsiTheme="majorHAnsi" w:cstheme="majorHAnsi"/>
                <w:bCs/>
                <w:sz w:val="17"/>
                <w:szCs w:val="17"/>
              </w:rPr>
              <w:t>Dispute resolution is</w:t>
            </w:r>
            <w:r w:rsidR="00EB63DF" w:rsidRPr="006B4639">
              <w:rPr>
                <w:rFonts w:asciiTheme="majorHAnsi" w:hAnsiTheme="majorHAnsi" w:cstheme="majorHAnsi"/>
                <w:bCs/>
                <w:sz w:val="17"/>
                <w:szCs w:val="17"/>
              </w:rPr>
              <w:t xml:space="preserve"> </w:t>
            </w:r>
            <w:r w:rsidRPr="006B4639">
              <w:rPr>
                <w:rFonts w:asciiTheme="majorHAnsi" w:hAnsiTheme="majorHAnsi" w:cstheme="majorHAnsi"/>
                <w:sz w:val="17"/>
                <w:szCs w:val="17"/>
              </w:rPr>
              <w:t>available when a shipper is seeking access, when an existing shipper is seeking to add a new service to an existing contract or when an existing shipper seeks a new contract to take effect on expiry of an existing GTA</w:t>
            </w:r>
            <w:r w:rsidR="00EB63DF" w:rsidRPr="006B4639">
              <w:rPr>
                <w:rFonts w:asciiTheme="majorHAnsi" w:hAnsiTheme="majorHAnsi" w:cstheme="majorHAnsi"/>
                <w:sz w:val="17"/>
                <w:szCs w:val="17"/>
              </w:rPr>
              <w:t xml:space="preserve">. It is not, however, available for </w:t>
            </w:r>
            <w:r w:rsidRPr="006B4639">
              <w:rPr>
                <w:rFonts w:asciiTheme="majorHAnsi" w:hAnsiTheme="majorHAnsi" w:cstheme="majorHAnsi"/>
                <w:sz w:val="17"/>
                <w:szCs w:val="17"/>
              </w:rPr>
              <w:t xml:space="preserve">disputes about </w:t>
            </w:r>
            <w:r w:rsidR="00EB63DF" w:rsidRPr="006B4639">
              <w:rPr>
                <w:rFonts w:asciiTheme="majorHAnsi" w:hAnsiTheme="majorHAnsi" w:cstheme="majorHAnsi"/>
                <w:sz w:val="17"/>
                <w:szCs w:val="17"/>
              </w:rPr>
              <w:t xml:space="preserve">existing </w:t>
            </w:r>
            <w:r w:rsidRPr="006B4639">
              <w:rPr>
                <w:rFonts w:asciiTheme="majorHAnsi" w:hAnsiTheme="majorHAnsi" w:cstheme="majorHAnsi"/>
                <w:sz w:val="17"/>
                <w:szCs w:val="17"/>
              </w:rPr>
              <w:t xml:space="preserve">services </w:t>
            </w:r>
            <w:r w:rsidR="00EB63DF" w:rsidRPr="006B4639">
              <w:rPr>
                <w:rFonts w:asciiTheme="majorHAnsi" w:hAnsiTheme="majorHAnsi" w:cstheme="majorHAnsi"/>
                <w:sz w:val="17"/>
                <w:szCs w:val="17"/>
              </w:rPr>
              <w:t xml:space="preserve">or </w:t>
            </w:r>
            <w:r w:rsidRPr="006B4639">
              <w:rPr>
                <w:rFonts w:asciiTheme="majorHAnsi" w:hAnsiTheme="majorHAnsi" w:cstheme="majorHAnsi"/>
                <w:sz w:val="17"/>
                <w:szCs w:val="17"/>
              </w:rPr>
              <w:t>extensions.</w:t>
            </w:r>
          </w:p>
        </w:tc>
      </w:tr>
      <w:tr w:rsidR="00247E7C" w:rsidRPr="006B4639" w14:paraId="5AE1871A" w14:textId="77777777" w:rsidTr="0097597C">
        <w:trPr>
          <w:cantSplit/>
          <w:trHeight w:val="422"/>
        </w:trPr>
        <w:tc>
          <w:tcPr>
            <w:tcW w:w="292" w:type="pct"/>
            <w:vMerge w:val="restart"/>
          </w:tcPr>
          <w:p w14:paraId="4B9321A9" w14:textId="77777777" w:rsidR="00247E7C" w:rsidRPr="006B4639" w:rsidRDefault="00247E7C"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Process </w:t>
            </w:r>
          </w:p>
        </w:tc>
        <w:tc>
          <w:tcPr>
            <w:tcW w:w="486" w:type="pct"/>
            <w:gridSpan w:val="2"/>
            <w:tcBorders>
              <w:bottom w:val="single" w:sz="4" w:space="0" w:color="auto"/>
            </w:tcBorders>
          </w:tcPr>
          <w:p w14:paraId="667F3339" w14:textId="77777777" w:rsidR="00247E7C" w:rsidRPr="006B4639" w:rsidRDefault="00247E7C"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Dispute trigger </w:t>
            </w:r>
          </w:p>
        </w:tc>
        <w:tc>
          <w:tcPr>
            <w:tcW w:w="2087" w:type="pct"/>
          </w:tcPr>
          <w:p w14:paraId="38DD01F3" w14:textId="77777777" w:rsidR="00247E7C" w:rsidRPr="006B4639" w:rsidRDefault="00247E7C" w:rsidP="00C217B6">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A dispute notice may be given by either party if agreement cannot be reached (s. 181 of NGL)</w:t>
            </w:r>
            <w:r w:rsidR="00BD4F97" w:rsidRPr="006B4639">
              <w:rPr>
                <w:rFonts w:asciiTheme="majorHAnsi" w:hAnsiTheme="majorHAnsi" w:cstheme="majorHAnsi"/>
                <w:sz w:val="17"/>
                <w:szCs w:val="17"/>
                <w:lang w:eastAsia="fr-CA"/>
              </w:rPr>
              <w:t xml:space="preserve"> within the timeframes specified in the NGR (</w:t>
            </w:r>
            <w:r w:rsidR="00C73EAE">
              <w:rPr>
                <w:rFonts w:asciiTheme="majorHAnsi" w:hAnsiTheme="majorHAnsi" w:cstheme="majorHAnsi"/>
                <w:sz w:val="17"/>
                <w:szCs w:val="17"/>
                <w:lang w:eastAsia="fr-CA"/>
              </w:rPr>
              <w:t xml:space="preserve">rule </w:t>
            </w:r>
            <w:r w:rsidR="00BD4F97" w:rsidRPr="006B4639">
              <w:rPr>
                <w:rFonts w:asciiTheme="majorHAnsi" w:hAnsiTheme="majorHAnsi" w:cstheme="majorHAnsi"/>
                <w:sz w:val="17"/>
                <w:szCs w:val="17"/>
                <w:lang w:eastAsia="fr-CA"/>
              </w:rPr>
              <w:t>112).</w:t>
            </w:r>
            <w:r w:rsidRPr="006B4639">
              <w:rPr>
                <w:rFonts w:asciiTheme="majorHAnsi" w:hAnsiTheme="majorHAnsi" w:cstheme="majorHAnsi"/>
                <w:sz w:val="17"/>
                <w:szCs w:val="17"/>
                <w:lang w:eastAsia="fr-CA"/>
              </w:rPr>
              <w:t xml:space="preserve">. </w:t>
            </w:r>
          </w:p>
        </w:tc>
        <w:tc>
          <w:tcPr>
            <w:tcW w:w="2135" w:type="pct"/>
          </w:tcPr>
          <w:p w14:paraId="11A0A4DE" w14:textId="77777777" w:rsidR="00247E7C" w:rsidRPr="006B4639" w:rsidRDefault="00247E7C"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A dispute notice may be given by either party if agreement cannot be reached if an access request has been made under Part 23 (</w:t>
            </w:r>
            <w:r w:rsidR="00C73EAE">
              <w:rPr>
                <w:rFonts w:asciiTheme="majorHAnsi" w:hAnsiTheme="majorHAnsi" w:cstheme="majorHAnsi"/>
                <w:sz w:val="17"/>
                <w:szCs w:val="17"/>
                <w:lang w:eastAsia="fr-CA"/>
              </w:rPr>
              <w:t xml:space="preserve">rule </w:t>
            </w:r>
            <w:r w:rsidRPr="006B4639">
              <w:rPr>
                <w:rFonts w:asciiTheme="majorHAnsi" w:hAnsiTheme="majorHAnsi" w:cstheme="majorHAnsi"/>
                <w:sz w:val="17"/>
                <w:szCs w:val="17"/>
                <w:lang w:eastAsia="fr-CA"/>
              </w:rPr>
              <w:t>564 of NGR)</w:t>
            </w:r>
          </w:p>
        </w:tc>
      </w:tr>
      <w:tr w:rsidR="00247E7C" w:rsidRPr="006B4639" w14:paraId="0E0EABE7" w14:textId="77777777" w:rsidTr="0097597C">
        <w:trPr>
          <w:cnfStyle w:val="000000010000" w:firstRow="0" w:lastRow="0" w:firstColumn="0" w:lastColumn="0" w:oddVBand="0" w:evenVBand="0" w:oddHBand="0" w:evenHBand="1" w:firstRowFirstColumn="0" w:firstRowLastColumn="0" w:lastRowFirstColumn="0" w:lastRowLastColumn="0"/>
          <w:cantSplit/>
          <w:trHeight w:val="213"/>
        </w:trPr>
        <w:tc>
          <w:tcPr>
            <w:tcW w:w="292" w:type="pct"/>
            <w:vMerge/>
          </w:tcPr>
          <w:p w14:paraId="1908E1F7" w14:textId="77777777" w:rsidR="00247E7C" w:rsidRPr="006B4639" w:rsidRDefault="00247E7C" w:rsidP="00247E7C">
            <w:pPr>
              <w:pStyle w:val="TableBodyText"/>
              <w:rPr>
                <w:rFonts w:asciiTheme="majorHAnsi" w:hAnsiTheme="majorHAnsi" w:cstheme="majorHAnsi"/>
                <w:sz w:val="17"/>
                <w:szCs w:val="17"/>
                <w:lang w:eastAsia="fr-CA"/>
              </w:rPr>
            </w:pPr>
          </w:p>
        </w:tc>
        <w:tc>
          <w:tcPr>
            <w:tcW w:w="486" w:type="pct"/>
            <w:gridSpan w:val="2"/>
            <w:tcBorders>
              <w:bottom w:val="single" w:sz="4" w:space="0" w:color="auto"/>
            </w:tcBorders>
          </w:tcPr>
          <w:p w14:paraId="04D17B54" w14:textId="77777777" w:rsidR="00247E7C" w:rsidRPr="006B4639" w:rsidRDefault="00247E7C" w:rsidP="00247E7C">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Joint disputes </w:t>
            </w:r>
          </w:p>
        </w:tc>
        <w:tc>
          <w:tcPr>
            <w:tcW w:w="2087" w:type="pct"/>
          </w:tcPr>
          <w:p w14:paraId="7374FAA3" w14:textId="77777777" w:rsidR="00247E7C" w:rsidRPr="006B4639" w:rsidRDefault="00247E7C" w:rsidP="00247E7C">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Joint dispute hearings may be held</w:t>
            </w:r>
            <w:r w:rsidR="004F3395" w:rsidRPr="006B4639">
              <w:rPr>
                <w:rFonts w:asciiTheme="majorHAnsi" w:hAnsiTheme="majorHAnsi" w:cstheme="majorHAnsi"/>
                <w:sz w:val="17"/>
                <w:szCs w:val="17"/>
                <w:lang w:eastAsia="fr-CA"/>
              </w:rPr>
              <w:t>.</w:t>
            </w:r>
          </w:p>
        </w:tc>
        <w:tc>
          <w:tcPr>
            <w:tcW w:w="2135" w:type="pct"/>
          </w:tcPr>
          <w:p w14:paraId="69C03719" w14:textId="77777777" w:rsidR="00247E7C" w:rsidRPr="006B4639" w:rsidRDefault="00247E7C" w:rsidP="00247E7C">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n.a.</w:t>
            </w:r>
          </w:p>
        </w:tc>
      </w:tr>
      <w:tr w:rsidR="00247E7C" w:rsidRPr="006B4639" w14:paraId="544C3C73" w14:textId="77777777" w:rsidTr="0097597C">
        <w:trPr>
          <w:cantSplit/>
          <w:trHeight w:val="103"/>
        </w:trPr>
        <w:tc>
          <w:tcPr>
            <w:tcW w:w="292" w:type="pct"/>
            <w:vMerge/>
          </w:tcPr>
          <w:p w14:paraId="63E56D05" w14:textId="77777777" w:rsidR="00247E7C" w:rsidRPr="006B4639" w:rsidRDefault="00247E7C" w:rsidP="00B031C0">
            <w:pPr>
              <w:pStyle w:val="TableBodyText"/>
              <w:rPr>
                <w:rFonts w:asciiTheme="majorHAnsi" w:hAnsiTheme="majorHAnsi" w:cstheme="majorHAnsi"/>
                <w:sz w:val="17"/>
                <w:szCs w:val="17"/>
                <w:lang w:eastAsia="fr-CA"/>
              </w:rPr>
            </w:pPr>
          </w:p>
        </w:tc>
        <w:tc>
          <w:tcPr>
            <w:tcW w:w="486" w:type="pct"/>
            <w:gridSpan w:val="2"/>
            <w:vMerge w:val="restart"/>
          </w:tcPr>
          <w:p w14:paraId="73944A2E" w14:textId="77777777" w:rsidR="00247E7C" w:rsidRPr="006B4639" w:rsidRDefault="00247E7C"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Termination of disputes</w:t>
            </w:r>
          </w:p>
        </w:tc>
        <w:tc>
          <w:tcPr>
            <w:tcW w:w="4222" w:type="pct"/>
            <w:gridSpan w:val="2"/>
            <w:tcBorders>
              <w:bottom w:val="single" w:sz="4" w:space="0" w:color="auto"/>
            </w:tcBorders>
          </w:tcPr>
          <w:p w14:paraId="1AEEC019" w14:textId="77777777" w:rsidR="00247E7C" w:rsidRPr="006B4639" w:rsidRDefault="00247E7C" w:rsidP="00C217B6">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Disputes may be terminated if </w:t>
            </w:r>
            <w:r w:rsidR="00782640" w:rsidRPr="006B4639">
              <w:rPr>
                <w:rFonts w:asciiTheme="majorHAnsi" w:hAnsiTheme="majorHAnsi" w:cstheme="majorHAnsi"/>
                <w:sz w:val="17"/>
                <w:szCs w:val="17"/>
                <w:lang w:eastAsia="fr-CA"/>
              </w:rPr>
              <w:t xml:space="preserve">the </w:t>
            </w:r>
            <w:r w:rsidRPr="006B4639">
              <w:rPr>
                <w:rFonts w:asciiTheme="majorHAnsi" w:hAnsiTheme="majorHAnsi" w:cstheme="majorHAnsi"/>
                <w:sz w:val="17"/>
                <w:szCs w:val="17"/>
                <w:lang w:eastAsia="fr-CA"/>
              </w:rPr>
              <w:t xml:space="preserve">dispute resolution body </w:t>
            </w:r>
            <w:r w:rsidR="00782640" w:rsidRPr="006B4639">
              <w:rPr>
                <w:rFonts w:asciiTheme="majorHAnsi" w:hAnsiTheme="majorHAnsi" w:cstheme="majorHAnsi"/>
                <w:sz w:val="17"/>
                <w:szCs w:val="17"/>
                <w:lang w:eastAsia="fr-CA"/>
              </w:rPr>
              <w:t xml:space="preserve">(arbitrator) </w:t>
            </w:r>
            <w:r w:rsidRPr="006B4639">
              <w:rPr>
                <w:rFonts w:asciiTheme="majorHAnsi" w:hAnsiTheme="majorHAnsi" w:cstheme="majorHAnsi"/>
                <w:sz w:val="17"/>
                <w:szCs w:val="17"/>
                <w:lang w:eastAsia="fr-CA"/>
              </w:rPr>
              <w:t>considers: (i) the dispute notices is vexatious; (ii) the subject matter is trivial, misconceived or lacking in substance; and (iii) the party who notified the dispute did not negotiate in good faith (ss. 186 and 216O of the NGL).</w:t>
            </w:r>
          </w:p>
        </w:tc>
      </w:tr>
      <w:tr w:rsidR="00247E7C" w:rsidRPr="006B4639" w14:paraId="5DF4470A" w14:textId="77777777" w:rsidTr="0097597C">
        <w:trPr>
          <w:cnfStyle w:val="000000010000" w:firstRow="0" w:lastRow="0" w:firstColumn="0" w:lastColumn="0" w:oddVBand="0" w:evenVBand="0" w:oddHBand="0" w:evenHBand="1" w:firstRowFirstColumn="0" w:firstRowLastColumn="0" w:lastRowFirstColumn="0" w:lastRowLastColumn="0"/>
          <w:cantSplit/>
          <w:trHeight w:val="645"/>
        </w:trPr>
        <w:tc>
          <w:tcPr>
            <w:tcW w:w="292" w:type="pct"/>
            <w:vMerge/>
            <w:tcBorders>
              <w:bottom w:val="single" w:sz="4" w:space="0" w:color="auto"/>
            </w:tcBorders>
          </w:tcPr>
          <w:p w14:paraId="0BB7D88E" w14:textId="77777777" w:rsidR="00247E7C" w:rsidRPr="006B4639" w:rsidRDefault="00247E7C" w:rsidP="00B031C0">
            <w:pPr>
              <w:pStyle w:val="TableBodyText"/>
              <w:rPr>
                <w:rFonts w:asciiTheme="majorHAnsi" w:hAnsiTheme="majorHAnsi" w:cstheme="majorHAnsi"/>
                <w:sz w:val="17"/>
                <w:szCs w:val="17"/>
                <w:lang w:eastAsia="fr-CA"/>
              </w:rPr>
            </w:pPr>
          </w:p>
        </w:tc>
        <w:tc>
          <w:tcPr>
            <w:tcW w:w="486" w:type="pct"/>
            <w:gridSpan w:val="2"/>
            <w:vMerge/>
            <w:tcBorders>
              <w:bottom w:val="single" w:sz="4" w:space="0" w:color="auto"/>
            </w:tcBorders>
          </w:tcPr>
          <w:p w14:paraId="26FB6BB8" w14:textId="77777777" w:rsidR="00247E7C" w:rsidRPr="006B4639" w:rsidRDefault="00247E7C" w:rsidP="00B031C0">
            <w:pPr>
              <w:pStyle w:val="TableBodyText"/>
              <w:rPr>
                <w:rFonts w:asciiTheme="majorHAnsi" w:hAnsiTheme="majorHAnsi" w:cstheme="majorHAnsi"/>
                <w:sz w:val="17"/>
                <w:szCs w:val="17"/>
                <w:lang w:eastAsia="fr-CA"/>
              </w:rPr>
            </w:pPr>
          </w:p>
        </w:tc>
        <w:tc>
          <w:tcPr>
            <w:tcW w:w="2087" w:type="pct"/>
            <w:tcBorders>
              <w:bottom w:val="single" w:sz="4" w:space="0" w:color="auto"/>
            </w:tcBorders>
          </w:tcPr>
          <w:p w14:paraId="16604B29" w14:textId="77777777" w:rsidR="00247E7C" w:rsidRPr="006B4639" w:rsidRDefault="00247E7C" w:rsidP="00A61CE7">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The dispute resolution body may refuse to make an access determination if it considers the pipeline service could be provided on a genuinely competitive basis by another service provider (s. 187 of NGL).</w:t>
            </w:r>
          </w:p>
        </w:tc>
        <w:tc>
          <w:tcPr>
            <w:tcW w:w="2135" w:type="pct"/>
            <w:tcBorders>
              <w:bottom w:val="single" w:sz="4" w:space="0" w:color="auto"/>
            </w:tcBorders>
          </w:tcPr>
          <w:p w14:paraId="07302B28" w14:textId="77777777" w:rsidR="00247E7C" w:rsidRPr="006B4639" w:rsidRDefault="00247E7C" w:rsidP="00C217B6">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The arbitrator may also terminate the dispute if there is some other good reason why it should not proceed or the shipper is not engaging in the arbitration in good faith (s. 216O of NGL).</w:t>
            </w:r>
          </w:p>
        </w:tc>
      </w:tr>
      <w:tr w:rsidR="009D2BE9" w:rsidRPr="006B4639" w14:paraId="70DC1BDC" w14:textId="77777777" w:rsidTr="0097597C">
        <w:trPr>
          <w:cantSplit/>
          <w:trHeight w:val="89"/>
        </w:trPr>
        <w:tc>
          <w:tcPr>
            <w:tcW w:w="778" w:type="pct"/>
            <w:gridSpan w:val="3"/>
            <w:tcBorders>
              <w:bottom w:val="single" w:sz="4" w:space="0" w:color="auto"/>
            </w:tcBorders>
            <w:shd w:val="clear" w:color="auto" w:fill="FFFFFF" w:themeFill="background1"/>
          </w:tcPr>
          <w:p w14:paraId="7F563C98" w14:textId="77777777" w:rsidR="009D2BE9" w:rsidRPr="006B4639" w:rsidRDefault="009D2BE9"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Principles to be applied by </w:t>
            </w:r>
            <w:r w:rsidR="0021372D" w:rsidRPr="006B4639">
              <w:rPr>
                <w:rFonts w:asciiTheme="majorHAnsi" w:hAnsiTheme="majorHAnsi" w:cstheme="majorHAnsi"/>
                <w:sz w:val="17"/>
                <w:szCs w:val="17"/>
                <w:lang w:eastAsia="fr-CA"/>
              </w:rPr>
              <w:t>dispute resolution body</w:t>
            </w:r>
          </w:p>
        </w:tc>
        <w:tc>
          <w:tcPr>
            <w:tcW w:w="2087" w:type="pct"/>
            <w:tcBorders>
              <w:bottom w:val="single" w:sz="4" w:space="0" w:color="auto"/>
            </w:tcBorders>
            <w:shd w:val="clear" w:color="auto" w:fill="FFFFFF" w:themeFill="background1"/>
          </w:tcPr>
          <w:p w14:paraId="2A5F9DFD" w14:textId="77777777" w:rsidR="009D2BE9" w:rsidRPr="006B4639" w:rsidRDefault="000F476F" w:rsidP="00B031C0">
            <w:pPr>
              <w:pStyle w:val="TableBullet10"/>
              <w:keepNext/>
              <w:numPr>
                <w:ilvl w:val="0"/>
                <w:numId w:val="0"/>
              </w:numPr>
              <w:ind w:left="312" w:hanging="227"/>
              <w:rPr>
                <w:rFonts w:asciiTheme="majorHAnsi" w:hAnsiTheme="majorHAnsi" w:cstheme="majorHAnsi"/>
                <w:sz w:val="17"/>
                <w:szCs w:val="17"/>
              </w:rPr>
            </w:pPr>
            <w:r w:rsidRPr="006B4639">
              <w:rPr>
                <w:rFonts w:asciiTheme="majorHAnsi" w:hAnsiTheme="majorHAnsi" w:cstheme="majorHAnsi"/>
                <w:sz w:val="17"/>
                <w:szCs w:val="17"/>
              </w:rPr>
              <w:t>The d</w:t>
            </w:r>
            <w:r w:rsidR="009D2BE9" w:rsidRPr="006B4639">
              <w:rPr>
                <w:rFonts w:asciiTheme="majorHAnsi" w:hAnsiTheme="majorHAnsi" w:cstheme="majorHAnsi"/>
                <w:sz w:val="17"/>
                <w:szCs w:val="17"/>
              </w:rPr>
              <w:t>ispute resolution body must:</w:t>
            </w:r>
          </w:p>
          <w:p w14:paraId="313CB5AC" w14:textId="77777777" w:rsidR="009D2BE9" w:rsidRPr="006B4639" w:rsidRDefault="009D2BE9" w:rsidP="006516C2">
            <w:pPr>
              <w:pStyle w:val="TableBullet10"/>
              <w:keepNext/>
              <w:numPr>
                <w:ilvl w:val="0"/>
                <w:numId w:val="29"/>
              </w:numPr>
              <w:rPr>
                <w:rFonts w:asciiTheme="majorHAnsi" w:hAnsiTheme="majorHAnsi" w:cstheme="majorHAnsi"/>
                <w:sz w:val="17"/>
                <w:szCs w:val="17"/>
              </w:rPr>
            </w:pPr>
            <w:r w:rsidRPr="006B4639">
              <w:rPr>
                <w:rFonts w:asciiTheme="majorHAnsi" w:hAnsiTheme="majorHAnsi" w:cstheme="majorHAnsi"/>
                <w:sz w:val="17"/>
                <w:szCs w:val="17"/>
              </w:rPr>
              <w:t xml:space="preserve">where relevant, give effect to an </w:t>
            </w:r>
            <w:r w:rsidR="00D81C75" w:rsidRPr="006B4639">
              <w:rPr>
                <w:rFonts w:asciiTheme="majorHAnsi" w:hAnsiTheme="majorHAnsi" w:cstheme="majorHAnsi"/>
                <w:sz w:val="17"/>
                <w:szCs w:val="17"/>
              </w:rPr>
              <w:t>AA</w:t>
            </w:r>
            <w:r w:rsidR="000F476F" w:rsidRPr="006B4639">
              <w:rPr>
                <w:rFonts w:asciiTheme="majorHAnsi" w:hAnsiTheme="majorHAnsi" w:cstheme="majorHAnsi"/>
                <w:sz w:val="17"/>
                <w:szCs w:val="17"/>
              </w:rPr>
              <w:t xml:space="preserve"> (s. 189 of NGL) </w:t>
            </w:r>
          </w:p>
          <w:p w14:paraId="01125B42" w14:textId="45303C7F" w:rsidR="009D2BE9" w:rsidRPr="006B4639" w:rsidRDefault="000F476F" w:rsidP="006516C2">
            <w:pPr>
              <w:pStyle w:val="TableBullet10"/>
              <w:numPr>
                <w:ilvl w:val="0"/>
                <w:numId w:val="29"/>
              </w:numPr>
              <w:rPr>
                <w:rFonts w:asciiTheme="majorHAnsi" w:hAnsiTheme="majorHAnsi" w:cstheme="majorHAnsi"/>
                <w:sz w:val="17"/>
                <w:szCs w:val="17"/>
              </w:rPr>
            </w:pPr>
            <w:r w:rsidRPr="006B4639">
              <w:rPr>
                <w:rFonts w:asciiTheme="majorHAnsi" w:hAnsiTheme="majorHAnsi" w:cstheme="majorHAnsi"/>
                <w:sz w:val="17"/>
                <w:szCs w:val="17"/>
              </w:rPr>
              <w:t xml:space="preserve">exercise its functions and powers in manner that will, or is likely to, contribute to the NGO and must also take into </w:t>
            </w:r>
            <w:r w:rsidR="009D2BE9" w:rsidRPr="006B4639">
              <w:rPr>
                <w:rFonts w:asciiTheme="majorHAnsi" w:hAnsiTheme="majorHAnsi" w:cstheme="majorHAnsi"/>
                <w:sz w:val="17"/>
                <w:szCs w:val="17"/>
              </w:rPr>
              <w:t xml:space="preserve">account the revenue and pricing principles </w:t>
            </w:r>
            <w:r w:rsidRPr="006B4639">
              <w:rPr>
                <w:rFonts w:asciiTheme="majorHAnsi" w:hAnsiTheme="majorHAnsi" w:cstheme="majorHAnsi"/>
                <w:sz w:val="17"/>
                <w:szCs w:val="17"/>
              </w:rPr>
              <w:t xml:space="preserve">in s. 24 of the NGR </w:t>
            </w:r>
            <w:r w:rsidR="00782640" w:rsidRPr="006B4639">
              <w:rPr>
                <w:rFonts w:asciiTheme="majorHAnsi" w:hAnsiTheme="majorHAnsi" w:cstheme="majorHAnsi"/>
                <w:sz w:val="17"/>
                <w:szCs w:val="17"/>
              </w:rPr>
              <w:t xml:space="preserve">(see </w:t>
            </w:r>
            <w:r w:rsidR="00BB44AC" w:rsidRPr="006B4639">
              <w:rPr>
                <w:rFonts w:asciiTheme="majorHAnsi" w:hAnsiTheme="majorHAnsi" w:cstheme="majorHAnsi"/>
                <w:sz w:val="17"/>
                <w:szCs w:val="17"/>
              </w:rPr>
              <w:fldChar w:fldCharType="begin" w:fldLock="1"/>
            </w:r>
            <w:r w:rsidR="00BB44AC" w:rsidRPr="006B4639">
              <w:rPr>
                <w:rFonts w:asciiTheme="majorHAnsi" w:hAnsiTheme="majorHAnsi" w:cstheme="majorHAnsi"/>
                <w:sz w:val="17"/>
                <w:szCs w:val="17"/>
              </w:rPr>
              <w:instrText xml:space="preserve"> REF _Ref18255106 </w:instrText>
            </w:r>
            <w:r w:rsidR="00BB44AC" w:rsidRPr="006B4639">
              <w:rPr>
                <w:rFonts w:asciiTheme="majorHAnsi" w:hAnsiTheme="majorHAnsi" w:cstheme="majorHAnsi"/>
                <w:sz w:val="17"/>
                <w:szCs w:val="17"/>
              </w:rPr>
              <w:fldChar w:fldCharType="separate"/>
            </w:r>
            <w:r w:rsidR="00036405" w:rsidRPr="006B4639">
              <w:t xml:space="preserve">Box </w:t>
            </w:r>
            <w:r w:rsidR="00036405">
              <w:rPr>
                <w:noProof/>
              </w:rPr>
              <w:t>7</w:t>
            </w:r>
            <w:r w:rsidR="00036405">
              <w:t>.</w:t>
            </w:r>
            <w:r w:rsidR="00036405">
              <w:rPr>
                <w:noProof/>
              </w:rPr>
              <w:t>1</w:t>
            </w:r>
            <w:r w:rsidR="00BB44AC" w:rsidRPr="006B4639">
              <w:rPr>
                <w:rFonts w:asciiTheme="majorHAnsi" w:hAnsiTheme="majorHAnsi" w:cstheme="majorHAnsi"/>
                <w:sz w:val="17"/>
                <w:szCs w:val="17"/>
              </w:rPr>
              <w:fldChar w:fldCharType="end"/>
            </w:r>
            <w:r w:rsidR="00782640" w:rsidRPr="006B4639">
              <w:rPr>
                <w:rFonts w:asciiTheme="majorHAnsi" w:hAnsiTheme="majorHAnsi" w:cstheme="majorHAnsi"/>
                <w:sz w:val="17"/>
                <w:szCs w:val="17"/>
              </w:rPr>
              <w:t xml:space="preserve"> for more detail) </w:t>
            </w:r>
            <w:r w:rsidRPr="006B4639">
              <w:rPr>
                <w:rFonts w:asciiTheme="majorHAnsi" w:hAnsiTheme="majorHAnsi" w:cstheme="majorHAnsi"/>
                <w:sz w:val="17"/>
                <w:szCs w:val="17"/>
              </w:rPr>
              <w:t>(s. 28 of the NGL)</w:t>
            </w:r>
          </w:p>
        </w:tc>
        <w:tc>
          <w:tcPr>
            <w:tcW w:w="2135" w:type="pct"/>
            <w:tcBorders>
              <w:bottom w:val="single" w:sz="4" w:space="0" w:color="auto"/>
            </w:tcBorders>
            <w:shd w:val="clear" w:color="auto" w:fill="FFFFFF" w:themeFill="background1"/>
          </w:tcPr>
          <w:p w14:paraId="3843A94D" w14:textId="77777777" w:rsidR="009D2BE9" w:rsidRPr="006B4639" w:rsidRDefault="000F476F" w:rsidP="00B031C0">
            <w:pPr>
              <w:pStyle w:val="TableBullet10"/>
              <w:keepNext/>
              <w:numPr>
                <w:ilvl w:val="0"/>
                <w:numId w:val="0"/>
              </w:numPr>
              <w:tabs>
                <w:tab w:val="left" w:pos="720"/>
              </w:tabs>
              <w:ind w:left="85"/>
              <w:rPr>
                <w:rFonts w:asciiTheme="majorHAnsi" w:hAnsiTheme="majorHAnsi" w:cstheme="majorHAnsi"/>
                <w:sz w:val="17"/>
                <w:szCs w:val="17"/>
              </w:rPr>
            </w:pPr>
            <w:r w:rsidRPr="006B4639">
              <w:rPr>
                <w:rFonts w:asciiTheme="majorHAnsi" w:hAnsiTheme="majorHAnsi" w:cstheme="majorHAnsi"/>
                <w:sz w:val="17"/>
                <w:szCs w:val="17"/>
              </w:rPr>
              <w:t>The a</w:t>
            </w:r>
            <w:r w:rsidR="009D2BE9" w:rsidRPr="006B4639">
              <w:rPr>
                <w:rFonts w:asciiTheme="majorHAnsi" w:hAnsiTheme="majorHAnsi" w:cstheme="majorHAnsi"/>
                <w:sz w:val="17"/>
                <w:szCs w:val="17"/>
              </w:rPr>
              <w:t>rbitrator must</w:t>
            </w:r>
            <w:r w:rsidRPr="006B4639">
              <w:rPr>
                <w:rFonts w:asciiTheme="majorHAnsi" w:hAnsiTheme="majorHAnsi" w:cstheme="majorHAnsi"/>
                <w:sz w:val="17"/>
                <w:szCs w:val="17"/>
              </w:rPr>
              <w:t xml:space="preserve"> take into account</w:t>
            </w:r>
            <w:r w:rsidR="009D2BE9" w:rsidRPr="006B4639">
              <w:rPr>
                <w:rFonts w:asciiTheme="majorHAnsi" w:hAnsiTheme="majorHAnsi" w:cstheme="majorHAnsi"/>
                <w:sz w:val="17"/>
                <w:szCs w:val="17"/>
              </w:rPr>
              <w:t>:</w:t>
            </w:r>
          </w:p>
          <w:p w14:paraId="16C2BCE7" w14:textId="77777777" w:rsidR="009D2BE9" w:rsidRPr="006B4639" w:rsidRDefault="009D2BE9" w:rsidP="006516C2">
            <w:pPr>
              <w:pStyle w:val="TableBullet10"/>
              <w:keepNext/>
              <w:numPr>
                <w:ilvl w:val="0"/>
                <w:numId w:val="29"/>
              </w:numPr>
              <w:rPr>
                <w:rFonts w:asciiTheme="majorHAnsi" w:hAnsiTheme="majorHAnsi" w:cstheme="majorHAnsi"/>
                <w:sz w:val="17"/>
                <w:szCs w:val="17"/>
              </w:rPr>
            </w:pPr>
            <w:r w:rsidRPr="006B4639">
              <w:rPr>
                <w:rFonts w:asciiTheme="majorHAnsi" w:hAnsiTheme="majorHAnsi" w:cstheme="majorHAnsi"/>
                <w:sz w:val="17"/>
                <w:szCs w:val="17"/>
              </w:rPr>
              <w:t xml:space="preserve">the principle that access must be on </w:t>
            </w:r>
            <w:r w:rsidR="000F476F" w:rsidRPr="006B4639">
              <w:rPr>
                <w:rFonts w:asciiTheme="majorHAnsi" w:hAnsiTheme="majorHAnsi" w:cstheme="majorHAnsi"/>
                <w:sz w:val="17"/>
                <w:szCs w:val="17"/>
              </w:rPr>
              <w:t xml:space="preserve">reasonable terms (i.e. </w:t>
            </w:r>
            <w:r w:rsidRPr="006B4639">
              <w:rPr>
                <w:rFonts w:asciiTheme="majorHAnsi" w:hAnsiTheme="majorHAnsi" w:cstheme="majorHAnsi"/>
                <w:sz w:val="17"/>
                <w:szCs w:val="17"/>
              </w:rPr>
              <w:t xml:space="preserve">terms that, so far as </w:t>
            </w:r>
            <w:r w:rsidR="000F476F" w:rsidRPr="006B4639">
              <w:rPr>
                <w:rFonts w:asciiTheme="majorHAnsi" w:hAnsiTheme="majorHAnsi" w:cstheme="majorHAnsi"/>
                <w:sz w:val="17"/>
                <w:szCs w:val="17"/>
              </w:rPr>
              <w:t>practicable</w:t>
            </w:r>
            <w:r w:rsidRPr="006B4639">
              <w:rPr>
                <w:rFonts w:asciiTheme="majorHAnsi" w:hAnsiTheme="majorHAnsi" w:cstheme="majorHAnsi"/>
                <w:sz w:val="17"/>
                <w:szCs w:val="17"/>
              </w:rPr>
              <w:t xml:space="preserve">, reflect </w:t>
            </w:r>
            <w:r w:rsidR="00782640" w:rsidRPr="006B4639">
              <w:rPr>
                <w:rFonts w:asciiTheme="majorHAnsi" w:hAnsiTheme="majorHAnsi" w:cstheme="majorHAnsi"/>
                <w:sz w:val="17"/>
                <w:szCs w:val="17"/>
              </w:rPr>
              <w:t xml:space="preserve">the </w:t>
            </w:r>
            <w:r w:rsidRPr="006B4639">
              <w:rPr>
                <w:rFonts w:asciiTheme="majorHAnsi" w:hAnsiTheme="majorHAnsi" w:cstheme="majorHAnsi"/>
                <w:sz w:val="17"/>
                <w:szCs w:val="17"/>
              </w:rPr>
              <w:t>outcomes of a workably competitive market</w:t>
            </w:r>
            <w:r w:rsidR="000F476F" w:rsidRPr="006B4639">
              <w:rPr>
                <w:rFonts w:asciiTheme="majorHAnsi" w:hAnsiTheme="majorHAnsi" w:cstheme="majorHAnsi"/>
                <w:sz w:val="17"/>
                <w:szCs w:val="17"/>
              </w:rPr>
              <w:t>)</w:t>
            </w:r>
          </w:p>
          <w:p w14:paraId="47D5A543" w14:textId="54C4933D" w:rsidR="009D2BE9" w:rsidRPr="006B4639" w:rsidRDefault="009D2BE9" w:rsidP="006516C2">
            <w:pPr>
              <w:pStyle w:val="TableBullet10"/>
              <w:keepNext/>
              <w:numPr>
                <w:ilvl w:val="0"/>
                <w:numId w:val="29"/>
              </w:numPr>
              <w:rPr>
                <w:rFonts w:asciiTheme="majorHAnsi" w:hAnsiTheme="majorHAnsi" w:cstheme="majorHAnsi"/>
                <w:sz w:val="17"/>
                <w:szCs w:val="17"/>
              </w:rPr>
            </w:pPr>
            <w:r w:rsidRPr="006B4639">
              <w:rPr>
                <w:rFonts w:asciiTheme="majorHAnsi" w:hAnsiTheme="majorHAnsi" w:cstheme="majorHAnsi"/>
                <w:sz w:val="17"/>
                <w:szCs w:val="17"/>
              </w:rPr>
              <w:t xml:space="preserve">the pricing principles </w:t>
            </w:r>
            <w:r w:rsidR="000F476F" w:rsidRPr="006B4639">
              <w:rPr>
                <w:rFonts w:asciiTheme="majorHAnsi" w:hAnsiTheme="majorHAnsi" w:cstheme="majorHAnsi"/>
                <w:sz w:val="17"/>
                <w:szCs w:val="17"/>
              </w:rPr>
              <w:t xml:space="preserve">in </w:t>
            </w:r>
            <w:r w:rsidR="00C73EAE">
              <w:rPr>
                <w:rFonts w:asciiTheme="majorHAnsi" w:hAnsiTheme="majorHAnsi" w:cstheme="majorHAnsi"/>
                <w:sz w:val="17"/>
                <w:szCs w:val="17"/>
              </w:rPr>
              <w:t xml:space="preserve">rule </w:t>
            </w:r>
            <w:r w:rsidR="000F476F" w:rsidRPr="006B4639">
              <w:rPr>
                <w:rFonts w:asciiTheme="majorHAnsi" w:hAnsiTheme="majorHAnsi" w:cstheme="majorHAnsi"/>
                <w:sz w:val="17"/>
                <w:szCs w:val="17"/>
              </w:rPr>
              <w:t>569 of the NGR</w:t>
            </w:r>
            <w:r w:rsidR="00782640" w:rsidRPr="006B4639">
              <w:rPr>
                <w:rFonts w:asciiTheme="majorHAnsi" w:hAnsiTheme="majorHAnsi" w:cstheme="majorHAnsi"/>
                <w:sz w:val="17"/>
                <w:szCs w:val="17"/>
              </w:rPr>
              <w:t xml:space="preserve"> (see </w:t>
            </w:r>
            <w:r w:rsidR="00BB44AC" w:rsidRPr="006B4639">
              <w:rPr>
                <w:rFonts w:asciiTheme="majorHAnsi" w:hAnsiTheme="majorHAnsi" w:cstheme="majorHAnsi"/>
                <w:sz w:val="17"/>
                <w:szCs w:val="17"/>
              </w:rPr>
              <w:fldChar w:fldCharType="begin" w:fldLock="1"/>
            </w:r>
            <w:r w:rsidR="00BB44AC" w:rsidRPr="006B4639">
              <w:rPr>
                <w:rFonts w:asciiTheme="majorHAnsi" w:hAnsiTheme="majorHAnsi" w:cstheme="majorHAnsi"/>
                <w:sz w:val="17"/>
                <w:szCs w:val="17"/>
              </w:rPr>
              <w:instrText xml:space="preserve"> REF _Ref18255106 </w:instrText>
            </w:r>
            <w:r w:rsidR="00BB44AC" w:rsidRPr="006B4639">
              <w:rPr>
                <w:rFonts w:asciiTheme="majorHAnsi" w:hAnsiTheme="majorHAnsi" w:cstheme="majorHAnsi"/>
                <w:sz w:val="17"/>
                <w:szCs w:val="17"/>
              </w:rPr>
              <w:fldChar w:fldCharType="separate"/>
            </w:r>
            <w:r w:rsidR="00036405" w:rsidRPr="006B4639">
              <w:t xml:space="preserve">Box </w:t>
            </w:r>
            <w:r w:rsidR="00036405">
              <w:rPr>
                <w:noProof/>
              </w:rPr>
              <w:t>7</w:t>
            </w:r>
            <w:r w:rsidR="00036405">
              <w:t>.</w:t>
            </w:r>
            <w:r w:rsidR="00036405">
              <w:rPr>
                <w:noProof/>
              </w:rPr>
              <w:t>1</w:t>
            </w:r>
            <w:r w:rsidR="00BB44AC" w:rsidRPr="006B4639">
              <w:rPr>
                <w:rFonts w:asciiTheme="majorHAnsi" w:hAnsiTheme="majorHAnsi" w:cstheme="majorHAnsi"/>
                <w:sz w:val="17"/>
                <w:szCs w:val="17"/>
              </w:rPr>
              <w:fldChar w:fldCharType="end"/>
            </w:r>
            <w:r w:rsidR="00782640" w:rsidRPr="006B4639">
              <w:rPr>
                <w:rFonts w:asciiTheme="majorHAnsi" w:hAnsiTheme="majorHAnsi" w:cstheme="majorHAnsi"/>
                <w:sz w:val="17"/>
                <w:szCs w:val="17"/>
              </w:rPr>
              <w:t xml:space="preserve"> for more detail)</w:t>
            </w:r>
          </w:p>
          <w:p w14:paraId="6A31CFC8" w14:textId="77777777" w:rsidR="009D2BE9" w:rsidRPr="006B4639" w:rsidRDefault="009D2BE9" w:rsidP="006516C2">
            <w:pPr>
              <w:pStyle w:val="TableBullet10"/>
              <w:keepNext/>
              <w:numPr>
                <w:ilvl w:val="0"/>
                <w:numId w:val="29"/>
              </w:numPr>
              <w:rPr>
                <w:rFonts w:asciiTheme="majorHAnsi" w:hAnsiTheme="majorHAnsi" w:cstheme="majorHAnsi"/>
                <w:sz w:val="17"/>
                <w:szCs w:val="17"/>
              </w:rPr>
            </w:pPr>
            <w:r w:rsidRPr="006B4639">
              <w:rPr>
                <w:rFonts w:asciiTheme="majorHAnsi" w:hAnsiTheme="majorHAnsi" w:cstheme="majorHAnsi"/>
                <w:sz w:val="17"/>
                <w:szCs w:val="17"/>
              </w:rPr>
              <w:t xml:space="preserve">the operational and technical requirements necessary for </w:t>
            </w:r>
            <w:r w:rsidR="000F476F" w:rsidRPr="006B4639">
              <w:rPr>
                <w:rFonts w:asciiTheme="majorHAnsi" w:hAnsiTheme="majorHAnsi" w:cstheme="majorHAnsi"/>
                <w:sz w:val="17"/>
                <w:szCs w:val="17"/>
              </w:rPr>
              <w:t xml:space="preserve">the </w:t>
            </w:r>
            <w:r w:rsidRPr="006B4639">
              <w:rPr>
                <w:rFonts w:asciiTheme="majorHAnsi" w:hAnsiTheme="majorHAnsi" w:cstheme="majorHAnsi"/>
                <w:sz w:val="17"/>
                <w:szCs w:val="17"/>
              </w:rPr>
              <w:t>safe and reliable operation of the pipeline.</w:t>
            </w:r>
          </w:p>
          <w:p w14:paraId="13FD20B2" w14:textId="77777777" w:rsidR="009D2BE9" w:rsidRPr="006B4639" w:rsidRDefault="007B4B89"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rPr>
              <w:t>The a</w:t>
            </w:r>
            <w:r w:rsidR="009D2BE9" w:rsidRPr="006B4639">
              <w:rPr>
                <w:rFonts w:asciiTheme="majorHAnsi" w:hAnsiTheme="majorHAnsi" w:cstheme="majorHAnsi"/>
                <w:sz w:val="17"/>
                <w:szCs w:val="17"/>
              </w:rPr>
              <w:t xml:space="preserve">rbitrator </w:t>
            </w:r>
            <w:r w:rsidR="009D2BE9" w:rsidRPr="006B4639">
              <w:rPr>
                <w:rFonts w:asciiTheme="majorHAnsi" w:hAnsiTheme="majorHAnsi" w:cstheme="majorHAnsi"/>
                <w:i/>
                <w:sz w:val="17"/>
                <w:szCs w:val="17"/>
              </w:rPr>
              <w:t>may</w:t>
            </w:r>
            <w:r w:rsidR="009D2BE9" w:rsidRPr="006B4639">
              <w:rPr>
                <w:rFonts w:asciiTheme="majorHAnsi" w:hAnsiTheme="majorHAnsi" w:cstheme="majorHAnsi"/>
                <w:sz w:val="17"/>
                <w:szCs w:val="17"/>
              </w:rPr>
              <w:t xml:space="preserve"> also take into account </w:t>
            </w:r>
            <w:r w:rsidR="00C14B6F" w:rsidRPr="006B4639">
              <w:rPr>
                <w:rFonts w:asciiTheme="majorHAnsi" w:hAnsiTheme="majorHAnsi" w:cstheme="majorHAnsi"/>
                <w:sz w:val="17"/>
                <w:szCs w:val="17"/>
              </w:rPr>
              <w:t>other factors</w:t>
            </w:r>
            <w:r w:rsidR="000F476F" w:rsidRPr="006B4639">
              <w:rPr>
                <w:rFonts w:asciiTheme="majorHAnsi" w:hAnsiTheme="majorHAnsi" w:cstheme="majorHAnsi"/>
                <w:sz w:val="17"/>
                <w:szCs w:val="17"/>
              </w:rPr>
              <w:t xml:space="preserve"> in </w:t>
            </w:r>
            <w:r w:rsidR="00C73EAE">
              <w:rPr>
                <w:rFonts w:asciiTheme="majorHAnsi" w:hAnsiTheme="majorHAnsi" w:cstheme="majorHAnsi"/>
                <w:sz w:val="17"/>
                <w:szCs w:val="17"/>
              </w:rPr>
              <w:t xml:space="preserve">rule </w:t>
            </w:r>
            <w:r w:rsidR="000F476F" w:rsidRPr="006B4639">
              <w:rPr>
                <w:rFonts w:asciiTheme="majorHAnsi" w:hAnsiTheme="majorHAnsi" w:cstheme="majorHAnsi"/>
                <w:sz w:val="17"/>
                <w:szCs w:val="17"/>
              </w:rPr>
              <w:t xml:space="preserve">569 of </w:t>
            </w:r>
            <w:r w:rsidR="00A61CE7" w:rsidRPr="006B4639">
              <w:rPr>
                <w:rFonts w:asciiTheme="majorHAnsi" w:hAnsiTheme="majorHAnsi" w:cstheme="majorHAnsi"/>
                <w:sz w:val="17"/>
                <w:szCs w:val="17"/>
              </w:rPr>
              <w:t xml:space="preserve">the </w:t>
            </w:r>
            <w:r w:rsidR="000F476F" w:rsidRPr="006B4639">
              <w:rPr>
                <w:rFonts w:asciiTheme="majorHAnsi" w:hAnsiTheme="majorHAnsi" w:cstheme="majorHAnsi"/>
                <w:sz w:val="17"/>
                <w:szCs w:val="17"/>
              </w:rPr>
              <w:t>NGR</w:t>
            </w:r>
            <w:r w:rsidR="00A753D3" w:rsidRPr="006B4639">
              <w:rPr>
                <w:rFonts w:asciiTheme="majorHAnsi" w:hAnsiTheme="majorHAnsi" w:cstheme="majorHAnsi"/>
                <w:sz w:val="17"/>
                <w:szCs w:val="17"/>
              </w:rPr>
              <w:t>, such as the legitimate business interests of service providers and users</w:t>
            </w:r>
            <w:r w:rsidR="00C14B6F" w:rsidRPr="006B4639">
              <w:rPr>
                <w:rFonts w:asciiTheme="majorHAnsi" w:hAnsiTheme="majorHAnsi" w:cstheme="majorHAnsi"/>
                <w:sz w:val="17"/>
                <w:szCs w:val="17"/>
              </w:rPr>
              <w:t>.</w:t>
            </w:r>
          </w:p>
        </w:tc>
      </w:tr>
      <w:tr w:rsidR="00F12373" w:rsidRPr="006B4639" w14:paraId="496739CA" w14:textId="77777777" w:rsidTr="0097597C">
        <w:trPr>
          <w:cnfStyle w:val="000000010000" w:firstRow="0" w:lastRow="0" w:firstColumn="0" w:lastColumn="0" w:oddVBand="0" w:evenVBand="0" w:oddHBand="0" w:evenHBand="1" w:firstRowFirstColumn="0" w:firstRowLastColumn="0" w:lastRowFirstColumn="0" w:lastRowLastColumn="0"/>
          <w:cantSplit/>
          <w:trHeight w:val="561"/>
        </w:trPr>
        <w:tc>
          <w:tcPr>
            <w:tcW w:w="292" w:type="pct"/>
            <w:vMerge w:val="restart"/>
          </w:tcPr>
          <w:p w14:paraId="4725C6E6" w14:textId="77777777" w:rsidR="00F12373" w:rsidRPr="006B4639" w:rsidRDefault="00F12373"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Other</w:t>
            </w:r>
          </w:p>
        </w:tc>
        <w:tc>
          <w:tcPr>
            <w:tcW w:w="486" w:type="pct"/>
            <w:gridSpan w:val="2"/>
            <w:tcBorders>
              <w:bottom w:val="single" w:sz="4" w:space="0" w:color="auto"/>
            </w:tcBorders>
          </w:tcPr>
          <w:p w14:paraId="0F4C48B0" w14:textId="77777777" w:rsidR="00F12373" w:rsidRPr="006B4639" w:rsidRDefault="00F12373"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Time frames </w:t>
            </w:r>
          </w:p>
        </w:tc>
        <w:tc>
          <w:tcPr>
            <w:tcW w:w="2087" w:type="pct"/>
            <w:tcBorders>
              <w:bottom w:val="single" w:sz="4" w:space="0" w:color="auto"/>
            </w:tcBorders>
          </w:tcPr>
          <w:p w14:paraId="7C8D4753" w14:textId="77777777" w:rsidR="00F12373" w:rsidRPr="006B4639" w:rsidRDefault="00F12373"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The dispute resolution body </w:t>
            </w:r>
            <w:r w:rsidR="00C217B6" w:rsidRPr="006B4639">
              <w:rPr>
                <w:rFonts w:asciiTheme="majorHAnsi" w:hAnsiTheme="majorHAnsi" w:cstheme="majorHAnsi"/>
                <w:sz w:val="17"/>
                <w:szCs w:val="17"/>
                <w:lang w:eastAsia="fr-CA"/>
              </w:rPr>
              <w:t>“</w:t>
            </w:r>
            <w:r w:rsidRPr="006B4639">
              <w:rPr>
                <w:rFonts w:asciiTheme="majorHAnsi" w:hAnsiTheme="majorHAnsi" w:cstheme="majorHAnsi"/>
                <w:sz w:val="17"/>
                <w:szCs w:val="17"/>
                <w:lang w:eastAsia="fr-CA"/>
              </w:rPr>
              <w:t xml:space="preserve">must act as speedily as a proper consideration of the </w:t>
            </w:r>
            <w:r w:rsidR="00C217B6" w:rsidRPr="006B4639">
              <w:rPr>
                <w:rFonts w:asciiTheme="majorHAnsi" w:hAnsiTheme="majorHAnsi" w:cstheme="majorHAnsi"/>
                <w:sz w:val="17"/>
                <w:szCs w:val="17"/>
                <w:lang w:eastAsia="fr-CA"/>
              </w:rPr>
              <w:t xml:space="preserve">access </w:t>
            </w:r>
            <w:r w:rsidRPr="006B4639">
              <w:rPr>
                <w:rFonts w:asciiTheme="majorHAnsi" w:hAnsiTheme="majorHAnsi" w:cstheme="majorHAnsi"/>
                <w:sz w:val="17"/>
                <w:szCs w:val="17"/>
                <w:lang w:eastAsia="fr-CA"/>
              </w:rPr>
              <w:t>dispute allows</w:t>
            </w:r>
            <w:r w:rsidR="00C217B6" w:rsidRPr="006B4639">
              <w:rPr>
                <w:rFonts w:asciiTheme="majorHAnsi" w:hAnsiTheme="majorHAnsi" w:cstheme="majorHAnsi"/>
                <w:sz w:val="17"/>
                <w:szCs w:val="17"/>
                <w:lang w:eastAsia="fr-CA"/>
              </w:rPr>
              <w:t>”</w:t>
            </w:r>
            <w:r w:rsidRPr="006B4639">
              <w:rPr>
                <w:rFonts w:asciiTheme="majorHAnsi" w:hAnsiTheme="majorHAnsi" w:cstheme="majorHAnsi"/>
                <w:sz w:val="17"/>
                <w:szCs w:val="17"/>
                <w:lang w:eastAsia="fr-CA"/>
              </w:rPr>
              <w:t xml:space="preserve"> (s. 198 of NGL)</w:t>
            </w:r>
          </w:p>
        </w:tc>
        <w:tc>
          <w:tcPr>
            <w:tcW w:w="2135" w:type="pct"/>
            <w:tcBorders>
              <w:bottom w:val="single" w:sz="4" w:space="0" w:color="auto"/>
            </w:tcBorders>
          </w:tcPr>
          <w:p w14:paraId="52F62E9E" w14:textId="77777777" w:rsidR="00F12373" w:rsidRPr="006B4639" w:rsidRDefault="00F12373"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The arbitrator must make a final access determination within 50 business days (or up to 90 business days in certain circumstances)</w:t>
            </w:r>
            <w:r w:rsidR="00782640" w:rsidRPr="006B4639">
              <w:rPr>
                <w:rFonts w:asciiTheme="majorHAnsi" w:hAnsiTheme="majorHAnsi" w:cstheme="majorHAnsi"/>
                <w:sz w:val="17"/>
                <w:szCs w:val="17"/>
                <w:lang w:eastAsia="fr-CA"/>
              </w:rPr>
              <w:t xml:space="preserve"> (</w:t>
            </w:r>
            <w:r w:rsidR="00C73EAE">
              <w:rPr>
                <w:rFonts w:asciiTheme="majorHAnsi" w:hAnsiTheme="majorHAnsi" w:cstheme="majorHAnsi"/>
                <w:sz w:val="17"/>
                <w:szCs w:val="17"/>
                <w:lang w:eastAsia="fr-CA"/>
              </w:rPr>
              <w:t xml:space="preserve">rule </w:t>
            </w:r>
            <w:r w:rsidR="00782640" w:rsidRPr="006B4639">
              <w:rPr>
                <w:rFonts w:asciiTheme="majorHAnsi" w:hAnsiTheme="majorHAnsi" w:cstheme="majorHAnsi"/>
                <w:sz w:val="17"/>
                <w:szCs w:val="17"/>
                <w:lang w:eastAsia="fr-CA"/>
              </w:rPr>
              <w:t>572 of NGR)</w:t>
            </w:r>
          </w:p>
        </w:tc>
      </w:tr>
      <w:tr w:rsidR="00603C8D" w:rsidRPr="006B4639" w14:paraId="3CFE6CC8" w14:textId="77777777" w:rsidTr="0097597C">
        <w:trPr>
          <w:cantSplit/>
          <w:trHeight w:val="88"/>
        </w:trPr>
        <w:tc>
          <w:tcPr>
            <w:tcW w:w="292" w:type="pct"/>
            <w:vMerge/>
            <w:tcBorders>
              <w:right w:val="single" w:sz="4" w:space="0" w:color="auto"/>
            </w:tcBorders>
          </w:tcPr>
          <w:p w14:paraId="1820E4C9" w14:textId="77777777" w:rsidR="00603C8D" w:rsidRPr="006B4639" w:rsidRDefault="00603C8D" w:rsidP="00B031C0">
            <w:pPr>
              <w:pStyle w:val="TableBodyText"/>
              <w:rPr>
                <w:rFonts w:asciiTheme="majorHAnsi" w:hAnsiTheme="majorHAnsi" w:cstheme="majorHAnsi"/>
                <w:sz w:val="17"/>
                <w:szCs w:val="17"/>
                <w:lang w:eastAsia="fr-CA"/>
              </w:rPr>
            </w:pPr>
          </w:p>
        </w:tc>
        <w:tc>
          <w:tcPr>
            <w:tcW w:w="486" w:type="pct"/>
            <w:gridSpan w:val="2"/>
            <w:tcBorders>
              <w:left w:val="single" w:sz="4" w:space="0" w:color="auto"/>
              <w:bottom w:val="single" w:sz="4" w:space="0" w:color="auto"/>
            </w:tcBorders>
            <w:shd w:val="clear" w:color="auto" w:fill="FFFFFF" w:themeFill="background1"/>
          </w:tcPr>
          <w:p w14:paraId="40F5A3CC" w14:textId="77777777" w:rsidR="00603C8D" w:rsidRPr="006B4639" w:rsidRDefault="00603C8D"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Binding nature</w:t>
            </w:r>
            <w:r w:rsidR="008E06B3" w:rsidRPr="006B4639">
              <w:rPr>
                <w:rFonts w:asciiTheme="majorHAnsi" w:hAnsiTheme="majorHAnsi" w:cstheme="majorHAnsi"/>
                <w:sz w:val="17"/>
                <w:szCs w:val="17"/>
                <w:lang w:eastAsia="fr-CA"/>
              </w:rPr>
              <w:t xml:space="preserve"> of decision</w:t>
            </w:r>
          </w:p>
        </w:tc>
        <w:tc>
          <w:tcPr>
            <w:tcW w:w="2087" w:type="pct"/>
            <w:tcBorders>
              <w:bottom w:val="single" w:sz="4" w:space="0" w:color="auto"/>
            </w:tcBorders>
            <w:shd w:val="clear" w:color="auto" w:fill="FFFFFF" w:themeFill="background1"/>
          </w:tcPr>
          <w:p w14:paraId="2A99AC77" w14:textId="77777777" w:rsidR="00603C8D" w:rsidRPr="006B4639" w:rsidRDefault="00603C8D"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Binding on service providers and shippers</w:t>
            </w:r>
            <w:r w:rsidR="00F12373" w:rsidRPr="006B4639">
              <w:rPr>
                <w:rFonts w:asciiTheme="majorHAnsi" w:hAnsiTheme="majorHAnsi" w:cstheme="majorHAnsi"/>
                <w:sz w:val="17"/>
                <w:szCs w:val="17"/>
                <w:lang w:eastAsia="fr-CA"/>
              </w:rPr>
              <w:t xml:space="preserve"> (s. 195 of NGL)</w:t>
            </w:r>
          </w:p>
        </w:tc>
        <w:tc>
          <w:tcPr>
            <w:tcW w:w="2135" w:type="pct"/>
            <w:tcBorders>
              <w:bottom w:val="single" w:sz="4" w:space="0" w:color="auto"/>
            </w:tcBorders>
            <w:shd w:val="clear" w:color="auto" w:fill="FFFFFF" w:themeFill="background1"/>
          </w:tcPr>
          <w:p w14:paraId="647A2586" w14:textId="77777777" w:rsidR="00603C8D" w:rsidRPr="006B4639" w:rsidRDefault="00F12373"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The determination is b</w:t>
            </w:r>
            <w:r w:rsidR="00603C8D" w:rsidRPr="006B4639">
              <w:rPr>
                <w:rFonts w:asciiTheme="majorHAnsi" w:hAnsiTheme="majorHAnsi" w:cstheme="majorHAnsi"/>
                <w:sz w:val="17"/>
                <w:szCs w:val="17"/>
                <w:lang w:eastAsia="fr-CA"/>
              </w:rPr>
              <w:t xml:space="preserve">inding on service providers but not </w:t>
            </w:r>
            <w:r w:rsidRPr="006B4639">
              <w:rPr>
                <w:rFonts w:asciiTheme="majorHAnsi" w:hAnsiTheme="majorHAnsi" w:cstheme="majorHAnsi"/>
                <w:sz w:val="17"/>
                <w:szCs w:val="17"/>
                <w:lang w:eastAsia="fr-CA"/>
              </w:rPr>
              <w:t xml:space="preserve">the </w:t>
            </w:r>
            <w:r w:rsidR="00603C8D" w:rsidRPr="006B4639">
              <w:rPr>
                <w:rFonts w:asciiTheme="majorHAnsi" w:hAnsiTheme="majorHAnsi" w:cstheme="majorHAnsi"/>
                <w:sz w:val="17"/>
                <w:szCs w:val="17"/>
                <w:lang w:eastAsia="fr-CA"/>
              </w:rPr>
              <w:t xml:space="preserve">shipper </w:t>
            </w:r>
            <w:r w:rsidRPr="006B4639">
              <w:rPr>
                <w:rFonts w:asciiTheme="majorHAnsi" w:hAnsiTheme="majorHAnsi" w:cstheme="majorHAnsi"/>
                <w:sz w:val="17"/>
                <w:szCs w:val="17"/>
                <w:lang w:eastAsia="fr-CA"/>
              </w:rPr>
              <w:t xml:space="preserve">(s. 216Q of NGL).  If </w:t>
            </w:r>
            <w:r w:rsidR="00C217B6" w:rsidRPr="006B4639">
              <w:rPr>
                <w:rFonts w:asciiTheme="majorHAnsi" w:hAnsiTheme="majorHAnsi" w:cstheme="majorHAnsi"/>
                <w:sz w:val="17"/>
                <w:szCs w:val="17"/>
                <w:lang w:eastAsia="fr-CA"/>
              </w:rPr>
              <w:t xml:space="preserve">the </w:t>
            </w:r>
            <w:r w:rsidRPr="006B4639">
              <w:rPr>
                <w:rFonts w:asciiTheme="majorHAnsi" w:hAnsiTheme="majorHAnsi" w:cstheme="majorHAnsi"/>
                <w:sz w:val="17"/>
                <w:szCs w:val="17"/>
                <w:lang w:eastAsia="fr-CA"/>
              </w:rPr>
              <w:t xml:space="preserve">shipper decides </w:t>
            </w:r>
            <w:r w:rsidRPr="006B4639">
              <w:rPr>
                <w:rFonts w:asciiTheme="majorHAnsi" w:hAnsiTheme="majorHAnsi" w:cstheme="majorHAnsi"/>
                <w:sz w:val="17"/>
                <w:szCs w:val="17"/>
                <w:u w:val="single"/>
                <w:lang w:eastAsia="fr-CA"/>
              </w:rPr>
              <w:t>not</w:t>
            </w:r>
            <w:r w:rsidRPr="006B4639">
              <w:rPr>
                <w:rFonts w:asciiTheme="majorHAnsi" w:hAnsiTheme="majorHAnsi" w:cstheme="majorHAnsi"/>
                <w:sz w:val="17"/>
                <w:szCs w:val="17"/>
                <w:lang w:eastAsia="fr-CA"/>
              </w:rPr>
              <w:t xml:space="preserve"> to take up the service, it is </w:t>
            </w:r>
            <w:r w:rsidR="00782640" w:rsidRPr="006B4639">
              <w:rPr>
                <w:rFonts w:asciiTheme="majorHAnsi" w:hAnsiTheme="majorHAnsi" w:cstheme="majorHAnsi"/>
                <w:sz w:val="17"/>
                <w:szCs w:val="17"/>
                <w:lang w:eastAsia="fr-CA"/>
              </w:rPr>
              <w:t xml:space="preserve">prohibited from </w:t>
            </w:r>
            <w:r w:rsidR="00603C8D" w:rsidRPr="006B4639">
              <w:rPr>
                <w:rFonts w:asciiTheme="majorHAnsi" w:hAnsiTheme="majorHAnsi" w:cstheme="majorHAnsi"/>
                <w:sz w:val="17"/>
                <w:szCs w:val="17"/>
                <w:lang w:eastAsia="fr-CA"/>
              </w:rPr>
              <w:t>seek</w:t>
            </w:r>
            <w:r w:rsidR="00782640" w:rsidRPr="006B4639">
              <w:rPr>
                <w:rFonts w:asciiTheme="majorHAnsi" w:hAnsiTheme="majorHAnsi" w:cstheme="majorHAnsi"/>
                <w:sz w:val="17"/>
                <w:szCs w:val="17"/>
                <w:lang w:eastAsia="fr-CA"/>
              </w:rPr>
              <w:t>ing</w:t>
            </w:r>
            <w:r w:rsidR="00C217B6" w:rsidRPr="006B4639">
              <w:rPr>
                <w:rFonts w:asciiTheme="majorHAnsi" w:hAnsiTheme="majorHAnsi" w:cstheme="majorHAnsi"/>
                <w:sz w:val="17"/>
                <w:szCs w:val="17"/>
                <w:lang w:eastAsia="fr-CA"/>
              </w:rPr>
              <w:t xml:space="preserve"> an</w:t>
            </w:r>
            <w:r w:rsidR="00603C8D" w:rsidRPr="006B4639">
              <w:rPr>
                <w:rFonts w:asciiTheme="majorHAnsi" w:hAnsiTheme="majorHAnsi" w:cstheme="majorHAnsi"/>
                <w:sz w:val="17"/>
                <w:szCs w:val="17"/>
                <w:lang w:eastAsia="fr-CA"/>
              </w:rPr>
              <w:t xml:space="preserve"> arbitration </w:t>
            </w:r>
            <w:r w:rsidRPr="006B4639">
              <w:rPr>
                <w:rFonts w:asciiTheme="majorHAnsi" w:hAnsiTheme="majorHAnsi" w:cstheme="majorHAnsi"/>
                <w:sz w:val="17"/>
                <w:szCs w:val="17"/>
                <w:lang w:eastAsia="fr-CA"/>
              </w:rPr>
              <w:t xml:space="preserve">for the same or a substantially similar service </w:t>
            </w:r>
            <w:r w:rsidR="00603C8D" w:rsidRPr="006B4639">
              <w:rPr>
                <w:rFonts w:asciiTheme="majorHAnsi" w:hAnsiTheme="majorHAnsi" w:cstheme="majorHAnsi"/>
                <w:sz w:val="17"/>
                <w:szCs w:val="17"/>
                <w:lang w:eastAsia="fr-CA"/>
              </w:rPr>
              <w:t xml:space="preserve">for </w:t>
            </w:r>
            <w:r w:rsidRPr="006B4639">
              <w:rPr>
                <w:rFonts w:asciiTheme="majorHAnsi" w:hAnsiTheme="majorHAnsi" w:cstheme="majorHAnsi"/>
                <w:sz w:val="17"/>
                <w:szCs w:val="17"/>
                <w:lang w:eastAsia="fr-CA"/>
              </w:rPr>
              <w:t xml:space="preserve">up to </w:t>
            </w:r>
            <w:r w:rsidR="00603C8D" w:rsidRPr="006B4639">
              <w:rPr>
                <w:rFonts w:asciiTheme="majorHAnsi" w:hAnsiTheme="majorHAnsi" w:cstheme="majorHAnsi"/>
                <w:sz w:val="17"/>
                <w:szCs w:val="17"/>
                <w:lang w:eastAsia="fr-CA"/>
              </w:rPr>
              <w:t xml:space="preserve">1 </w:t>
            </w:r>
            <w:r w:rsidRPr="006B4639">
              <w:rPr>
                <w:rFonts w:asciiTheme="majorHAnsi" w:hAnsiTheme="majorHAnsi" w:cstheme="majorHAnsi"/>
                <w:sz w:val="17"/>
                <w:szCs w:val="17"/>
                <w:lang w:eastAsia="fr-CA"/>
              </w:rPr>
              <w:t>year (</w:t>
            </w:r>
            <w:r w:rsidR="00C73EAE">
              <w:rPr>
                <w:rFonts w:asciiTheme="majorHAnsi" w:hAnsiTheme="majorHAnsi" w:cstheme="majorHAnsi"/>
                <w:sz w:val="17"/>
                <w:szCs w:val="17"/>
                <w:lang w:eastAsia="fr-CA"/>
              </w:rPr>
              <w:t xml:space="preserve">rule </w:t>
            </w:r>
            <w:r w:rsidRPr="006B4639">
              <w:rPr>
                <w:rFonts w:asciiTheme="majorHAnsi" w:hAnsiTheme="majorHAnsi" w:cstheme="majorHAnsi"/>
                <w:sz w:val="17"/>
                <w:szCs w:val="17"/>
                <w:lang w:eastAsia="fr-CA"/>
              </w:rPr>
              <w:t>573 of NGR)</w:t>
            </w:r>
          </w:p>
        </w:tc>
      </w:tr>
      <w:tr w:rsidR="00603C8D" w:rsidRPr="006B4639" w14:paraId="631A5193" w14:textId="77777777" w:rsidTr="0097597C">
        <w:trPr>
          <w:cnfStyle w:val="000000010000" w:firstRow="0" w:lastRow="0" w:firstColumn="0" w:lastColumn="0" w:oddVBand="0" w:evenVBand="0" w:oddHBand="0" w:evenHBand="1" w:firstRowFirstColumn="0" w:firstRowLastColumn="0" w:lastRowFirstColumn="0" w:lastRowLastColumn="0"/>
          <w:cantSplit/>
          <w:trHeight w:val="88"/>
        </w:trPr>
        <w:tc>
          <w:tcPr>
            <w:tcW w:w="292" w:type="pct"/>
            <w:vMerge/>
            <w:tcBorders>
              <w:bottom w:val="single" w:sz="4" w:space="0" w:color="auto"/>
              <w:right w:val="single" w:sz="4" w:space="0" w:color="auto"/>
            </w:tcBorders>
          </w:tcPr>
          <w:p w14:paraId="07A00C1A" w14:textId="77777777" w:rsidR="00603C8D" w:rsidRPr="006B4639" w:rsidRDefault="00603C8D" w:rsidP="00B031C0">
            <w:pPr>
              <w:pStyle w:val="TableBodyText"/>
              <w:rPr>
                <w:rFonts w:asciiTheme="majorHAnsi" w:hAnsiTheme="majorHAnsi" w:cstheme="majorHAnsi"/>
                <w:sz w:val="17"/>
                <w:szCs w:val="17"/>
                <w:lang w:eastAsia="fr-CA"/>
              </w:rPr>
            </w:pPr>
          </w:p>
        </w:tc>
        <w:tc>
          <w:tcPr>
            <w:tcW w:w="486" w:type="pct"/>
            <w:gridSpan w:val="2"/>
            <w:tcBorders>
              <w:left w:val="single" w:sz="4" w:space="0" w:color="auto"/>
              <w:bottom w:val="single" w:sz="4" w:space="0" w:color="auto"/>
            </w:tcBorders>
          </w:tcPr>
          <w:p w14:paraId="21FCF3F3" w14:textId="77777777" w:rsidR="00603C8D" w:rsidRPr="006B4639" w:rsidRDefault="00603C8D"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Information </w:t>
            </w:r>
            <w:r w:rsidR="005F05D7" w:rsidRPr="006B4639">
              <w:rPr>
                <w:rFonts w:asciiTheme="majorHAnsi" w:hAnsiTheme="majorHAnsi" w:cstheme="majorHAnsi"/>
                <w:sz w:val="17"/>
                <w:szCs w:val="17"/>
                <w:lang w:eastAsia="fr-CA"/>
              </w:rPr>
              <w:t xml:space="preserve">to be </w:t>
            </w:r>
            <w:r w:rsidRPr="006B4639">
              <w:rPr>
                <w:rFonts w:asciiTheme="majorHAnsi" w:hAnsiTheme="majorHAnsi" w:cstheme="majorHAnsi"/>
                <w:sz w:val="17"/>
                <w:szCs w:val="17"/>
                <w:lang w:eastAsia="fr-CA"/>
              </w:rPr>
              <w:t>published</w:t>
            </w:r>
          </w:p>
        </w:tc>
        <w:tc>
          <w:tcPr>
            <w:tcW w:w="2087" w:type="pct"/>
            <w:tcBorders>
              <w:bottom w:val="single" w:sz="4" w:space="0" w:color="auto"/>
            </w:tcBorders>
          </w:tcPr>
          <w:p w14:paraId="00277517" w14:textId="77777777" w:rsidR="00603C8D" w:rsidRPr="006B4639" w:rsidRDefault="00F12373"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Not specified </w:t>
            </w:r>
          </w:p>
        </w:tc>
        <w:tc>
          <w:tcPr>
            <w:tcW w:w="2135" w:type="pct"/>
            <w:tcBorders>
              <w:bottom w:val="single" w:sz="4" w:space="0" w:color="auto"/>
            </w:tcBorders>
          </w:tcPr>
          <w:p w14:paraId="04C3B599" w14:textId="77777777" w:rsidR="00603C8D" w:rsidRPr="006B4639" w:rsidRDefault="00603C8D" w:rsidP="00B031C0">
            <w:pPr>
              <w:pStyle w:val="TableBodyText"/>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Summary information published on </w:t>
            </w:r>
            <w:r w:rsidR="002C1ADD" w:rsidRPr="006B4639">
              <w:rPr>
                <w:rFonts w:asciiTheme="majorHAnsi" w:hAnsiTheme="majorHAnsi" w:cstheme="majorHAnsi"/>
                <w:sz w:val="17"/>
                <w:szCs w:val="17"/>
                <w:lang w:eastAsia="fr-CA"/>
              </w:rPr>
              <w:t xml:space="preserve">the pipeline and </w:t>
            </w:r>
            <w:r w:rsidR="00D63F55" w:rsidRPr="006B4639">
              <w:rPr>
                <w:rFonts w:asciiTheme="majorHAnsi" w:hAnsiTheme="majorHAnsi" w:cstheme="majorHAnsi"/>
                <w:sz w:val="17"/>
                <w:szCs w:val="17"/>
                <w:lang w:eastAsia="fr-CA"/>
              </w:rPr>
              <w:t xml:space="preserve">services subject to dispute, the </w:t>
            </w:r>
            <w:r w:rsidRPr="006B4639">
              <w:rPr>
                <w:rFonts w:asciiTheme="majorHAnsi" w:hAnsiTheme="majorHAnsi" w:cstheme="majorHAnsi"/>
                <w:sz w:val="17"/>
                <w:szCs w:val="17"/>
                <w:lang w:eastAsia="fr-CA"/>
              </w:rPr>
              <w:t xml:space="preserve">parties to </w:t>
            </w:r>
            <w:r w:rsidR="00D63F55" w:rsidRPr="006B4639">
              <w:rPr>
                <w:rFonts w:asciiTheme="majorHAnsi" w:hAnsiTheme="majorHAnsi" w:cstheme="majorHAnsi"/>
                <w:sz w:val="17"/>
                <w:szCs w:val="17"/>
                <w:lang w:eastAsia="fr-CA"/>
              </w:rPr>
              <w:t xml:space="preserve">the </w:t>
            </w:r>
            <w:r w:rsidRPr="006B4639">
              <w:rPr>
                <w:rFonts w:asciiTheme="majorHAnsi" w:hAnsiTheme="majorHAnsi" w:cstheme="majorHAnsi"/>
                <w:sz w:val="17"/>
                <w:szCs w:val="17"/>
                <w:lang w:eastAsia="fr-CA"/>
              </w:rPr>
              <w:t xml:space="preserve">dispute (if agreed by shipper), </w:t>
            </w:r>
            <w:r w:rsidR="005F05D7" w:rsidRPr="006B4639">
              <w:rPr>
                <w:rFonts w:asciiTheme="majorHAnsi" w:hAnsiTheme="majorHAnsi" w:cstheme="majorHAnsi"/>
                <w:sz w:val="17"/>
                <w:szCs w:val="17"/>
                <w:lang w:eastAsia="fr-CA"/>
              </w:rPr>
              <w:t xml:space="preserve">the </w:t>
            </w:r>
            <w:r w:rsidRPr="006B4639">
              <w:rPr>
                <w:rFonts w:asciiTheme="majorHAnsi" w:hAnsiTheme="majorHAnsi" w:cstheme="majorHAnsi"/>
                <w:sz w:val="17"/>
                <w:szCs w:val="17"/>
                <w:lang w:eastAsia="fr-CA"/>
              </w:rPr>
              <w:t xml:space="preserve">arbitrator’s name, </w:t>
            </w:r>
            <w:r w:rsidR="00D63F55" w:rsidRPr="006B4639">
              <w:rPr>
                <w:rFonts w:asciiTheme="majorHAnsi" w:hAnsiTheme="majorHAnsi" w:cstheme="majorHAnsi"/>
                <w:sz w:val="17"/>
                <w:szCs w:val="17"/>
                <w:lang w:eastAsia="fr-CA"/>
              </w:rPr>
              <w:t>the duration of the arbitration proceedings</w:t>
            </w:r>
            <w:r w:rsidR="00D1047C" w:rsidRPr="006B4639">
              <w:rPr>
                <w:rFonts w:asciiTheme="majorHAnsi" w:hAnsiTheme="majorHAnsi" w:cstheme="majorHAnsi"/>
                <w:sz w:val="17"/>
                <w:szCs w:val="17"/>
                <w:lang w:eastAsia="fr-CA"/>
              </w:rPr>
              <w:t xml:space="preserve">, </w:t>
            </w:r>
            <w:r w:rsidR="00D63F55" w:rsidRPr="006B4639">
              <w:rPr>
                <w:rFonts w:asciiTheme="majorHAnsi" w:hAnsiTheme="majorHAnsi" w:cstheme="majorHAnsi"/>
                <w:sz w:val="17"/>
                <w:szCs w:val="17"/>
                <w:lang w:eastAsia="fr-CA"/>
              </w:rPr>
              <w:t xml:space="preserve">the asset value and </w:t>
            </w:r>
            <w:r w:rsidR="00D1047C" w:rsidRPr="006B4639">
              <w:rPr>
                <w:rFonts w:asciiTheme="majorHAnsi" w:hAnsiTheme="majorHAnsi" w:cstheme="majorHAnsi"/>
                <w:sz w:val="17"/>
                <w:szCs w:val="17"/>
                <w:lang w:eastAsia="fr-CA"/>
              </w:rPr>
              <w:t xml:space="preserve">valuation </w:t>
            </w:r>
            <w:r w:rsidR="00D63F55" w:rsidRPr="006B4639">
              <w:rPr>
                <w:rFonts w:asciiTheme="majorHAnsi" w:hAnsiTheme="majorHAnsi" w:cstheme="majorHAnsi"/>
                <w:sz w:val="17"/>
                <w:szCs w:val="17"/>
                <w:lang w:eastAsia="fr-CA"/>
              </w:rPr>
              <w:t xml:space="preserve">method </w:t>
            </w:r>
            <w:r w:rsidR="00D1047C" w:rsidRPr="006B4639">
              <w:rPr>
                <w:rFonts w:asciiTheme="majorHAnsi" w:hAnsiTheme="majorHAnsi" w:cstheme="majorHAnsi"/>
                <w:sz w:val="17"/>
                <w:szCs w:val="17"/>
                <w:lang w:eastAsia="fr-CA"/>
              </w:rPr>
              <w:t>used (where applicable), and whether the shipper entered into a contract that reflected the final determination</w:t>
            </w:r>
            <w:r w:rsidR="00D63F55" w:rsidRPr="006B4639">
              <w:rPr>
                <w:rFonts w:asciiTheme="majorHAnsi" w:hAnsiTheme="majorHAnsi" w:cstheme="majorHAnsi"/>
                <w:sz w:val="17"/>
                <w:szCs w:val="17"/>
                <w:lang w:eastAsia="fr-CA"/>
              </w:rPr>
              <w:t xml:space="preserve"> </w:t>
            </w:r>
            <w:r w:rsidR="002C1ADD" w:rsidRPr="006B4639">
              <w:rPr>
                <w:rFonts w:asciiTheme="majorHAnsi" w:hAnsiTheme="majorHAnsi" w:cstheme="majorHAnsi"/>
                <w:sz w:val="17"/>
                <w:szCs w:val="17"/>
                <w:lang w:eastAsia="fr-CA"/>
              </w:rPr>
              <w:t>(</w:t>
            </w:r>
            <w:r w:rsidR="00C73EAE">
              <w:rPr>
                <w:rFonts w:asciiTheme="majorHAnsi" w:hAnsiTheme="majorHAnsi" w:cstheme="majorHAnsi"/>
                <w:sz w:val="17"/>
                <w:szCs w:val="17"/>
                <w:lang w:eastAsia="fr-CA"/>
              </w:rPr>
              <w:t xml:space="preserve">rule </w:t>
            </w:r>
            <w:r w:rsidR="002C1ADD" w:rsidRPr="006B4639">
              <w:rPr>
                <w:rFonts w:asciiTheme="majorHAnsi" w:hAnsiTheme="majorHAnsi" w:cstheme="majorHAnsi"/>
                <w:sz w:val="17"/>
                <w:szCs w:val="17"/>
                <w:lang w:eastAsia="fr-CA"/>
              </w:rPr>
              <w:t>581 of NGR)</w:t>
            </w:r>
            <w:r w:rsidRPr="006B4639">
              <w:rPr>
                <w:rFonts w:asciiTheme="majorHAnsi" w:hAnsiTheme="majorHAnsi" w:cstheme="majorHAnsi"/>
                <w:sz w:val="17"/>
                <w:szCs w:val="17"/>
                <w:lang w:eastAsia="fr-CA"/>
              </w:rPr>
              <w:t xml:space="preserve"> </w:t>
            </w:r>
          </w:p>
        </w:tc>
      </w:tr>
      <w:tr w:rsidR="00373D36" w:rsidRPr="006B4639" w14:paraId="0B0E0973" w14:textId="77777777" w:rsidTr="0097597C">
        <w:trPr>
          <w:cantSplit/>
          <w:trHeight w:val="56"/>
        </w:trPr>
        <w:tc>
          <w:tcPr>
            <w:tcW w:w="778" w:type="pct"/>
            <w:gridSpan w:val="3"/>
            <w:shd w:val="clear" w:color="auto" w:fill="FFFFFF" w:themeFill="background1"/>
          </w:tcPr>
          <w:p w14:paraId="03B855F3" w14:textId="77777777" w:rsidR="00373D36" w:rsidRPr="006B4639" w:rsidRDefault="00373D36" w:rsidP="0097597C">
            <w:pPr>
              <w:pStyle w:val="TableBodyText"/>
              <w:spacing w:before="0" w:after="20"/>
              <w:rPr>
                <w:rFonts w:asciiTheme="majorHAnsi" w:hAnsiTheme="majorHAnsi" w:cstheme="majorHAnsi"/>
                <w:sz w:val="17"/>
                <w:szCs w:val="17"/>
                <w:lang w:eastAsia="fr-CA"/>
              </w:rPr>
            </w:pPr>
            <w:r w:rsidRPr="006B4639">
              <w:rPr>
                <w:rFonts w:asciiTheme="majorHAnsi" w:hAnsiTheme="majorHAnsi" w:cstheme="majorHAnsi"/>
                <w:sz w:val="17"/>
                <w:szCs w:val="17"/>
                <w:lang w:eastAsia="fr-CA"/>
              </w:rPr>
              <w:t>Costs of arbitration</w:t>
            </w:r>
          </w:p>
        </w:tc>
        <w:tc>
          <w:tcPr>
            <w:tcW w:w="2087" w:type="pct"/>
            <w:shd w:val="clear" w:color="auto" w:fill="FFFFFF" w:themeFill="background1"/>
          </w:tcPr>
          <w:p w14:paraId="51C5FAEE" w14:textId="77777777" w:rsidR="00247E7C" w:rsidRPr="006B4639" w:rsidRDefault="00247E7C" w:rsidP="0097597C">
            <w:pPr>
              <w:pStyle w:val="TableBodyText"/>
              <w:spacing w:before="0" w:after="20"/>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Parties bear </w:t>
            </w:r>
            <w:r w:rsidR="00EB63DF" w:rsidRPr="006B4639">
              <w:rPr>
                <w:rFonts w:asciiTheme="majorHAnsi" w:hAnsiTheme="majorHAnsi" w:cstheme="majorHAnsi"/>
                <w:sz w:val="17"/>
                <w:szCs w:val="17"/>
                <w:lang w:eastAsia="fr-CA"/>
              </w:rPr>
              <w:t xml:space="preserve">their </w:t>
            </w:r>
            <w:r w:rsidRPr="006B4639">
              <w:rPr>
                <w:rFonts w:asciiTheme="majorHAnsi" w:hAnsiTheme="majorHAnsi" w:cstheme="majorHAnsi"/>
                <w:sz w:val="17"/>
                <w:szCs w:val="17"/>
                <w:lang w:eastAsia="fr-CA"/>
              </w:rPr>
              <w:t xml:space="preserve">own costs, but </w:t>
            </w:r>
            <w:r w:rsidR="00EB63DF" w:rsidRPr="006B4639">
              <w:rPr>
                <w:rFonts w:asciiTheme="majorHAnsi" w:hAnsiTheme="majorHAnsi" w:cstheme="majorHAnsi"/>
                <w:sz w:val="17"/>
                <w:szCs w:val="17"/>
                <w:lang w:eastAsia="fr-CA"/>
              </w:rPr>
              <w:t xml:space="preserve">the </w:t>
            </w:r>
            <w:r w:rsidRPr="006B4639">
              <w:rPr>
                <w:rFonts w:asciiTheme="majorHAnsi" w:hAnsiTheme="majorHAnsi" w:cstheme="majorHAnsi"/>
                <w:sz w:val="17"/>
                <w:szCs w:val="17"/>
                <w:lang w:eastAsia="fr-CA"/>
              </w:rPr>
              <w:t>dispute resolution body can order a party to pay all or a part of the costs of another party in the dispute (s. 206 of NGL)</w:t>
            </w:r>
            <w:r w:rsidR="00F64735" w:rsidRPr="006B4639">
              <w:rPr>
                <w:rFonts w:asciiTheme="majorHAnsi" w:hAnsiTheme="majorHAnsi" w:cstheme="majorHAnsi"/>
                <w:sz w:val="17"/>
                <w:szCs w:val="17"/>
                <w:lang w:eastAsia="fr-CA"/>
              </w:rPr>
              <w:t xml:space="preserve"> if it is satisfied that it is fair to do so, having regard to whether a party has conducted the dispute hearing in a way that unnecessarily disadvantaged another party (e.g. by failing to comply with an order, the NGL, NGR or Regulations; causing an adjournment; attempting to deceive the other party or dispute resolution body; or behaving vexatiously) (s. 206 of NGL).  </w:t>
            </w:r>
          </w:p>
          <w:p w14:paraId="33386A62" w14:textId="77777777" w:rsidR="00373D36" w:rsidRPr="006B4639" w:rsidRDefault="00F64735" w:rsidP="0097597C">
            <w:pPr>
              <w:pStyle w:val="TableBodyText"/>
              <w:spacing w:before="0" w:after="20"/>
              <w:rPr>
                <w:rFonts w:asciiTheme="majorHAnsi" w:hAnsiTheme="majorHAnsi" w:cstheme="majorHAnsi"/>
                <w:sz w:val="17"/>
                <w:szCs w:val="17"/>
                <w:lang w:eastAsia="fr-CA"/>
              </w:rPr>
            </w:pPr>
            <w:r w:rsidRPr="006B4639">
              <w:rPr>
                <w:rFonts w:asciiTheme="majorHAnsi" w:hAnsiTheme="majorHAnsi" w:cstheme="majorHAnsi"/>
                <w:sz w:val="17"/>
                <w:szCs w:val="17"/>
                <w:lang w:eastAsia="fr-CA"/>
              </w:rPr>
              <w:t>The d</w:t>
            </w:r>
            <w:r w:rsidR="00373D36" w:rsidRPr="006B4639">
              <w:rPr>
                <w:rFonts w:asciiTheme="majorHAnsi" w:hAnsiTheme="majorHAnsi" w:cstheme="majorHAnsi"/>
                <w:sz w:val="17"/>
                <w:szCs w:val="17"/>
                <w:lang w:eastAsia="fr-CA"/>
              </w:rPr>
              <w:t xml:space="preserve">ispute </w:t>
            </w:r>
            <w:r w:rsidR="00247E7C" w:rsidRPr="006B4639">
              <w:rPr>
                <w:rFonts w:asciiTheme="majorHAnsi" w:hAnsiTheme="majorHAnsi" w:cstheme="majorHAnsi"/>
                <w:sz w:val="17"/>
                <w:szCs w:val="17"/>
                <w:lang w:eastAsia="fr-CA"/>
              </w:rPr>
              <w:t xml:space="preserve">resolution </w:t>
            </w:r>
            <w:r w:rsidR="00373D36" w:rsidRPr="006B4639">
              <w:rPr>
                <w:rFonts w:asciiTheme="majorHAnsi" w:hAnsiTheme="majorHAnsi" w:cstheme="majorHAnsi"/>
                <w:sz w:val="17"/>
                <w:szCs w:val="17"/>
                <w:lang w:eastAsia="fr-CA"/>
              </w:rPr>
              <w:t xml:space="preserve">body can </w:t>
            </w:r>
            <w:r w:rsidRPr="006B4639">
              <w:rPr>
                <w:rFonts w:asciiTheme="majorHAnsi" w:hAnsiTheme="majorHAnsi" w:cstheme="majorHAnsi"/>
                <w:sz w:val="17"/>
                <w:szCs w:val="17"/>
                <w:lang w:eastAsia="fr-CA"/>
              </w:rPr>
              <w:t>also recover its costs and apportion the costs between the parties (cl. 9 of the Regulations)</w:t>
            </w:r>
          </w:p>
        </w:tc>
        <w:tc>
          <w:tcPr>
            <w:tcW w:w="2135" w:type="pct"/>
            <w:shd w:val="clear" w:color="auto" w:fill="FFFFFF" w:themeFill="background1"/>
          </w:tcPr>
          <w:p w14:paraId="1655F6FD" w14:textId="77777777" w:rsidR="00247E7C" w:rsidRPr="006B4639" w:rsidRDefault="002C1ADD" w:rsidP="0097597C">
            <w:pPr>
              <w:pStyle w:val="TableBodyText"/>
              <w:spacing w:before="0" w:after="20"/>
              <w:rPr>
                <w:rFonts w:asciiTheme="majorHAnsi" w:hAnsiTheme="majorHAnsi" w:cstheme="majorHAnsi"/>
                <w:sz w:val="17"/>
                <w:szCs w:val="17"/>
                <w:lang w:eastAsia="fr-CA"/>
              </w:rPr>
            </w:pPr>
            <w:r w:rsidRPr="006B4639">
              <w:rPr>
                <w:rFonts w:asciiTheme="majorHAnsi" w:hAnsiTheme="majorHAnsi" w:cstheme="majorHAnsi"/>
                <w:sz w:val="17"/>
                <w:szCs w:val="17"/>
                <w:lang w:eastAsia="fr-CA"/>
              </w:rPr>
              <w:t xml:space="preserve">Parties bear their own costs (s. 216V of the NGL). </w:t>
            </w:r>
          </w:p>
          <w:p w14:paraId="7AF10306" w14:textId="77777777" w:rsidR="00373D36" w:rsidRPr="006B4639" w:rsidRDefault="00F64735" w:rsidP="0097597C">
            <w:pPr>
              <w:pStyle w:val="TableBodyText"/>
              <w:spacing w:before="0" w:after="20"/>
              <w:rPr>
                <w:rFonts w:asciiTheme="majorHAnsi" w:hAnsiTheme="majorHAnsi" w:cstheme="majorHAnsi"/>
                <w:sz w:val="17"/>
                <w:szCs w:val="17"/>
                <w:lang w:eastAsia="fr-CA"/>
              </w:rPr>
            </w:pPr>
            <w:r w:rsidRPr="006B4639">
              <w:rPr>
                <w:rFonts w:asciiTheme="majorHAnsi" w:hAnsiTheme="majorHAnsi" w:cstheme="majorHAnsi"/>
                <w:sz w:val="17"/>
                <w:szCs w:val="17"/>
                <w:lang w:eastAsia="fr-CA"/>
              </w:rPr>
              <w:t>The c</w:t>
            </w:r>
            <w:r w:rsidR="00373D36" w:rsidRPr="006B4639">
              <w:rPr>
                <w:rFonts w:asciiTheme="majorHAnsi" w:hAnsiTheme="majorHAnsi" w:cstheme="majorHAnsi"/>
                <w:sz w:val="17"/>
                <w:szCs w:val="17"/>
                <w:lang w:eastAsia="fr-CA"/>
              </w:rPr>
              <w:t xml:space="preserve">osts </w:t>
            </w:r>
            <w:r w:rsidR="002C1ADD" w:rsidRPr="006B4639">
              <w:rPr>
                <w:rFonts w:asciiTheme="majorHAnsi" w:hAnsiTheme="majorHAnsi" w:cstheme="majorHAnsi"/>
                <w:sz w:val="17"/>
                <w:szCs w:val="17"/>
                <w:lang w:eastAsia="fr-CA"/>
              </w:rPr>
              <w:t xml:space="preserve">of </w:t>
            </w:r>
            <w:r w:rsidRPr="006B4639">
              <w:rPr>
                <w:rFonts w:asciiTheme="majorHAnsi" w:hAnsiTheme="majorHAnsi" w:cstheme="majorHAnsi"/>
                <w:sz w:val="17"/>
                <w:szCs w:val="17"/>
                <w:lang w:eastAsia="fr-CA"/>
              </w:rPr>
              <w:t xml:space="preserve">the </w:t>
            </w:r>
            <w:r w:rsidR="002C1ADD" w:rsidRPr="006B4639">
              <w:rPr>
                <w:rFonts w:asciiTheme="majorHAnsi" w:hAnsiTheme="majorHAnsi" w:cstheme="majorHAnsi"/>
                <w:sz w:val="17"/>
                <w:szCs w:val="17"/>
                <w:lang w:eastAsia="fr-CA"/>
              </w:rPr>
              <w:t xml:space="preserve">arbitration </w:t>
            </w:r>
            <w:r w:rsidRPr="006B4639">
              <w:rPr>
                <w:rFonts w:asciiTheme="majorHAnsi" w:hAnsiTheme="majorHAnsi" w:cstheme="majorHAnsi"/>
                <w:sz w:val="17"/>
                <w:szCs w:val="17"/>
                <w:lang w:eastAsia="fr-CA"/>
              </w:rPr>
              <w:t xml:space="preserve">(e.g. arbitrator fees, experts, room hire) </w:t>
            </w:r>
            <w:r w:rsidR="002C1ADD" w:rsidRPr="006B4639">
              <w:rPr>
                <w:rFonts w:asciiTheme="majorHAnsi" w:hAnsiTheme="majorHAnsi" w:cstheme="majorHAnsi"/>
                <w:sz w:val="17"/>
                <w:szCs w:val="17"/>
                <w:lang w:eastAsia="fr-CA"/>
              </w:rPr>
              <w:t xml:space="preserve">to be </w:t>
            </w:r>
            <w:r w:rsidR="00373D36" w:rsidRPr="006B4639">
              <w:rPr>
                <w:rFonts w:asciiTheme="majorHAnsi" w:hAnsiTheme="majorHAnsi" w:cstheme="majorHAnsi"/>
                <w:sz w:val="17"/>
                <w:szCs w:val="17"/>
                <w:lang w:eastAsia="fr-CA"/>
              </w:rPr>
              <w:t>shared equally unless arbitrator decides otherwise</w:t>
            </w:r>
            <w:r w:rsidR="002C1ADD" w:rsidRPr="006B4639">
              <w:rPr>
                <w:rFonts w:asciiTheme="majorHAnsi" w:hAnsiTheme="majorHAnsi" w:cstheme="majorHAnsi"/>
                <w:sz w:val="17"/>
                <w:szCs w:val="17"/>
                <w:lang w:eastAsia="fr-CA"/>
              </w:rPr>
              <w:t xml:space="preserve"> (</w:t>
            </w:r>
            <w:r w:rsidR="00C73EAE">
              <w:rPr>
                <w:rFonts w:asciiTheme="majorHAnsi" w:hAnsiTheme="majorHAnsi" w:cstheme="majorHAnsi"/>
                <w:sz w:val="17"/>
                <w:szCs w:val="17"/>
                <w:lang w:eastAsia="fr-CA"/>
              </w:rPr>
              <w:t xml:space="preserve">rule </w:t>
            </w:r>
            <w:r w:rsidR="002C1ADD" w:rsidRPr="006B4639">
              <w:rPr>
                <w:rFonts w:asciiTheme="majorHAnsi" w:hAnsiTheme="majorHAnsi" w:cstheme="majorHAnsi"/>
                <w:sz w:val="17"/>
                <w:szCs w:val="17"/>
                <w:lang w:eastAsia="fr-CA"/>
              </w:rPr>
              <w:t xml:space="preserve">580 of NGR), which could occur </w:t>
            </w:r>
            <w:r w:rsidR="00247E7C" w:rsidRPr="006B4639">
              <w:rPr>
                <w:rFonts w:asciiTheme="majorHAnsi" w:hAnsiTheme="majorHAnsi" w:cstheme="majorHAnsi"/>
                <w:sz w:val="17"/>
                <w:szCs w:val="17"/>
                <w:lang w:eastAsia="fr-CA"/>
              </w:rPr>
              <w:t xml:space="preserve">for similar reasons to those applying </w:t>
            </w:r>
            <w:r w:rsidRPr="006B4639">
              <w:rPr>
                <w:rFonts w:asciiTheme="majorHAnsi" w:hAnsiTheme="majorHAnsi" w:cstheme="majorHAnsi"/>
                <w:sz w:val="17"/>
                <w:szCs w:val="17"/>
                <w:lang w:eastAsia="fr-CA"/>
              </w:rPr>
              <w:t xml:space="preserve">to cost orders </w:t>
            </w:r>
            <w:r w:rsidR="00247E7C" w:rsidRPr="006B4639">
              <w:rPr>
                <w:rFonts w:asciiTheme="majorHAnsi" w:hAnsiTheme="majorHAnsi" w:cstheme="majorHAnsi"/>
                <w:sz w:val="17"/>
                <w:szCs w:val="17"/>
                <w:lang w:eastAsia="fr-CA"/>
              </w:rPr>
              <w:t xml:space="preserve">under full and light regulation and </w:t>
            </w:r>
            <w:r w:rsidRPr="006B4639">
              <w:rPr>
                <w:rFonts w:asciiTheme="majorHAnsi" w:hAnsiTheme="majorHAnsi" w:cstheme="majorHAnsi"/>
                <w:sz w:val="17"/>
                <w:szCs w:val="17"/>
                <w:lang w:eastAsia="fr-CA"/>
              </w:rPr>
              <w:t xml:space="preserve">could also occur </w:t>
            </w:r>
            <w:r w:rsidR="00247E7C" w:rsidRPr="006B4639">
              <w:rPr>
                <w:rFonts w:asciiTheme="majorHAnsi" w:hAnsiTheme="majorHAnsi" w:cstheme="majorHAnsi"/>
                <w:sz w:val="17"/>
                <w:szCs w:val="17"/>
                <w:lang w:eastAsia="fr-CA"/>
              </w:rPr>
              <w:t xml:space="preserve">if </w:t>
            </w:r>
            <w:r w:rsidRPr="006B4639">
              <w:rPr>
                <w:rFonts w:asciiTheme="majorHAnsi" w:hAnsiTheme="majorHAnsi" w:cstheme="majorHAnsi"/>
                <w:sz w:val="17"/>
                <w:szCs w:val="17"/>
                <w:lang w:eastAsia="fr-CA"/>
              </w:rPr>
              <w:t xml:space="preserve">a </w:t>
            </w:r>
            <w:r w:rsidR="002C1ADD" w:rsidRPr="006B4639">
              <w:rPr>
                <w:rFonts w:asciiTheme="majorHAnsi" w:hAnsiTheme="majorHAnsi" w:cstheme="majorHAnsi"/>
                <w:sz w:val="17"/>
                <w:szCs w:val="17"/>
                <w:lang w:eastAsia="fr-CA"/>
              </w:rPr>
              <w:t>shipper, elects not to enter into an access contract.</w:t>
            </w:r>
          </w:p>
        </w:tc>
      </w:tr>
    </w:tbl>
    <w:p w14:paraId="348D3574" w14:textId="77777777" w:rsidR="009D2BE9" w:rsidRPr="006B4639" w:rsidRDefault="009D2BE9" w:rsidP="009D2BE9">
      <w:pPr>
        <w:pStyle w:val="BodyText"/>
        <w:rPr>
          <w:lang w:eastAsia="fr-CA"/>
        </w:rPr>
        <w:sectPr w:rsidR="009D2BE9" w:rsidRPr="006B4639" w:rsidSect="00795317">
          <w:pgSz w:w="16839" w:h="11907" w:orient="landscape" w:code="9"/>
          <w:pgMar w:top="1276" w:right="1418" w:bottom="851" w:left="1701" w:header="567" w:footer="397" w:gutter="0"/>
          <w:cols w:space="708"/>
          <w:docGrid w:linePitch="360"/>
        </w:sectPr>
      </w:pPr>
    </w:p>
    <w:p w14:paraId="28487138" w14:textId="500A0097" w:rsidR="00137D50" w:rsidRPr="006B4639" w:rsidRDefault="00137D50" w:rsidP="00137D50">
      <w:pPr>
        <w:pStyle w:val="Caption"/>
        <w:spacing w:before="0" w:after="0"/>
      </w:pPr>
      <w:bookmarkStart w:id="153" w:name="_Ref18255106"/>
      <w:r w:rsidRPr="006B4639">
        <w:lastRenderedPageBreak/>
        <w:t xml:space="preserve">Box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7</w:t>
      </w:r>
      <w:r w:rsidR="00F323B2">
        <w:rPr>
          <w:noProof/>
        </w:rPr>
        <w:fldChar w:fldCharType="end"/>
      </w:r>
      <w:r w:rsidR="00B80405">
        <w:t>.</w:t>
      </w:r>
      <w:r w:rsidR="00F323B2">
        <w:rPr>
          <w:noProof/>
        </w:rPr>
        <w:fldChar w:fldCharType="begin"/>
      </w:r>
      <w:r w:rsidR="00F323B2">
        <w:rPr>
          <w:noProof/>
        </w:rPr>
        <w:instrText xml:space="preserve"> SEQ Box \* ARABIC \s 1 </w:instrText>
      </w:r>
      <w:r w:rsidR="00F323B2">
        <w:rPr>
          <w:noProof/>
        </w:rPr>
        <w:fldChar w:fldCharType="separate"/>
      </w:r>
      <w:r w:rsidR="004031E8">
        <w:rPr>
          <w:noProof/>
        </w:rPr>
        <w:t>1</w:t>
      </w:r>
      <w:r w:rsidR="00F323B2">
        <w:rPr>
          <w:noProof/>
        </w:rPr>
        <w:fldChar w:fldCharType="end"/>
      </w:r>
      <w:bookmarkEnd w:id="153"/>
      <w:r w:rsidRPr="006B4639">
        <w:t>: Pricing principles</w:t>
      </w:r>
      <w:r w:rsidR="00400660" w:rsidRPr="006B4639">
        <w:t xml:space="preserve"> applying to disputes </w:t>
      </w:r>
    </w:p>
    <w:tbl>
      <w:tblPr>
        <w:tblStyle w:val="PullOutBoxTable"/>
        <w:tblW w:w="5000" w:type="pct"/>
        <w:tblLook w:val="0600" w:firstRow="0" w:lastRow="0" w:firstColumn="0" w:lastColumn="0" w:noHBand="1" w:noVBand="1"/>
      </w:tblPr>
      <w:tblGrid>
        <w:gridCol w:w="8788"/>
      </w:tblGrid>
      <w:tr w:rsidR="00137D50" w:rsidRPr="00715C71" w14:paraId="3FC59905" w14:textId="77777777" w:rsidTr="00B13ACB">
        <w:tc>
          <w:tcPr>
            <w:tcW w:w="5000" w:type="pct"/>
          </w:tcPr>
          <w:p w14:paraId="7E2C2F28" w14:textId="77777777" w:rsidR="00137D50" w:rsidRPr="00715C71" w:rsidRDefault="00137D50" w:rsidP="00E448E3">
            <w:pPr>
              <w:pStyle w:val="PullOutBoxHeading"/>
              <w:spacing w:before="0" w:after="120" w:line="252" w:lineRule="auto"/>
              <w:rPr>
                <w:rFonts w:asciiTheme="majorHAnsi" w:hAnsiTheme="majorHAnsi" w:cstheme="majorHAnsi"/>
                <w:color w:val="auto"/>
                <w:sz w:val="20"/>
                <w:szCs w:val="20"/>
              </w:rPr>
            </w:pPr>
            <w:r w:rsidRPr="00715C71">
              <w:rPr>
                <w:rFonts w:asciiTheme="majorHAnsi" w:hAnsiTheme="majorHAnsi" w:cstheme="majorHAnsi"/>
                <w:color w:val="auto"/>
                <w:sz w:val="20"/>
                <w:szCs w:val="20"/>
              </w:rPr>
              <w:t xml:space="preserve">Revenue and pricing principles applying </w:t>
            </w:r>
            <w:r w:rsidR="00CC37FC" w:rsidRPr="00715C71">
              <w:rPr>
                <w:rFonts w:asciiTheme="majorHAnsi" w:hAnsiTheme="majorHAnsi" w:cstheme="majorHAnsi"/>
                <w:color w:val="auto"/>
                <w:sz w:val="20"/>
                <w:szCs w:val="20"/>
              </w:rPr>
              <w:t xml:space="preserve">to </w:t>
            </w:r>
            <w:r w:rsidR="00400660" w:rsidRPr="00715C71">
              <w:rPr>
                <w:rFonts w:asciiTheme="majorHAnsi" w:hAnsiTheme="majorHAnsi" w:cstheme="majorHAnsi"/>
                <w:color w:val="auto"/>
                <w:sz w:val="20"/>
                <w:szCs w:val="20"/>
              </w:rPr>
              <w:t xml:space="preserve">full and light regulation </w:t>
            </w:r>
            <w:r w:rsidR="00CC37FC" w:rsidRPr="00715C71">
              <w:rPr>
                <w:rFonts w:asciiTheme="majorHAnsi" w:hAnsiTheme="majorHAnsi" w:cstheme="majorHAnsi"/>
                <w:color w:val="auto"/>
                <w:sz w:val="20"/>
                <w:szCs w:val="20"/>
              </w:rPr>
              <w:t xml:space="preserve">pipelines </w:t>
            </w:r>
          </w:p>
          <w:p w14:paraId="001A0C1E" w14:textId="77777777" w:rsidR="00137D50" w:rsidRPr="00715C71" w:rsidRDefault="00137D50" w:rsidP="00E448E3">
            <w:pPr>
              <w:pStyle w:val="TableBullet10"/>
              <w:keepNext/>
              <w:numPr>
                <w:ilvl w:val="0"/>
                <w:numId w:val="0"/>
              </w:numPr>
              <w:spacing w:before="20" w:after="20" w:line="252" w:lineRule="auto"/>
              <w:rPr>
                <w:rFonts w:asciiTheme="majorHAnsi" w:hAnsiTheme="majorHAnsi" w:cstheme="majorHAnsi"/>
                <w:sz w:val="20"/>
                <w:szCs w:val="20"/>
              </w:rPr>
            </w:pPr>
            <w:r w:rsidRPr="00715C71">
              <w:rPr>
                <w:rFonts w:asciiTheme="majorHAnsi" w:hAnsiTheme="majorHAnsi" w:cstheme="majorHAnsi"/>
                <w:sz w:val="20"/>
                <w:szCs w:val="20"/>
              </w:rPr>
              <w:t xml:space="preserve">When making a pricing related access determination </w:t>
            </w:r>
            <w:r w:rsidR="00CC37FC" w:rsidRPr="00715C71">
              <w:rPr>
                <w:rFonts w:asciiTheme="majorHAnsi" w:hAnsiTheme="majorHAnsi" w:cstheme="majorHAnsi"/>
                <w:sz w:val="20"/>
                <w:szCs w:val="20"/>
              </w:rPr>
              <w:t xml:space="preserve">for </w:t>
            </w:r>
            <w:r w:rsidR="00400660" w:rsidRPr="00715C71">
              <w:rPr>
                <w:rFonts w:asciiTheme="majorHAnsi" w:hAnsiTheme="majorHAnsi" w:cstheme="majorHAnsi"/>
                <w:sz w:val="20"/>
                <w:szCs w:val="20"/>
              </w:rPr>
              <w:t xml:space="preserve">full and light regulation </w:t>
            </w:r>
            <w:r w:rsidR="00CC37FC" w:rsidRPr="00715C71">
              <w:rPr>
                <w:rFonts w:asciiTheme="majorHAnsi" w:hAnsiTheme="majorHAnsi" w:cstheme="majorHAnsi"/>
                <w:sz w:val="20"/>
                <w:szCs w:val="20"/>
              </w:rPr>
              <w:t>pipelines</w:t>
            </w:r>
            <w:r w:rsidRPr="00715C71">
              <w:rPr>
                <w:rFonts w:asciiTheme="majorHAnsi" w:hAnsiTheme="majorHAnsi" w:cstheme="majorHAnsi"/>
                <w:sz w:val="20"/>
                <w:szCs w:val="20"/>
              </w:rPr>
              <w:t>, the dispute resolution body must take into account the following revenue and pricing principles</w:t>
            </w:r>
            <w:r w:rsidR="00E448E3" w:rsidRPr="00715C71">
              <w:rPr>
                <w:rFonts w:asciiTheme="majorHAnsi" w:hAnsiTheme="majorHAnsi" w:cstheme="majorHAnsi"/>
                <w:sz w:val="20"/>
                <w:szCs w:val="20"/>
              </w:rPr>
              <w:t xml:space="preserve"> set out in section 24 of the NGL</w:t>
            </w:r>
            <w:r w:rsidRPr="00715C71">
              <w:rPr>
                <w:rFonts w:asciiTheme="majorHAnsi" w:hAnsiTheme="majorHAnsi" w:cstheme="majorHAnsi"/>
                <w:sz w:val="20"/>
                <w:szCs w:val="20"/>
              </w:rPr>
              <w:t>:</w:t>
            </w:r>
          </w:p>
          <w:p w14:paraId="024F94AC" w14:textId="77777777" w:rsidR="00137D50" w:rsidRPr="00715C71" w:rsidRDefault="00137D50" w:rsidP="00AD36B8">
            <w:pPr>
              <w:pStyle w:val="ListBullet"/>
              <w:rPr>
                <w:sz w:val="20"/>
                <w:szCs w:val="20"/>
              </w:rPr>
            </w:pPr>
            <w:r w:rsidRPr="00715C71">
              <w:rPr>
                <w:sz w:val="20"/>
                <w:szCs w:val="20"/>
              </w:rPr>
              <w:t xml:space="preserve">A service provider should be provided with a reasonable opportunity to recover at least the efficient costs the service provider incurs in: </w:t>
            </w:r>
          </w:p>
          <w:p w14:paraId="42073FAF" w14:textId="77777777" w:rsidR="00137D50" w:rsidRPr="00715C71" w:rsidRDefault="00137D50" w:rsidP="00E448E3">
            <w:pPr>
              <w:pStyle w:val="Default"/>
              <w:spacing w:before="60" w:after="60" w:line="252" w:lineRule="auto"/>
              <w:ind w:left="697" w:hanging="340"/>
              <w:rPr>
                <w:rFonts w:asciiTheme="majorHAnsi" w:hAnsiTheme="majorHAnsi" w:cstheme="majorHAnsi"/>
                <w:sz w:val="20"/>
                <w:szCs w:val="20"/>
              </w:rPr>
            </w:pPr>
            <w:r w:rsidRPr="00715C71">
              <w:rPr>
                <w:rFonts w:asciiTheme="majorHAnsi" w:hAnsiTheme="majorHAnsi" w:cstheme="majorHAnsi"/>
                <w:sz w:val="20"/>
                <w:szCs w:val="20"/>
              </w:rPr>
              <w:t xml:space="preserve">(a) providing reference services; and </w:t>
            </w:r>
          </w:p>
          <w:p w14:paraId="2B230371" w14:textId="77777777" w:rsidR="00137D50" w:rsidRPr="00715C71" w:rsidRDefault="00137D50" w:rsidP="00E448E3">
            <w:pPr>
              <w:pStyle w:val="Default"/>
              <w:spacing w:before="60" w:after="60" w:line="252" w:lineRule="auto"/>
              <w:ind w:left="697" w:hanging="340"/>
              <w:rPr>
                <w:rFonts w:asciiTheme="majorHAnsi" w:hAnsiTheme="majorHAnsi" w:cstheme="majorHAnsi"/>
                <w:sz w:val="20"/>
                <w:szCs w:val="20"/>
              </w:rPr>
            </w:pPr>
            <w:r w:rsidRPr="00715C71">
              <w:rPr>
                <w:rFonts w:asciiTheme="majorHAnsi" w:hAnsiTheme="majorHAnsi" w:cstheme="majorHAnsi"/>
                <w:sz w:val="20"/>
                <w:szCs w:val="20"/>
              </w:rPr>
              <w:t xml:space="preserve">(b) complying with a regulatory obligation or requirement or making a regulatory payment. </w:t>
            </w:r>
          </w:p>
          <w:p w14:paraId="7947C8A9" w14:textId="77777777" w:rsidR="00137D50" w:rsidRPr="00715C71" w:rsidRDefault="00137D50" w:rsidP="00AD36B8">
            <w:pPr>
              <w:pStyle w:val="ListBullet"/>
              <w:rPr>
                <w:sz w:val="20"/>
                <w:szCs w:val="20"/>
              </w:rPr>
            </w:pPr>
            <w:r w:rsidRPr="00715C71">
              <w:rPr>
                <w:sz w:val="20"/>
                <w:szCs w:val="20"/>
              </w:rPr>
              <w:t xml:space="preserve">A service provider should be provided with effective incentives to promote economic efficiency with respect to </w:t>
            </w:r>
            <w:r w:rsidR="00CC37FC" w:rsidRPr="00715C71">
              <w:rPr>
                <w:sz w:val="20"/>
                <w:szCs w:val="20"/>
              </w:rPr>
              <w:t xml:space="preserve">the </w:t>
            </w:r>
            <w:r w:rsidRPr="00715C71">
              <w:rPr>
                <w:sz w:val="20"/>
                <w:szCs w:val="20"/>
              </w:rPr>
              <w:t xml:space="preserve">reference services the service provider provides. The economic efficiency that should be promoted includes: </w:t>
            </w:r>
          </w:p>
          <w:p w14:paraId="51E9E797" w14:textId="77777777" w:rsidR="00137D50" w:rsidRPr="00715C71" w:rsidRDefault="00137D50" w:rsidP="00E448E3">
            <w:pPr>
              <w:pStyle w:val="Default"/>
              <w:spacing w:after="60" w:line="252" w:lineRule="auto"/>
              <w:ind w:left="697" w:hanging="340"/>
              <w:rPr>
                <w:rFonts w:asciiTheme="majorHAnsi" w:hAnsiTheme="majorHAnsi" w:cstheme="majorHAnsi"/>
                <w:sz w:val="20"/>
                <w:szCs w:val="20"/>
              </w:rPr>
            </w:pPr>
            <w:r w:rsidRPr="00715C71">
              <w:rPr>
                <w:rFonts w:asciiTheme="majorHAnsi" w:hAnsiTheme="majorHAnsi" w:cstheme="majorHAnsi"/>
                <w:sz w:val="20"/>
                <w:szCs w:val="20"/>
              </w:rPr>
              <w:t xml:space="preserve">(a) efficient investment in, or in connection with, a pipeline with which the service provider provides reference services; and </w:t>
            </w:r>
          </w:p>
          <w:p w14:paraId="156670C9" w14:textId="77777777" w:rsidR="00137D50" w:rsidRPr="00715C71" w:rsidRDefault="00137D50" w:rsidP="00E448E3">
            <w:pPr>
              <w:autoSpaceDE w:val="0"/>
              <w:autoSpaceDN w:val="0"/>
              <w:adjustRightInd w:val="0"/>
              <w:spacing w:before="60" w:after="60" w:line="252" w:lineRule="auto"/>
              <w:ind w:left="697" w:hanging="340"/>
              <w:rPr>
                <w:rFonts w:asciiTheme="majorHAnsi" w:hAnsiTheme="majorHAnsi" w:cstheme="majorHAnsi"/>
                <w:sz w:val="20"/>
                <w:szCs w:val="20"/>
              </w:rPr>
            </w:pPr>
            <w:r w:rsidRPr="00715C71">
              <w:rPr>
                <w:rFonts w:asciiTheme="majorHAnsi" w:hAnsiTheme="majorHAnsi" w:cstheme="majorHAnsi"/>
                <w:sz w:val="20"/>
                <w:szCs w:val="20"/>
              </w:rPr>
              <w:t>(b) the efficient provision of pipeline services; and</w:t>
            </w:r>
          </w:p>
          <w:p w14:paraId="16019C33" w14:textId="77777777" w:rsidR="00137D50" w:rsidRPr="00715C71" w:rsidRDefault="00137D50" w:rsidP="00E448E3">
            <w:pPr>
              <w:pStyle w:val="Default"/>
              <w:spacing w:before="60" w:after="60" w:line="252" w:lineRule="auto"/>
              <w:ind w:left="697" w:hanging="340"/>
              <w:rPr>
                <w:rFonts w:asciiTheme="majorHAnsi" w:hAnsiTheme="majorHAnsi" w:cstheme="majorHAnsi"/>
                <w:sz w:val="20"/>
                <w:szCs w:val="20"/>
              </w:rPr>
            </w:pPr>
            <w:r w:rsidRPr="00715C71">
              <w:rPr>
                <w:rFonts w:asciiTheme="majorHAnsi" w:hAnsiTheme="majorHAnsi" w:cstheme="majorHAnsi"/>
                <w:sz w:val="20"/>
                <w:szCs w:val="20"/>
              </w:rPr>
              <w:t xml:space="preserve">(c) the efficient use of the pipeline. </w:t>
            </w:r>
          </w:p>
          <w:p w14:paraId="56D20773" w14:textId="77777777" w:rsidR="00137D50" w:rsidRPr="00715C71" w:rsidRDefault="00137D50" w:rsidP="00AD36B8">
            <w:pPr>
              <w:pStyle w:val="ListBullet"/>
              <w:rPr>
                <w:sz w:val="20"/>
                <w:szCs w:val="20"/>
              </w:rPr>
            </w:pPr>
            <w:r w:rsidRPr="00715C71">
              <w:rPr>
                <w:sz w:val="20"/>
                <w:szCs w:val="20"/>
              </w:rPr>
              <w:t xml:space="preserve">Regard should be had to the capital base adopted in any previous full </w:t>
            </w:r>
            <w:r w:rsidR="00D81C75" w:rsidRPr="00715C71">
              <w:rPr>
                <w:sz w:val="20"/>
                <w:szCs w:val="20"/>
              </w:rPr>
              <w:t>AA</w:t>
            </w:r>
            <w:r w:rsidRPr="00715C71">
              <w:rPr>
                <w:sz w:val="20"/>
                <w:szCs w:val="20"/>
              </w:rPr>
              <w:t xml:space="preserve"> decision (or decision by the relevant regulator under the Gas Code) or in the NGR. </w:t>
            </w:r>
          </w:p>
          <w:p w14:paraId="5274A616" w14:textId="77777777" w:rsidR="00137D50" w:rsidRPr="00715C71" w:rsidRDefault="00137D50" w:rsidP="00AD36B8">
            <w:pPr>
              <w:pStyle w:val="ListBullet"/>
              <w:rPr>
                <w:sz w:val="20"/>
                <w:szCs w:val="20"/>
              </w:rPr>
            </w:pPr>
            <w:r w:rsidRPr="00715C71">
              <w:rPr>
                <w:sz w:val="20"/>
                <w:szCs w:val="20"/>
              </w:rPr>
              <w:t xml:space="preserve">A reference tariff should allow for a return commensurate with the regulatory and commercial risks involved in providing the reference service to which that tariff relates. </w:t>
            </w:r>
          </w:p>
          <w:p w14:paraId="601475A1" w14:textId="77777777" w:rsidR="00137D50" w:rsidRPr="00715C71" w:rsidRDefault="00137D50" w:rsidP="00AD36B8">
            <w:pPr>
              <w:pStyle w:val="ListBullet"/>
              <w:rPr>
                <w:sz w:val="20"/>
                <w:szCs w:val="20"/>
              </w:rPr>
            </w:pPr>
            <w:r w:rsidRPr="00715C71">
              <w:rPr>
                <w:sz w:val="20"/>
                <w:szCs w:val="20"/>
              </w:rPr>
              <w:t xml:space="preserve">Regard should be had to the economic costs and risks of the potential for under and over investment by a service provider in the pipeline. </w:t>
            </w:r>
          </w:p>
          <w:p w14:paraId="0BF180F3" w14:textId="77777777" w:rsidR="00137D50" w:rsidRPr="00715C71" w:rsidRDefault="00137D50" w:rsidP="00AD36B8">
            <w:pPr>
              <w:pStyle w:val="ListBullet"/>
              <w:rPr>
                <w:sz w:val="20"/>
                <w:szCs w:val="20"/>
              </w:rPr>
            </w:pPr>
            <w:r w:rsidRPr="00715C71">
              <w:rPr>
                <w:sz w:val="20"/>
                <w:szCs w:val="20"/>
              </w:rPr>
              <w:t>Regard should be had to the economic costs and risks of the potential for under and over utilisation of a pipeline with which a service provider provides pipeline services.</w:t>
            </w:r>
          </w:p>
          <w:p w14:paraId="4AECAD7D" w14:textId="77777777" w:rsidR="00137D50" w:rsidRPr="00715C71" w:rsidRDefault="00E448E3" w:rsidP="00AD36B8">
            <w:pPr>
              <w:pStyle w:val="ListBullet"/>
              <w:numPr>
                <w:ilvl w:val="0"/>
                <w:numId w:val="0"/>
              </w:numPr>
              <w:rPr>
                <w:sz w:val="20"/>
                <w:szCs w:val="20"/>
              </w:rPr>
            </w:pPr>
            <w:r w:rsidRPr="00715C71">
              <w:rPr>
                <w:sz w:val="20"/>
                <w:szCs w:val="20"/>
              </w:rPr>
              <w:t>T</w:t>
            </w:r>
            <w:r w:rsidR="00137D50" w:rsidRPr="00715C71">
              <w:rPr>
                <w:sz w:val="20"/>
                <w:szCs w:val="20"/>
              </w:rPr>
              <w:t xml:space="preserve">he dispute resolution body is also required to apply the relevant regulator’s binding rate of return instrument. </w:t>
            </w:r>
          </w:p>
          <w:p w14:paraId="74C86BA0" w14:textId="77777777" w:rsidR="00137D50" w:rsidRPr="00715C71" w:rsidRDefault="00137D50" w:rsidP="00E448E3">
            <w:pPr>
              <w:pStyle w:val="PullOutBoxHeading"/>
              <w:spacing w:line="252" w:lineRule="auto"/>
              <w:rPr>
                <w:rFonts w:asciiTheme="majorHAnsi" w:hAnsiTheme="majorHAnsi" w:cstheme="majorHAnsi"/>
                <w:color w:val="auto"/>
                <w:sz w:val="20"/>
                <w:szCs w:val="20"/>
              </w:rPr>
            </w:pPr>
            <w:r w:rsidRPr="00715C71">
              <w:rPr>
                <w:rFonts w:asciiTheme="majorHAnsi" w:hAnsiTheme="majorHAnsi" w:cstheme="majorHAnsi"/>
                <w:color w:val="auto"/>
                <w:sz w:val="20"/>
                <w:szCs w:val="20"/>
              </w:rPr>
              <w:t>Pricing principles under Part 23</w:t>
            </w:r>
            <w:r w:rsidR="00E448E3" w:rsidRPr="00715C71">
              <w:rPr>
                <w:rFonts w:asciiTheme="majorHAnsi" w:hAnsiTheme="majorHAnsi" w:cstheme="majorHAnsi"/>
                <w:color w:val="auto"/>
                <w:sz w:val="20"/>
                <w:szCs w:val="20"/>
              </w:rPr>
              <w:t xml:space="preserve"> </w:t>
            </w:r>
          </w:p>
          <w:p w14:paraId="47D5C373" w14:textId="77777777" w:rsidR="00137D50" w:rsidRPr="00715C71" w:rsidRDefault="00137D50" w:rsidP="00E448E3">
            <w:pPr>
              <w:pStyle w:val="PullOutBoxBodyText"/>
              <w:spacing w:line="252" w:lineRule="auto"/>
              <w:rPr>
                <w:rFonts w:asciiTheme="majorHAnsi" w:hAnsiTheme="majorHAnsi" w:cstheme="majorHAnsi"/>
                <w:sz w:val="20"/>
                <w:szCs w:val="20"/>
              </w:rPr>
            </w:pPr>
            <w:r w:rsidRPr="00715C71">
              <w:rPr>
                <w:rFonts w:asciiTheme="majorHAnsi" w:hAnsiTheme="majorHAnsi" w:cstheme="majorHAnsi"/>
                <w:sz w:val="20"/>
                <w:szCs w:val="20"/>
              </w:rPr>
              <w:t>When making a pricing related determination under Part 23, the arbitrator must have regard to the following pricing principles</w:t>
            </w:r>
            <w:r w:rsidR="00E448E3" w:rsidRPr="00715C71">
              <w:rPr>
                <w:rFonts w:asciiTheme="majorHAnsi" w:hAnsiTheme="majorHAnsi" w:cstheme="majorHAnsi"/>
                <w:sz w:val="20"/>
                <w:szCs w:val="20"/>
              </w:rPr>
              <w:t xml:space="preserve"> set out in rule 569 of the NGR</w:t>
            </w:r>
            <w:r w:rsidRPr="00715C71">
              <w:rPr>
                <w:rFonts w:asciiTheme="majorHAnsi" w:hAnsiTheme="majorHAnsi" w:cstheme="majorHAnsi"/>
                <w:sz w:val="20"/>
                <w:szCs w:val="20"/>
              </w:rPr>
              <w:t>:</w:t>
            </w:r>
          </w:p>
          <w:p w14:paraId="6EB7E306" w14:textId="77777777" w:rsidR="00137D50" w:rsidRPr="00715C71" w:rsidRDefault="00137D50" w:rsidP="000B41BA">
            <w:pPr>
              <w:pStyle w:val="ListNumber"/>
              <w:numPr>
                <w:ilvl w:val="3"/>
                <w:numId w:val="54"/>
              </w:numPr>
              <w:spacing w:before="60" w:after="40" w:line="252" w:lineRule="auto"/>
              <w:ind w:left="357" w:hanging="357"/>
              <w:rPr>
                <w:rFonts w:asciiTheme="majorHAnsi" w:hAnsiTheme="majorHAnsi" w:cstheme="majorHAnsi"/>
                <w:sz w:val="20"/>
                <w:szCs w:val="20"/>
              </w:rPr>
            </w:pPr>
            <w:r w:rsidRPr="00715C71">
              <w:rPr>
                <w:rFonts w:asciiTheme="majorHAnsi" w:hAnsiTheme="majorHAnsi" w:cstheme="majorHAnsi"/>
                <w:sz w:val="20"/>
                <w:szCs w:val="20"/>
              </w:rPr>
              <w:t xml:space="preserve">The price for access to a pipeline service on a non-scheme pipeline should reflect the cost of providing that service, including a commercial rate of return that is commensurate with the prevailing conditions in the market for funds and reflects the risks the service provider faces in providing the pipeline service. For the purposes of this rule: </w:t>
            </w:r>
          </w:p>
          <w:p w14:paraId="1F8D4BA0" w14:textId="77777777" w:rsidR="00137D50" w:rsidRPr="00715C71" w:rsidRDefault="00137D50" w:rsidP="00715C71">
            <w:pPr>
              <w:pStyle w:val="ListParagraph"/>
              <w:numPr>
                <w:ilvl w:val="2"/>
                <w:numId w:val="164"/>
              </w:numPr>
              <w:autoSpaceDE w:val="0"/>
              <w:autoSpaceDN w:val="0"/>
              <w:adjustRightInd w:val="0"/>
              <w:spacing w:before="60" w:after="40" w:line="252" w:lineRule="auto"/>
              <w:ind w:left="714" w:hanging="357"/>
              <w:contextualSpacing w:val="0"/>
              <w:rPr>
                <w:rFonts w:asciiTheme="majorHAnsi" w:hAnsiTheme="majorHAnsi" w:cstheme="majorHAnsi"/>
                <w:sz w:val="20"/>
                <w:szCs w:val="20"/>
              </w:rPr>
            </w:pPr>
            <w:r w:rsidRPr="00715C71">
              <w:rPr>
                <w:rFonts w:asciiTheme="majorHAnsi" w:hAnsiTheme="majorHAnsi" w:cstheme="majorHAnsi"/>
                <w:sz w:val="20"/>
                <w:szCs w:val="20"/>
              </w:rPr>
              <w:t xml:space="preserve">the value of any assets used in the provision of the pipeline service must be determined using asset valuation techniques consistent with the objective </w:t>
            </w:r>
            <w:r w:rsidR="00CC37FC" w:rsidRPr="00715C71">
              <w:rPr>
                <w:rFonts w:asciiTheme="majorHAnsi" w:hAnsiTheme="majorHAnsi" w:cstheme="majorHAnsi"/>
                <w:sz w:val="20"/>
                <w:szCs w:val="20"/>
              </w:rPr>
              <w:t xml:space="preserve">of </w:t>
            </w:r>
            <w:r w:rsidRPr="00715C71">
              <w:rPr>
                <w:rFonts w:asciiTheme="majorHAnsi" w:hAnsiTheme="majorHAnsi" w:cstheme="majorHAnsi"/>
                <w:sz w:val="20"/>
                <w:szCs w:val="20"/>
              </w:rPr>
              <w:t>Part 23</w:t>
            </w:r>
            <w:r w:rsidR="00CC37FC" w:rsidRPr="00715C71">
              <w:rPr>
                <w:rFonts w:asciiTheme="majorHAnsi" w:hAnsiTheme="majorHAnsi" w:cstheme="majorHAnsi"/>
                <w:sz w:val="20"/>
                <w:szCs w:val="20"/>
              </w:rPr>
              <w:t xml:space="preserve"> (i.e. </w:t>
            </w:r>
            <w:r w:rsidRPr="00715C71">
              <w:rPr>
                <w:rFonts w:asciiTheme="majorHAnsi" w:hAnsiTheme="majorHAnsi" w:cstheme="majorHAnsi"/>
                <w:sz w:val="20"/>
                <w:szCs w:val="20"/>
              </w:rPr>
              <w:t>to facilitate access to pipeline services on reasonable terms</w:t>
            </w:r>
            <w:r w:rsidR="00CC37FC" w:rsidRPr="00715C71">
              <w:rPr>
                <w:rFonts w:asciiTheme="majorHAnsi" w:hAnsiTheme="majorHAnsi" w:cstheme="majorHAnsi"/>
                <w:sz w:val="20"/>
                <w:szCs w:val="20"/>
              </w:rPr>
              <w:t xml:space="preserve">, which is </w:t>
            </w:r>
            <w:r w:rsidRPr="00715C71">
              <w:rPr>
                <w:rFonts w:asciiTheme="majorHAnsi" w:hAnsiTheme="majorHAnsi" w:cstheme="majorHAnsi"/>
                <w:sz w:val="20"/>
                <w:szCs w:val="20"/>
              </w:rPr>
              <w:t>taken to mean at prices and on other terms and conditions that, so far as practical reflect the outcomes of a workably competitive market); and</w:t>
            </w:r>
          </w:p>
          <w:p w14:paraId="0A9B0914" w14:textId="77777777" w:rsidR="00137D50" w:rsidRPr="00715C71" w:rsidRDefault="00137D50" w:rsidP="00715C71">
            <w:pPr>
              <w:pStyle w:val="ListParagraph"/>
              <w:numPr>
                <w:ilvl w:val="2"/>
                <w:numId w:val="164"/>
              </w:numPr>
              <w:autoSpaceDE w:val="0"/>
              <w:autoSpaceDN w:val="0"/>
              <w:adjustRightInd w:val="0"/>
              <w:spacing w:before="60" w:after="40" w:line="252" w:lineRule="auto"/>
              <w:ind w:left="714" w:hanging="357"/>
              <w:contextualSpacing w:val="0"/>
              <w:rPr>
                <w:rFonts w:asciiTheme="majorHAnsi" w:hAnsiTheme="majorHAnsi" w:cstheme="majorHAnsi"/>
                <w:sz w:val="20"/>
                <w:szCs w:val="20"/>
              </w:rPr>
            </w:pPr>
            <w:r w:rsidRPr="00715C71">
              <w:rPr>
                <w:rFonts w:asciiTheme="majorHAnsi" w:hAnsiTheme="majorHAnsi" w:cstheme="majorHAnsi"/>
                <w:sz w:val="20"/>
                <w:szCs w:val="20"/>
              </w:rPr>
              <w:t xml:space="preserve">unless inconsistent with paragraph (a), the value of any assets used in the provision of the pipeline service is to be calculated using the recovered capital method (i.e. the construction cost plus capital expenditure since commissioning less the return of capital recovered and </w:t>
            </w:r>
            <w:r w:rsidR="00CC37FC" w:rsidRPr="00715C71">
              <w:rPr>
                <w:rFonts w:asciiTheme="majorHAnsi" w:hAnsiTheme="majorHAnsi" w:cstheme="majorHAnsi"/>
                <w:sz w:val="20"/>
                <w:szCs w:val="20"/>
              </w:rPr>
              <w:t xml:space="preserve">the </w:t>
            </w:r>
            <w:r w:rsidRPr="00715C71">
              <w:rPr>
                <w:rFonts w:asciiTheme="majorHAnsi" w:hAnsiTheme="majorHAnsi" w:cstheme="majorHAnsi"/>
                <w:sz w:val="20"/>
                <w:szCs w:val="20"/>
              </w:rPr>
              <w:t>value of pipeline assets disposed of since commissioning).</w:t>
            </w:r>
          </w:p>
          <w:p w14:paraId="78B7F078" w14:textId="77777777" w:rsidR="00137D50" w:rsidRPr="00715C71" w:rsidRDefault="00137D50" w:rsidP="000B41BA">
            <w:pPr>
              <w:pStyle w:val="ListNumber"/>
              <w:numPr>
                <w:ilvl w:val="3"/>
                <w:numId w:val="54"/>
              </w:numPr>
              <w:spacing w:before="60" w:after="40" w:line="252" w:lineRule="auto"/>
              <w:ind w:left="357" w:hanging="357"/>
              <w:rPr>
                <w:rFonts w:asciiTheme="majorHAnsi" w:hAnsiTheme="majorHAnsi" w:cstheme="majorHAnsi"/>
                <w:sz w:val="20"/>
                <w:szCs w:val="20"/>
              </w:rPr>
            </w:pPr>
            <w:r w:rsidRPr="00715C71">
              <w:rPr>
                <w:rFonts w:asciiTheme="majorHAnsi" w:hAnsiTheme="majorHAnsi" w:cstheme="majorHAnsi"/>
                <w:sz w:val="20"/>
                <w:szCs w:val="20"/>
              </w:rPr>
              <w:t xml:space="preserve">When applying the principle in paragraph (1) to a pipeline service that when used affects the capacity of the non-scheme pipeline available for other pipeline services and is priced at a premium or a discount to the price for a firm haulage service on the relevant non-scheme pipeline – the premium or discount must: </w:t>
            </w:r>
          </w:p>
          <w:p w14:paraId="4391323D" w14:textId="77777777" w:rsidR="00137D50" w:rsidRPr="00715C71" w:rsidRDefault="00137D50" w:rsidP="00E448E3">
            <w:pPr>
              <w:autoSpaceDE w:val="0"/>
              <w:autoSpaceDN w:val="0"/>
              <w:adjustRightInd w:val="0"/>
              <w:spacing w:before="60" w:after="40" w:line="252" w:lineRule="auto"/>
              <w:ind w:left="680" w:hanging="340"/>
              <w:rPr>
                <w:rFonts w:asciiTheme="majorHAnsi" w:hAnsiTheme="majorHAnsi" w:cstheme="majorHAnsi"/>
                <w:sz w:val="20"/>
                <w:szCs w:val="20"/>
              </w:rPr>
            </w:pPr>
            <w:r w:rsidRPr="00715C71">
              <w:rPr>
                <w:rFonts w:asciiTheme="majorHAnsi" w:hAnsiTheme="majorHAnsi" w:cstheme="majorHAnsi"/>
                <w:sz w:val="20"/>
                <w:szCs w:val="20"/>
              </w:rPr>
              <w:t xml:space="preserve">(i)   take into account any opportunity cost or benefit to the service provider of providing the pipeline service, having regard to any effect on the cost of providing firm haulage services or the capacity of the non-scheme pipeline; and </w:t>
            </w:r>
          </w:p>
          <w:p w14:paraId="344137BC" w14:textId="77777777" w:rsidR="0085411A" w:rsidRPr="00715C71" w:rsidRDefault="00137D50" w:rsidP="0085411A">
            <w:pPr>
              <w:autoSpaceDE w:val="0"/>
              <w:autoSpaceDN w:val="0"/>
              <w:adjustRightInd w:val="0"/>
              <w:spacing w:line="252" w:lineRule="auto"/>
              <w:ind w:left="680" w:hanging="340"/>
              <w:rPr>
                <w:rFonts w:asciiTheme="majorHAnsi" w:hAnsiTheme="majorHAnsi" w:cstheme="majorHAnsi"/>
                <w:sz w:val="20"/>
                <w:szCs w:val="20"/>
              </w:rPr>
            </w:pPr>
            <w:r w:rsidRPr="00715C71">
              <w:rPr>
                <w:rFonts w:asciiTheme="majorHAnsi" w:hAnsiTheme="majorHAnsi" w:cstheme="majorHAnsi"/>
                <w:sz w:val="20"/>
                <w:szCs w:val="20"/>
              </w:rPr>
              <w:t xml:space="preserve">(ii)  be consistent with the price for the pipeline service providing a reasonable contribution to joint and common costs. </w:t>
            </w:r>
          </w:p>
          <w:p w14:paraId="4503FE83" w14:textId="77777777" w:rsidR="0085411A" w:rsidRPr="00715C71" w:rsidRDefault="0085411A" w:rsidP="00BC5A1D">
            <w:pPr>
              <w:pStyle w:val="PullOutBoxHeading"/>
              <w:spacing w:after="200" w:line="252" w:lineRule="auto"/>
              <w:rPr>
                <w:rFonts w:asciiTheme="majorHAnsi" w:hAnsiTheme="majorHAnsi" w:cstheme="majorHAnsi"/>
                <w:color w:val="auto"/>
                <w:sz w:val="20"/>
                <w:szCs w:val="20"/>
              </w:rPr>
            </w:pPr>
            <w:r w:rsidRPr="00715C71">
              <w:rPr>
                <w:rFonts w:asciiTheme="majorHAnsi" w:hAnsiTheme="majorHAnsi" w:cstheme="majorHAnsi"/>
                <w:color w:val="auto"/>
                <w:sz w:val="20"/>
                <w:szCs w:val="20"/>
              </w:rPr>
              <w:lastRenderedPageBreak/>
              <w:t xml:space="preserve">Why different pricing principles were adopted under Part 23 </w:t>
            </w:r>
          </w:p>
          <w:p w14:paraId="4547D1EA" w14:textId="0CDCC25E" w:rsidR="00F403E5" w:rsidRPr="00715C71" w:rsidRDefault="00F403E5" w:rsidP="0085411A">
            <w:pPr>
              <w:autoSpaceDE w:val="0"/>
              <w:autoSpaceDN w:val="0"/>
              <w:adjustRightInd w:val="0"/>
              <w:spacing w:line="252" w:lineRule="auto"/>
              <w:rPr>
                <w:rFonts w:asciiTheme="majorHAnsi" w:hAnsiTheme="majorHAnsi" w:cstheme="majorHAnsi"/>
                <w:sz w:val="20"/>
                <w:szCs w:val="20"/>
              </w:rPr>
            </w:pPr>
            <w:r w:rsidRPr="00715C71">
              <w:rPr>
                <w:rFonts w:asciiTheme="majorHAnsi" w:hAnsiTheme="majorHAnsi" w:cstheme="majorHAnsi"/>
                <w:sz w:val="20"/>
                <w:szCs w:val="20"/>
              </w:rPr>
              <w:t>The rationale for adopting different pricing principles under Part 23 is reflected in the following statement made by the GMRG in its final recommendations on the design of this framework:</w:t>
            </w:r>
            <w:r w:rsidR="00370905">
              <w:rPr>
                <w:rFonts w:ascii="ZWAdobeF" w:hAnsi="ZWAdobeF" w:cs="ZWAdobeF"/>
                <w:sz w:val="2"/>
                <w:szCs w:val="2"/>
              </w:rPr>
              <w:t>154F</w:t>
            </w:r>
            <w:r w:rsidR="00BC5A1D" w:rsidRPr="00715C71">
              <w:rPr>
                <w:rStyle w:val="FootnoteReference"/>
                <w:rFonts w:asciiTheme="majorHAnsi" w:hAnsiTheme="majorHAnsi" w:cstheme="majorHAnsi"/>
                <w:sz w:val="20"/>
                <w:szCs w:val="20"/>
              </w:rPr>
              <w:footnoteReference w:id="156"/>
            </w:r>
          </w:p>
          <w:p w14:paraId="6F4CCE2E" w14:textId="77777777" w:rsidR="00F403E5" w:rsidRPr="00715C71" w:rsidRDefault="00BC5A1D" w:rsidP="00BC5A1D">
            <w:pPr>
              <w:pStyle w:val="Quote"/>
              <w:rPr>
                <w:szCs w:val="20"/>
              </w:rPr>
            </w:pPr>
            <w:r w:rsidRPr="00715C71">
              <w:rPr>
                <w:szCs w:val="20"/>
              </w:rPr>
              <w:t>“…t</w:t>
            </w:r>
            <w:r w:rsidR="00F403E5" w:rsidRPr="00715C71">
              <w:rPr>
                <w:szCs w:val="20"/>
              </w:rPr>
              <w:t xml:space="preserve">he objective of the new framework is to pose a constraint on the exercise of market power by pipeline operators by facilitating access to the services provided by these pipelines on reasonable terms. The term ‘reasonable’ is taken in this context to mean at prices and on terms and conditions that, so far as practical, reflect the outcomes of a workably competitive market. </w:t>
            </w:r>
          </w:p>
          <w:p w14:paraId="708EA22F" w14:textId="77777777" w:rsidR="00F403E5" w:rsidRPr="00715C71" w:rsidRDefault="00F403E5" w:rsidP="00BC5A1D">
            <w:pPr>
              <w:pStyle w:val="Quote"/>
              <w:rPr>
                <w:szCs w:val="20"/>
              </w:rPr>
            </w:pPr>
            <w:r w:rsidRPr="00715C71">
              <w:rPr>
                <w:szCs w:val="20"/>
              </w:rPr>
              <w:t>In a workably competitive market, rivalry between competing firms can be expected in the longer-run to drive prices down to a cost reflective level, where firms are covering their costs plus a rate of return that reflects the risk faced by the firm. In keeping with this concept, the final design provides for the adoption of cost reflective pricing principles</w:t>
            </w:r>
            <w:r w:rsidR="00BC5A1D" w:rsidRPr="00715C71">
              <w:rPr>
                <w:szCs w:val="20"/>
              </w:rPr>
              <w:t>…</w:t>
            </w:r>
            <w:r w:rsidRPr="00715C71">
              <w:rPr>
                <w:szCs w:val="20"/>
              </w:rPr>
              <w:t xml:space="preserve"> In the GMRG’s view, the cost reflective pricing principles (which provide for the recovery of a commercial rate of return that reflects the risks faced by the pipeline operator) are consistent with what would occur in a workably competitive market. They should also preserve incentives for investment and innovation in pipelines, which shippers have made clear is of considerable importance to the market. While some pipeline operators have characterised the adoption of cost reflective pricing principles as a</w:t>
            </w:r>
            <w:r w:rsidR="00BC5A1D" w:rsidRPr="00715C71">
              <w:rPr>
                <w:szCs w:val="20"/>
              </w:rPr>
              <w:t xml:space="preserve"> </w:t>
            </w:r>
            <w:r w:rsidRPr="00715C71">
              <w:rPr>
                <w:szCs w:val="20"/>
              </w:rPr>
              <w:t xml:space="preserve">“quasi regulatory” approach, it is consistent with what would occur in a workably competitive market. </w:t>
            </w:r>
          </w:p>
          <w:p w14:paraId="2AF0DF6F" w14:textId="77777777" w:rsidR="00F403E5" w:rsidRPr="00715C71" w:rsidRDefault="00BC5A1D" w:rsidP="00BC5A1D">
            <w:pPr>
              <w:pStyle w:val="Quote"/>
              <w:rPr>
                <w:szCs w:val="20"/>
              </w:rPr>
            </w:pPr>
            <w:r w:rsidRPr="00715C71">
              <w:rPr>
                <w:szCs w:val="20"/>
              </w:rPr>
              <w:t>…</w:t>
            </w:r>
          </w:p>
          <w:p w14:paraId="75B870A0" w14:textId="77777777" w:rsidR="006215B0" w:rsidRPr="00715C71" w:rsidRDefault="00F403E5" w:rsidP="000305F5">
            <w:pPr>
              <w:pStyle w:val="Quote"/>
              <w:rPr>
                <w:szCs w:val="20"/>
              </w:rPr>
            </w:pPr>
            <w:r w:rsidRPr="00715C71">
              <w:rPr>
                <w:szCs w:val="20"/>
              </w:rPr>
              <w:t>The GMRG has also considered the suggestion by some stakeholders that greater guidance be provided to the arbitrator on how the cost-reflective pricing principles are to be applied. While the GMRG can see merit in providing the arbitrator with some additional guidance on asset valuation, the intention is not</w:t>
            </w:r>
            <w:r w:rsidR="00BC5A1D" w:rsidRPr="00715C71">
              <w:rPr>
                <w:szCs w:val="20"/>
              </w:rPr>
              <w:t>…</w:t>
            </w:r>
            <w:r w:rsidRPr="00715C71">
              <w:rPr>
                <w:szCs w:val="20"/>
              </w:rPr>
              <w:t>to mirror the regulatory arrangements applying to full regulation pipelines. The GMRG is not therefore recommending the adoption of prescriptive pricing principles and will allow the arbitrator to have some discretion on how it applies the principles.</w:t>
            </w:r>
            <w:r w:rsidR="000305F5" w:rsidRPr="00715C71">
              <w:rPr>
                <w:szCs w:val="20"/>
              </w:rPr>
              <w:t>”</w:t>
            </w:r>
          </w:p>
        </w:tc>
      </w:tr>
    </w:tbl>
    <w:p w14:paraId="1A8C2810" w14:textId="0FBCC193" w:rsidR="00D51C1F" w:rsidRPr="006B4639" w:rsidRDefault="00137D50" w:rsidP="00D51C1F">
      <w:pPr>
        <w:pStyle w:val="BodyText"/>
      </w:pPr>
      <w:r w:rsidRPr="006B4639">
        <w:rPr>
          <w:lang w:eastAsia="fr-CA"/>
        </w:rPr>
        <w:lastRenderedPageBreak/>
        <w:t xml:space="preserve">As </w:t>
      </w:r>
      <w:r w:rsidR="00BB44AC" w:rsidRPr="006B4639">
        <w:rPr>
          <w:lang w:eastAsia="fr-CA"/>
        </w:rPr>
        <w:fldChar w:fldCharType="begin" w:fldLock="1"/>
      </w:r>
      <w:r w:rsidR="00BB44AC" w:rsidRPr="006B4639">
        <w:rPr>
          <w:lang w:eastAsia="fr-CA"/>
        </w:rPr>
        <w:instrText xml:space="preserve"> REF _Ref17273913 </w:instrText>
      </w:r>
      <w:r w:rsidR="00BB44AC" w:rsidRPr="006B4639">
        <w:rPr>
          <w:lang w:eastAsia="fr-CA"/>
        </w:rPr>
        <w:fldChar w:fldCharType="separate"/>
      </w:r>
      <w:r w:rsidR="00036405" w:rsidRPr="006B4639">
        <w:t xml:space="preserve">Table </w:t>
      </w:r>
      <w:r w:rsidR="00036405">
        <w:rPr>
          <w:noProof/>
        </w:rPr>
        <w:t>7</w:t>
      </w:r>
      <w:r w:rsidR="00036405">
        <w:t>.</w:t>
      </w:r>
      <w:r w:rsidR="00036405">
        <w:rPr>
          <w:noProof/>
        </w:rPr>
        <w:t>1</w:t>
      </w:r>
      <w:r w:rsidR="00BB44AC" w:rsidRPr="006B4639">
        <w:rPr>
          <w:lang w:eastAsia="fr-CA"/>
        </w:rPr>
        <w:fldChar w:fldCharType="end"/>
      </w:r>
      <w:r w:rsidR="00BB44AC" w:rsidRPr="006B4639">
        <w:rPr>
          <w:lang w:eastAsia="fr-CA"/>
        </w:rPr>
        <w:t xml:space="preserve"> and </w:t>
      </w:r>
      <w:r w:rsidR="00BB44AC" w:rsidRPr="006B4639">
        <w:rPr>
          <w:lang w:eastAsia="fr-CA"/>
        </w:rPr>
        <w:fldChar w:fldCharType="begin" w:fldLock="1"/>
      </w:r>
      <w:r w:rsidR="00BB44AC" w:rsidRPr="006B4639">
        <w:rPr>
          <w:lang w:eastAsia="fr-CA"/>
        </w:rPr>
        <w:instrText xml:space="preserve"> REF _Ref18255106 </w:instrText>
      </w:r>
      <w:r w:rsidR="00BB44AC" w:rsidRPr="006B4639">
        <w:rPr>
          <w:lang w:eastAsia="fr-CA"/>
        </w:rPr>
        <w:fldChar w:fldCharType="separate"/>
      </w:r>
      <w:r w:rsidR="00036405" w:rsidRPr="006B4639">
        <w:t xml:space="preserve">Box </w:t>
      </w:r>
      <w:r w:rsidR="00036405">
        <w:rPr>
          <w:noProof/>
        </w:rPr>
        <w:t>7</w:t>
      </w:r>
      <w:r w:rsidR="00036405">
        <w:t>.</w:t>
      </w:r>
      <w:r w:rsidR="00036405">
        <w:rPr>
          <w:noProof/>
        </w:rPr>
        <w:t>1</w:t>
      </w:r>
      <w:r w:rsidR="00BB44AC" w:rsidRPr="006B4639">
        <w:rPr>
          <w:lang w:eastAsia="fr-CA"/>
        </w:rPr>
        <w:fldChar w:fldCharType="end"/>
      </w:r>
      <w:r w:rsidRPr="006B4639">
        <w:rPr>
          <w:lang w:eastAsia="fr-CA"/>
        </w:rPr>
        <w:t xml:space="preserve"> </w:t>
      </w:r>
      <w:r w:rsidR="00F64735" w:rsidRPr="006B4639">
        <w:rPr>
          <w:lang w:eastAsia="fr-CA"/>
        </w:rPr>
        <w:t>reveal</w:t>
      </w:r>
      <w:r w:rsidRPr="006B4639">
        <w:rPr>
          <w:lang w:eastAsia="fr-CA"/>
        </w:rPr>
        <w:t xml:space="preserve">, there are a number of differences between the negotiation frameworks and </w:t>
      </w:r>
      <w:r w:rsidR="00400660" w:rsidRPr="006B4639">
        <w:rPr>
          <w:lang w:eastAsia="fr-CA"/>
        </w:rPr>
        <w:t xml:space="preserve">dispute resolution </w:t>
      </w:r>
      <w:r w:rsidRPr="006B4639">
        <w:rPr>
          <w:lang w:eastAsia="fr-CA"/>
        </w:rPr>
        <w:t xml:space="preserve">mechanisms applying under the </w:t>
      </w:r>
      <w:r w:rsidR="00400660" w:rsidRPr="006B4639">
        <w:t xml:space="preserve">two </w:t>
      </w:r>
      <w:r w:rsidRPr="006B4639">
        <w:t xml:space="preserve">negotiate-arbitrate models. </w:t>
      </w:r>
      <w:r w:rsidR="00FB342C" w:rsidRPr="006B4639">
        <w:t xml:space="preserve">In </w:t>
      </w:r>
      <w:r w:rsidR="00CC37FC" w:rsidRPr="006B4639">
        <w:t xml:space="preserve">most </w:t>
      </w:r>
      <w:r w:rsidRPr="006B4639">
        <w:t>cases, the</w:t>
      </w:r>
      <w:r w:rsidR="00FB342C" w:rsidRPr="006B4639">
        <w:t>se</w:t>
      </w:r>
      <w:r w:rsidRPr="006B4639">
        <w:t xml:space="preserve"> differences are by design</w:t>
      </w:r>
      <w:r w:rsidR="00F2376D" w:rsidRPr="006B4639">
        <w:t>;</w:t>
      </w:r>
      <w:r w:rsidRPr="006B4639">
        <w:t xml:space="preserve"> reflect</w:t>
      </w:r>
      <w:r w:rsidR="00F2376D" w:rsidRPr="006B4639">
        <w:t>ing</w:t>
      </w:r>
      <w:r w:rsidRPr="006B4639">
        <w:t xml:space="preserve"> both the nature of the negotiate-arbitrate model</w:t>
      </w:r>
      <w:r w:rsidR="00F90EFD" w:rsidRPr="006B4639">
        <w:t>s</w:t>
      </w:r>
      <w:r w:rsidRPr="006B4639">
        <w:t xml:space="preserve"> </w:t>
      </w:r>
      <w:r w:rsidR="00F90EFD" w:rsidRPr="006B4639">
        <w:t>(</w:t>
      </w:r>
      <w:r w:rsidR="00FE5788" w:rsidRPr="006B4639">
        <w:t xml:space="preserve">i.e. </w:t>
      </w:r>
      <w:r w:rsidR="00F90EFD" w:rsidRPr="006B4639">
        <w:t xml:space="preserve">regulatory- or commercially-oriented) </w:t>
      </w:r>
      <w:r w:rsidRPr="006B4639">
        <w:t>and the intent in implementing the</w:t>
      </w:r>
      <w:r w:rsidR="0018388B" w:rsidRPr="006B4639">
        <w:t xml:space="preserve"> two </w:t>
      </w:r>
      <w:r w:rsidRPr="006B4639">
        <w:t>model</w:t>
      </w:r>
      <w:r w:rsidR="0018388B" w:rsidRPr="006B4639">
        <w:t>s</w:t>
      </w:r>
      <w:r w:rsidRPr="006B4639">
        <w:t xml:space="preserve">.  </w:t>
      </w:r>
    </w:p>
    <w:p w14:paraId="0DE9C016" w14:textId="6EEF08EA" w:rsidR="00F90EFD" w:rsidRPr="006B4639" w:rsidRDefault="00CC37FC" w:rsidP="00CC37FC">
      <w:pPr>
        <w:pStyle w:val="BodyText"/>
      </w:pPr>
      <w:r w:rsidRPr="006B4639">
        <w:t>T</w:t>
      </w:r>
      <w:r w:rsidR="00137D50" w:rsidRPr="006B4639">
        <w:t>he commercially</w:t>
      </w:r>
      <w:r w:rsidR="00A401EE" w:rsidRPr="006B4639">
        <w:t>-</w:t>
      </w:r>
      <w:r w:rsidR="00137D50" w:rsidRPr="006B4639">
        <w:t>oriented model</w:t>
      </w:r>
      <w:r w:rsidRPr="006B4639">
        <w:t xml:space="preserve"> adopted under</w:t>
      </w:r>
      <w:r w:rsidR="00137D50" w:rsidRPr="006B4639">
        <w:t xml:space="preserve"> Part 23</w:t>
      </w:r>
      <w:r w:rsidRPr="006B4639">
        <w:t>, for example,</w:t>
      </w:r>
      <w:r w:rsidR="00137D50" w:rsidRPr="006B4639">
        <w:t xml:space="preserve"> was implemented in response to </w:t>
      </w:r>
      <w:r w:rsidR="00F2376D" w:rsidRPr="006B4639">
        <w:t xml:space="preserve">the </w:t>
      </w:r>
      <w:r w:rsidR="00137D50" w:rsidRPr="006B4639">
        <w:t xml:space="preserve">feedback </w:t>
      </w:r>
      <w:r w:rsidR="00F2376D" w:rsidRPr="006B4639">
        <w:t xml:space="preserve">shippers provided to Dr Vertigan’s Examination, </w:t>
      </w:r>
      <w:r w:rsidRPr="006B4639">
        <w:t xml:space="preserve">which was </w:t>
      </w:r>
      <w:r w:rsidR="00137D50" w:rsidRPr="006B4639">
        <w:t xml:space="preserve">that </w:t>
      </w:r>
      <w:r w:rsidR="00D51C1F" w:rsidRPr="006B4639">
        <w:t xml:space="preserve">they were not looking for a traditional regulatory solution. Rather, they wanted a mechanism </w:t>
      </w:r>
      <w:r w:rsidR="00A401EE" w:rsidRPr="006B4639">
        <w:t xml:space="preserve">to be put in place that would </w:t>
      </w:r>
      <w:r w:rsidR="00D51C1F" w:rsidRPr="006B4639">
        <w:t xml:space="preserve">facilitate more timely and effective commercial negotiations between shippers and service providers and </w:t>
      </w:r>
      <w:r w:rsidRPr="006B4639">
        <w:t xml:space="preserve">to </w:t>
      </w:r>
      <w:r w:rsidR="00D51C1F" w:rsidRPr="006B4639">
        <w:t>reduce the imbalance in bargaining power shippers</w:t>
      </w:r>
      <w:r w:rsidRPr="006B4639">
        <w:t xml:space="preserve"> can face in these negotiations</w:t>
      </w:r>
      <w:r w:rsidR="00F2376D" w:rsidRPr="006B4639">
        <w:t>.</w:t>
      </w:r>
      <w:r w:rsidR="00370905">
        <w:rPr>
          <w:rFonts w:ascii="ZWAdobeF" w:hAnsi="ZWAdobeF" w:cs="ZWAdobeF"/>
          <w:sz w:val="2"/>
          <w:szCs w:val="2"/>
        </w:rPr>
        <w:t>155F</w:t>
      </w:r>
      <w:r w:rsidRPr="006B4639">
        <w:rPr>
          <w:rStyle w:val="FootnoteReference"/>
        </w:rPr>
        <w:footnoteReference w:id="157"/>
      </w:r>
      <w:r w:rsidR="00F2376D" w:rsidRPr="006B4639">
        <w:t xml:space="preserve"> </w:t>
      </w:r>
      <w:r w:rsidR="00D51C1F" w:rsidRPr="006B4639">
        <w:t>A decision was therefore made to implement</w:t>
      </w:r>
      <w:r w:rsidRPr="006B4639">
        <w:t xml:space="preserve"> </w:t>
      </w:r>
      <w:r w:rsidR="00F90EFD" w:rsidRPr="006B4639">
        <w:t>a more commercial</w:t>
      </w:r>
      <w:r w:rsidR="00BF0445" w:rsidRPr="006B4639">
        <w:t xml:space="preserve"> </w:t>
      </w:r>
      <w:r w:rsidR="0018388B" w:rsidRPr="006B4639">
        <w:t xml:space="preserve">dispute resolution </w:t>
      </w:r>
      <w:r w:rsidR="00F90EFD" w:rsidRPr="006B4639">
        <w:t>mechanism</w:t>
      </w:r>
      <w:r w:rsidR="00DD709F" w:rsidRPr="006B4639">
        <w:t>, which</w:t>
      </w:r>
      <w:r w:rsidR="000305F5" w:rsidRPr="006B4639">
        <w:t xml:space="preserve"> </w:t>
      </w:r>
      <w:r w:rsidR="00F90EFD" w:rsidRPr="006B4639">
        <w:t>provided for</w:t>
      </w:r>
      <w:r w:rsidR="00BF0445" w:rsidRPr="006B4639">
        <w:t xml:space="preserve"> a credible threat of intervention if negotiations broke down and the timely resolution of disputes that proceeded to arbitration.</w:t>
      </w:r>
      <w:r w:rsidR="00370905">
        <w:rPr>
          <w:rFonts w:ascii="ZWAdobeF" w:hAnsi="ZWAdobeF" w:cs="ZWAdobeF"/>
          <w:sz w:val="2"/>
          <w:szCs w:val="2"/>
        </w:rPr>
        <w:t>156F</w:t>
      </w:r>
      <w:r w:rsidR="00FB342C" w:rsidRPr="006B4639">
        <w:rPr>
          <w:rStyle w:val="FootnoteReference"/>
        </w:rPr>
        <w:footnoteReference w:id="158"/>
      </w:r>
      <w:r w:rsidR="00BF0445" w:rsidRPr="006B4639">
        <w:t xml:space="preserve"> </w:t>
      </w:r>
      <w:r w:rsidR="00DD709F" w:rsidRPr="006B4639">
        <w:t xml:space="preserve">Interestingly, the model adopted under Part 23 </w:t>
      </w:r>
      <w:r w:rsidR="00606364" w:rsidRPr="006B4639">
        <w:t xml:space="preserve">is </w:t>
      </w:r>
      <w:r w:rsidR="00606364" w:rsidRPr="006B4639">
        <w:lastRenderedPageBreak/>
        <w:t xml:space="preserve">similar to what the Productivity Commission originally proposed, when it recommended the introduction of a </w:t>
      </w:r>
      <w:r w:rsidR="00531979">
        <w:t>lighter</w:t>
      </w:r>
      <w:r w:rsidR="00606364" w:rsidRPr="006B4639">
        <w:t xml:space="preserve"> form of regulation in 2004.</w:t>
      </w:r>
      <w:r w:rsidR="00370905">
        <w:rPr>
          <w:rFonts w:ascii="ZWAdobeF" w:hAnsi="ZWAdobeF" w:cs="ZWAdobeF"/>
          <w:sz w:val="2"/>
          <w:szCs w:val="2"/>
        </w:rPr>
        <w:t>157F</w:t>
      </w:r>
      <w:r w:rsidR="00F3304B">
        <w:rPr>
          <w:rStyle w:val="FootnoteReference"/>
        </w:rPr>
        <w:footnoteReference w:id="159"/>
      </w:r>
    </w:p>
    <w:p w14:paraId="5B7AD066" w14:textId="77777777" w:rsidR="00BF0445" w:rsidRPr="006B4639" w:rsidRDefault="00BF0445" w:rsidP="00FE5788">
      <w:pPr>
        <w:pStyle w:val="BodyText"/>
        <w:spacing w:after="60"/>
      </w:pPr>
      <w:r w:rsidRPr="006B4639">
        <w:t xml:space="preserve">Consistent with </w:t>
      </w:r>
      <w:r w:rsidR="00606364" w:rsidRPr="006B4639">
        <w:t>the</w:t>
      </w:r>
      <w:r w:rsidRPr="006B4639">
        <w:t xml:space="preserve"> decision</w:t>
      </w:r>
      <w:r w:rsidR="00606364" w:rsidRPr="006B4639">
        <w:t xml:space="preserve"> to adopt a commercially-oriented mechanism</w:t>
      </w:r>
      <w:r w:rsidRPr="006B4639">
        <w:t xml:space="preserve">, the dispute resolution mechanism </w:t>
      </w:r>
      <w:r w:rsidR="00FB342C" w:rsidRPr="006B4639">
        <w:t xml:space="preserve">in Part 23 </w:t>
      </w:r>
      <w:r w:rsidRPr="006B4639">
        <w:t>provides for:</w:t>
      </w:r>
    </w:p>
    <w:p w14:paraId="1199D30B" w14:textId="77777777" w:rsidR="0062725A" w:rsidRPr="006B4639" w:rsidRDefault="00BB12DD" w:rsidP="00AD36B8">
      <w:pPr>
        <w:pStyle w:val="ListBullet"/>
      </w:pPr>
      <w:r w:rsidRPr="006B4639">
        <w:t xml:space="preserve">the dispute </w:t>
      </w:r>
      <w:r w:rsidR="00F36D30" w:rsidRPr="006B4639">
        <w:t xml:space="preserve">to </w:t>
      </w:r>
      <w:r w:rsidR="00961773" w:rsidRPr="006B4639">
        <w:t>be heard</w:t>
      </w:r>
      <w:r w:rsidR="0062725A" w:rsidRPr="006B4639">
        <w:t xml:space="preserve"> by a commercial arbitrator rather than a regulator; </w:t>
      </w:r>
    </w:p>
    <w:p w14:paraId="5541F562" w14:textId="77777777" w:rsidR="00F90EFD" w:rsidRPr="006B4639" w:rsidRDefault="00BF0445" w:rsidP="00AD36B8">
      <w:pPr>
        <w:pStyle w:val="ListBullet"/>
      </w:pPr>
      <w:r w:rsidRPr="006B4639">
        <w:t>the arbitrator to have regard to workably competitive market-based pricing principles rather than economic efficiency</w:t>
      </w:r>
      <w:r w:rsidR="00FB342C" w:rsidRPr="006B4639">
        <w:t>-</w:t>
      </w:r>
      <w:r w:rsidRPr="006B4639">
        <w:t>based</w:t>
      </w:r>
      <w:r w:rsidR="00FE5788" w:rsidRPr="006B4639">
        <w:t xml:space="preserve"> pricing</w:t>
      </w:r>
      <w:r w:rsidRPr="006B4639">
        <w:t xml:space="preserve"> principles</w:t>
      </w:r>
      <w:r w:rsidR="00F90EFD" w:rsidRPr="006B4639">
        <w:t>;</w:t>
      </w:r>
    </w:p>
    <w:p w14:paraId="5E6F86C4" w14:textId="77777777" w:rsidR="0062725A" w:rsidRPr="006B4639" w:rsidRDefault="00BF0445" w:rsidP="00AD36B8">
      <w:pPr>
        <w:pStyle w:val="ListBullet"/>
      </w:pPr>
      <w:r w:rsidRPr="006B4639">
        <w:t xml:space="preserve">arbitrations to be completed within </w:t>
      </w:r>
      <w:r w:rsidR="00FE5788" w:rsidRPr="006B4639">
        <w:t xml:space="preserve">a specified number of days (i.e. </w:t>
      </w:r>
      <w:r w:rsidR="00F90EFD" w:rsidRPr="006B4639">
        <w:t>50-90 business days</w:t>
      </w:r>
      <w:r w:rsidR="00FE5788" w:rsidRPr="006B4639">
        <w:t>)</w:t>
      </w:r>
      <w:r w:rsidR="00BB12DD" w:rsidRPr="006B4639">
        <w:t xml:space="preserve">, rather than </w:t>
      </w:r>
      <w:r w:rsidR="00FE5788" w:rsidRPr="006B4639">
        <w:t>by reference to a principle that the dispute resolution body act “as speedily as possible as the resolution of the dispute allows”</w:t>
      </w:r>
      <w:r w:rsidR="00A401EE" w:rsidRPr="006B4639">
        <w:t xml:space="preserve">; </w:t>
      </w:r>
      <w:r w:rsidR="0018388B" w:rsidRPr="006B4639">
        <w:t>and</w:t>
      </w:r>
    </w:p>
    <w:p w14:paraId="7792090E" w14:textId="6335EA26" w:rsidR="0062725A" w:rsidRPr="006B4639" w:rsidRDefault="00F90EFD" w:rsidP="00AD36B8">
      <w:pPr>
        <w:pStyle w:val="ListBullet"/>
      </w:pPr>
      <w:r w:rsidRPr="006B4639">
        <w:t xml:space="preserve">limited </w:t>
      </w:r>
      <w:r w:rsidR="00A401EE" w:rsidRPr="006B4639">
        <w:t>information about the outcome of an arbitration to be made public</w:t>
      </w:r>
      <w:r w:rsidR="00BB12DD" w:rsidRPr="006B4639">
        <w:t>.</w:t>
      </w:r>
      <w:r w:rsidR="00370905">
        <w:rPr>
          <w:rFonts w:ascii="ZWAdobeF" w:hAnsi="ZWAdobeF" w:cs="ZWAdobeF"/>
          <w:sz w:val="2"/>
          <w:szCs w:val="2"/>
        </w:rPr>
        <w:t>158F</w:t>
      </w:r>
      <w:r w:rsidR="0062725A" w:rsidRPr="006B4639">
        <w:rPr>
          <w:rStyle w:val="FootnoteReference"/>
        </w:rPr>
        <w:footnoteReference w:id="160"/>
      </w:r>
    </w:p>
    <w:p w14:paraId="387267F4" w14:textId="77777777" w:rsidR="007C764E" w:rsidRPr="006B4639" w:rsidRDefault="0018388B" w:rsidP="00BF4F92">
      <w:pPr>
        <w:pStyle w:val="BodyText"/>
      </w:pPr>
      <w:r w:rsidRPr="006B4639">
        <w:t xml:space="preserve">Setting </w:t>
      </w:r>
      <w:r w:rsidR="00C35F35" w:rsidRPr="006B4639">
        <w:t xml:space="preserve">aside </w:t>
      </w:r>
      <w:r w:rsidRPr="006B4639">
        <w:t xml:space="preserve">these </w:t>
      </w:r>
      <w:r w:rsidR="00BB12DD" w:rsidRPr="006B4639">
        <w:t xml:space="preserve">more fundamental </w:t>
      </w:r>
      <w:r w:rsidRPr="006B4639">
        <w:t xml:space="preserve">differences, there are a number of other important differences </w:t>
      </w:r>
      <w:r w:rsidR="00B23B83" w:rsidRPr="006B4639">
        <w:t xml:space="preserve">between the negotiation </w:t>
      </w:r>
      <w:r w:rsidR="00507B0D" w:rsidRPr="006B4639">
        <w:t>frameworks and dispute resolution mechanisms</w:t>
      </w:r>
      <w:r w:rsidR="00FE5788" w:rsidRPr="006B4639">
        <w:t xml:space="preserve"> that are unrelated to the nature of the negotiate-arbitrate models. The negotiation frameworks, for example, differ in terms of</w:t>
      </w:r>
      <w:r w:rsidR="007C764E" w:rsidRPr="006B4639">
        <w:t>:</w:t>
      </w:r>
    </w:p>
    <w:p w14:paraId="180ADDE0" w14:textId="77777777" w:rsidR="007C764E" w:rsidRPr="006B4639" w:rsidRDefault="007C764E" w:rsidP="00AD36B8">
      <w:pPr>
        <w:pStyle w:val="ListBullet"/>
      </w:pPr>
      <w:r w:rsidRPr="006B4639">
        <w:t>the requirement for service providers to publish a user access guide;</w:t>
      </w:r>
    </w:p>
    <w:p w14:paraId="73EE92DE" w14:textId="77777777" w:rsidR="007C764E" w:rsidRPr="006B4639" w:rsidRDefault="007C764E" w:rsidP="00AD36B8">
      <w:pPr>
        <w:pStyle w:val="ListBullet"/>
      </w:pPr>
      <w:r w:rsidRPr="006B4639">
        <w:t xml:space="preserve">the access </w:t>
      </w:r>
      <w:r w:rsidR="00BF417E" w:rsidRPr="006B4639">
        <w:t>request, offer and negotiation process</w:t>
      </w:r>
      <w:r w:rsidR="0085411A" w:rsidRPr="006B4639">
        <w:t>es</w:t>
      </w:r>
      <w:r w:rsidR="00BF417E" w:rsidRPr="006B4639">
        <w:t xml:space="preserve"> (including </w:t>
      </w:r>
      <w:r w:rsidRPr="006B4639">
        <w:t>response times</w:t>
      </w:r>
      <w:r w:rsidR="00BF417E" w:rsidRPr="006B4639">
        <w:t>)</w:t>
      </w:r>
      <w:r w:rsidRPr="006B4639">
        <w:t>;</w:t>
      </w:r>
    </w:p>
    <w:p w14:paraId="22854D34" w14:textId="77777777" w:rsidR="007C764E" w:rsidRPr="006B4639" w:rsidRDefault="00FE5788" w:rsidP="00AD36B8">
      <w:pPr>
        <w:pStyle w:val="ListBullet"/>
      </w:pPr>
      <w:r w:rsidRPr="006B4639">
        <w:t xml:space="preserve">how </w:t>
      </w:r>
      <w:r w:rsidR="003619F8" w:rsidRPr="006B4639">
        <w:t xml:space="preserve">shippers </w:t>
      </w:r>
      <w:r w:rsidRPr="006B4639">
        <w:t xml:space="preserve">can </w:t>
      </w:r>
      <w:r w:rsidR="003619F8" w:rsidRPr="006B4639">
        <w:t xml:space="preserve">seek additional </w:t>
      </w:r>
      <w:r w:rsidR="00C35F35" w:rsidRPr="006B4639">
        <w:t xml:space="preserve">information </w:t>
      </w:r>
      <w:r w:rsidR="003619F8" w:rsidRPr="006B4639">
        <w:t>during negotiations</w:t>
      </w:r>
      <w:r w:rsidR="007C764E" w:rsidRPr="006B4639">
        <w:t>;</w:t>
      </w:r>
      <w:r w:rsidRPr="006B4639">
        <w:t xml:space="preserve"> </w:t>
      </w:r>
    </w:p>
    <w:p w14:paraId="6EEF95C9" w14:textId="77777777" w:rsidR="004F3395" w:rsidRPr="006B4639" w:rsidRDefault="004F3395" w:rsidP="00AD36B8">
      <w:pPr>
        <w:pStyle w:val="ListBullet"/>
      </w:pPr>
      <w:r w:rsidRPr="006B4639">
        <w:t>the trigger for initiating access disputes;</w:t>
      </w:r>
      <w:r w:rsidR="00342F46" w:rsidRPr="006B4639">
        <w:t xml:space="preserve"> and</w:t>
      </w:r>
    </w:p>
    <w:p w14:paraId="78522E50" w14:textId="77777777" w:rsidR="007C764E" w:rsidRPr="006B4639" w:rsidRDefault="007C764E" w:rsidP="00AD36B8">
      <w:pPr>
        <w:pStyle w:val="ListBullet"/>
      </w:pPr>
      <w:r w:rsidRPr="006B4639">
        <w:t xml:space="preserve">the </w:t>
      </w:r>
      <w:r w:rsidR="00C35F35" w:rsidRPr="006B4639">
        <w:t xml:space="preserve">requirement </w:t>
      </w:r>
      <w:r w:rsidR="00BF417E" w:rsidRPr="006B4639">
        <w:t xml:space="preserve">to report on </w:t>
      </w:r>
      <w:r w:rsidR="00C35F35" w:rsidRPr="006B4639">
        <w:t>the status of negotiations to the relevant regulator</w:t>
      </w:r>
      <w:r w:rsidR="00FE5788" w:rsidRPr="006B4639">
        <w:t>.</w:t>
      </w:r>
    </w:p>
    <w:p w14:paraId="03C79B4B" w14:textId="77777777" w:rsidR="00C35F35" w:rsidRPr="006B4639" w:rsidRDefault="00FE5788" w:rsidP="00AD36B8">
      <w:pPr>
        <w:pStyle w:val="ListBullet"/>
        <w:numPr>
          <w:ilvl w:val="0"/>
          <w:numId w:val="0"/>
        </w:numPr>
      </w:pPr>
      <w:r w:rsidRPr="006B4639">
        <w:t>The dispute resolution mechanisms, on the other hand, differ in terms of</w:t>
      </w:r>
      <w:r w:rsidR="004F3395" w:rsidRPr="006B4639">
        <w:t xml:space="preserve"> </w:t>
      </w:r>
      <w:r w:rsidR="007C764E" w:rsidRPr="006B4639">
        <w:t xml:space="preserve">the </w:t>
      </w:r>
      <w:r w:rsidR="00C35F35" w:rsidRPr="006B4639">
        <w:t xml:space="preserve">extent to which an </w:t>
      </w:r>
      <w:r w:rsidR="007C764E" w:rsidRPr="006B4639">
        <w:t>access determination</w:t>
      </w:r>
      <w:r w:rsidR="00C35F35" w:rsidRPr="006B4639">
        <w:t xml:space="preserve"> is binding on a shipper</w:t>
      </w:r>
      <w:r w:rsidR="00902BFF">
        <w:t>,</w:t>
      </w:r>
      <w:r w:rsidR="004F3395" w:rsidRPr="006B4639">
        <w:t xml:space="preserve"> </w:t>
      </w:r>
      <w:r w:rsidR="00C35F35" w:rsidRPr="006B4639">
        <w:t>the ability of the dispute resolution body</w:t>
      </w:r>
      <w:r w:rsidR="004F3395" w:rsidRPr="006B4639">
        <w:t xml:space="preserve"> </w:t>
      </w:r>
      <w:r w:rsidR="00C35F35" w:rsidRPr="006B4639">
        <w:t>to award costs against a party</w:t>
      </w:r>
      <w:r w:rsidR="00902BFF">
        <w:t xml:space="preserve">, the </w:t>
      </w:r>
      <w:r w:rsidR="00B1653E">
        <w:t>ability to have joint disputes and to allow intervenors</w:t>
      </w:r>
      <w:r w:rsidR="00E11999">
        <w:t xml:space="preserve"> to participate</w:t>
      </w:r>
      <w:r w:rsidR="00C35F35" w:rsidRPr="006B4639">
        <w:t>.</w:t>
      </w:r>
    </w:p>
    <w:p w14:paraId="1B9D32D6" w14:textId="77777777" w:rsidR="00EB218D" w:rsidRPr="006B4639" w:rsidRDefault="00EB218D" w:rsidP="00EB218D">
      <w:pPr>
        <w:pStyle w:val="Heading2"/>
      </w:pPr>
      <w:bookmarkStart w:id="154" w:name="_Ref53129329"/>
      <w:bookmarkStart w:id="155" w:name="_Toc62219420"/>
      <w:bookmarkStart w:id="156" w:name="_Ref18255506"/>
      <w:r w:rsidRPr="006B4639">
        <w:lastRenderedPageBreak/>
        <w:t>What problem</w:t>
      </w:r>
      <w:r>
        <w:t>s have been identified with this aspect of the regulatory framework and what feedback was provided</w:t>
      </w:r>
      <w:r w:rsidRPr="006B4639">
        <w:t>?</w:t>
      </w:r>
      <w:bookmarkEnd w:id="154"/>
      <w:bookmarkEnd w:id="155"/>
    </w:p>
    <w:p w14:paraId="78B4041F" w14:textId="77777777" w:rsidR="00C74643" w:rsidRDefault="00C74643" w:rsidP="00C74643">
      <w:pPr>
        <w:pStyle w:val="Heading3"/>
      </w:pPr>
      <w:r>
        <w:t>Potential problems identified in the Consultation RIS</w:t>
      </w:r>
    </w:p>
    <w:p w14:paraId="2D0F04EF" w14:textId="77777777" w:rsidR="009668A5" w:rsidRPr="006B4639" w:rsidRDefault="000D347C" w:rsidP="009668A5">
      <w:pPr>
        <w:pStyle w:val="BodyText"/>
        <w:spacing w:before="120"/>
      </w:pPr>
      <w:r>
        <w:t xml:space="preserve">In the </w:t>
      </w:r>
      <w:r w:rsidR="00017430">
        <w:t xml:space="preserve">Consultation RIS the following </w:t>
      </w:r>
      <w:r w:rsidR="00017430" w:rsidRPr="00934485">
        <w:rPr>
          <w:i/>
          <w:iCs/>
        </w:rPr>
        <w:t>potential</w:t>
      </w:r>
      <w:r w:rsidR="00017430">
        <w:t xml:space="preserve"> problems with this aspect of the regulatory framework were identified</w:t>
      </w:r>
      <w:r w:rsidR="00A31855">
        <w:t>, based on a number of reviews of the regulatory framework (see Appendix B)</w:t>
      </w:r>
      <w:r w:rsidR="009668A5">
        <w:t>:</w:t>
      </w:r>
      <w:r w:rsidR="00EB218D" w:rsidRPr="006B4639">
        <w:t xml:space="preserve"> </w:t>
      </w:r>
    </w:p>
    <w:p w14:paraId="343D1F6A" w14:textId="77777777" w:rsidR="00EB218D" w:rsidRPr="006B4639" w:rsidRDefault="00EB218D" w:rsidP="00EB218D">
      <w:pPr>
        <w:pStyle w:val="ListNumber"/>
        <w:numPr>
          <w:ilvl w:val="0"/>
          <w:numId w:val="52"/>
        </w:numPr>
        <w:ind w:left="357" w:hanging="357"/>
      </w:pPr>
      <w:r w:rsidRPr="006B4639">
        <w:t xml:space="preserve">differences between the existing negotiation frameworks </w:t>
      </w:r>
      <w:r w:rsidRPr="00934485">
        <w:rPr>
          <w:i/>
          <w:iCs/>
        </w:rPr>
        <w:t>may</w:t>
      </w:r>
      <w:r w:rsidRPr="006B4639">
        <w:t xml:space="preserve"> </w:t>
      </w:r>
      <w:r w:rsidR="00281BBF">
        <w:t xml:space="preserve">cause </w:t>
      </w:r>
      <w:r w:rsidRPr="006B4639">
        <w:t>confusion amongst shippers, giving rise to unnecessary costs and delays and/or impeding the ability of shippers to negotiate effectively with service providers;</w:t>
      </w:r>
    </w:p>
    <w:p w14:paraId="27EAF023" w14:textId="77777777" w:rsidR="00EB218D" w:rsidRPr="006B4639" w:rsidRDefault="00EB218D" w:rsidP="00EB218D">
      <w:pPr>
        <w:pStyle w:val="ListNumber"/>
        <w:numPr>
          <w:ilvl w:val="0"/>
          <w:numId w:val="52"/>
        </w:numPr>
        <w:ind w:left="357" w:hanging="357"/>
      </w:pPr>
      <w:r w:rsidRPr="006B4639">
        <w:t xml:space="preserve">the credibility of the threat of arbitration </w:t>
      </w:r>
      <w:r w:rsidRPr="00934485">
        <w:rPr>
          <w:i/>
          <w:iCs/>
        </w:rPr>
        <w:t>may</w:t>
      </w:r>
      <w:r w:rsidRPr="006B4639">
        <w:t xml:space="preserve"> not be as strong for smaller shippers as it is for other shippers, which may make them more susceptible to exercises of market power by service providers; and</w:t>
      </w:r>
    </w:p>
    <w:p w14:paraId="7B0B4541" w14:textId="77777777" w:rsidR="00EB218D" w:rsidRPr="006B4639" w:rsidRDefault="00EB218D" w:rsidP="00EB218D">
      <w:pPr>
        <w:pStyle w:val="ListNumber"/>
        <w:numPr>
          <w:ilvl w:val="0"/>
          <w:numId w:val="52"/>
        </w:numPr>
        <w:ind w:left="357" w:hanging="357"/>
      </w:pPr>
      <w:r w:rsidRPr="006B4639">
        <w:t xml:space="preserve">the dispute resolution mechanism applying </w:t>
      </w:r>
      <w:r w:rsidR="00762278">
        <w:t xml:space="preserve">to scheme pipelines (i.e. </w:t>
      </w:r>
      <w:r w:rsidRPr="006B4639">
        <w:t>under full and light regulation</w:t>
      </w:r>
      <w:r w:rsidR="00762278">
        <w:t>)</w:t>
      </w:r>
      <w:r w:rsidRPr="006B4639">
        <w:t xml:space="preserve"> </w:t>
      </w:r>
      <w:r w:rsidRPr="00934485">
        <w:rPr>
          <w:i/>
          <w:iCs/>
        </w:rPr>
        <w:t>may</w:t>
      </w:r>
      <w:r w:rsidRPr="006B4639">
        <w:t xml:space="preserve"> not be as credible as it could and may not therefore be posing a</w:t>
      </w:r>
      <w:r w:rsidR="00556E96">
        <w:t>n effective</w:t>
      </w:r>
      <w:r w:rsidRPr="006B4639">
        <w:t xml:space="preserve"> constraint on the behaviour of service providers in negotiations.</w:t>
      </w:r>
    </w:p>
    <w:p w14:paraId="7A6CC6F2" w14:textId="77777777" w:rsidR="00C74643" w:rsidRDefault="00C74643" w:rsidP="00C74643">
      <w:pPr>
        <w:pStyle w:val="Heading3"/>
      </w:pPr>
      <w:r>
        <w:t xml:space="preserve">Stakeholder feedback on the potential problems </w:t>
      </w:r>
    </w:p>
    <w:p w14:paraId="3A192754" w14:textId="4DE8640E" w:rsidR="00C9489D" w:rsidRDefault="00A31855" w:rsidP="000823A9">
      <w:pPr>
        <w:pStyle w:val="BodyText"/>
      </w:pPr>
      <w:r>
        <w:fldChar w:fldCharType="begin" w:fldLock="1"/>
      </w:r>
      <w:r>
        <w:instrText xml:space="preserve"> REF _Ref52939767 \h </w:instrText>
      </w:r>
      <w:r>
        <w:fldChar w:fldCharType="separate"/>
      </w:r>
      <w:r w:rsidR="00036405">
        <w:t xml:space="preserve">Table </w:t>
      </w:r>
      <w:r w:rsidR="00036405">
        <w:rPr>
          <w:noProof/>
        </w:rPr>
        <w:t>7</w:t>
      </w:r>
      <w:r w:rsidR="00036405">
        <w:t>.</w:t>
      </w:r>
      <w:r w:rsidR="00036405">
        <w:rPr>
          <w:noProof/>
        </w:rPr>
        <w:t>2</w:t>
      </w:r>
      <w:r>
        <w:fldChar w:fldCharType="end"/>
      </w:r>
      <w:r>
        <w:t xml:space="preserve"> </w:t>
      </w:r>
      <w:r w:rsidR="005A393D">
        <w:t>sets out the feedback that s</w:t>
      </w:r>
      <w:r w:rsidR="00C9489D">
        <w:t xml:space="preserve">takeholders </w:t>
      </w:r>
      <w:r w:rsidR="005A393D">
        <w:t xml:space="preserve">provided on these potential problems. </w:t>
      </w:r>
    </w:p>
    <w:p w14:paraId="72068D44" w14:textId="71027B61" w:rsidR="00FB44FF" w:rsidRDefault="00FB44FF" w:rsidP="00FB44FF">
      <w:pPr>
        <w:pStyle w:val="BodyText"/>
        <w:spacing w:line="252" w:lineRule="auto"/>
      </w:pPr>
      <w:r>
        <w:t xml:space="preserve">As this table shows, the majority of stakeholders that </w:t>
      </w:r>
      <w:r w:rsidR="000D6227">
        <w:t xml:space="preserve">commented on the potential </w:t>
      </w:r>
      <w:r w:rsidR="007C3DCB">
        <w:t xml:space="preserve">problems </w:t>
      </w:r>
      <w:r>
        <w:t xml:space="preserve">agreed that differences in the negotiation frameworks, the credibility of the threat of arbitration by smaller shippers, and elements of the </w:t>
      </w:r>
      <w:r w:rsidR="000F0E3B">
        <w:t xml:space="preserve">scheme pipeline </w:t>
      </w:r>
      <w:r>
        <w:t xml:space="preserve">dispute resolution mechanism constitute a problem with the current regulatory framework. There was, however, some division </w:t>
      </w:r>
      <w:r w:rsidR="00D741D5">
        <w:t>amongst</w:t>
      </w:r>
      <w:r>
        <w:t xml:space="preserve"> stakeholders, with </w:t>
      </w:r>
      <w:r w:rsidRPr="008E3DAC">
        <w:t xml:space="preserve">the ACCC, user </w:t>
      </w:r>
      <w:r>
        <w:t>associations</w:t>
      </w:r>
      <w:r w:rsidRPr="008E3DAC">
        <w:t xml:space="preserve"> and some producers agreeing they constitute problems, while </w:t>
      </w:r>
      <w:r>
        <w:t xml:space="preserve">a number of service providers </w:t>
      </w:r>
      <w:r w:rsidRPr="008E3DAC">
        <w:t xml:space="preserve">either did not agree that they </w:t>
      </w:r>
      <w:r>
        <w:t>were</w:t>
      </w:r>
      <w:r w:rsidRPr="008E3DAC">
        <w:t xml:space="preserve"> problem</w:t>
      </w:r>
      <w:r w:rsidR="00495721">
        <w:t>s</w:t>
      </w:r>
      <w:r w:rsidRPr="008E3DAC">
        <w:t>, or did not think they were significant problems</w:t>
      </w:r>
      <w:r>
        <w:t xml:space="preserve">. Some of these service providers did, however, </w:t>
      </w:r>
      <w:r w:rsidRPr="008E3DAC">
        <w:t>support a number of the proposed solutions to these</w:t>
      </w:r>
      <w:r w:rsidR="0084576B">
        <w:t xml:space="preserve"> </w:t>
      </w:r>
      <w:r w:rsidRPr="008E3DAC">
        <w:t>problems</w:t>
      </w:r>
      <w:r w:rsidR="00D741D5">
        <w:t xml:space="preserve"> (see </w:t>
      </w:r>
      <w:r w:rsidR="00D741D5">
        <w:fldChar w:fldCharType="begin" w:fldLock="1"/>
      </w:r>
      <w:r w:rsidR="00D741D5">
        <w:instrText xml:space="preserve"> REF _Ref52943655 \h </w:instrText>
      </w:r>
      <w:r w:rsidR="00D741D5">
        <w:fldChar w:fldCharType="separate"/>
      </w:r>
      <w:r w:rsidR="00036405">
        <w:t xml:space="preserve">Table </w:t>
      </w:r>
      <w:r w:rsidR="00036405">
        <w:rPr>
          <w:noProof/>
        </w:rPr>
        <w:t>7</w:t>
      </w:r>
      <w:r w:rsidR="00036405">
        <w:t>.</w:t>
      </w:r>
      <w:r w:rsidR="00036405">
        <w:rPr>
          <w:noProof/>
        </w:rPr>
        <w:t>4</w:t>
      </w:r>
      <w:r w:rsidR="00D741D5">
        <w:fldChar w:fldCharType="end"/>
      </w:r>
      <w:r w:rsidR="00D741D5">
        <w:t>)</w:t>
      </w:r>
      <w:r w:rsidRPr="008E3DAC">
        <w:t>.</w:t>
      </w:r>
    </w:p>
    <w:p w14:paraId="00665C0C" w14:textId="77777777" w:rsidR="00396B28" w:rsidRDefault="00031431" w:rsidP="00F414CF">
      <w:pPr>
        <w:pStyle w:val="BodyText"/>
        <w:rPr>
          <w:szCs w:val="17"/>
          <w:lang w:eastAsia="fr-CA"/>
        </w:rPr>
      </w:pPr>
      <w:r>
        <w:t xml:space="preserve">In addition to the three potential problems </w:t>
      </w:r>
      <w:r w:rsidR="00396B28">
        <w:t>listed above</w:t>
      </w:r>
      <w:r>
        <w:t xml:space="preserve">, </w:t>
      </w:r>
      <w:r w:rsidR="00826D12">
        <w:t xml:space="preserve">a number of stakeholders </w:t>
      </w:r>
      <w:r>
        <w:t xml:space="preserve">expressed concerns about </w:t>
      </w:r>
      <w:r w:rsidR="00533175">
        <w:t xml:space="preserve">the </w:t>
      </w:r>
      <w:r w:rsidR="004F6C4A">
        <w:t xml:space="preserve">non-scheme pipeline dispute resolution mechanism and, in particular, the Part 23 </w:t>
      </w:r>
      <w:r w:rsidR="00533175">
        <w:t>pricing principles</w:t>
      </w:r>
      <w:r w:rsidR="004F6C4A">
        <w:t>,</w:t>
      </w:r>
      <w:r w:rsidR="00533175">
        <w:t xml:space="preserve"> </w:t>
      </w:r>
      <w:r w:rsidR="0014733C">
        <w:t xml:space="preserve">and suggested more prescription </w:t>
      </w:r>
      <w:r w:rsidR="00F414CF">
        <w:t xml:space="preserve">was required </w:t>
      </w:r>
      <w:r w:rsidR="00F414CF">
        <w:rPr>
          <w:szCs w:val="17"/>
          <w:lang w:eastAsia="fr-CA"/>
        </w:rPr>
        <w:t>to</w:t>
      </w:r>
      <w:r w:rsidR="00F414CF" w:rsidRPr="00BB02B0">
        <w:rPr>
          <w:szCs w:val="17"/>
          <w:lang w:eastAsia="fr-CA"/>
        </w:rPr>
        <w:t xml:space="preserve"> reduce the </w:t>
      </w:r>
      <w:r w:rsidR="00F414CF">
        <w:rPr>
          <w:szCs w:val="17"/>
          <w:lang w:eastAsia="fr-CA"/>
        </w:rPr>
        <w:t xml:space="preserve">degree of </w:t>
      </w:r>
      <w:r w:rsidR="00F414CF" w:rsidRPr="00BB02B0">
        <w:rPr>
          <w:szCs w:val="17"/>
          <w:lang w:eastAsia="fr-CA"/>
        </w:rPr>
        <w:t xml:space="preserve">information and </w:t>
      </w:r>
      <w:r w:rsidR="00396B28">
        <w:rPr>
          <w:szCs w:val="17"/>
          <w:lang w:eastAsia="fr-CA"/>
        </w:rPr>
        <w:t>the imbalance of bargaining power</w:t>
      </w:r>
      <w:r w:rsidR="00F414CF" w:rsidRPr="00BB02B0">
        <w:rPr>
          <w:szCs w:val="17"/>
          <w:lang w:eastAsia="fr-CA"/>
        </w:rPr>
        <w:t xml:space="preserve"> </w:t>
      </w:r>
      <w:r w:rsidR="00F414CF">
        <w:rPr>
          <w:szCs w:val="17"/>
          <w:lang w:eastAsia="fr-CA"/>
        </w:rPr>
        <w:t>faced by shippers</w:t>
      </w:r>
      <w:r w:rsidR="00F414CF" w:rsidRPr="00BB02B0">
        <w:rPr>
          <w:szCs w:val="17"/>
          <w:lang w:eastAsia="fr-CA"/>
        </w:rPr>
        <w:t xml:space="preserve">. </w:t>
      </w:r>
      <w:r w:rsidR="00F414CF">
        <w:rPr>
          <w:szCs w:val="17"/>
          <w:lang w:eastAsia="fr-CA"/>
        </w:rPr>
        <w:t xml:space="preserve">Other stakeholders, on the other hand, either thought </w:t>
      </w:r>
      <w:r w:rsidR="00396B28">
        <w:rPr>
          <w:szCs w:val="17"/>
          <w:lang w:eastAsia="fr-CA"/>
        </w:rPr>
        <w:t xml:space="preserve">non-scheme pipeline dispute resolution mechanism was </w:t>
      </w:r>
      <w:r w:rsidR="00F414CF">
        <w:rPr>
          <w:szCs w:val="17"/>
          <w:lang w:eastAsia="fr-CA"/>
        </w:rPr>
        <w:t xml:space="preserve">working as intended, or did not raise this as an issue. </w:t>
      </w:r>
    </w:p>
    <w:p w14:paraId="71E5F307" w14:textId="77777777" w:rsidR="00C9489D" w:rsidRDefault="00C9489D" w:rsidP="00C9489D">
      <w:pPr>
        <w:pStyle w:val="BodyText"/>
      </w:pPr>
    </w:p>
    <w:p w14:paraId="1DA93601" w14:textId="77777777" w:rsidR="00C9489D" w:rsidRDefault="00C9489D" w:rsidP="00C9489D">
      <w:pPr>
        <w:pStyle w:val="BodyText"/>
        <w:sectPr w:rsidR="00C9489D" w:rsidSect="00795317">
          <w:headerReference w:type="default" r:id="rId60"/>
          <w:footerReference w:type="default" r:id="rId61"/>
          <w:pgSz w:w="11907" w:h="16839" w:code="9"/>
          <w:pgMar w:top="1361" w:right="1418" w:bottom="992" w:left="1701" w:header="567" w:footer="397" w:gutter="0"/>
          <w:cols w:space="708"/>
          <w:docGrid w:linePitch="360"/>
        </w:sectPr>
      </w:pPr>
    </w:p>
    <w:p w14:paraId="7F8979C9" w14:textId="57451EFB" w:rsidR="00C9489D" w:rsidRDefault="00C9489D" w:rsidP="00C9489D">
      <w:pPr>
        <w:pStyle w:val="Caption"/>
        <w:spacing w:before="0" w:after="0"/>
      </w:pPr>
      <w:bookmarkStart w:id="157" w:name="_Ref52939767"/>
      <w:r>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7</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2</w:t>
      </w:r>
      <w:r w:rsidR="00F323B2">
        <w:rPr>
          <w:noProof/>
        </w:rPr>
        <w:fldChar w:fldCharType="end"/>
      </w:r>
      <w:bookmarkEnd w:id="157"/>
      <w:r>
        <w:t>: Potential problems identified in the CRIS and stakeholder feedback on the problems</w:t>
      </w:r>
    </w:p>
    <w:tbl>
      <w:tblPr>
        <w:tblStyle w:val="TableGrid"/>
        <w:tblW w:w="5000" w:type="pct"/>
        <w:tblLayout w:type="fixed"/>
        <w:tblLook w:val="0420" w:firstRow="1" w:lastRow="0" w:firstColumn="0" w:lastColumn="0" w:noHBand="0" w:noVBand="1"/>
      </w:tblPr>
      <w:tblGrid>
        <w:gridCol w:w="544"/>
        <w:gridCol w:w="949"/>
        <w:gridCol w:w="12227"/>
      </w:tblGrid>
      <w:tr w:rsidR="00C9489D" w:rsidRPr="000533E9" w14:paraId="45CD20D7" w14:textId="77777777" w:rsidTr="00814906">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3"/>
            <w:tcBorders>
              <w:bottom w:val="single" w:sz="4" w:space="0" w:color="auto"/>
            </w:tcBorders>
            <w:shd w:val="clear" w:color="auto" w:fill="002060"/>
          </w:tcPr>
          <w:p w14:paraId="5812016A" w14:textId="77777777" w:rsidR="00C9489D" w:rsidRPr="000533E9" w:rsidRDefault="00C9489D" w:rsidP="00FB38B5">
            <w:pPr>
              <w:pStyle w:val="TableHeading"/>
              <w:spacing w:before="20" w:after="20" w:line="240" w:lineRule="auto"/>
              <w:rPr>
                <w:rFonts w:asciiTheme="majorHAnsi" w:hAnsiTheme="majorHAnsi" w:cstheme="majorHAnsi"/>
                <w:sz w:val="17"/>
                <w:szCs w:val="17"/>
                <w:lang w:eastAsia="fr-CA"/>
              </w:rPr>
            </w:pPr>
            <w:r w:rsidRPr="000533E9">
              <w:rPr>
                <w:rFonts w:asciiTheme="majorHAnsi" w:hAnsiTheme="majorHAnsi" w:cstheme="majorHAnsi"/>
                <w:sz w:val="17"/>
                <w:szCs w:val="17"/>
                <w:lang w:eastAsia="fr-CA"/>
              </w:rPr>
              <w:t>Detail</w:t>
            </w:r>
          </w:p>
        </w:tc>
      </w:tr>
      <w:tr w:rsidR="00150732" w:rsidRPr="000533E9" w14:paraId="497C85D2" w14:textId="77777777" w:rsidTr="00814906">
        <w:trPr>
          <w:cantSplit/>
        </w:trPr>
        <w:tc>
          <w:tcPr>
            <w:tcW w:w="5000" w:type="pct"/>
            <w:gridSpan w:val="3"/>
            <w:tcBorders>
              <w:bottom w:val="single" w:sz="4" w:space="0" w:color="auto"/>
            </w:tcBorders>
            <w:shd w:val="clear" w:color="auto" w:fill="65697F" w:themeFill="background2" w:themeFillShade="80"/>
          </w:tcPr>
          <w:p w14:paraId="6971B012" w14:textId="77777777" w:rsidR="00C9489D" w:rsidRPr="000533E9" w:rsidRDefault="005E4A4D" w:rsidP="00FB38B5">
            <w:pPr>
              <w:pStyle w:val="TableBodyText"/>
              <w:spacing w:before="20" w:after="20" w:line="240" w:lineRule="auto"/>
              <w:jc w:val="center"/>
              <w:rPr>
                <w:rFonts w:asciiTheme="majorHAnsi" w:hAnsiTheme="majorHAnsi" w:cstheme="majorHAnsi"/>
                <w:b/>
                <w:bCs/>
                <w:color w:val="FFFFFF" w:themeColor="background1"/>
                <w:sz w:val="17"/>
                <w:szCs w:val="17"/>
              </w:rPr>
            </w:pPr>
            <w:r w:rsidRPr="000533E9">
              <w:rPr>
                <w:rFonts w:asciiTheme="majorHAnsi" w:hAnsiTheme="majorHAnsi" w:cstheme="majorHAnsi"/>
                <w:b/>
                <w:bCs/>
                <w:color w:val="FFFFFF" w:themeColor="background1"/>
                <w:sz w:val="17"/>
                <w:szCs w:val="17"/>
              </w:rPr>
              <w:t>Differences in negotiation frameworks</w:t>
            </w:r>
          </w:p>
        </w:tc>
      </w:tr>
      <w:tr w:rsidR="00C9489D" w:rsidRPr="000533E9" w14:paraId="4CCAE162" w14:textId="77777777" w:rsidTr="00814906">
        <w:trPr>
          <w:cnfStyle w:val="000000010000" w:firstRow="0" w:lastRow="0" w:firstColumn="0" w:lastColumn="0" w:oddVBand="0" w:evenVBand="0" w:oddHBand="0" w:evenHBand="1" w:firstRowFirstColumn="0" w:firstRowLastColumn="0" w:lastRowFirstColumn="0" w:lastRowLastColumn="0"/>
          <w:cantSplit/>
        </w:trPr>
        <w:tc>
          <w:tcPr>
            <w:tcW w:w="544" w:type="pct"/>
            <w:gridSpan w:val="2"/>
            <w:shd w:val="clear" w:color="auto" w:fill="FFFFFF" w:themeFill="background1"/>
          </w:tcPr>
          <w:p w14:paraId="4926969D" w14:textId="77777777" w:rsidR="00C9489D" w:rsidRPr="000533E9" w:rsidRDefault="00C9489D" w:rsidP="00FB38B5">
            <w:pPr>
              <w:pStyle w:val="TableBodyText"/>
              <w:spacing w:before="20" w:after="40" w:line="240" w:lineRule="auto"/>
              <w:rPr>
                <w:rFonts w:asciiTheme="majorHAnsi" w:hAnsiTheme="majorHAnsi" w:cstheme="majorHAnsi"/>
                <w:sz w:val="17"/>
                <w:szCs w:val="17"/>
              </w:rPr>
            </w:pPr>
            <w:r w:rsidRPr="000533E9">
              <w:rPr>
                <w:rFonts w:asciiTheme="majorHAnsi" w:hAnsiTheme="majorHAnsi" w:cstheme="majorHAnsi"/>
                <w:sz w:val="17"/>
                <w:szCs w:val="17"/>
              </w:rPr>
              <w:t>Description of potential problem</w:t>
            </w:r>
          </w:p>
        </w:tc>
        <w:tc>
          <w:tcPr>
            <w:tcW w:w="4456" w:type="pct"/>
            <w:shd w:val="clear" w:color="auto" w:fill="FFFFFF" w:themeFill="background1"/>
          </w:tcPr>
          <w:p w14:paraId="686CF041" w14:textId="77777777" w:rsidR="00C336A8" w:rsidRPr="000533E9" w:rsidRDefault="009F53F3" w:rsidP="00FB38B5">
            <w:pPr>
              <w:pStyle w:val="BodyText"/>
              <w:spacing w:before="20" w:after="40" w:line="240" w:lineRule="auto"/>
              <w:rPr>
                <w:sz w:val="17"/>
                <w:szCs w:val="17"/>
              </w:rPr>
            </w:pPr>
            <w:r w:rsidRPr="000533E9">
              <w:rPr>
                <w:sz w:val="17"/>
                <w:szCs w:val="17"/>
              </w:rPr>
              <w:t>As noted above, w</w:t>
            </w:r>
            <w:r w:rsidR="00C336A8" w:rsidRPr="000533E9">
              <w:rPr>
                <w:sz w:val="17"/>
                <w:szCs w:val="17"/>
              </w:rPr>
              <w:t>hile improvements have been made</w:t>
            </w:r>
            <w:r w:rsidR="00252851" w:rsidRPr="000533E9">
              <w:rPr>
                <w:sz w:val="17"/>
                <w:szCs w:val="17"/>
              </w:rPr>
              <w:t xml:space="preserve"> to the negotiat</w:t>
            </w:r>
            <w:r w:rsidR="005F381F" w:rsidRPr="000533E9">
              <w:rPr>
                <w:sz w:val="17"/>
                <w:szCs w:val="17"/>
              </w:rPr>
              <w:t>ion</w:t>
            </w:r>
            <w:r w:rsidR="00252851" w:rsidRPr="000533E9">
              <w:rPr>
                <w:sz w:val="17"/>
                <w:szCs w:val="17"/>
              </w:rPr>
              <w:t xml:space="preserve"> frameworks applying to scheme and non-scheme pipelines</w:t>
            </w:r>
            <w:r w:rsidR="00C336A8" w:rsidRPr="000533E9">
              <w:rPr>
                <w:sz w:val="17"/>
                <w:szCs w:val="17"/>
              </w:rPr>
              <w:t>, there is a concern that differences that currently exist between the two negotiation frameworks could cause confusion, impose unnecessary costs on the negotiating parties and/or hinder the ability of shippers to engage in effective negotiations.</w:t>
            </w:r>
            <w:r w:rsidR="00E75062" w:rsidRPr="000533E9">
              <w:rPr>
                <w:sz w:val="17"/>
                <w:szCs w:val="17"/>
              </w:rPr>
              <w:t xml:space="preserve"> </w:t>
            </w:r>
            <w:r w:rsidR="00FE23F8" w:rsidRPr="000533E9">
              <w:rPr>
                <w:sz w:val="17"/>
                <w:szCs w:val="17"/>
              </w:rPr>
              <w:t xml:space="preserve">The more </w:t>
            </w:r>
            <w:r w:rsidR="00C336A8" w:rsidRPr="000533E9">
              <w:rPr>
                <w:sz w:val="17"/>
                <w:szCs w:val="17"/>
              </w:rPr>
              <w:t xml:space="preserve">notable differences </w:t>
            </w:r>
            <w:r w:rsidR="00FE23F8" w:rsidRPr="000533E9">
              <w:rPr>
                <w:sz w:val="17"/>
                <w:szCs w:val="17"/>
              </w:rPr>
              <w:t>are</w:t>
            </w:r>
            <w:r w:rsidR="00C336A8" w:rsidRPr="000533E9">
              <w:rPr>
                <w:sz w:val="17"/>
                <w:szCs w:val="17"/>
              </w:rPr>
              <w:t>:</w:t>
            </w:r>
            <w:r w:rsidR="00E75062" w:rsidRPr="000533E9">
              <w:rPr>
                <w:sz w:val="17"/>
                <w:szCs w:val="17"/>
              </w:rPr>
              <w:t xml:space="preserve"> </w:t>
            </w:r>
            <w:r w:rsidR="00C336A8" w:rsidRPr="000533E9">
              <w:rPr>
                <w:sz w:val="17"/>
                <w:szCs w:val="17"/>
              </w:rPr>
              <w:t>the obligation to publish a user access guide;</w:t>
            </w:r>
            <w:r w:rsidR="00E75062" w:rsidRPr="000533E9">
              <w:rPr>
                <w:sz w:val="17"/>
                <w:szCs w:val="17"/>
              </w:rPr>
              <w:t xml:space="preserve"> </w:t>
            </w:r>
            <w:r w:rsidR="00C336A8" w:rsidRPr="000533E9">
              <w:rPr>
                <w:sz w:val="17"/>
                <w:szCs w:val="17"/>
              </w:rPr>
              <w:t>the access request and offer process and, in particular, the number of business days that service providers have to respond to access requests</w:t>
            </w:r>
            <w:r w:rsidR="00E75062" w:rsidRPr="000533E9">
              <w:rPr>
                <w:sz w:val="17"/>
                <w:szCs w:val="17"/>
              </w:rPr>
              <w:t xml:space="preserve">; </w:t>
            </w:r>
            <w:r w:rsidR="00C336A8" w:rsidRPr="000533E9">
              <w:rPr>
                <w:sz w:val="17"/>
                <w:szCs w:val="17"/>
              </w:rPr>
              <w:t>the way in which the negotiation timetable is established</w:t>
            </w:r>
            <w:r w:rsidR="00AC1094" w:rsidRPr="000533E9">
              <w:rPr>
                <w:sz w:val="17"/>
                <w:szCs w:val="17"/>
              </w:rPr>
              <w:t>,</w:t>
            </w:r>
            <w:r w:rsidR="00C336A8" w:rsidRPr="000533E9">
              <w:rPr>
                <w:sz w:val="17"/>
                <w:szCs w:val="17"/>
              </w:rPr>
              <w:t xml:space="preserve"> the manner in which negotiations are to be conducted and concluded; and</w:t>
            </w:r>
            <w:r w:rsidR="00E75062" w:rsidRPr="000533E9">
              <w:rPr>
                <w:sz w:val="17"/>
                <w:szCs w:val="17"/>
              </w:rPr>
              <w:t xml:space="preserve"> </w:t>
            </w:r>
            <w:r w:rsidR="00C336A8" w:rsidRPr="000533E9">
              <w:rPr>
                <w:sz w:val="17"/>
                <w:szCs w:val="17"/>
              </w:rPr>
              <w:t xml:space="preserve">the ability of shippers to seek additional information during negotiations. </w:t>
            </w:r>
          </w:p>
          <w:p w14:paraId="3649EB0B" w14:textId="2664986F" w:rsidR="00C9489D" w:rsidRPr="000533E9" w:rsidRDefault="00C336A8" w:rsidP="00FB38B5">
            <w:pPr>
              <w:pStyle w:val="BodyText"/>
              <w:spacing w:before="20" w:after="40" w:line="240" w:lineRule="auto"/>
              <w:rPr>
                <w:sz w:val="17"/>
                <w:szCs w:val="17"/>
              </w:rPr>
            </w:pPr>
            <w:r w:rsidRPr="000533E9">
              <w:rPr>
                <w:sz w:val="17"/>
                <w:szCs w:val="17"/>
              </w:rPr>
              <w:t>Another potential problem the ACCC has identified with the Part 23 negotiation framework is that shippers’ requests are often treated as ‘preliminary enquiries’, rather than access requests</w:t>
            </w:r>
            <w:r w:rsidR="000C6BEC" w:rsidRPr="000533E9">
              <w:rPr>
                <w:sz w:val="17"/>
                <w:szCs w:val="17"/>
              </w:rPr>
              <w:t>,</w:t>
            </w:r>
            <w:r w:rsidR="00370905">
              <w:rPr>
                <w:rFonts w:ascii="ZWAdobeF" w:hAnsi="ZWAdobeF" w:cs="ZWAdobeF"/>
                <w:sz w:val="2"/>
                <w:szCs w:val="2"/>
              </w:rPr>
              <w:t>159F</w:t>
            </w:r>
            <w:r w:rsidRPr="000533E9">
              <w:rPr>
                <w:rStyle w:val="FootnoteReference"/>
                <w:sz w:val="17"/>
                <w:szCs w:val="17"/>
              </w:rPr>
              <w:footnoteReference w:id="161"/>
            </w:r>
            <w:r w:rsidRPr="000533E9">
              <w:rPr>
                <w:sz w:val="17"/>
                <w:szCs w:val="17"/>
              </w:rPr>
              <w:t xml:space="preserve"> </w:t>
            </w:r>
            <w:r w:rsidR="000C6BEC" w:rsidRPr="000533E9">
              <w:rPr>
                <w:sz w:val="17"/>
                <w:szCs w:val="17"/>
              </w:rPr>
              <w:t xml:space="preserve">and, as a consequence, </w:t>
            </w:r>
            <w:r w:rsidRPr="000533E9">
              <w:rPr>
                <w:sz w:val="17"/>
                <w:szCs w:val="17"/>
              </w:rPr>
              <w:t xml:space="preserve">service providers </w:t>
            </w:r>
            <w:r w:rsidR="000C6BEC" w:rsidRPr="000533E9">
              <w:rPr>
                <w:sz w:val="17"/>
                <w:szCs w:val="17"/>
              </w:rPr>
              <w:t xml:space="preserve">are not subject to the </w:t>
            </w:r>
            <w:r w:rsidRPr="000533E9">
              <w:rPr>
                <w:sz w:val="17"/>
                <w:szCs w:val="17"/>
              </w:rPr>
              <w:t xml:space="preserve">rules in Part 23 that set out how they are to respond to access requests (including response times). </w:t>
            </w:r>
            <w:r w:rsidR="002378A8" w:rsidRPr="000533E9">
              <w:rPr>
                <w:sz w:val="17"/>
                <w:szCs w:val="17"/>
              </w:rPr>
              <w:t xml:space="preserve">The treatment of requests as preliminary enquiries </w:t>
            </w:r>
            <w:r w:rsidRPr="000533E9">
              <w:rPr>
                <w:sz w:val="17"/>
                <w:szCs w:val="17"/>
              </w:rPr>
              <w:t>can also delay a shipper’s access to arbitration if negotiations fail</w:t>
            </w:r>
            <w:r w:rsidR="002378A8" w:rsidRPr="000533E9">
              <w:rPr>
                <w:sz w:val="17"/>
                <w:szCs w:val="17"/>
              </w:rPr>
              <w:t xml:space="preserve">, because </w:t>
            </w:r>
            <w:r w:rsidRPr="000533E9">
              <w:rPr>
                <w:sz w:val="17"/>
                <w:szCs w:val="17"/>
              </w:rPr>
              <w:t>to trigger a dispute under Part 23, a formal access request must be made and the parties must have gone through the negotiation process in Part 23.</w:t>
            </w:r>
          </w:p>
        </w:tc>
      </w:tr>
      <w:tr w:rsidR="00B45F88" w:rsidRPr="000533E9" w14:paraId="28B8F01B" w14:textId="77777777" w:rsidTr="00814906">
        <w:trPr>
          <w:cantSplit/>
        </w:trPr>
        <w:tc>
          <w:tcPr>
            <w:tcW w:w="198" w:type="pct"/>
            <w:vMerge w:val="restart"/>
            <w:tcBorders>
              <w:top w:val="nil"/>
              <w:bottom w:val="nil"/>
              <w:right w:val="single" w:sz="4" w:space="0" w:color="auto"/>
            </w:tcBorders>
            <w:shd w:val="clear" w:color="auto" w:fill="FFFFFF" w:themeFill="background1"/>
            <w:textDirection w:val="btLr"/>
          </w:tcPr>
          <w:p w14:paraId="1E354505" w14:textId="77777777" w:rsidR="00B45F88" w:rsidRPr="000533E9" w:rsidRDefault="00B45F88" w:rsidP="00FB38B5">
            <w:pPr>
              <w:pStyle w:val="TableBodyText"/>
              <w:spacing w:before="20" w:after="20" w:line="240" w:lineRule="auto"/>
              <w:jc w:val="center"/>
              <w:rPr>
                <w:rFonts w:asciiTheme="majorHAnsi" w:hAnsiTheme="majorHAnsi" w:cstheme="majorHAnsi"/>
                <w:sz w:val="17"/>
                <w:szCs w:val="17"/>
              </w:rPr>
            </w:pPr>
            <w:r w:rsidRPr="000533E9">
              <w:rPr>
                <w:rFonts w:asciiTheme="majorHAnsi" w:hAnsiTheme="majorHAnsi" w:cstheme="majorHAnsi"/>
                <w:sz w:val="17"/>
                <w:szCs w:val="17"/>
              </w:rPr>
              <w:t>Stakeholder feedback</w:t>
            </w:r>
          </w:p>
        </w:tc>
        <w:tc>
          <w:tcPr>
            <w:tcW w:w="346" w:type="pct"/>
            <w:tcBorders>
              <w:left w:val="single" w:sz="4" w:space="0" w:color="auto"/>
              <w:bottom w:val="single" w:sz="4" w:space="0" w:color="auto"/>
            </w:tcBorders>
            <w:shd w:val="clear" w:color="auto" w:fill="BFF9D6"/>
          </w:tcPr>
          <w:p w14:paraId="7CA5912D" w14:textId="77777777" w:rsidR="00B45F88" w:rsidRPr="000533E9" w:rsidRDefault="00B45F88" w:rsidP="00FB38B5">
            <w:pPr>
              <w:pStyle w:val="TableBodyText"/>
              <w:spacing w:before="20" w:after="20" w:line="240" w:lineRule="auto"/>
              <w:rPr>
                <w:rFonts w:asciiTheme="majorHAnsi" w:hAnsiTheme="majorHAnsi" w:cstheme="majorHAnsi"/>
                <w:sz w:val="17"/>
                <w:szCs w:val="17"/>
              </w:rPr>
            </w:pPr>
            <w:r w:rsidRPr="000533E9">
              <w:rPr>
                <w:rFonts w:asciiTheme="majorHAnsi" w:hAnsiTheme="majorHAnsi" w:cstheme="majorHAnsi"/>
                <w:sz w:val="17"/>
                <w:szCs w:val="17"/>
              </w:rPr>
              <w:t>Agree</w:t>
            </w:r>
          </w:p>
        </w:tc>
        <w:tc>
          <w:tcPr>
            <w:tcW w:w="4456" w:type="pct"/>
            <w:tcBorders>
              <w:bottom w:val="single" w:sz="4" w:space="0" w:color="auto"/>
            </w:tcBorders>
            <w:shd w:val="clear" w:color="auto" w:fill="BFF9D6"/>
          </w:tcPr>
          <w:p w14:paraId="76BF6CAC" w14:textId="77777777" w:rsidR="00B45F88" w:rsidRPr="000533E9" w:rsidRDefault="00B45F88" w:rsidP="00FB38B5">
            <w:pPr>
              <w:pStyle w:val="TableBullet10"/>
              <w:spacing w:before="20" w:after="20" w:line="240" w:lineRule="auto"/>
              <w:rPr>
                <w:rFonts w:asciiTheme="majorHAnsi" w:hAnsiTheme="majorHAnsi" w:cstheme="majorHAnsi"/>
                <w:sz w:val="17"/>
                <w:szCs w:val="17"/>
              </w:rPr>
            </w:pPr>
            <w:r w:rsidRPr="000533E9">
              <w:rPr>
                <w:rFonts w:asciiTheme="majorHAnsi" w:hAnsiTheme="majorHAnsi" w:cstheme="majorHAnsi"/>
                <w:sz w:val="17"/>
                <w:szCs w:val="17"/>
              </w:rPr>
              <w:t xml:space="preserve">The </w:t>
            </w:r>
            <w:r w:rsidRPr="000533E9">
              <w:rPr>
                <w:rFonts w:asciiTheme="majorHAnsi" w:hAnsiTheme="majorHAnsi" w:cstheme="majorHAnsi"/>
                <w:color w:val="FF0000"/>
                <w:sz w:val="17"/>
                <w:szCs w:val="17"/>
              </w:rPr>
              <w:t>ACCC</w:t>
            </w:r>
            <w:r w:rsidRPr="000533E9">
              <w:rPr>
                <w:rFonts w:asciiTheme="majorHAnsi" w:hAnsiTheme="majorHAnsi" w:cstheme="majorHAnsi"/>
                <w:sz w:val="17"/>
                <w:szCs w:val="17"/>
              </w:rPr>
              <w:t xml:space="preserve">, </w:t>
            </w:r>
            <w:r w:rsidRPr="000533E9">
              <w:rPr>
                <w:rFonts w:asciiTheme="majorHAnsi" w:hAnsiTheme="majorHAnsi" w:cstheme="majorHAnsi"/>
                <w:color w:val="0000FF"/>
                <w:sz w:val="17"/>
                <w:szCs w:val="17"/>
              </w:rPr>
              <w:t>EUAA, NSW BC, Chemistry Australia</w:t>
            </w:r>
            <w:r w:rsidRPr="000533E9">
              <w:rPr>
                <w:rFonts w:asciiTheme="majorHAnsi" w:hAnsiTheme="majorHAnsi" w:cstheme="majorHAnsi"/>
                <w:sz w:val="17"/>
                <w:szCs w:val="17"/>
              </w:rPr>
              <w:t xml:space="preserve">, </w:t>
            </w:r>
            <w:r w:rsidRPr="000533E9">
              <w:rPr>
                <w:rFonts w:asciiTheme="majorHAnsi" w:hAnsiTheme="majorHAnsi" w:cstheme="majorHAnsi"/>
                <w:color w:val="0000FF"/>
                <w:sz w:val="17"/>
                <w:szCs w:val="17"/>
              </w:rPr>
              <w:t xml:space="preserve">ECA, MEU, </w:t>
            </w:r>
            <w:r w:rsidRPr="000533E9">
              <w:rPr>
                <w:rFonts w:asciiTheme="majorHAnsi" w:hAnsiTheme="majorHAnsi" w:cstheme="majorHAnsi"/>
                <w:color w:val="00B0F0"/>
                <w:sz w:val="17"/>
                <w:szCs w:val="17"/>
              </w:rPr>
              <w:t>AGL</w:t>
            </w:r>
            <w:r w:rsidRPr="000533E9">
              <w:rPr>
                <w:rFonts w:asciiTheme="majorHAnsi" w:hAnsiTheme="majorHAnsi" w:cstheme="majorHAnsi"/>
                <w:color w:val="00CCFF"/>
                <w:sz w:val="17"/>
                <w:szCs w:val="17"/>
              </w:rPr>
              <w:t>,</w:t>
            </w:r>
            <w:r w:rsidRPr="000533E9">
              <w:rPr>
                <w:rFonts w:asciiTheme="majorHAnsi" w:hAnsiTheme="majorHAnsi" w:cstheme="majorHAnsi"/>
                <w:sz w:val="17"/>
                <w:szCs w:val="17"/>
              </w:rPr>
              <w:t xml:space="preserve"> </w:t>
            </w:r>
            <w:r w:rsidRPr="000533E9">
              <w:rPr>
                <w:rFonts w:asciiTheme="majorHAnsi" w:hAnsiTheme="majorHAnsi" w:cstheme="majorHAnsi"/>
                <w:color w:val="D60093"/>
                <w:sz w:val="17"/>
                <w:szCs w:val="17"/>
              </w:rPr>
              <w:t>APLNG, COPA</w:t>
            </w:r>
            <w:r w:rsidRPr="000533E9">
              <w:rPr>
                <w:rFonts w:asciiTheme="majorHAnsi" w:hAnsiTheme="majorHAnsi" w:cstheme="majorHAnsi"/>
                <w:color w:val="FF9900"/>
                <w:sz w:val="17"/>
                <w:szCs w:val="17"/>
              </w:rPr>
              <w:t>,</w:t>
            </w:r>
            <w:r w:rsidRPr="000533E9">
              <w:rPr>
                <w:rFonts w:asciiTheme="majorHAnsi" w:hAnsiTheme="majorHAnsi" w:cstheme="majorHAnsi"/>
                <w:sz w:val="17"/>
                <w:szCs w:val="17"/>
              </w:rPr>
              <w:t xml:space="preserve"> and </w:t>
            </w:r>
            <w:r w:rsidRPr="000533E9">
              <w:rPr>
                <w:rFonts w:asciiTheme="majorHAnsi" w:hAnsiTheme="majorHAnsi" w:cstheme="majorHAnsi"/>
                <w:color w:val="00B050"/>
                <w:sz w:val="17"/>
                <w:szCs w:val="17"/>
              </w:rPr>
              <w:t xml:space="preserve">Energy Matrix </w:t>
            </w:r>
            <w:r w:rsidRPr="000533E9">
              <w:rPr>
                <w:rFonts w:asciiTheme="majorHAnsi" w:hAnsiTheme="majorHAnsi" w:cstheme="majorHAnsi"/>
                <w:sz w:val="17"/>
                <w:szCs w:val="17"/>
              </w:rPr>
              <w:t xml:space="preserve">agreed that differences in </w:t>
            </w:r>
            <w:r w:rsidR="00E13AF1" w:rsidRPr="000533E9">
              <w:rPr>
                <w:rFonts w:asciiTheme="majorHAnsi" w:hAnsiTheme="majorHAnsi" w:cstheme="majorHAnsi"/>
                <w:sz w:val="17"/>
                <w:szCs w:val="17"/>
              </w:rPr>
              <w:t xml:space="preserve">the </w:t>
            </w:r>
            <w:r w:rsidRPr="000533E9">
              <w:rPr>
                <w:rFonts w:asciiTheme="majorHAnsi" w:hAnsiTheme="majorHAnsi" w:cstheme="majorHAnsi"/>
                <w:sz w:val="17"/>
                <w:szCs w:val="17"/>
              </w:rPr>
              <w:t xml:space="preserve">negotiation frameworks was a problem, with </w:t>
            </w:r>
            <w:r w:rsidRPr="000533E9">
              <w:rPr>
                <w:rFonts w:asciiTheme="majorHAnsi" w:hAnsiTheme="majorHAnsi" w:cstheme="majorHAnsi"/>
                <w:color w:val="00B050"/>
                <w:sz w:val="17"/>
                <w:szCs w:val="17"/>
              </w:rPr>
              <w:t xml:space="preserve">Energy Matrix </w:t>
            </w:r>
            <w:r w:rsidRPr="000533E9">
              <w:rPr>
                <w:rFonts w:asciiTheme="majorHAnsi" w:hAnsiTheme="majorHAnsi" w:cstheme="majorHAnsi"/>
                <w:sz w:val="17"/>
                <w:szCs w:val="17"/>
              </w:rPr>
              <w:t xml:space="preserve">noting this is a fundamental issue and </w:t>
            </w:r>
            <w:r w:rsidRPr="000533E9">
              <w:rPr>
                <w:rFonts w:asciiTheme="majorHAnsi" w:hAnsiTheme="majorHAnsi" w:cstheme="majorHAnsi"/>
                <w:color w:val="D60093"/>
                <w:sz w:val="17"/>
                <w:szCs w:val="17"/>
              </w:rPr>
              <w:t xml:space="preserve">APLNG </w:t>
            </w:r>
            <w:r w:rsidRPr="000533E9">
              <w:rPr>
                <w:rFonts w:asciiTheme="majorHAnsi" w:hAnsiTheme="majorHAnsi" w:cstheme="majorHAnsi"/>
                <w:sz w:val="17"/>
                <w:szCs w:val="17"/>
              </w:rPr>
              <w:t>noting it is contributing to confusion and inefficiencies.</w:t>
            </w:r>
          </w:p>
        </w:tc>
      </w:tr>
      <w:tr w:rsidR="00B45F88" w:rsidRPr="000533E9" w14:paraId="55CCCF84" w14:textId="77777777" w:rsidTr="00814906">
        <w:trPr>
          <w:cnfStyle w:val="000000010000" w:firstRow="0" w:lastRow="0" w:firstColumn="0" w:lastColumn="0" w:oddVBand="0" w:evenVBand="0" w:oddHBand="0" w:evenHBand="1" w:firstRowFirstColumn="0" w:firstRowLastColumn="0" w:lastRowFirstColumn="0" w:lastRowLastColumn="0"/>
          <w:cantSplit/>
        </w:trPr>
        <w:tc>
          <w:tcPr>
            <w:tcW w:w="198" w:type="pct"/>
            <w:vMerge/>
            <w:tcBorders>
              <w:top w:val="nil"/>
              <w:bottom w:val="nil"/>
              <w:right w:val="single" w:sz="4" w:space="0" w:color="auto"/>
            </w:tcBorders>
            <w:shd w:val="clear" w:color="auto" w:fill="FFFFFF" w:themeFill="background1"/>
          </w:tcPr>
          <w:p w14:paraId="59E00BC1" w14:textId="77777777" w:rsidR="00B45F88" w:rsidRPr="000533E9" w:rsidRDefault="00B45F88" w:rsidP="00FB38B5">
            <w:pPr>
              <w:pStyle w:val="TableBodyText"/>
              <w:spacing w:before="20" w:after="20" w:line="240" w:lineRule="auto"/>
              <w:rPr>
                <w:rFonts w:asciiTheme="majorHAnsi" w:hAnsiTheme="majorHAnsi" w:cstheme="majorHAnsi"/>
                <w:sz w:val="17"/>
                <w:szCs w:val="17"/>
              </w:rPr>
            </w:pPr>
          </w:p>
        </w:tc>
        <w:tc>
          <w:tcPr>
            <w:tcW w:w="346" w:type="pct"/>
            <w:tcBorders>
              <w:left w:val="single" w:sz="4" w:space="0" w:color="auto"/>
              <w:bottom w:val="single" w:sz="4" w:space="0" w:color="auto"/>
            </w:tcBorders>
            <w:shd w:val="clear" w:color="auto" w:fill="FFD9DC"/>
          </w:tcPr>
          <w:p w14:paraId="032FE40D" w14:textId="77777777" w:rsidR="00B45F88" w:rsidRPr="000533E9" w:rsidRDefault="00B45F88" w:rsidP="00FB38B5">
            <w:pPr>
              <w:pStyle w:val="TableBodyText"/>
              <w:spacing w:before="20" w:after="20" w:line="240" w:lineRule="auto"/>
              <w:rPr>
                <w:rFonts w:asciiTheme="majorHAnsi" w:hAnsiTheme="majorHAnsi" w:cstheme="majorHAnsi"/>
                <w:sz w:val="17"/>
                <w:szCs w:val="17"/>
              </w:rPr>
            </w:pPr>
            <w:r w:rsidRPr="000533E9">
              <w:rPr>
                <w:rFonts w:asciiTheme="majorHAnsi" w:hAnsiTheme="majorHAnsi" w:cstheme="majorHAnsi"/>
                <w:sz w:val="17"/>
                <w:szCs w:val="17"/>
              </w:rPr>
              <w:t>Disagree</w:t>
            </w:r>
          </w:p>
        </w:tc>
        <w:tc>
          <w:tcPr>
            <w:tcW w:w="4456" w:type="pct"/>
            <w:tcBorders>
              <w:bottom w:val="single" w:sz="4" w:space="0" w:color="auto"/>
            </w:tcBorders>
            <w:shd w:val="clear" w:color="auto" w:fill="FFD9DC"/>
            <w:vAlign w:val="center"/>
          </w:tcPr>
          <w:p w14:paraId="5F4C80A4" w14:textId="77777777" w:rsidR="0066144E" w:rsidRPr="000533E9" w:rsidRDefault="00EA26F3" w:rsidP="00FB38B5">
            <w:pPr>
              <w:pStyle w:val="TableBullet10"/>
              <w:spacing w:before="20" w:after="20" w:line="240" w:lineRule="auto"/>
              <w:rPr>
                <w:rFonts w:asciiTheme="majorHAnsi" w:hAnsiTheme="majorHAnsi" w:cstheme="majorHAnsi"/>
                <w:sz w:val="17"/>
                <w:szCs w:val="17"/>
              </w:rPr>
            </w:pPr>
            <w:r w:rsidRPr="000533E9">
              <w:rPr>
                <w:rFonts w:asciiTheme="majorHAnsi" w:hAnsiTheme="majorHAnsi" w:cstheme="majorHAnsi"/>
                <w:color w:val="7030A0"/>
                <w:sz w:val="17"/>
                <w:szCs w:val="17"/>
              </w:rPr>
              <w:t xml:space="preserve">AGIG, </w:t>
            </w:r>
            <w:r w:rsidR="00B45F88" w:rsidRPr="000533E9">
              <w:rPr>
                <w:rFonts w:asciiTheme="majorHAnsi" w:hAnsiTheme="majorHAnsi" w:cstheme="majorHAnsi"/>
                <w:color w:val="7030A0"/>
                <w:sz w:val="17"/>
                <w:szCs w:val="17"/>
              </w:rPr>
              <w:t xml:space="preserve">APGA, Epic </w:t>
            </w:r>
            <w:r w:rsidR="00B45F88" w:rsidRPr="000533E9">
              <w:rPr>
                <w:rFonts w:asciiTheme="majorHAnsi" w:hAnsiTheme="majorHAnsi" w:cstheme="majorHAnsi"/>
                <w:sz w:val="17"/>
                <w:szCs w:val="17"/>
              </w:rPr>
              <w:t>and</w:t>
            </w:r>
            <w:r w:rsidR="00B45F88" w:rsidRPr="000533E9">
              <w:rPr>
                <w:rFonts w:asciiTheme="majorHAnsi" w:hAnsiTheme="majorHAnsi" w:cstheme="majorHAnsi"/>
                <w:color w:val="800080" w:themeColor="accent6"/>
                <w:sz w:val="17"/>
                <w:szCs w:val="17"/>
              </w:rPr>
              <w:t xml:space="preserve"> </w:t>
            </w:r>
            <w:r w:rsidR="00B45F88" w:rsidRPr="000533E9">
              <w:rPr>
                <w:rFonts w:asciiTheme="majorHAnsi" w:hAnsiTheme="majorHAnsi" w:cstheme="majorHAnsi"/>
                <w:color w:val="7030A0"/>
                <w:sz w:val="17"/>
                <w:szCs w:val="17"/>
              </w:rPr>
              <w:t xml:space="preserve">Jemena </w:t>
            </w:r>
            <w:r w:rsidR="00B45F88" w:rsidRPr="000533E9">
              <w:rPr>
                <w:rFonts w:asciiTheme="majorHAnsi" w:hAnsiTheme="majorHAnsi" w:cstheme="majorHAnsi"/>
                <w:sz w:val="17"/>
                <w:szCs w:val="17"/>
              </w:rPr>
              <w:t xml:space="preserve">either did not </w:t>
            </w:r>
            <w:r w:rsidR="00E13AF1" w:rsidRPr="000533E9">
              <w:rPr>
                <w:rFonts w:asciiTheme="majorHAnsi" w:hAnsiTheme="majorHAnsi" w:cstheme="majorHAnsi"/>
                <w:sz w:val="17"/>
                <w:szCs w:val="17"/>
              </w:rPr>
              <w:t xml:space="preserve">agree that the differences </w:t>
            </w:r>
            <w:r w:rsidR="00E5654F" w:rsidRPr="000533E9">
              <w:rPr>
                <w:rFonts w:asciiTheme="majorHAnsi" w:hAnsiTheme="majorHAnsi" w:cstheme="majorHAnsi"/>
                <w:sz w:val="17"/>
                <w:szCs w:val="17"/>
              </w:rPr>
              <w:t xml:space="preserve">in negotiation frameworks </w:t>
            </w:r>
            <w:r w:rsidR="00E13AF1" w:rsidRPr="000533E9">
              <w:rPr>
                <w:rFonts w:asciiTheme="majorHAnsi" w:hAnsiTheme="majorHAnsi" w:cstheme="majorHAnsi"/>
                <w:sz w:val="17"/>
                <w:szCs w:val="17"/>
              </w:rPr>
              <w:t xml:space="preserve">were </w:t>
            </w:r>
            <w:r w:rsidR="00B45F88" w:rsidRPr="000533E9">
              <w:rPr>
                <w:rFonts w:asciiTheme="majorHAnsi" w:hAnsiTheme="majorHAnsi" w:cstheme="majorHAnsi"/>
                <w:sz w:val="17"/>
                <w:szCs w:val="17"/>
              </w:rPr>
              <w:t xml:space="preserve">a problem, or did not think </w:t>
            </w:r>
            <w:r w:rsidR="00E5654F" w:rsidRPr="000533E9">
              <w:rPr>
                <w:rFonts w:asciiTheme="majorHAnsi" w:hAnsiTheme="majorHAnsi" w:cstheme="majorHAnsi"/>
                <w:sz w:val="17"/>
                <w:szCs w:val="17"/>
              </w:rPr>
              <w:t xml:space="preserve">they were </w:t>
            </w:r>
            <w:r w:rsidR="00B45F88" w:rsidRPr="000533E9">
              <w:rPr>
                <w:rFonts w:asciiTheme="majorHAnsi" w:hAnsiTheme="majorHAnsi" w:cstheme="majorHAnsi"/>
                <w:sz w:val="17"/>
                <w:szCs w:val="17"/>
              </w:rPr>
              <w:t xml:space="preserve">a significant problem. </w:t>
            </w:r>
            <w:r w:rsidR="00B45F88" w:rsidRPr="000533E9">
              <w:rPr>
                <w:rFonts w:asciiTheme="majorHAnsi" w:hAnsiTheme="majorHAnsi" w:cstheme="majorHAnsi"/>
                <w:color w:val="7030A0"/>
                <w:sz w:val="17"/>
                <w:szCs w:val="17"/>
              </w:rPr>
              <w:t>APA</w:t>
            </w:r>
            <w:r w:rsidR="0033527F" w:rsidRPr="000533E9">
              <w:rPr>
                <w:rFonts w:asciiTheme="majorHAnsi" w:hAnsiTheme="majorHAnsi" w:cstheme="majorHAnsi"/>
                <w:sz w:val="17"/>
                <w:szCs w:val="17"/>
              </w:rPr>
              <w:t xml:space="preserve"> </w:t>
            </w:r>
            <w:r w:rsidR="00B45F88" w:rsidRPr="000533E9">
              <w:rPr>
                <w:rFonts w:asciiTheme="majorHAnsi" w:hAnsiTheme="majorHAnsi" w:cstheme="majorHAnsi"/>
                <w:sz w:val="17"/>
                <w:szCs w:val="17"/>
              </w:rPr>
              <w:t xml:space="preserve">stated that the differences </w:t>
            </w:r>
            <w:r w:rsidR="0033527F" w:rsidRPr="000533E9">
              <w:rPr>
                <w:rFonts w:asciiTheme="majorHAnsi" w:hAnsiTheme="majorHAnsi" w:cstheme="majorHAnsi"/>
                <w:sz w:val="17"/>
                <w:szCs w:val="17"/>
              </w:rPr>
              <w:t xml:space="preserve">had </w:t>
            </w:r>
            <w:r w:rsidR="00B45F88" w:rsidRPr="000533E9">
              <w:rPr>
                <w:rFonts w:asciiTheme="majorHAnsi" w:hAnsiTheme="majorHAnsi" w:cstheme="majorHAnsi"/>
                <w:sz w:val="17"/>
                <w:szCs w:val="17"/>
              </w:rPr>
              <w:t xml:space="preserve">not imposed unnecessary costs or hindered access, but agreed there could be confusion when different frameworks apply. </w:t>
            </w:r>
          </w:p>
          <w:p w14:paraId="14EFFD15" w14:textId="20FE8ECF" w:rsidR="00B45F88" w:rsidRPr="000533E9" w:rsidRDefault="00715C71" w:rsidP="00FB38B5">
            <w:pPr>
              <w:pStyle w:val="TableBullet10"/>
              <w:spacing w:before="20" w:after="20" w:line="240" w:lineRule="auto"/>
              <w:rPr>
                <w:rFonts w:asciiTheme="majorHAnsi" w:hAnsiTheme="majorHAnsi" w:cstheme="majorHAnsi"/>
                <w:sz w:val="17"/>
                <w:szCs w:val="17"/>
              </w:rPr>
            </w:pPr>
            <w:r>
              <w:rPr>
                <w:rFonts w:asciiTheme="majorHAnsi" w:hAnsiTheme="majorHAnsi" w:cstheme="majorHAnsi"/>
                <w:sz w:val="17"/>
                <w:szCs w:val="17"/>
              </w:rPr>
              <w:t>W</w:t>
            </w:r>
            <w:r w:rsidR="0066144E" w:rsidRPr="000533E9">
              <w:rPr>
                <w:rFonts w:asciiTheme="majorHAnsi" w:hAnsiTheme="majorHAnsi" w:cstheme="majorHAnsi"/>
                <w:sz w:val="17"/>
                <w:szCs w:val="17"/>
              </w:rPr>
              <w:t xml:space="preserve">hile </w:t>
            </w:r>
            <w:r w:rsidR="0066144E" w:rsidRPr="000533E9">
              <w:rPr>
                <w:rFonts w:asciiTheme="majorHAnsi" w:hAnsiTheme="majorHAnsi" w:cstheme="majorHAnsi"/>
                <w:color w:val="7030A0"/>
                <w:sz w:val="17"/>
                <w:szCs w:val="17"/>
              </w:rPr>
              <w:t xml:space="preserve">APA </w:t>
            </w:r>
            <w:r w:rsidR="0066144E" w:rsidRPr="000533E9">
              <w:rPr>
                <w:rFonts w:asciiTheme="majorHAnsi" w:hAnsiTheme="majorHAnsi" w:cstheme="majorHAnsi"/>
                <w:sz w:val="17"/>
                <w:szCs w:val="17"/>
              </w:rPr>
              <w:t xml:space="preserve">and </w:t>
            </w:r>
            <w:r w:rsidR="0066144E" w:rsidRPr="000533E9">
              <w:rPr>
                <w:rFonts w:asciiTheme="majorHAnsi" w:hAnsiTheme="majorHAnsi" w:cstheme="majorHAnsi"/>
                <w:color w:val="7030A0"/>
                <w:sz w:val="17"/>
                <w:szCs w:val="17"/>
              </w:rPr>
              <w:t xml:space="preserve">APGA </w:t>
            </w:r>
            <w:r w:rsidR="0066144E" w:rsidRPr="000533E9">
              <w:rPr>
                <w:rFonts w:asciiTheme="majorHAnsi" w:hAnsiTheme="majorHAnsi" w:cstheme="majorHAnsi"/>
                <w:sz w:val="17"/>
                <w:szCs w:val="17"/>
              </w:rPr>
              <w:t xml:space="preserve">did not agree that this constituted a problem, or did not think this was a significant problem, they both supported the adoption of a single negotiation framework (see </w:t>
            </w:r>
            <w:r w:rsidR="00B84024" w:rsidRPr="000533E9">
              <w:rPr>
                <w:rFonts w:asciiTheme="majorHAnsi" w:hAnsiTheme="majorHAnsi" w:cstheme="majorHAnsi"/>
                <w:sz w:val="17"/>
                <w:szCs w:val="17"/>
              </w:rPr>
              <w:fldChar w:fldCharType="begin" w:fldLock="1"/>
            </w:r>
            <w:r w:rsidR="00B84024" w:rsidRPr="000533E9">
              <w:rPr>
                <w:rFonts w:asciiTheme="majorHAnsi" w:hAnsiTheme="majorHAnsi" w:cstheme="majorHAnsi"/>
                <w:sz w:val="17"/>
                <w:szCs w:val="17"/>
              </w:rPr>
              <w:instrText xml:space="preserve"> REF _Ref52943655 \h </w:instrText>
            </w:r>
            <w:r w:rsidR="00680DFD" w:rsidRPr="000533E9">
              <w:rPr>
                <w:rFonts w:asciiTheme="majorHAnsi" w:hAnsiTheme="majorHAnsi" w:cstheme="majorHAnsi"/>
                <w:sz w:val="17"/>
                <w:szCs w:val="17"/>
              </w:rPr>
              <w:instrText xml:space="preserve"> \* MERGEFORMAT </w:instrText>
            </w:r>
            <w:r w:rsidR="00B84024" w:rsidRPr="000533E9">
              <w:rPr>
                <w:rFonts w:asciiTheme="majorHAnsi" w:hAnsiTheme="majorHAnsi" w:cstheme="majorHAnsi"/>
                <w:sz w:val="17"/>
                <w:szCs w:val="17"/>
              </w:rPr>
            </w:r>
            <w:r w:rsidR="00B84024" w:rsidRPr="000533E9">
              <w:rPr>
                <w:rFonts w:asciiTheme="majorHAnsi" w:hAnsiTheme="majorHAnsi" w:cstheme="majorHAnsi"/>
                <w:sz w:val="17"/>
                <w:szCs w:val="17"/>
              </w:rPr>
              <w:fldChar w:fldCharType="separate"/>
            </w:r>
            <w:r w:rsidR="00036405" w:rsidRPr="00036405">
              <w:rPr>
                <w:sz w:val="17"/>
                <w:szCs w:val="17"/>
              </w:rPr>
              <w:t xml:space="preserve">Table </w:t>
            </w:r>
            <w:r w:rsidR="00036405" w:rsidRPr="00036405">
              <w:rPr>
                <w:noProof/>
                <w:sz w:val="17"/>
                <w:szCs w:val="17"/>
              </w:rPr>
              <w:t>7.4</w:t>
            </w:r>
            <w:r w:rsidR="00B84024" w:rsidRPr="000533E9">
              <w:rPr>
                <w:rFonts w:asciiTheme="majorHAnsi" w:hAnsiTheme="majorHAnsi" w:cstheme="majorHAnsi"/>
                <w:sz w:val="17"/>
                <w:szCs w:val="17"/>
              </w:rPr>
              <w:fldChar w:fldCharType="end"/>
            </w:r>
            <w:r w:rsidR="0066144E" w:rsidRPr="000533E9">
              <w:rPr>
                <w:rFonts w:asciiTheme="majorHAnsi" w:hAnsiTheme="majorHAnsi" w:cstheme="majorHAnsi"/>
                <w:sz w:val="17"/>
                <w:szCs w:val="17"/>
              </w:rPr>
              <w:t xml:space="preserve">). </w:t>
            </w:r>
            <w:r w:rsidR="0066144E" w:rsidRPr="000533E9">
              <w:rPr>
                <w:rFonts w:asciiTheme="majorHAnsi" w:hAnsiTheme="majorHAnsi" w:cstheme="majorHAnsi"/>
                <w:color w:val="7030A0"/>
                <w:sz w:val="17"/>
                <w:szCs w:val="17"/>
              </w:rPr>
              <w:t>AGIG</w:t>
            </w:r>
            <w:r w:rsidR="0066144E" w:rsidRPr="000533E9">
              <w:rPr>
                <w:rFonts w:asciiTheme="majorHAnsi" w:hAnsiTheme="majorHAnsi" w:cstheme="majorHAnsi"/>
                <w:sz w:val="17"/>
                <w:szCs w:val="17"/>
              </w:rPr>
              <w:t xml:space="preserve">, </w:t>
            </w:r>
            <w:r w:rsidR="0066144E" w:rsidRPr="000533E9">
              <w:rPr>
                <w:rFonts w:asciiTheme="majorHAnsi" w:hAnsiTheme="majorHAnsi" w:cstheme="majorHAnsi"/>
                <w:color w:val="7030A0"/>
                <w:sz w:val="17"/>
                <w:szCs w:val="17"/>
              </w:rPr>
              <w:t xml:space="preserve">Epic </w:t>
            </w:r>
            <w:r w:rsidR="0066144E" w:rsidRPr="000533E9">
              <w:rPr>
                <w:rFonts w:asciiTheme="majorHAnsi" w:hAnsiTheme="majorHAnsi" w:cstheme="majorHAnsi"/>
                <w:sz w:val="17"/>
                <w:szCs w:val="17"/>
              </w:rPr>
              <w:t xml:space="preserve">and </w:t>
            </w:r>
            <w:r w:rsidR="0066144E" w:rsidRPr="000533E9">
              <w:rPr>
                <w:rFonts w:asciiTheme="majorHAnsi" w:hAnsiTheme="majorHAnsi" w:cstheme="majorHAnsi"/>
                <w:color w:val="7030A0"/>
                <w:sz w:val="17"/>
                <w:szCs w:val="17"/>
              </w:rPr>
              <w:t>Jemena</w:t>
            </w:r>
            <w:r w:rsidR="0066144E" w:rsidRPr="000533E9">
              <w:rPr>
                <w:rFonts w:asciiTheme="majorHAnsi" w:hAnsiTheme="majorHAnsi" w:cstheme="majorHAnsi"/>
                <w:sz w:val="17"/>
                <w:szCs w:val="17"/>
              </w:rPr>
              <w:t xml:space="preserve">, on the other hand, supported the retention of the existing negotiation frameworks.  </w:t>
            </w:r>
          </w:p>
        </w:tc>
      </w:tr>
      <w:tr w:rsidR="00C9489D" w:rsidRPr="000533E9" w14:paraId="09EE3ACB" w14:textId="77777777" w:rsidTr="00814906">
        <w:trPr>
          <w:cantSplit/>
        </w:trPr>
        <w:tc>
          <w:tcPr>
            <w:tcW w:w="198" w:type="pct"/>
            <w:vMerge/>
            <w:tcBorders>
              <w:top w:val="nil"/>
              <w:bottom w:val="nil"/>
              <w:right w:val="single" w:sz="4" w:space="0" w:color="auto"/>
            </w:tcBorders>
            <w:shd w:val="clear" w:color="auto" w:fill="FFFFFF" w:themeFill="background1"/>
          </w:tcPr>
          <w:p w14:paraId="2D41E055" w14:textId="77777777" w:rsidR="00C9489D" w:rsidRPr="000533E9" w:rsidRDefault="00C9489D" w:rsidP="00FB38B5">
            <w:pPr>
              <w:pStyle w:val="TableBodyText"/>
              <w:spacing w:before="20" w:after="20" w:line="240" w:lineRule="auto"/>
              <w:rPr>
                <w:rFonts w:asciiTheme="majorHAnsi" w:hAnsiTheme="majorHAnsi" w:cstheme="majorHAnsi"/>
                <w:sz w:val="17"/>
                <w:szCs w:val="17"/>
              </w:rPr>
            </w:pPr>
          </w:p>
        </w:tc>
        <w:tc>
          <w:tcPr>
            <w:tcW w:w="346" w:type="pct"/>
            <w:tcBorders>
              <w:left w:val="single" w:sz="4" w:space="0" w:color="auto"/>
              <w:bottom w:val="single" w:sz="4" w:space="0" w:color="auto"/>
            </w:tcBorders>
            <w:shd w:val="clear" w:color="auto" w:fill="E1E2E7" w:themeFill="background2"/>
          </w:tcPr>
          <w:p w14:paraId="5347ED80" w14:textId="77777777" w:rsidR="00C9489D" w:rsidRPr="000533E9" w:rsidRDefault="00C9489D" w:rsidP="00FB38B5">
            <w:pPr>
              <w:pStyle w:val="TableBodyText"/>
              <w:spacing w:before="20" w:after="20" w:line="240" w:lineRule="auto"/>
              <w:rPr>
                <w:rFonts w:asciiTheme="majorHAnsi" w:hAnsiTheme="majorHAnsi" w:cstheme="majorHAnsi"/>
                <w:sz w:val="17"/>
                <w:szCs w:val="17"/>
              </w:rPr>
            </w:pPr>
            <w:r w:rsidRPr="000533E9">
              <w:rPr>
                <w:rFonts w:asciiTheme="majorHAnsi" w:hAnsiTheme="majorHAnsi" w:cstheme="majorHAnsi"/>
                <w:sz w:val="17"/>
                <w:szCs w:val="17"/>
              </w:rPr>
              <w:t xml:space="preserve">Other </w:t>
            </w:r>
          </w:p>
        </w:tc>
        <w:tc>
          <w:tcPr>
            <w:tcW w:w="4456" w:type="pct"/>
            <w:tcBorders>
              <w:bottom w:val="single" w:sz="4" w:space="0" w:color="auto"/>
            </w:tcBorders>
            <w:shd w:val="clear" w:color="auto" w:fill="E1E2E7" w:themeFill="background2"/>
            <w:vAlign w:val="center"/>
          </w:tcPr>
          <w:p w14:paraId="096F326D" w14:textId="77777777" w:rsidR="00C9489D" w:rsidRPr="000533E9" w:rsidRDefault="006E0F6F" w:rsidP="00FB38B5">
            <w:pPr>
              <w:pStyle w:val="TableBullet10"/>
              <w:spacing w:before="20" w:after="20" w:line="240" w:lineRule="auto"/>
              <w:rPr>
                <w:rFonts w:asciiTheme="majorHAnsi" w:hAnsiTheme="majorHAnsi" w:cstheme="majorHAnsi"/>
                <w:sz w:val="17"/>
                <w:szCs w:val="17"/>
              </w:rPr>
            </w:pPr>
            <w:r w:rsidRPr="000533E9">
              <w:rPr>
                <w:rFonts w:asciiTheme="majorHAnsi" w:hAnsiTheme="majorHAnsi" w:cstheme="majorHAnsi"/>
                <w:sz w:val="17"/>
                <w:szCs w:val="17"/>
              </w:rPr>
              <w:t>Other stakeholders did not express a view on whether this constituted a problem.</w:t>
            </w:r>
          </w:p>
        </w:tc>
      </w:tr>
      <w:tr w:rsidR="00150732" w:rsidRPr="000533E9" w14:paraId="56114887" w14:textId="77777777" w:rsidTr="00814906">
        <w:trPr>
          <w:cnfStyle w:val="000000010000" w:firstRow="0" w:lastRow="0" w:firstColumn="0" w:lastColumn="0" w:oddVBand="0" w:evenVBand="0" w:oddHBand="0" w:evenHBand="1" w:firstRowFirstColumn="0" w:firstRowLastColumn="0" w:lastRowFirstColumn="0" w:lastRowLastColumn="0"/>
          <w:cantSplit/>
        </w:trPr>
        <w:tc>
          <w:tcPr>
            <w:tcW w:w="5000" w:type="pct"/>
            <w:gridSpan w:val="3"/>
            <w:shd w:val="clear" w:color="auto" w:fill="65697F" w:themeFill="background2" w:themeFillShade="80"/>
          </w:tcPr>
          <w:p w14:paraId="13524442" w14:textId="77777777" w:rsidR="00C9489D" w:rsidRPr="000533E9" w:rsidRDefault="00BE4C97" w:rsidP="00FB38B5">
            <w:pPr>
              <w:pStyle w:val="TableBodyText"/>
              <w:spacing w:before="20" w:after="20" w:line="240" w:lineRule="auto"/>
              <w:jc w:val="center"/>
              <w:rPr>
                <w:rFonts w:asciiTheme="majorHAnsi" w:hAnsiTheme="majorHAnsi" w:cstheme="majorHAnsi"/>
                <w:b/>
                <w:bCs/>
                <w:color w:val="FFFFFF" w:themeColor="background1"/>
                <w:sz w:val="17"/>
                <w:szCs w:val="17"/>
                <w:lang w:eastAsia="fr-CA"/>
              </w:rPr>
            </w:pPr>
            <w:r w:rsidRPr="000533E9">
              <w:rPr>
                <w:rFonts w:asciiTheme="majorHAnsi" w:hAnsiTheme="majorHAnsi" w:cstheme="majorHAnsi"/>
                <w:b/>
                <w:bCs/>
                <w:color w:val="FFFFFF" w:themeColor="background1"/>
                <w:sz w:val="17"/>
                <w:szCs w:val="17"/>
              </w:rPr>
              <w:t>Credibility of the threat of arbitration by smaller shippers</w:t>
            </w:r>
          </w:p>
        </w:tc>
      </w:tr>
      <w:tr w:rsidR="00C9489D" w:rsidRPr="000533E9" w14:paraId="27721D1C" w14:textId="77777777" w:rsidTr="00814906">
        <w:trPr>
          <w:cantSplit/>
        </w:trPr>
        <w:tc>
          <w:tcPr>
            <w:tcW w:w="544" w:type="pct"/>
            <w:gridSpan w:val="2"/>
            <w:shd w:val="clear" w:color="auto" w:fill="FFFFFF" w:themeFill="background1"/>
          </w:tcPr>
          <w:p w14:paraId="701857DB" w14:textId="77777777" w:rsidR="00C9489D" w:rsidRPr="000533E9" w:rsidRDefault="00C9489D" w:rsidP="00FB38B5">
            <w:pPr>
              <w:pStyle w:val="TableBodyText"/>
              <w:spacing w:before="20" w:after="20" w:line="240" w:lineRule="auto"/>
              <w:rPr>
                <w:rFonts w:asciiTheme="majorHAnsi" w:hAnsiTheme="majorHAnsi" w:cstheme="majorHAnsi"/>
                <w:sz w:val="17"/>
                <w:szCs w:val="17"/>
              </w:rPr>
            </w:pPr>
            <w:r w:rsidRPr="000533E9">
              <w:rPr>
                <w:rFonts w:asciiTheme="majorHAnsi" w:hAnsiTheme="majorHAnsi" w:cstheme="majorHAnsi"/>
                <w:sz w:val="17"/>
                <w:szCs w:val="17"/>
              </w:rPr>
              <w:t>Description of potential problem</w:t>
            </w:r>
          </w:p>
        </w:tc>
        <w:tc>
          <w:tcPr>
            <w:tcW w:w="4456" w:type="pct"/>
            <w:shd w:val="clear" w:color="auto" w:fill="FFFFFF" w:themeFill="background1"/>
          </w:tcPr>
          <w:p w14:paraId="70EF4D37" w14:textId="261124AF" w:rsidR="00C9489D" w:rsidRPr="000533E9" w:rsidRDefault="006117BA" w:rsidP="00FB38B5">
            <w:pPr>
              <w:pStyle w:val="BodyText"/>
              <w:spacing w:before="20" w:after="40" w:line="240" w:lineRule="auto"/>
              <w:rPr>
                <w:sz w:val="17"/>
                <w:szCs w:val="17"/>
              </w:rPr>
            </w:pPr>
            <w:r w:rsidRPr="000533E9">
              <w:rPr>
                <w:sz w:val="17"/>
                <w:szCs w:val="17"/>
              </w:rPr>
              <w:t>In its review of the operation of Part 23, the ACCC noted the potential for the threat of arbitration to be viewed as less credible when it comes from smaller shippers that are negotiating directly with service providers. This is because the cost to these shippers of triggering an arbitration may outweigh the benefits.</w:t>
            </w:r>
            <w:r w:rsidR="00370905">
              <w:rPr>
                <w:rFonts w:ascii="ZWAdobeF" w:hAnsi="ZWAdobeF" w:cs="ZWAdobeF"/>
                <w:sz w:val="2"/>
                <w:szCs w:val="2"/>
              </w:rPr>
              <w:t>160F</w:t>
            </w:r>
            <w:r w:rsidRPr="000533E9">
              <w:rPr>
                <w:rStyle w:val="FootnoteReference"/>
                <w:sz w:val="17"/>
                <w:szCs w:val="17"/>
              </w:rPr>
              <w:footnoteReference w:id="162"/>
            </w:r>
            <w:r w:rsidRPr="000533E9">
              <w:rPr>
                <w:sz w:val="17"/>
                <w:szCs w:val="17"/>
              </w:rPr>
              <w:t xml:space="preserve"> </w:t>
            </w:r>
            <w:r w:rsidR="00AF3893" w:rsidRPr="000533E9">
              <w:rPr>
                <w:sz w:val="17"/>
                <w:szCs w:val="17"/>
              </w:rPr>
              <w:t xml:space="preserve"> Similar concerns were also raised by user </w:t>
            </w:r>
            <w:r w:rsidR="00B84024" w:rsidRPr="000533E9">
              <w:rPr>
                <w:sz w:val="17"/>
                <w:szCs w:val="17"/>
              </w:rPr>
              <w:t>associations</w:t>
            </w:r>
            <w:r w:rsidR="00AF3893" w:rsidRPr="000533E9">
              <w:rPr>
                <w:sz w:val="17"/>
                <w:szCs w:val="17"/>
              </w:rPr>
              <w:t xml:space="preserve"> during the development of Part 23.</w:t>
            </w:r>
            <w:r w:rsidR="00B84024" w:rsidRPr="000533E9">
              <w:rPr>
                <w:sz w:val="17"/>
                <w:szCs w:val="17"/>
              </w:rPr>
              <w:t xml:space="preserve"> </w:t>
            </w:r>
            <w:r w:rsidR="006D2036" w:rsidRPr="000533E9">
              <w:rPr>
                <w:sz w:val="17"/>
                <w:szCs w:val="17"/>
              </w:rPr>
              <w:t>As the ACCC and user associations have observed, if the threat of arbitration is not considered credible, then smaller shippers may be more susceptible to exercises of market power by service providers. They may therefore be required to pay more for transportation services (or subject to more onerous terms and conditions) than larger counterparts, as the ACCC observed in its review of the operation of Part 23.</w:t>
            </w:r>
            <w:r w:rsidR="00370905">
              <w:rPr>
                <w:rFonts w:ascii="ZWAdobeF" w:hAnsi="ZWAdobeF" w:cs="ZWAdobeF"/>
                <w:sz w:val="2"/>
                <w:szCs w:val="2"/>
              </w:rPr>
              <w:t>161F</w:t>
            </w:r>
            <w:r w:rsidR="006D2036" w:rsidRPr="000533E9">
              <w:rPr>
                <w:rStyle w:val="FootnoteReference"/>
                <w:sz w:val="17"/>
                <w:szCs w:val="17"/>
              </w:rPr>
              <w:footnoteReference w:id="163"/>
            </w:r>
            <w:r w:rsidR="006D2036" w:rsidRPr="000533E9">
              <w:rPr>
                <w:sz w:val="17"/>
                <w:szCs w:val="17"/>
              </w:rPr>
              <w:t xml:space="preserve"> </w:t>
            </w:r>
          </w:p>
        </w:tc>
      </w:tr>
      <w:tr w:rsidR="00C9489D" w:rsidRPr="000533E9" w14:paraId="6A6CA8FD" w14:textId="77777777" w:rsidTr="00814906">
        <w:trPr>
          <w:cnfStyle w:val="000000010000" w:firstRow="0" w:lastRow="0" w:firstColumn="0" w:lastColumn="0" w:oddVBand="0" w:evenVBand="0" w:oddHBand="0" w:evenHBand="1" w:firstRowFirstColumn="0" w:firstRowLastColumn="0" w:lastRowFirstColumn="0" w:lastRowLastColumn="0"/>
          <w:cantSplit/>
        </w:trPr>
        <w:tc>
          <w:tcPr>
            <w:tcW w:w="198" w:type="pct"/>
            <w:vMerge w:val="restart"/>
            <w:tcBorders>
              <w:top w:val="nil"/>
              <w:right w:val="single" w:sz="4" w:space="0" w:color="auto"/>
            </w:tcBorders>
            <w:shd w:val="clear" w:color="auto" w:fill="FFFFFF" w:themeFill="background1"/>
            <w:textDirection w:val="btLr"/>
          </w:tcPr>
          <w:p w14:paraId="5FD384D3" w14:textId="77777777" w:rsidR="00C9489D" w:rsidRPr="000533E9" w:rsidRDefault="00C9489D" w:rsidP="00FB38B5">
            <w:pPr>
              <w:pStyle w:val="TableBodyText"/>
              <w:spacing w:before="20" w:after="20" w:line="240" w:lineRule="auto"/>
              <w:jc w:val="center"/>
              <w:rPr>
                <w:rFonts w:asciiTheme="majorHAnsi" w:hAnsiTheme="majorHAnsi" w:cstheme="majorHAnsi"/>
                <w:sz w:val="17"/>
                <w:szCs w:val="17"/>
              </w:rPr>
            </w:pPr>
            <w:r w:rsidRPr="000533E9">
              <w:rPr>
                <w:rFonts w:asciiTheme="majorHAnsi" w:hAnsiTheme="majorHAnsi" w:cstheme="majorHAnsi"/>
                <w:sz w:val="17"/>
                <w:szCs w:val="17"/>
              </w:rPr>
              <w:t>Stakeholder feedback</w:t>
            </w:r>
          </w:p>
        </w:tc>
        <w:tc>
          <w:tcPr>
            <w:tcW w:w="346" w:type="pct"/>
            <w:tcBorders>
              <w:left w:val="single" w:sz="4" w:space="0" w:color="auto"/>
              <w:bottom w:val="single" w:sz="4" w:space="0" w:color="auto"/>
            </w:tcBorders>
            <w:shd w:val="clear" w:color="auto" w:fill="BFF9D6"/>
          </w:tcPr>
          <w:p w14:paraId="509B81B2" w14:textId="77777777" w:rsidR="00C9489D" w:rsidRPr="000533E9" w:rsidRDefault="00C9489D" w:rsidP="00FB38B5">
            <w:pPr>
              <w:pStyle w:val="TableBodyText"/>
              <w:spacing w:before="20" w:after="20" w:line="240" w:lineRule="auto"/>
              <w:rPr>
                <w:rFonts w:asciiTheme="majorHAnsi" w:hAnsiTheme="majorHAnsi" w:cstheme="majorHAnsi"/>
                <w:sz w:val="17"/>
                <w:szCs w:val="17"/>
              </w:rPr>
            </w:pPr>
            <w:r w:rsidRPr="000533E9">
              <w:rPr>
                <w:rFonts w:asciiTheme="majorHAnsi" w:hAnsiTheme="majorHAnsi" w:cstheme="majorHAnsi"/>
                <w:sz w:val="17"/>
                <w:szCs w:val="17"/>
              </w:rPr>
              <w:t>Agree</w:t>
            </w:r>
          </w:p>
        </w:tc>
        <w:tc>
          <w:tcPr>
            <w:tcW w:w="4456" w:type="pct"/>
            <w:tcBorders>
              <w:bottom w:val="single" w:sz="4" w:space="0" w:color="auto"/>
            </w:tcBorders>
            <w:shd w:val="clear" w:color="auto" w:fill="BFF9D6"/>
          </w:tcPr>
          <w:p w14:paraId="78CB6AD8" w14:textId="77777777" w:rsidR="003A76F8" w:rsidRPr="00C60185" w:rsidRDefault="00B01B7A" w:rsidP="00FB38B5">
            <w:pPr>
              <w:pStyle w:val="TableBullet10"/>
              <w:spacing w:before="20" w:after="20" w:line="240" w:lineRule="auto"/>
              <w:rPr>
                <w:rFonts w:asciiTheme="majorHAnsi" w:hAnsiTheme="majorHAnsi" w:cstheme="majorHAnsi"/>
                <w:sz w:val="17"/>
                <w:szCs w:val="17"/>
                <w:lang w:eastAsia="fr-CA"/>
              </w:rPr>
            </w:pPr>
            <w:r w:rsidRPr="00C60185">
              <w:rPr>
                <w:rFonts w:asciiTheme="majorHAnsi" w:hAnsiTheme="majorHAnsi" w:cstheme="majorHAnsi"/>
                <w:sz w:val="17"/>
                <w:szCs w:val="17"/>
              </w:rPr>
              <w:t xml:space="preserve">The </w:t>
            </w:r>
            <w:r w:rsidRPr="00C60185">
              <w:rPr>
                <w:rFonts w:asciiTheme="majorHAnsi" w:hAnsiTheme="majorHAnsi" w:cstheme="majorHAnsi"/>
                <w:color w:val="FF0000"/>
                <w:sz w:val="17"/>
                <w:szCs w:val="17"/>
              </w:rPr>
              <w:t>ACCC</w:t>
            </w:r>
            <w:r w:rsidRPr="00C60185">
              <w:rPr>
                <w:rFonts w:asciiTheme="majorHAnsi" w:hAnsiTheme="majorHAnsi" w:cstheme="majorHAnsi"/>
                <w:sz w:val="17"/>
                <w:szCs w:val="17"/>
              </w:rPr>
              <w:t xml:space="preserve">, </w:t>
            </w:r>
            <w:r w:rsidRPr="00C60185">
              <w:rPr>
                <w:rFonts w:asciiTheme="majorHAnsi" w:hAnsiTheme="majorHAnsi" w:cstheme="majorHAnsi"/>
                <w:color w:val="0000FF"/>
                <w:sz w:val="17"/>
                <w:szCs w:val="17"/>
              </w:rPr>
              <w:t>EUAA, NSW Business Chamber Chemistry Australia, MEU, Qenos</w:t>
            </w:r>
            <w:r w:rsidRPr="00C60185">
              <w:rPr>
                <w:rFonts w:asciiTheme="majorHAnsi" w:hAnsiTheme="majorHAnsi" w:cstheme="majorHAnsi"/>
                <w:sz w:val="17"/>
                <w:szCs w:val="17"/>
              </w:rPr>
              <w:t xml:space="preserve">, </w:t>
            </w:r>
            <w:r w:rsidRPr="00C60185">
              <w:rPr>
                <w:rFonts w:asciiTheme="majorHAnsi" w:hAnsiTheme="majorHAnsi" w:cstheme="majorHAnsi"/>
                <w:color w:val="D60093"/>
                <w:sz w:val="17"/>
                <w:szCs w:val="17"/>
              </w:rPr>
              <w:t>COPA</w:t>
            </w:r>
            <w:r w:rsidRPr="00C60185">
              <w:rPr>
                <w:rFonts w:asciiTheme="majorHAnsi" w:hAnsiTheme="majorHAnsi" w:cstheme="majorHAnsi"/>
                <w:sz w:val="17"/>
                <w:szCs w:val="17"/>
              </w:rPr>
              <w:t xml:space="preserve">, </w:t>
            </w:r>
            <w:r w:rsidRPr="00C60185">
              <w:rPr>
                <w:rFonts w:asciiTheme="majorHAnsi" w:hAnsiTheme="majorHAnsi" w:cstheme="majorHAnsi"/>
                <w:color w:val="00B050"/>
                <w:sz w:val="17"/>
                <w:szCs w:val="17"/>
              </w:rPr>
              <w:t xml:space="preserve">Energy Matrix </w:t>
            </w:r>
            <w:r w:rsidRPr="00C60185">
              <w:rPr>
                <w:rFonts w:asciiTheme="majorHAnsi" w:hAnsiTheme="majorHAnsi" w:cstheme="majorHAnsi"/>
                <w:sz w:val="17"/>
                <w:szCs w:val="17"/>
              </w:rPr>
              <w:t xml:space="preserve">and </w:t>
            </w:r>
            <w:r w:rsidRPr="00C60185">
              <w:rPr>
                <w:rFonts w:asciiTheme="majorHAnsi" w:hAnsiTheme="majorHAnsi" w:cstheme="majorHAnsi"/>
                <w:color w:val="7030A0"/>
                <w:sz w:val="17"/>
                <w:szCs w:val="17"/>
              </w:rPr>
              <w:t xml:space="preserve">AGIG </w:t>
            </w:r>
            <w:r w:rsidRPr="00C60185">
              <w:rPr>
                <w:rFonts w:asciiTheme="majorHAnsi" w:hAnsiTheme="majorHAnsi" w:cstheme="majorHAnsi"/>
                <w:sz w:val="17"/>
                <w:szCs w:val="17"/>
              </w:rPr>
              <w:t xml:space="preserve">agreed the threat of arbitration by smaller shippers may not be as credible, with a number stating this is a significant issue. </w:t>
            </w:r>
            <w:r w:rsidR="00DC55F4" w:rsidRPr="00C60185">
              <w:rPr>
                <w:rFonts w:asciiTheme="majorHAnsi" w:hAnsiTheme="majorHAnsi" w:cstheme="majorHAnsi"/>
                <w:sz w:val="17"/>
                <w:szCs w:val="17"/>
              </w:rPr>
              <w:t>Elaborating further on this issue, t</w:t>
            </w:r>
            <w:r w:rsidRPr="00C60185">
              <w:rPr>
                <w:rFonts w:asciiTheme="majorHAnsi" w:hAnsiTheme="majorHAnsi" w:cstheme="majorHAnsi"/>
                <w:sz w:val="17"/>
                <w:szCs w:val="17"/>
              </w:rPr>
              <w:t xml:space="preserve">he </w:t>
            </w:r>
            <w:r w:rsidRPr="00C60185">
              <w:rPr>
                <w:rFonts w:asciiTheme="majorHAnsi" w:hAnsiTheme="majorHAnsi" w:cstheme="majorHAnsi"/>
                <w:color w:val="0000FF"/>
                <w:sz w:val="17"/>
                <w:szCs w:val="17"/>
              </w:rPr>
              <w:t>EUAA</w:t>
            </w:r>
            <w:r w:rsidRPr="00C60185">
              <w:rPr>
                <w:rFonts w:asciiTheme="majorHAnsi" w:hAnsiTheme="majorHAnsi" w:cstheme="majorHAnsi"/>
                <w:sz w:val="17"/>
                <w:szCs w:val="17"/>
              </w:rPr>
              <w:t xml:space="preserve"> and </w:t>
            </w:r>
            <w:r w:rsidRPr="00C60185">
              <w:rPr>
                <w:rFonts w:asciiTheme="majorHAnsi" w:hAnsiTheme="majorHAnsi" w:cstheme="majorHAnsi"/>
                <w:color w:val="0000FF"/>
                <w:sz w:val="17"/>
                <w:szCs w:val="17"/>
              </w:rPr>
              <w:t>Chemistry Australia</w:t>
            </w:r>
            <w:r w:rsidRPr="00C60185">
              <w:rPr>
                <w:rFonts w:asciiTheme="majorHAnsi" w:hAnsiTheme="majorHAnsi" w:cstheme="majorHAnsi"/>
                <w:sz w:val="17"/>
                <w:szCs w:val="17"/>
              </w:rPr>
              <w:t xml:space="preserve"> noted that smaller shippers have “</w:t>
            </w:r>
            <w:r w:rsidRPr="00C60185">
              <w:rPr>
                <w:rFonts w:asciiTheme="majorHAnsi" w:hAnsiTheme="majorHAnsi" w:cstheme="majorHAnsi"/>
                <w:sz w:val="17"/>
                <w:szCs w:val="17"/>
                <w:lang w:eastAsia="fr-CA"/>
              </w:rPr>
              <w:t xml:space="preserve">neither the resources nor the expertise to mount an effective argument in arbitration against a pipeline owner”. </w:t>
            </w:r>
            <w:r w:rsidR="003A76F8" w:rsidRPr="00C60185">
              <w:rPr>
                <w:rFonts w:asciiTheme="majorHAnsi" w:hAnsiTheme="majorHAnsi" w:cstheme="majorHAnsi"/>
                <w:sz w:val="17"/>
                <w:szCs w:val="17"/>
                <w:lang w:eastAsia="fr-CA"/>
              </w:rPr>
              <w:t xml:space="preserve">The </w:t>
            </w:r>
            <w:r w:rsidR="003A76F8" w:rsidRPr="00C60185">
              <w:rPr>
                <w:rFonts w:asciiTheme="majorHAnsi" w:hAnsiTheme="majorHAnsi" w:cstheme="majorHAnsi"/>
                <w:color w:val="0000FF"/>
                <w:sz w:val="17"/>
                <w:szCs w:val="17"/>
                <w:lang w:eastAsia="fr-CA"/>
              </w:rPr>
              <w:t xml:space="preserve">EUAA </w:t>
            </w:r>
            <w:r w:rsidR="003A76F8" w:rsidRPr="00C60185">
              <w:rPr>
                <w:rFonts w:asciiTheme="majorHAnsi" w:hAnsiTheme="majorHAnsi" w:cstheme="majorHAnsi"/>
                <w:sz w:val="17"/>
                <w:szCs w:val="17"/>
                <w:lang w:eastAsia="fr-CA"/>
              </w:rPr>
              <w:t>also noted the importance of addressing this issue, given the increasing number of smaller shippers moving away from retailers to contract gas and transportation services in their own right.</w:t>
            </w:r>
          </w:p>
          <w:p w14:paraId="2ECED0DD" w14:textId="77777777" w:rsidR="008B0C90" w:rsidRPr="000533E9" w:rsidRDefault="00B01B7A" w:rsidP="00FB38B5">
            <w:pPr>
              <w:pStyle w:val="TableBullet10"/>
              <w:spacing w:before="20" w:after="20" w:line="240" w:lineRule="auto"/>
              <w:rPr>
                <w:rFonts w:asciiTheme="majorHAnsi" w:hAnsiTheme="majorHAnsi" w:cstheme="majorHAnsi"/>
                <w:sz w:val="17"/>
                <w:szCs w:val="17"/>
                <w:lang w:eastAsia="fr-CA"/>
              </w:rPr>
            </w:pPr>
            <w:r w:rsidRPr="000533E9">
              <w:rPr>
                <w:rFonts w:asciiTheme="majorHAnsi" w:hAnsiTheme="majorHAnsi" w:cstheme="majorHAnsi"/>
                <w:sz w:val="17"/>
                <w:szCs w:val="17"/>
                <w:lang w:eastAsia="fr-CA"/>
              </w:rPr>
              <w:t xml:space="preserve">The </w:t>
            </w:r>
            <w:r w:rsidRPr="000533E9">
              <w:rPr>
                <w:rFonts w:asciiTheme="majorHAnsi" w:hAnsiTheme="majorHAnsi" w:cstheme="majorHAnsi"/>
                <w:color w:val="0000FF"/>
                <w:sz w:val="17"/>
                <w:szCs w:val="17"/>
                <w:lang w:eastAsia="fr-CA"/>
              </w:rPr>
              <w:t>MEU</w:t>
            </w:r>
            <w:r w:rsidRPr="000533E9">
              <w:rPr>
                <w:rFonts w:asciiTheme="majorHAnsi" w:hAnsiTheme="majorHAnsi" w:cstheme="majorHAnsi"/>
                <w:sz w:val="17"/>
                <w:szCs w:val="17"/>
                <w:lang w:eastAsia="fr-CA"/>
              </w:rPr>
              <w:t xml:space="preserve"> concurred </w:t>
            </w:r>
            <w:r w:rsidR="003A76F8" w:rsidRPr="000533E9">
              <w:rPr>
                <w:rFonts w:asciiTheme="majorHAnsi" w:hAnsiTheme="majorHAnsi" w:cstheme="majorHAnsi"/>
                <w:sz w:val="17"/>
                <w:szCs w:val="17"/>
                <w:lang w:eastAsia="fr-CA"/>
              </w:rPr>
              <w:t xml:space="preserve">with the </w:t>
            </w:r>
            <w:r w:rsidR="003A76F8" w:rsidRPr="000533E9">
              <w:rPr>
                <w:rFonts w:asciiTheme="majorHAnsi" w:hAnsiTheme="majorHAnsi" w:cstheme="majorHAnsi"/>
                <w:color w:val="3333FF"/>
                <w:sz w:val="17"/>
                <w:szCs w:val="17"/>
                <w:lang w:eastAsia="fr-CA"/>
              </w:rPr>
              <w:t xml:space="preserve">EUAA </w:t>
            </w:r>
            <w:r w:rsidR="003A76F8" w:rsidRPr="000533E9">
              <w:rPr>
                <w:rFonts w:asciiTheme="majorHAnsi" w:hAnsiTheme="majorHAnsi" w:cstheme="majorHAnsi"/>
                <w:sz w:val="17"/>
                <w:szCs w:val="17"/>
                <w:lang w:eastAsia="fr-CA"/>
              </w:rPr>
              <w:t xml:space="preserve">and </w:t>
            </w:r>
            <w:r w:rsidR="003A76F8" w:rsidRPr="000533E9">
              <w:rPr>
                <w:rFonts w:asciiTheme="majorHAnsi" w:hAnsiTheme="majorHAnsi" w:cstheme="majorHAnsi"/>
                <w:color w:val="3333FF"/>
                <w:sz w:val="17"/>
                <w:szCs w:val="17"/>
                <w:lang w:eastAsia="fr-CA"/>
              </w:rPr>
              <w:t xml:space="preserve">Chemistry Australia </w:t>
            </w:r>
            <w:r w:rsidRPr="000533E9">
              <w:rPr>
                <w:rFonts w:asciiTheme="majorHAnsi" w:hAnsiTheme="majorHAnsi" w:cstheme="majorHAnsi"/>
                <w:sz w:val="17"/>
                <w:szCs w:val="17"/>
                <w:lang w:eastAsia="fr-CA"/>
              </w:rPr>
              <w:t xml:space="preserve">and noted the costs of arbitration can deter shippers from using the mechanism. </w:t>
            </w:r>
          </w:p>
          <w:p w14:paraId="4F2F7372" w14:textId="77777777" w:rsidR="00C9489D" w:rsidRPr="000533E9" w:rsidRDefault="00B01B7A" w:rsidP="00FB38B5">
            <w:pPr>
              <w:pStyle w:val="TableBullet10"/>
              <w:spacing w:before="20" w:after="20" w:line="240" w:lineRule="auto"/>
              <w:rPr>
                <w:rFonts w:asciiTheme="majorHAnsi" w:hAnsiTheme="majorHAnsi" w:cstheme="majorHAnsi"/>
                <w:sz w:val="17"/>
                <w:szCs w:val="17"/>
              </w:rPr>
            </w:pPr>
            <w:r w:rsidRPr="000533E9">
              <w:rPr>
                <w:rFonts w:asciiTheme="majorHAnsi" w:hAnsiTheme="majorHAnsi" w:cstheme="majorHAnsi"/>
                <w:color w:val="7030A0"/>
                <w:sz w:val="17"/>
                <w:szCs w:val="17"/>
                <w:lang w:eastAsia="fr-CA"/>
              </w:rPr>
              <w:t>AGIG</w:t>
            </w:r>
            <w:r w:rsidR="008B0C90" w:rsidRPr="000533E9">
              <w:rPr>
                <w:rFonts w:asciiTheme="majorHAnsi" w:hAnsiTheme="majorHAnsi" w:cstheme="majorHAnsi"/>
                <w:sz w:val="17"/>
                <w:szCs w:val="17"/>
                <w:lang w:eastAsia="fr-CA"/>
              </w:rPr>
              <w:t xml:space="preserve"> </w:t>
            </w:r>
            <w:r w:rsidRPr="000533E9">
              <w:rPr>
                <w:rFonts w:asciiTheme="majorHAnsi" w:hAnsiTheme="majorHAnsi" w:cstheme="majorHAnsi"/>
                <w:sz w:val="17"/>
                <w:szCs w:val="17"/>
                <w:lang w:eastAsia="fr-CA"/>
              </w:rPr>
              <w:t>noted the key issue was the lack of countervailing power held by smaller shippers and how this can transpire in negotiations and arbitration</w:t>
            </w:r>
            <w:r w:rsidR="008D778B" w:rsidRPr="000533E9">
              <w:rPr>
                <w:rFonts w:asciiTheme="majorHAnsi" w:hAnsiTheme="majorHAnsi" w:cstheme="majorHAnsi"/>
                <w:sz w:val="17"/>
                <w:szCs w:val="17"/>
                <w:lang w:eastAsia="fr-CA"/>
              </w:rPr>
              <w:t>s</w:t>
            </w:r>
            <w:r w:rsidRPr="000533E9">
              <w:rPr>
                <w:rFonts w:asciiTheme="majorHAnsi" w:hAnsiTheme="majorHAnsi" w:cstheme="majorHAnsi"/>
                <w:sz w:val="17"/>
                <w:szCs w:val="17"/>
                <w:lang w:eastAsia="fr-CA"/>
              </w:rPr>
              <w:t>.</w:t>
            </w:r>
          </w:p>
        </w:tc>
      </w:tr>
      <w:tr w:rsidR="00A70EAE" w:rsidRPr="000533E9" w14:paraId="46F1C941" w14:textId="77777777" w:rsidTr="00814906">
        <w:trPr>
          <w:cantSplit/>
        </w:trPr>
        <w:tc>
          <w:tcPr>
            <w:tcW w:w="198" w:type="pct"/>
            <w:vMerge/>
            <w:tcBorders>
              <w:right w:val="single" w:sz="4" w:space="0" w:color="auto"/>
            </w:tcBorders>
            <w:shd w:val="clear" w:color="auto" w:fill="FFFFFF" w:themeFill="background1"/>
          </w:tcPr>
          <w:p w14:paraId="659BE42D" w14:textId="77777777" w:rsidR="00A70EAE" w:rsidRPr="000533E9" w:rsidRDefault="00A70EAE" w:rsidP="00FB38B5">
            <w:pPr>
              <w:pStyle w:val="TableBodyText"/>
              <w:spacing w:before="20" w:after="20" w:line="240" w:lineRule="auto"/>
              <w:rPr>
                <w:rFonts w:asciiTheme="majorHAnsi" w:hAnsiTheme="majorHAnsi" w:cstheme="majorHAnsi"/>
                <w:sz w:val="17"/>
                <w:szCs w:val="17"/>
              </w:rPr>
            </w:pPr>
          </w:p>
        </w:tc>
        <w:tc>
          <w:tcPr>
            <w:tcW w:w="346" w:type="pct"/>
            <w:tcBorders>
              <w:left w:val="single" w:sz="4" w:space="0" w:color="auto"/>
              <w:bottom w:val="single" w:sz="4" w:space="0" w:color="auto"/>
            </w:tcBorders>
            <w:shd w:val="clear" w:color="auto" w:fill="FFD9DC"/>
          </w:tcPr>
          <w:p w14:paraId="288D6C43" w14:textId="77777777" w:rsidR="00A70EAE" w:rsidRPr="000533E9" w:rsidRDefault="00A70EAE" w:rsidP="00FB38B5">
            <w:pPr>
              <w:pStyle w:val="TableBodyText"/>
              <w:spacing w:before="20" w:after="20" w:line="240" w:lineRule="auto"/>
              <w:rPr>
                <w:rFonts w:asciiTheme="majorHAnsi" w:hAnsiTheme="majorHAnsi" w:cstheme="majorHAnsi"/>
                <w:sz w:val="17"/>
                <w:szCs w:val="17"/>
              </w:rPr>
            </w:pPr>
            <w:r w:rsidRPr="000533E9">
              <w:rPr>
                <w:rFonts w:asciiTheme="majorHAnsi" w:hAnsiTheme="majorHAnsi" w:cstheme="majorHAnsi"/>
                <w:sz w:val="17"/>
                <w:szCs w:val="17"/>
              </w:rPr>
              <w:t>Disagree</w:t>
            </w:r>
          </w:p>
        </w:tc>
        <w:tc>
          <w:tcPr>
            <w:tcW w:w="4456" w:type="pct"/>
            <w:tcBorders>
              <w:bottom w:val="single" w:sz="4" w:space="0" w:color="auto"/>
            </w:tcBorders>
            <w:shd w:val="clear" w:color="auto" w:fill="FFD9DC"/>
          </w:tcPr>
          <w:p w14:paraId="547F1EFB" w14:textId="77777777" w:rsidR="00F32796" w:rsidRPr="000533E9" w:rsidRDefault="00A70EAE" w:rsidP="00FB38B5">
            <w:pPr>
              <w:pStyle w:val="TableBullet10"/>
              <w:spacing w:before="20" w:after="20" w:line="240" w:lineRule="auto"/>
              <w:rPr>
                <w:rFonts w:asciiTheme="majorHAnsi" w:eastAsia="Calibri" w:hAnsiTheme="majorHAnsi" w:cstheme="majorHAnsi"/>
                <w:sz w:val="17"/>
                <w:szCs w:val="17"/>
              </w:rPr>
            </w:pPr>
            <w:r w:rsidRPr="000533E9">
              <w:rPr>
                <w:rFonts w:asciiTheme="majorHAnsi" w:hAnsiTheme="majorHAnsi" w:cstheme="majorHAnsi"/>
                <w:color w:val="7030A0"/>
                <w:sz w:val="17"/>
                <w:szCs w:val="17"/>
              </w:rPr>
              <w:t xml:space="preserve">APA </w:t>
            </w:r>
            <w:r w:rsidRPr="000533E9">
              <w:rPr>
                <w:rFonts w:asciiTheme="majorHAnsi" w:hAnsiTheme="majorHAnsi" w:cstheme="majorHAnsi"/>
                <w:sz w:val="17"/>
                <w:szCs w:val="17"/>
              </w:rPr>
              <w:t xml:space="preserve">did not agree that the threat of arbitration by smaller shippers was less credible. </w:t>
            </w:r>
          </w:p>
          <w:p w14:paraId="2BD45874" w14:textId="77777777" w:rsidR="00A70EAE" w:rsidRPr="000533E9" w:rsidRDefault="00A70EAE" w:rsidP="00FB38B5">
            <w:pPr>
              <w:pStyle w:val="TableBullet10"/>
              <w:spacing w:before="20" w:after="20" w:line="240" w:lineRule="auto"/>
              <w:rPr>
                <w:rFonts w:asciiTheme="majorHAnsi" w:eastAsia="Calibri" w:hAnsiTheme="majorHAnsi" w:cstheme="majorHAnsi"/>
                <w:sz w:val="17"/>
                <w:szCs w:val="17"/>
              </w:rPr>
            </w:pPr>
            <w:r w:rsidRPr="000533E9">
              <w:rPr>
                <w:rFonts w:asciiTheme="majorHAnsi" w:hAnsiTheme="majorHAnsi" w:cstheme="majorHAnsi"/>
                <w:color w:val="7030A0"/>
                <w:sz w:val="17"/>
                <w:szCs w:val="17"/>
              </w:rPr>
              <w:t>Jemena</w:t>
            </w:r>
            <w:r w:rsidR="00F32796" w:rsidRPr="000533E9">
              <w:rPr>
                <w:rFonts w:asciiTheme="majorHAnsi" w:hAnsiTheme="majorHAnsi" w:cstheme="majorHAnsi"/>
                <w:color w:val="7030A0"/>
                <w:sz w:val="17"/>
                <w:szCs w:val="17"/>
              </w:rPr>
              <w:t xml:space="preserve"> </w:t>
            </w:r>
            <w:r w:rsidRPr="000533E9">
              <w:rPr>
                <w:rFonts w:asciiTheme="majorHAnsi" w:hAnsiTheme="majorHAnsi" w:cstheme="majorHAnsi"/>
                <w:sz w:val="17"/>
                <w:szCs w:val="17"/>
              </w:rPr>
              <w:t xml:space="preserve">noted that while smaller shippers may face some cost related difficulties, it did not consider this to be a significant issue. </w:t>
            </w:r>
          </w:p>
          <w:p w14:paraId="0C5228BE" w14:textId="154E435E" w:rsidR="00CC047C" w:rsidRPr="000533E9" w:rsidRDefault="00424896" w:rsidP="00FB38B5">
            <w:pPr>
              <w:pStyle w:val="TableBullet10"/>
              <w:spacing w:before="20" w:after="20" w:line="240" w:lineRule="auto"/>
              <w:rPr>
                <w:rFonts w:asciiTheme="majorHAnsi" w:eastAsia="Calibri" w:hAnsiTheme="majorHAnsi" w:cstheme="majorHAnsi"/>
                <w:sz w:val="17"/>
                <w:szCs w:val="17"/>
              </w:rPr>
            </w:pPr>
            <w:r w:rsidRPr="000533E9">
              <w:rPr>
                <w:rFonts w:asciiTheme="majorHAnsi" w:hAnsiTheme="majorHAnsi" w:cstheme="majorHAnsi"/>
                <w:sz w:val="17"/>
                <w:szCs w:val="17"/>
              </w:rPr>
              <w:t>Note that w</w:t>
            </w:r>
            <w:r w:rsidR="00CC047C" w:rsidRPr="000533E9">
              <w:rPr>
                <w:rFonts w:asciiTheme="majorHAnsi" w:hAnsiTheme="majorHAnsi" w:cstheme="majorHAnsi"/>
                <w:sz w:val="17"/>
                <w:szCs w:val="17"/>
              </w:rPr>
              <w:t xml:space="preserve">hile </w:t>
            </w:r>
            <w:r w:rsidR="00CC047C" w:rsidRPr="000533E9">
              <w:rPr>
                <w:rFonts w:asciiTheme="majorHAnsi" w:hAnsiTheme="majorHAnsi" w:cstheme="majorHAnsi"/>
                <w:color w:val="7030A0"/>
                <w:sz w:val="17"/>
                <w:szCs w:val="17"/>
              </w:rPr>
              <w:t xml:space="preserve">APA </w:t>
            </w:r>
            <w:r w:rsidR="00CC047C" w:rsidRPr="000533E9">
              <w:rPr>
                <w:rFonts w:asciiTheme="majorHAnsi" w:hAnsiTheme="majorHAnsi" w:cstheme="majorHAnsi"/>
                <w:sz w:val="17"/>
                <w:szCs w:val="17"/>
              </w:rPr>
              <w:t xml:space="preserve">and </w:t>
            </w:r>
            <w:r w:rsidR="00CC047C" w:rsidRPr="000533E9">
              <w:rPr>
                <w:rFonts w:asciiTheme="majorHAnsi" w:hAnsiTheme="majorHAnsi" w:cstheme="majorHAnsi"/>
                <w:color w:val="7030A0"/>
                <w:sz w:val="17"/>
                <w:szCs w:val="17"/>
              </w:rPr>
              <w:t>Jemena d</w:t>
            </w:r>
            <w:r w:rsidR="00CC047C" w:rsidRPr="000533E9">
              <w:rPr>
                <w:rFonts w:asciiTheme="majorHAnsi" w:hAnsiTheme="majorHAnsi" w:cstheme="majorHAnsi"/>
                <w:sz w:val="17"/>
                <w:szCs w:val="17"/>
              </w:rPr>
              <w:t xml:space="preserve">id not agree </w:t>
            </w:r>
            <w:r w:rsidRPr="000533E9">
              <w:rPr>
                <w:rFonts w:asciiTheme="majorHAnsi" w:hAnsiTheme="majorHAnsi" w:cstheme="majorHAnsi"/>
                <w:sz w:val="17"/>
                <w:szCs w:val="17"/>
              </w:rPr>
              <w:t xml:space="preserve">that this constituted a problem, or </w:t>
            </w:r>
            <w:r w:rsidR="00413D88" w:rsidRPr="000533E9">
              <w:rPr>
                <w:rFonts w:asciiTheme="majorHAnsi" w:hAnsiTheme="majorHAnsi" w:cstheme="majorHAnsi"/>
                <w:sz w:val="17"/>
                <w:szCs w:val="17"/>
              </w:rPr>
              <w:t xml:space="preserve">did not think this was </w:t>
            </w:r>
            <w:r w:rsidRPr="000533E9">
              <w:rPr>
                <w:rFonts w:asciiTheme="majorHAnsi" w:hAnsiTheme="majorHAnsi" w:cstheme="majorHAnsi"/>
                <w:sz w:val="17"/>
                <w:szCs w:val="17"/>
              </w:rPr>
              <w:t xml:space="preserve">a significant problem, they </w:t>
            </w:r>
            <w:r w:rsidR="00413D88" w:rsidRPr="000533E9">
              <w:rPr>
                <w:rFonts w:asciiTheme="majorHAnsi" w:hAnsiTheme="majorHAnsi" w:cstheme="majorHAnsi"/>
                <w:sz w:val="17"/>
                <w:szCs w:val="17"/>
              </w:rPr>
              <w:t xml:space="preserve">both supported </w:t>
            </w:r>
            <w:r w:rsidR="00CA4770" w:rsidRPr="000533E9">
              <w:rPr>
                <w:rFonts w:asciiTheme="majorHAnsi" w:hAnsiTheme="majorHAnsi" w:cstheme="majorHAnsi"/>
                <w:sz w:val="17"/>
                <w:szCs w:val="17"/>
              </w:rPr>
              <w:t xml:space="preserve">changes to the cost </w:t>
            </w:r>
            <w:r w:rsidR="0019651F" w:rsidRPr="000533E9">
              <w:rPr>
                <w:rFonts w:asciiTheme="majorHAnsi" w:hAnsiTheme="majorHAnsi" w:cstheme="majorHAnsi"/>
                <w:sz w:val="17"/>
                <w:szCs w:val="17"/>
              </w:rPr>
              <w:t xml:space="preserve">provisions in the </w:t>
            </w:r>
            <w:r w:rsidR="00CA4770" w:rsidRPr="000533E9">
              <w:rPr>
                <w:rFonts w:asciiTheme="majorHAnsi" w:hAnsiTheme="majorHAnsi" w:cstheme="majorHAnsi"/>
                <w:sz w:val="17"/>
                <w:szCs w:val="17"/>
              </w:rPr>
              <w:t xml:space="preserve">dispute resolution </w:t>
            </w:r>
            <w:r w:rsidR="0019651F" w:rsidRPr="000533E9">
              <w:rPr>
                <w:rFonts w:asciiTheme="majorHAnsi" w:hAnsiTheme="majorHAnsi" w:cstheme="majorHAnsi"/>
                <w:sz w:val="17"/>
                <w:szCs w:val="17"/>
              </w:rPr>
              <w:t xml:space="preserve">mechanism to reduce this barrier for </w:t>
            </w:r>
            <w:r w:rsidR="000C5AE7" w:rsidRPr="000533E9">
              <w:rPr>
                <w:rFonts w:asciiTheme="majorHAnsi" w:hAnsiTheme="majorHAnsi" w:cstheme="majorHAnsi"/>
                <w:sz w:val="17"/>
                <w:szCs w:val="17"/>
              </w:rPr>
              <w:t xml:space="preserve">smaller shippers (see </w:t>
            </w:r>
            <w:r w:rsidR="00680DFD" w:rsidRPr="000533E9">
              <w:rPr>
                <w:rFonts w:asciiTheme="majorHAnsi" w:hAnsiTheme="majorHAnsi" w:cstheme="majorHAnsi"/>
                <w:sz w:val="17"/>
                <w:szCs w:val="17"/>
              </w:rPr>
              <w:fldChar w:fldCharType="begin" w:fldLock="1"/>
            </w:r>
            <w:r w:rsidR="00680DFD" w:rsidRPr="000533E9">
              <w:rPr>
                <w:rFonts w:asciiTheme="majorHAnsi" w:hAnsiTheme="majorHAnsi" w:cstheme="majorHAnsi"/>
                <w:sz w:val="17"/>
                <w:szCs w:val="17"/>
              </w:rPr>
              <w:instrText xml:space="preserve"> REF _Ref52943655 \h  \* MERGEFORMAT </w:instrText>
            </w:r>
            <w:r w:rsidR="00680DFD" w:rsidRPr="000533E9">
              <w:rPr>
                <w:rFonts w:asciiTheme="majorHAnsi" w:hAnsiTheme="majorHAnsi" w:cstheme="majorHAnsi"/>
                <w:sz w:val="17"/>
                <w:szCs w:val="17"/>
              </w:rPr>
            </w:r>
            <w:r w:rsidR="00680DFD" w:rsidRPr="000533E9">
              <w:rPr>
                <w:rFonts w:asciiTheme="majorHAnsi" w:hAnsiTheme="majorHAnsi" w:cstheme="majorHAnsi"/>
                <w:sz w:val="17"/>
                <w:szCs w:val="17"/>
              </w:rPr>
              <w:fldChar w:fldCharType="separate"/>
            </w:r>
            <w:r w:rsidR="00036405" w:rsidRPr="00036405">
              <w:rPr>
                <w:sz w:val="17"/>
                <w:szCs w:val="17"/>
              </w:rPr>
              <w:t xml:space="preserve">Table </w:t>
            </w:r>
            <w:r w:rsidR="00036405" w:rsidRPr="00036405">
              <w:rPr>
                <w:noProof/>
                <w:sz w:val="17"/>
                <w:szCs w:val="17"/>
              </w:rPr>
              <w:t>7.4</w:t>
            </w:r>
            <w:r w:rsidR="00680DFD" w:rsidRPr="000533E9">
              <w:rPr>
                <w:rFonts w:asciiTheme="majorHAnsi" w:hAnsiTheme="majorHAnsi" w:cstheme="majorHAnsi"/>
                <w:sz w:val="17"/>
                <w:szCs w:val="17"/>
              </w:rPr>
              <w:fldChar w:fldCharType="end"/>
            </w:r>
            <w:r w:rsidR="000C5AE7" w:rsidRPr="000533E9">
              <w:rPr>
                <w:rFonts w:asciiTheme="majorHAnsi" w:hAnsiTheme="majorHAnsi" w:cstheme="majorHAnsi"/>
                <w:sz w:val="17"/>
                <w:szCs w:val="17"/>
              </w:rPr>
              <w:t xml:space="preserve">). </w:t>
            </w:r>
          </w:p>
        </w:tc>
      </w:tr>
      <w:tr w:rsidR="00A70EAE" w:rsidRPr="000533E9" w14:paraId="5E4FFD6B" w14:textId="77777777" w:rsidTr="00814906">
        <w:trPr>
          <w:cnfStyle w:val="000000010000" w:firstRow="0" w:lastRow="0" w:firstColumn="0" w:lastColumn="0" w:oddVBand="0" w:evenVBand="0" w:oddHBand="0" w:evenHBand="1" w:firstRowFirstColumn="0" w:firstRowLastColumn="0" w:lastRowFirstColumn="0" w:lastRowLastColumn="0"/>
          <w:cantSplit/>
        </w:trPr>
        <w:tc>
          <w:tcPr>
            <w:tcW w:w="198" w:type="pct"/>
            <w:vMerge/>
            <w:tcBorders>
              <w:bottom w:val="nil"/>
              <w:right w:val="single" w:sz="4" w:space="0" w:color="auto"/>
            </w:tcBorders>
            <w:shd w:val="clear" w:color="auto" w:fill="FFFFFF" w:themeFill="background1"/>
          </w:tcPr>
          <w:p w14:paraId="44C2A059" w14:textId="77777777" w:rsidR="00A70EAE" w:rsidRPr="000533E9" w:rsidRDefault="00A70EAE" w:rsidP="00FB38B5">
            <w:pPr>
              <w:pStyle w:val="TableBodyText"/>
              <w:spacing w:before="20" w:after="20" w:line="240" w:lineRule="auto"/>
              <w:rPr>
                <w:rFonts w:asciiTheme="majorHAnsi" w:hAnsiTheme="majorHAnsi" w:cstheme="majorHAnsi"/>
                <w:sz w:val="17"/>
                <w:szCs w:val="17"/>
              </w:rPr>
            </w:pPr>
          </w:p>
        </w:tc>
        <w:tc>
          <w:tcPr>
            <w:tcW w:w="346" w:type="pct"/>
            <w:tcBorders>
              <w:left w:val="single" w:sz="4" w:space="0" w:color="auto"/>
              <w:bottom w:val="single" w:sz="4" w:space="0" w:color="auto"/>
            </w:tcBorders>
          </w:tcPr>
          <w:p w14:paraId="798E5916" w14:textId="77777777" w:rsidR="00A70EAE" w:rsidRPr="000533E9" w:rsidRDefault="00A70EAE" w:rsidP="00FB38B5">
            <w:pPr>
              <w:pStyle w:val="TableBodyText"/>
              <w:spacing w:before="0" w:after="0" w:line="240" w:lineRule="auto"/>
              <w:rPr>
                <w:rFonts w:asciiTheme="majorHAnsi" w:hAnsiTheme="majorHAnsi" w:cstheme="majorHAnsi"/>
                <w:sz w:val="17"/>
                <w:szCs w:val="17"/>
              </w:rPr>
            </w:pPr>
            <w:r w:rsidRPr="000533E9">
              <w:rPr>
                <w:rFonts w:asciiTheme="majorHAnsi" w:hAnsiTheme="majorHAnsi" w:cstheme="majorHAnsi"/>
                <w:sz w:val="17"/>
                <w:szCs w:val="17"/>
              </w:rPr>
              <w:t xml:space="preserve">Other </w:t>
            </w:r>
          </w:p>
        </w:tc>
        <w:tc>
          <w:tcPr>
            <w:tcW w:w="4456" w:type="pct"/>
            <w:tcBorders>
              <w:bottom w:val="single" w:sz="4" w:space="0" w:color="auto"/>
            </w:tcBorders>
          </w:tcPr>
          <w:p w14:paraId="64FC8A44" w14:textId="09201A87" w:rsidR="00A70EAE" w:rsidRPr="000533E9" w:rsidRDefault="00A70EAE" w:rsidP="00FB38B5">
            <w:pPr>
              <w:pStyle w:val="TableBullet10"/>
              <w:spacing w:before="0" w:after="0" w:line="240" w:lineRule="auto"/>
              <w:rPr>
                <w:rFonts w:asciiTheme="majorHAnsi" w:eastAsia="Calibri" w:hAnsiTheme="majorHAnsi" w:cstheme="majorHAnsi"/>
                <w:i/>
                <w:iCs/>
                <w:sz w:val="17"/>
                <w:szCs w:val="17"/>
              </w:rPr>
            </w:pPr>
            <w:r w:rsidRPr="000533E9">
              <w:rPr>
                <w:rFonts w:asciiTheme="majorHAnsi" w:hAnsiTheme="majorHAnsi" w:cstheme="majorHAnsi"/>
                <w:color w:val="7030A0"/>
                <w:sz w:val="17"/>
                <w:szCs w:val="17"/>
              </w:rPr>
              <w:t xml:space="preserve">APGA </w:t>
            </w:r>
            <w:r w:rsidRPr="000533E9">
              <w:rPr>
                <w:rFonts w:asciiTheme="majorHAnsi" w:hAnsiTheme="majorHAnsi" w:cstheme="majorHAnsi"/>
                <w:sz w:val="17"/>
                <w:szCs w:val="17"/>
              </w:rPr>
              <w:t xml:space="preserve">and </w:t>
            </w:r>
            <w:r w:rsidRPr="000533E9">
              <w:rPr>
                <w:rFonts w:asciiTheme="majorHAnsi" w:hAnsiTheme="majorHAnsi" w:cstheme="majorHAnsi"/>
                <w:color w:val="7030A0"/>
                <w:sz w:val="17"/>
                <w:szCs w:val="17"/>
              </w:rPr>
              <w:t xml:space="preserve">Epic </w:t>
            </w:r>
            <w:r w:rsidRPr="000533E9">
              <w:rPr>
                <w:rFonts w:asciiTheme="majorHAnsi" w:hAnsiTheme="majorHAnsi" w:cstheme="majorHAnsi"/>
                <w:sz w:val="17"/>
                <w:szCs w:val="17"/>
              </w:rPr>
              <w:t>did not comment directly on whether the threat of arbitration by smaller shippers is less credible, but did note the importance of ‘level-playing field’ and the threat of arbitration being credible for all shippers</w:t>
            </w:r>
            <w:r w:rsidR="00747303" w:rsidRPr="000533E9">
              <w:rPr>
                <w:rFonts w:asciiTheme="majorHAnsi" w:hAnsiTheme="majorHAnsi" w:cstheme="majorHAnsi"/>
                <w:sz w:val="17"/>
                <w:szCs w:val="17"/>
              </w:rPr>
              <w:t xml:space="preserve"> and supported </w:t>
            </w:r>
            <w:r w:rsidR="00CA4770" w:rsidRPr="000533E9">
              <w:rPr>
                <w:rFonts w:asciiTheme="majorHAnsi" w:hAnsiTheme="majorHAnsi" w:cstheme="majorHAnsi"/>
                <w:sz w:val="17"/>
                <w:szCs w:val="17"/>
              </w:rPr>
              <w:t xml:space="preserve">changing the cost provisions in the dispute </w:t>
            </w:r>
            <w:r w:rsidR="0019651F" w:rsidRPr="000533E9">
              <w:rPr>
                <w:rFonts w:asciiTheme="majorHAnsi" w:hAnsiTheme="majorHAnsi" w:cstheme="majorHAnsi"/>
                <w:sz w:val="17"/>
                <w:szCs w:val="17"/>
              </w:rPr>
              <w:t xml:space="preserve">resolution mechanism to reduce this barrier for smaller shippers (see </w:t>
            </w:r>
            <w:r w:rsidR="002B37F6" w:rsidRPr="000533E9">
              <w:rPr>
                <w:rFonts w:asciiTheme="majorHAnsi" w:hAnsiTheme="majorHAnsi" w:cstheme="majorHAnsi"/>
                <w:sz w:val="17"/>
                <w:szCs w:val="17"/>
              </w:rPr>
              <w:fldChar w:fldCharType="begin" w:fldLock="1"/>
            </w:r>
            <w:r w:rsidR="002B37F6" w:rsidRPr="000533E9">
              <w:rPr>
                <w:rFonts w:asciiTheme="majorHAnsi" w:hAnsiTheme="majorHAnsi" w:cstheme="majorHAnsi"/>
                <w:sz w:val="17"/>
                <w:szCs w:val="17"/>
              </w:rPr>
              <w:instrText xml:space="preserve"> REF _Ref52943655 \h  \* MERGEFORMAT </w:instrText>
            </w:r>
            <w:r w:rsidR="002B37F6" w:rsidRPr="000533E9">
              <w:rPr>
                <w:rFonts w:asciiTheme="majorHAnsi" w:hAnsiTheme="majorHAnsi" w:cstheme="majorHAnsi"/>
                <w:sz w:val="17"/>
                <w:szCs w:val="17"/>
              </w:rPr>
            </w:r>
            <w:r w:rsidR="002B37F6" w:rsidRPr="000533E9">
              <w:rPr>
                <w:rFonts w:asciiTheme="majorHAnsi" w:hAnsiTheme="majorHAnsi" w:cstheme="majorHAnsi"/>
                <w:sz w:val="17"/>
                <w:szCs w:val="17"/>
              </w:rPr>
              <w:fldChar w:fldCharType="separate"/>
            </w:r>
            <w:r w:rsidR="00036405" w:rsidRPr="00036405">
              <w:rPr>
                <w:sz w:val="17"/>
                <w:szCs w:val="17"/>
              </w:rPr>
              <w:t xml:space="preserve">Table </w:t>
            </w:r>
            <w:r w:rsidR="00036405" w:rsidRPr="00036405">
              <w:rPr>
                <w:noProof/>
                <w:sz w:val="17"/>
                <w:szCs w:val="17"/>
              </w:rPr>
              <w:t>7.4</w:t>
            </w:r>
            <w:r w:rsidR="002B37F6" w:rsidRPr="000533E9">
              <w:rPr>
                <w:rFonts w:asciiTheme="majorHAnsi" w:hAnsiTheme="majorHAnsi" w:cstheme="majorHAnsi"/>
                <w:sz w:val="17"/>
                <w:szCs w:val="17"/>
              </w:rPr>
              <w:fldChar w:fldCharType="end"/>
            </w:r>
            <w:r w:rsidR="0019651F" w:rsidRPr="000533E9">
              <w:rPr>
                <w:rFonts w:asciiTheme="majorHAnsi" w:hAnsiTheme="majorHAnsi" w:cstheme="majorHAnsi"/>
                <w:sz w:val="17"/>
                <w:szCs w:val="17"/>
              </w:rPr>
              <w:t>)</w:t>
            </w:r>
            <w:r w:rsidRPr="000533E9">
              <w:rPr>
                <w:rFonts w:asciiTheme="majorHAnsi" w:hAnsiTheme="majorHAnsi" w:cstheme="majorHAnsi"/>
                <w:sz w:val="17"/>
                <w:szCs w:val="17"/>
              </w:rPr>
              <w:t xml:space="preserve">.  </w:t>
            </w:r>
          </w:p>
          <w:p w14:paraId="11575476" w14:textId="252D4E76" w:rsidR="00C60185" w:rsidRPr="00814906" w:rsidRDefault="00A70EAE" w:rsidP="00FB38B5">
            <w:pPr>
              <w:pStyle w:val="TableBullet10"/>
              <w:spacing w:before="0" w:after="0" w:line="240" w:lineRule="auto"/>
              <w:rPr>
                <w:rFonts w:asciiTheme="majorHAnsi" w:eastAsia="Calibri" w:hAnsiTheme="majorHAnsi" w:cstheme="majorHAnsi"/>
                <w:i/>
                <w:iCs/>
                <w:sz w:val="17"/>
                <w:szCs w:val="17"/>
              </w:rPr>
            </w:pPr>
            <w:r w:rsidRPr="000533E9">
              <w:rPr>
                <w:rFonts w:asciiTheme="majorHAnsi" w:hAnsiTheme="majorHAnsi" w:cstheme="majorHAnsi"/>
                <w:sz w:val="17"/>
                <w:szCs w:val="17"/>
              </w:rPr>
              <w:t>Other stakeholders did not express a view on whether this constituted a problem</w:t>
            </w:r>
            <w:r w:rsidR="00993D95" w:rsidRPr="000533E9">
              <w:rPr>
                <w:rFonts w:asciiTheme="majorHAnsi" w:hAnsiTheme="majorHAnsi" w:cstheme="majorHAnsi"/>
                <w:sz w:val="17"/>
                <w:szCs w:val="17"/>
              </w:rPr>
              <w:t xml:space="preserve"> with the regulatory framework</w:t>
            </w:r>
            <w:r w:rsidRPr="000533E9">
              <w:rPr>
                <w:rFonts w:asciiTheme="majorHAnsi" w:hAnsiTheme="majorHAnsi" w:cstheme="majorHAnsi"/>
                <w:sz w:val="17"/>
                <w:szCs w:val="17"/>
              </w:rPr>
              <w:t>.</w:t>
            </w:r>
          </w:p>
        </w:tc>
      </w:tr>
      <w:tr w:rsidR="00BC4D81" w:rsidRPr="000533E9" w14:paraId="1FFEC64B" w14:textId="77777777" w:rsidTr="00814906">
        <w:trPr>
          <w:cantSplit/>
        </w:trPr>
        <w:tc>
          <w:tcPr>
            <w:tcW w:w="5000" w:type="pct"/>
            <w:gridSpan w:val="3"/>
            <w:shd w:val="clear" w:color="auto" w:fill="65697F" w:themeFill="background2" w:themeFillShade="80"/>
          </w:tcPr>
          <w:p w14:paraId="3DB9E7CF" w14:textId="77777777" w:rsidR="00BC4D81" w:rsidRPr="000533E9" w:rsidRDefault="00BC4D81" w:rsidP="00FB38B5">
            <w:pPr>
              <w:pStyle w:val="TableBodyText"/>
              <w:spacing w:before="20" w:after="20" w:line="240" w:lineRule="auto"/>
              <w:jc w:val="center"/>
              <w:rPr>
                <w:rFonts w:asciiTheme="majorHAnsi" w:hAnsiTheme="majorHAnsi" w:cstheme="majorHAnsi"/>
                <w:b/>
                <w:bCs/>
                <w:color w:val="FFFFFF" w:themeColor="background1"/>
                <w:sz w:val="17"/>
                <w:szCs w:val="17"/>
                <w:lang w:eastAsia="fr-CA"/>
              </w:rPr>
            </w:pPr>
            <w:r w:rsidRPr="000533E9">
              <w:rPr>
                <w:rFonts w:asciiTheme="majorHAnsi" w:hAnsiTheme="majorHAnsi" w:cstheme="majorHAnsi"/>
                <w:b/>
                <w:bCs/>
                <w:color w:val="FFFFFF" w:themeColor="background1"/>
                <w:sz w:val="17"/>
                <w:szCs w:val="17"/>
              </w:rPr>
              <w:t xml:space="preserve">Deficiencies </w:t>
            </w:r>
            <w:r w:rsidR="00150732" w:rsidRPr="000533E9">
              <w:rPr>
                <w:rFonts w:asciiTheme="majorHAnsi" w:hAnsiTheme="majorHAnsi" w:cstheme="majorHAnsi"/>
                <w:b/>
                <w:bCs/>
                <w:color w:val="FFFFFF" w:themeColor="background1"/>
                <w:sz w:val="17"/>
                <w:szCs w:val="17"/>
              </w:rPr>
              <w:t xml:space="preserve">in the dispute resolution mechanism applying to scheme pipelines </w:t>
            </w:r>
          </w:p>
        </w:tc>
      </w:tr>
      <w:tr w:rsidR="00BC4D81" w:rsidRPr="000533E9" w14:paraId="3FFDC4F1" w14:textId="77777777" w:rsidTr="00814906">
        <w:trPr>
          <w:cnfStyle w:val="000000010000" w:firstRow="0" w:lastRow="0" w:firstColumn="0" w:lastColumn="0" w:oddVBand="0" w:evenVBand="0" w:oddHBand="0" w:evenHBand="1" w:firstRowFirstColumn="0" w:firstRowLastColumn="0" w:lastRowFirstColumn="0" w:lastRowLastColumn="0"/>
          <w:cantSplit/>
        </w:trPr>
        <w:tc>
          <w:tcPr>
            <w:tcW w:w="544" w:type="pct"/>
            <w:gridSpan w:val="2"/>
            <w:shd w:val="clear" w:color="auto" w:fill="FFFFFF" w:themeFill="background1"/>
          </w:tcPr>
          <w:p w14:paraId="0C09F9C6" w14:textId="77777777" w:rsidR="00BC4D81" w:rsidRPr="000533E9" w:rsidRDefault="00BC4D81" w:rsidP="00FB38B5">
            <w:pPr>
              <w:pStyle w:val="TableBodyText"/>
              <w:spacing w:before="20" w:after="20" w:line="240" w:lineRule="auto"/>
              <w:rPr>
                <w:rFonts w:asciiTheme="majorHAnsi" w:hAnsiTheme="majorHAnsi" w:cstheme="majorHAnsi"/>
                <w:sz w:val="17"/>
                <w:szCs w:val="17"/>
              </w:rPr>
            </w:pPr>
            <w:r w:rsidRPr="000533E9">
              <w:rPr>
                <w:rFonts w:asciiTheme="majorHAnsi" w:hAnsiTheme="majorHAnsi" w:cstheme="majorHAnsi"/>
                <w:sz w:val="17"/>
                <w:szCs w:val="17"/>
              </w:rPr>
              <w:t>Description of potential problem</w:t>
            </w:r>
          </w:p>
        </w:tc>
        <w:tc>
          <w:tcPr>
            <w:tcW w:w="4456" w:type="pct"/>
            <w:shd w:val="clear" w:color="auto" w:fill="FFFFFF" w:themeFill="background1"/>
          </w:tcPr>
          <w:p w14:paraId="75BFE230" w14:textId="7AB90518" w:rsidR="00623B9C" w:rsidRPr="000533E9" w:rsidRDefault="00623B9C" w:rsidP="00FB38B5">
            <w:pPr>
              <w:pStyle w:val="BodyText"/>
              <w:spacing w:before="20" w:after="20" w:line="240" w:lineRule="auto"/>
              <w:rPr>
                <w:sz w:val="17"/>
                <w:szCs w:val="17"/>
              </w:rPr>
            </w:pPr>
            <w:r w:rsidRPr="000533E9">
              <w:rPr>
                <w:sz w:val="17"/>
                <w:szCs w:val="17"/>
              </w:rPr>
              <w:t>In the AEMC’s 2017-18 Economic regulation review, concerns were raised about a number of aspects of the dispute resolution mechanism applying under full and light regulation</w:t>
            </w:r>
            <w:r w:rsidR="0017476C" w:rsidRPr="000533E9">
              <w:rPr>
                <w:sz w:val="17"/>
                <w:szCs w:val="17"/>
              </w:rPr>
              <w:t xml:space="preserve"> and the potential for these to reduce the credibility of the threat of arbitration, give rise to unnecessary costs and uncertainties,</w:t>
            </w:r>
            <w:r w:rsidR="00055A19" w:rsidRPr="000533E9">
              <w:rPr>
                <w:sz w:val="17"/>
                <w:szCs w:val="17"/>
              </w:rPr>
              <w:t xml:space="preserve"> and reduce the </w:t>
            </w:r>
            <w:r w:rsidR="00F26AE1" w:rsidRPr="000533E9">
              <w:rPr>
                <w:sz w:val="17"/>
                <w:szCs w:val="17"/>
              </w:rPr>
              <w:t>efficiency of the dispute resolution mechanism and the ability to reach a timely resolution</w:t>
            </w:r>
            <w:r w:rsidRPr="000533E9">
              <w:rPr>
                <w:sz w:val="17"/>
                <w:szCs w:val="17"/>
              </w:rPr>
              <w:t>.</w:t>
            </w:r>
            <w:r w:rsidR="00370905">
              <w:rPr>
                <w:rFonts w:ascii="ZWAdobeF" w:hAnsi="ZWAdobeF" w:cs="ZWAdobeF"/>
                <w:sz w:val="2"/>
                <w:szCs w:val="2"/>
              </w:rPr>
              <w:t>162F</w:t>
            </w:r>
            <w:r w:rsidR="00710158" w:rsidRPr="000533E9">
              <w:rPr>
                <w:rStyle w:val="FootnoteReference"/>
                <w:sz w:val="17"/>
                <w:szCs w:val="17"/>
              </w:rPr>
              <w:footnoteReference w:id="164"/>
            </w:r>
            <w:r w:rsidRPr="000533E9">
              <w:rPr>
                <w:sz w:val="17"/>
                <w:szCs w:val="17"/>
              </w:rPr>
              <w:t xml:space="preserve"> Concerns were, for example, expressed about the limited guidance provided in the NGL and/or the NGR about:</w:t>
            </w:r>
            <w:r w:rsidRPr="000533E9">
              <w:rPr>
                <w:rStyle w:val="FootnoteReference"/>
                <w:sz w:val="17"/>
                <w:szCs w:val="17"/>
              </w:rPr>
              <w:t xml:space="preserve"> </w:t>
            </w:r>
          </w:p>
          <w:p w14:paraId="5D5553A8" w14:textId="77777777" w:rsidR="00623B9C" w:rsidRPr="000533E9" w:rsidRDefault="00623B9C" w:rsidP="00FB38B5">
            <w:pPr>
              <w:pStyle w:val="ListBullet"/>
              <w:spacing w:before="20" w:after="20" w:line="240" w:lineRule="auto"/>
              <w:ind w:left="442" w:hanging="357"/>
            </w:pPr>
            <w:r w:rsidRPr="000533E9">
              <w:t xml:space="preserve">the matters to be considered by the dispute resolution body in an arbitration; </w:t>
            </w:r>
          </w:p>
          <w:p w14:paraId="2D773690" w14:textId="77777777" w:rsidR="00623B9C" w:rsidRPr="000533E9" w:rsidRDefault="00623B9C" w:rsidP="00FB38B5">
            <w:pPr>
              <w:pStyle w:val="ListBullet"/>
              <w:spacing w:before="20" w:after="20" w:line="240" w:lineRule="auto"/>
              <w:ind w:left="442" w:hanging="357"/>
            </w:pPr>
            <w:r w:rsidRPr="000533E9">
              <w:t xml:space="preserve">the process for advising market participants of the existence of a dispute and joining other parties to a dispute; </w:t>
            </w:r>
          </w:p>
          <w:p w14:paraId="517506AE" w14:textId="77777777" w:rsidR="00623B9C" w:rsidRPr="000533E9" w:rsidRDefault="00623B9C" w:rsidP="00FB38B5">
            <w:pPr>
              <w:pStyle w:val="ListBullet"/>
              <w:spacing w:before="20" w:after="20" w:line="240" w:lineRule="auto"/>
              <w:ind w:left="442" w:hanging="357"/>
            </w:pPr>
            <w:r w:rsidRPr="000533E9">
              <w:t>the role of the dispute resolution expert in providing advice, the process for appointing such an expert and using the expert’s evidence;</w:t>
            </w:r>
          </w:p>
          <w:p w14:paraId="118E2F49" w14:textId="77777777" w:rsidR="00623B9C" w:rsidRPr="000533E9" w:rsidRDefault="00623B9C" w:rsidP="00FB38B5">
            <w:pPr>
              <w:pStyle w:val="ListBullet"/>
              <w:spacing w:before="20" w:after="20" w:line="240" w:lineRule="auto"/>
              <w:ind w:left="442" w:hanging="357"/>
            </w:pPr>
            <w:r w:rsidRPr="000533E9">
              <w:t>the timeframes for the dispute resolution process; and</w:t>
            </w:r>
          </w:p>
          <w:p w14:paraId="16B8B07B" w14:textId="77777777" w:rsidR="00623B9C" w:rsidRPr="000533E9" w:rsidRDefault="00623B9C" w:rsidP="00FB38B5">
            <w:pPr>
              <w:pStyle w:val="ListBullet"/>
              <w:spacing w:before="20" w:after="20" w:line="240" w:lineRule="auto"/>
              <w:ind w:left="442" w:hanging="357"/>
            </w:pPr>
            <w:r w:rsidRPr="000533E9">
              <w:t xml:space="preserve">the information to be published on the outcome of an arbitration. </w:t>
            </w:r>
          </w:p>
          <w:p w14:paraId="4657118F" w14:textId="27055A6A" w:rsidR="00623B9C" w:rsidRPr="000533E9" w:rsidRDefault="00623B9C" w:rsidP="00FB38B5">
            <w:pPr>
              <w:pStyle w:val="BodyText"/>
              <w:spacing w:before="20" w:after="20" w:line="240" w:lineRule="auto"/>
              <w:rPr>
                <w:sz w:val="17"/>
                <w:szCs w:val="17"/>
              </w:rPr>
            </w:pPr>
            <w:r w:rsidRPr="000533E9">
              <w:rPr>
                <w:sz w:val="17"/>
                <w:szCs w:val="17"/>
              </w:rPr>
              <w:t>Another potential issue that has been identified with the dispute resolution mechanism applying under full and light regulation is that the dispute resolution body’s access determination is binding on both parties.</w:t>
            </w:r>
            <w:r w:rsidR="00370905">
              <w:rPr>
                <w:rFonts w:ascii="ZWAdobeF" w:hAnsi="ZWAdobeF" w:cs="ZWAdobeF"/>
                <w:sz w:val="2"/>
                <w:szCs w:val="2"/>
              </w:rPr>
              <w:t>163F</w:t>
            </w:r>
            <w:r w:rsidRPr="000533E9">
              <w:rPr>
                <w:rStyle w:val="FootnoteReference"/>
                <w:sz w:val="17"/>
                <w:szCs w:val="17"/>
              </w:rPr>
              <w:footnoteReference w:id="165"/>
            </w:r>
            <w:r w:rsidRPr="000533E9">
              <w:rPr>
                <w:sz w:val="17"/>
                <w:szCs w:val="17"/>
              </w:rPr>
              <w:t xml:space="preserve"> This is in direct contrast to the approach adopted under Part 23, where the access determination is binding on the service provider but is only binding on the shipper if </w:t>
            </w:r>
            <w:r w:rsidR="0026358E" w:rsidRPr="000533E9">
              <w:rPr>
                <w:sz w:val="17"/>
                <w:szCs w:val="17"/>
              </w:rPr>
              <w:t xml:space="preserve">the shipper </w:t>
            </w:r>
            <w:r w:rsidRPr="000533E9">
              <w:rPr>
                <w:sz w:val="17"/>
                <w:szCs w:val="17"/>
              </w:rPr>
              <w:t xml:space="preserve">decides to enter into a contract that gives effect to the access determination. If the shipper decides not to enter into such a contract, then it is prohibited by the rules from seeking arbitration in relation to the same or a substantially similar service for a period of one year. </w:t>
            </w:r>
          </w:p>
          <w:p w14:paraId="1549819B" w14:textId="706C53CD" w:rsidR="00BC4D81" w:rsidRPr="000533E9" w:rsidRDefault="00F30A58" w:rsidP="00FB38B5">
            <w:pPr>
              <w:pStyle w:val="BodyText"/>
              <w:spacing w:before="20" w:after="20" w:line="240" w:lineRule="auto"/>
              <w:rPr>
                <w:sz w:val="17"/>
                <w:szCs w:val="17"/>
              </w:rPr>
            </w:pPr>
            <w:r w:rsidRPr="000533E9">
              <w:rPr>
                <w:sz w:val="17"/>
                <w:szCs w:val="17"/>
              </w:rPr>
              <w:t>A different approach was adopted in Part 23 because concerns were raised during the development of Part 23 about the potential for an arbitrator’s access determination to cause a shipper financial distress.</w:t>
            </w:r>
            <w:r w:rsidR="00370905">
              <w:rPr>
                <w:rFonts w:ascii="ZWAdobeF" w:hAnsi="ZWAdobeF" w:cs="ZWAdobeF"/>
                <w:sz w:val="2"/>
                <w:szCs w:val="2"/>
              </w:rPr>
              <w:t>164F</w:t>
            </w:r>
            <w:r w:rsidRPr="000533E9">
              <w:rPr>
                <w:sz w:val="17"/>
                <w:szCs w:val="17"/>
                <w:vertAlign w:val="superscript"/>
              </w:rPr>
              <w:footnoteReference w:id="166"/>
            </w:r>
            <w:r w:rsidRPr="000533E9">
              <w:rPr>
                <w:sz w:val="17"/>
                <w:szCs w:val="17"/>
              </w:rPr>
              <w:t xml:space="preserve"> While a similar risk exists under full and light regulation, the determination is binding on shippers.</w:t>
            </w:r>
            <w:r w:rsidR="00370905">
              <w:rPr>
                <w:rFonts w:ascii="ZWAdobeF" w:hAnsi="ZWAdobeF" w:cs="ZWAdobeF"/>
                <w:sz w:val="2"/>
                <w:szCs w:val="2"/>
              </w:rPr>
              <w:t>165F</w:t>
            </w:r>
            <w:r w:rsidRPr="000533E9">
              <w:rPr>
                <w:rStyle w:val="FootnoteReference"/>
                <w:sz w:val="17"/>
                <w:szCs w:val="17"/>
              </w:rPr>
              <w:footnoteReference w:id="167"/>
            </w:r>
            <w:r w:rsidRPr="000533E9">
              <w:rPr>
                <w:sz w:val="17"/>
                <w:szCs w:val="17"/>
              </w:rPr>
              <w:t xml:space="preserve"> It is possible therefore that this feature of the dispute resolution mechanism could discourage shippers from triggering an access dispute on a </w:t>
            </w:r>
            <w:r w:rsidR="00814906">
              <w:rPr>
                <w:sz w:val="17"/>
                <w:szCs w:val="17"/>
              </w:rPr>
              <w:t xml:space="preserve">scheme </w:t>
            </w:r>
            <w:r w:rsidRPr="000533E9">
              <w:rPr>
                <w:sz w:val="17"/>
                <w:szCs w:val="17"/>
              </w:rPr>
              <w:t xml:space="preserve">pipeline. </w:t>
            </w:r>
          </w:p>
        </w:tc>
      </w:tr>
      <w:tr w:rsidR="009906EA" w:rsidRPr="000533E9" w14:paraId="0BBC1D04" w14:textId="77777777" w:rsidTr="00814906">
        <w:trPr>
          <w:cantSplit/>
        </w:trPr>
        <w:tc>
          <w:tcPr>
            <w:tcW w:w="198" w:type="pct"/>
            <w:vMerge w:val="restart"/>
            <w:tcBorders>
              <w:top w:val="nil"/>
              <w:right w:val="single" w:sz="4" w:space="0" w:color="auto"/>
            </w:tcBorders>
            <w:shd w:val="clear" w:color="auto" w:fill="FFFFFF" w:themeFill="background1"/>
            <w:textDirection w:val="btLr"/>
          </w:tcPr>
          <w:p w14:paraId="05791CC8" w14:textId="77777777" w:rsidR="009906EA" w:rsidRPr="000533E9" w:rsidRDefault="009906EA" w:rsidP="00FB38B5">
            <w:pPr>
              <w:pStyle w:val="TableBodyText"/>
              <w:spacing w:before="20" w:after="20" w:line="240" w:lineRule="auto"/>
              <w:jc w:val="center"/>
              <w:rPr>
                <w:rFonts w:asciiTheme="majorHAnsi" w:hAnsiTheme="majorHAnsi" w:cstheme="majorHAnsi"/>
                <w:sz w:val="17"/>
                <w:szCs w:val="17"/>
              </w:rPr>
            </w:pPr>
            <w:r w:rsidRPr="000533E9">
              <w:rPr>
                <w:rFonts w:asciiTheme="majorHAnsi" w:hAnsiTheme="majorHAnsi" w:cstheme="majorHAnsi"/>
                <w:sz w:val="17"/>
                <w:szCs w:val="17"/>
              </w:rPr>
              <w:t>Stakeholder feedback</w:t>
            </w:r>
          </w:p>
        </w:tc>
        <w:tc>
          <w:tcPr>
            <w:tcW w:w="346" w:type="pct"/>
            <w:tcBorders>
              <w:left w:val="single" w:sz="4" w:space="0" w:color="auto"/>
              <w:bottom w:val="single" w:sz="4" w:space="0" w:color="auto"/>
            </w:tcBorders>
            <w:shd w:val="clear" w:color="auto" w:fill="BFF9D6"/>
          </w:tcPr>
          <w:p w14:paraId="1251E639" w14:textId="77777777" w:rsidR="009906EA" w:rsidRPr="000533E9" w:rsidRDefault="009906EA" w:rsidP="00FB38B5">
            <w:pPr>
              <w:pStyle w:val="TableBodyText"/>
              <w:spacing w:before="20" w:after="20" w:line="240" w:lineRule="auto"/>
              <w:rPr>
                <w:rFonts w:asciiTheme="majorHAnsi" w:hAnsiTheme="majorHAnsi" w:cstheme="majorHAnsi"/>
                <w:sz w:val="17"/>
                <w:szCs w:val="17"/>
              </w:rPr>
            </w:pPr>
            <w:r w:rsidRPr="000533E9">
              <w:rPr>
                <w:rFonts w:asciiTheme="majorHAnsi" w:hAnsiTheme="majorHAnsi" w:cstheme="majorHAnsi"/>
                <w:sz w:val="17"/>
                <w:szCs w:val="17"/>
              </w:rPr>
              <w:t>Agree</w:t>
            </w:r>
          </w:p>
        </w:tc>
        <w:tc>
          <w:tcPr>
            <w:tcW w:w="4456" w:type="pct"/>
            <w:tcBorders>
              <w:bottom w:val="single" w:sz="4" w:space="0" w:color="auto"/>
            </w:tcBorders>
            <w:shd w:val="clear" w:color="auto" w:fill="BFF9D6"/>
          </w:tcPr>
          <w:p w14:paraId="6AF9C9B5" w14:textId="77777777" w:rsidR="009906EA" w:rsidRPr="000533E9" w:rsidRDefault="009906EA" w:rsidP="00FB38B5">
            <w:pPr>
              <w:pStyle w:val="TableBullet10"/>
              <w:spacing w:before="20" w:line="240" w:lineRule="auto"/>
              <w:rPr>
                <w:rFonts w:asciiTheme="majorHAnsi" w:hAnsiTheme="majorHAnsi" w:cstheme="majorHAnsi"/>
                <w:sz w:val="17"/>
                <w:szCs w:val="17"/>
              </w:rPr>
            </w:pPr>
            <w:r w:rsidRPr="000533E9">
              <w:rPr>
                <w:rFonts w:asciiTheme="majorHAnsi" w:hAnsiTheme="majorHAnsi" w:cstheme="majorHAnsi"/>
                <w:sz w:val="17"/>
                <w:szCs w:val="17"/>
              </w:rPr>
              <w:t xml:space="preserve">The </w:t>
            </w:r>
            <w:r w:rsidRPr="000533E9">
              <w:rPr>
                <w:rFonts w:asciiTheme="majorHAnsi" w:hAnsiTheme="majorHAnsi" w:cstheme="majorHAnsi"/>
                <w:color w:val="FF0000"/>
                <w:sz w:val="17"/>
                <w:szCs w:val="17"/>
              </w:rPr>
              <w:t>ACCC</w:t>
            </w:r>
            <w:r w:rsidRPr="000533E9">
              <w:rPr>
                <w:rFonts w:asciiTheme="majorHAnsi" w:hAnsiTheme="majorHAnsi" w:cstheme="majorHAnsi"/>
                <w:sz w:val="17"/>
                <w:szCs w:val="17"/>
              </w:rPr>
              <w:t xml:space="preserve">, </w:t>
            </w:r>
            <w:r w:rsidRPr="000533E9">
              <w:rPr>
                <w:rFonts w:asciiTheme="majorHAnsi" w:hAnsiTheme="majorHAnsi" w:cstheme="majorHAnsi"/>
                <w:color w:val="0000FF"/>
                <w:sz w:val="17"/>
                <w:szCs w:val="17"/>
              </w:rPr>
              <w:t>EUAA, NSW Business Chamber Chemistry Australia</w:t>
            </w:r>
            <w:r w:rsidRPr="000533E9">
              <w:rPr>
                <w:rFonts w:asciiTheme="majorHAnsi" w:hAnsiTheme="majorHAnsi" w:cstheme="majorHAnsi"/>
                <w:sz w:val="17"/>
                <w:szCs w:val="17"/>
              </w:rPr>
              <w:t xml:space="preserve">, </w:t>
            </w:r>
            <w:r w:rsidRPr="000533E9">
              <w:rPr>
                <w:rFonts w:asciiTheme="majorHAnsi" w:hAnsiTheme="majorHAnsi" w:cstheme="majorHAnsi"/>
                <w:color w:val="D60093"/>
                <w:sz w:val="17"/>
                <w:szCs w:val="17"/>
              </w:rPr>
              <w:t>COPA</w:t>
            </w:r>
            <w:r w:rsidR="008F4430" w:rsidRPr="000533E9">
              <w:rPr>
                <w:rFonts w:asciiTheme="majorHAnsi" w:hAnsiTheme="majorHAnsi" w:cstheme="majorHAnsi"/>
                <w:color w:val="FF19FF" w:themeColor="accent6" w:themeTint="99"/>
                <w:sz w:val="17"/>
                <w:szCs w:val="17"/>
              </w:rPr>
              <w:t xml:space="preserve"> </w:t>
            </w:r>
            <w:r w:rsidR="008F4430" w:rsidRPr="000533E9">
              <w:rPr>
                <w:rFonts w:asciiTheme="majorHAnsi" w:hAnsiTheme="majorHAnsi" w:cstheme="majorHAnsi"/>
                <w:sz w:val="17"/>
                <w:szCs w:val="17"/>
              </w:rPr>
              <w:t>and</w:t>
            </w:r>
            <w:r w:rsidRPr="000533E9">
              <w:rPr>
                <w:rFonts w:asciiTheme="majorHAnsi" w:hAnsiTheme="majorHAnsi" w:cstheme="majorHAnsi"/>
                <w:color w:val="FF19FF" w:themeColor="accent6" w:themeTint="99"/>
                <w:sz w:val="17"/>
                <w:szCs w:val="17"/>
              </w:rPr>
              <w:t xml:space="preserve"> </w:t>
            </w:r>
            <w:r w:rsidRPr="000533E9">
              <w:rPr>
                <w:rFonts w:asciiTheme="majorHAnsi" w:hAnsiTheme="majorHAnsi" w:cstheme="majorHAnsi"/>
                <w:color w:val="00B050"/>
                <w:sz w:val="17"/>
                <w:szCs w:val="17"/>
              </w:rPr>
              <w:t xml:space="preserve">Energy Matrix </w:t>
            </w:r>
            <w:r w:rsidRPr="000533E9">
              <w:rPr>
                <w:rFonts w:asciiTheme="majorHAnsi" w:hAnsiTheme="majorHAnsi" w:cstheme="majorHAnsi"/>
                <w:sz w:val="17"/>
                <w:szCs w:val="17"/>
              </w:rPr>
              <w:t xml:space="preserve">agreed that the dispute resolution mechanism applying to scheme pipelines may not be as effective or efficient as it could be. </w:t>
            </w:r>
          </w:p>
        </w:tc>
      </w:tr>
      <w:tr w:rsidR="009906EA" w:rsidRPr="000533E9" w14:paraId="3DA030CF" w14:textId="77777777" w:rsidTr="00814906">
        <w:trPr>
          <w:cnfStyle w:val="000000010000" w:firstRow="0" w:lastRow="0" w:firstColumn="0" w:lastColumn="0" w:oddVBand="0" w:evenVBand="0" w:oddHBand="0" w:evenHBand="1" w:firstRowFirstColumn="0" w:firstRowLastColumn="0" w:lastRowFirstColumn="0" w:lastRowLastColumn="0"/>
          <w:cantSplit/>
          <w:trHeight w:val="442"/>
        </w:trPr>
        <w:tc>
          <w:tcPr>
            <w:tcW w:w="198" w:type="pct"/>
            <w:vMerge/>
            <w:tcBorders>
              <w:right w:val="single" w:sz="4" w:space="0" w:color="auto"/>
            </w:tcBorders>
            <w:shd w:val="clear" w:color="auto" w:fill="FFFFFF" w:themeFill="background1"/>
          </w:tcPr>
          <w:p w14:paraId="4AB1EA75" w14:textId="77777777" w:rsidR="009906EA" w:rsidRPr="000533E9" w:rsidRDefault="009906EA" w:rsidP="00FB38B5">
            <w:pPr>
              <w:pStyle w:val="TableBodyText"/>
              <w:spacing w:before="20" w:after="20" w:line="240" w:lineRule="auto"/>
              <w:rPr>
                <w:rFonts w:asciiTheme="majorHAnsi" w:hAnsiTheme="majorHAnsi" w:cstheme="majorHAnsi"/>
                <w:sz w:val="17"/>
                <w:szCs w:val="17"/>
              </w:rPr>
            </w:pPr>
          </w:p>
        </w:tc>
        <w:tc>
          <w:tcPr>
            <w:tcW w:w="346" w:type="pct"/>
            <w:tcBorders>
              <w:left w:val="single" w:sz="4" w:space="0" w:color="auto"/>
              <w:bottom w:val="single" w:sz="4" w:space="0" w:color="auto"/>
            </w:tcBorders>
            <w:shd w:val="clear" w:color="auto" w:fill="FFD9DC"/>
          </w:tcPr>
          <w:p w14:paraId="267C79B3" w14:textId="77777777" w:rsidR="009906EA" w:rsidRPr="000533E9" w:rsidRDefault="009906EA" w:rsidP="00FB38B5">
            <w:pPr>
              <w:pStyle w:val="TableBodyText"/>
              <w:spacing w:before="20" w:after="20" w:line="240" w:lineRule="auto"/>
              <w:rPr>
                <w:rFonts w:asciiTheme="majorHAnsi" w:hAnsiTheme="majorHAnsi" w:cstheme="majorHAnsi"/>
                <w:sz w:val="17"/>
                <w:szCs w:val="17"/>
              </w:rPr>
            </w:pPr>
            <w:r w:rsidRPr="000533E9">
              <w:rPr>
                <w:rFonts w:asciiTheme="majorHAnsi" w:hAnsiTheme="majorHAnsi" w:cstheme="majorHAnsi"/>
                <w:sz w:val="17"/>
                <w:szCs w:val="17"/>
              </w:rPr>
              <w:t>Disagree</w:t>
            </w:r>
          </w:p>
        </w:tc>
        <w:tc>
          <w:tcPr>
            <w:tcW w:w="4456" w:type="pct"/>
            <w:tcBorders>
              <w:bottom w:val="single" w:sz="4" w:space="0" w:color="auto"/>
            </w:tcBorders>
            <w:shd w:val="clear" w:color="auto" w:fill="FFD9DC"/>
          </w:tcPr>
          <w:p w14:paraId="105590C9" w14:textId="69C047A1" w:rsidR="009906EA" w:rsidRPr="000533E9" w:rsidRDefault="009906EA" w:rsidP="00FB38B5">
            <w:pPr>
              <w:pStyle w:val="TableBullet10"/>
              <w:spacing w:before="20" w:after="20" w:line="240" w:lineRule="auto"/>
              <w:rPr>
                <w:rFonts w:asciiTheme="majorHAnsi" w:eastAsia="Calibri" w:hAnsiTheme="majorHAnsi" w:cstheme="majorHAnsi"/>
                <w:sz w:val="17"/>
                <w:szCs w:val="17"/>
              </w:rPr>
            </w:pPr>
            <w:r w:rsidRPr="000533E9">
              <w:rPr>
                <w:rFonts w:asciiTheme="majorHAnsi" w:hAnsiTheme="majorHAnsi" w:cstheme="majorHAnsi"/>
                <w:color w:val="D60093"/>
                <w:sz w:val="17"/>
                <w:szCs w:val="17"/>
              </w:rPr>
              <w:t>APLNG,</w:t>
            </w:r>
            <w:r w:rsidRPr="000533E9">
              <w:rPr>
                <w:rFonts w:asciiTheme="majorHAnsi" w:hAnsiTheme="majorHAnsi" w:cstheme="majorHAnsi"/>
                <w:color w:val="FF19FF" w:themeColor="accent6" w:themeTint="99"/>
                <w:sz w:val="17"/>
                <w:szCs w:val="17"/>
              </w:rPr>
              <w:t xml:space="preserve"> </w:t>
            </w:r>
            <w:r w:rsidRPr="000533E9">
              <w:rPr>
                <w:rFonts w:asciiTheme="majorHAnsi" w:hAnsiTheme="majorHAnsi" w:cstheme="majorHAnsi"/>
                <w:color w:val="7030A0"/>
                <w:sz w:val="17"/>
                <w:szCs w:val="17"/>
              </w:rPr>
              <w:t xml:space="preserve">APGA </w:t>
            </w:r>
            <w:r w:rsidRPr="000533E9">
              <w:rPr>
                <w:rFonts w:asciiTheme="majorHAnsi" w:hAnsiTheme="majorHAnsi" w:cstheme="majorHAnsi"/>
                <w:sz w:val="17"/>
                <w:szCs w:val="17"/>
              </w:rPr>
              <w:t>and</w:t>
            </w:r>
            <w:r w:rsidRPr="000533E9">
              <w:rPr>
                <w:rFonts w:asciiTheme="majorHAnsi" w:hAnsiTheme="majorHAnsi" w:cstheme="majorHAnsi"/>
                <w:color w:val="800080" w:themeColor="accent6"/>
                <w:sz w:val="17"/>
                <w:szCs w:val="17"/>
              </w:rPr>
              <w:t xml:space="preserve"> </w:t>
            </w:r>
            <w:r w:rsidRPr="000533E9">
              <w:rPr>
                <w:rFonts w:asciiTheme="majorHAnsi" w:hAnsiTheme="majorHAnsi" w:cstheme="majorHAnsi"/>
                <w:color w:val="7030A0"/>
                <w:sz w:val="17"/>
                <w:szCs w:val="17"/>
              </w:rPr>
              <w:t xml:space="preserve">APA </w:t>
            </w:r>
            <w:r w:rsidRPr="000533E9">
              <w:rPr>
                <w:rFonts w:asciiTheme="majorHAnsi" w:hAnsiTheme="majorHAnsi" w:cstheme="majorHAnsi"/>
                <w:sz w:val="17"/>
                <w:szCs w:val="17"/>
              </w:rPr>
              <w:t xml:space="preserve">did not think </w:t>
            </w:r>
            <w:r w:rsidR="00642F31" w:rsidRPr="000533E9">
              <w:rPr>
                <w:rFonts w:asciiTheme="majorHAnsi" w:hAnsiTheme="majorHAnsi" w:cstheme="majorHAnsi"/>
                <w:sz w:val="17"/>
                <w:szCs w:val="17"/>
              </w:rPr>
              <w:t xml:space="preserve">the identified deficiencies were </w:t>
            </w:r>
            <w:r w:rsidRPr="000533E9">
              <w:rPr>
                <w:rFonts w:asciiTheme="majorHAnsi" w:hAnsiTheme="majorHAnsi" w:cstheme="majorHAnsi"/>
                <w:sz w:val="17"/>
                <w:szCs w:val="17"/>
              </w:rPr>
              <w:t xml:space="preserve">a problem, or did not think </w:t>
            </w:r>
            <w:r w:rsidR="00642F31" w:rsidRPr="000533E9">
              <w:rPr>
                <w:rFonts w:asciiTheme="majorHAnsi" w:hAnsiTheme="majorHAnsi" w:cstheme="majorHAnsi"/>
                <w:sz w:val="17"/>
                <w:szCs w:val="17"/>
              </w:rPr>
              <w:t xml:space="preserve">they constituted a </w:t>
            </w:r>
            <w:r w:rsidRPr="000533E9">
              <w:rPr>
                <w:rFonts w:asciiTheme="majorHAnsi" w:hAnsiTheme="majorHAnsi" w:cstheme="majorHAnsi"/>
                <w:sz w:val="17"/>
                <w:szCs w:val="17"/>
              </w:rPr>
              <w:t>significant problem.</w:t>
            </w:r>
            <w:r w:rsidR="00642F31" w:rsidRPr="000533E9">
              <w:rPr>
                <w:rFonts w:asciiTheme="majorHAnsi" w:hAnsiTheme="majorHAnsi" w:cstheme="majorHAnsi"/>
                <w:sz w:val="17"/>
                <w:szCs w:val="17"/>
              </w:rPr>
              <w:t xml:space="preserve"> They did, however, support a number of the proposed changes to the dispute resolution mechanism (see </w:t>
            </w:r>
            <w:r w:rsidR="00993D95" w:rsidRPr="000533E9">
              <w:rPr>
                <w:rFonts w:asciiTheme="majorHAnsi" w:hAnsiTheme="majorHAnsi" w:cstheme="majorHAnsi"/>
                <w:sz w:val="17"/>
                <w:szCs w:val="17"/>
              </w:rPr>
              <w:fldChar w:fldCharType="begin" w:fldLock="1"/>
            </w:r>
            <w:r w:rsidR="00993D95" w:rsidRPr="000533E9">
              <w:rPr>
                <w:rFonts w:asciiTheme="majorHAnsi" w:hAnsiTheme="majorHAnsi" w:cstheme="majorHAnsi"/>
                <w:sz w:val="17"/>
                <w:szCs w:val="17"/>
              </w:rPr>
              <w:instrText xml:space="preserve"> REF _Ref52943655 \h  \* MERGEFORMAT </w:instrText>
            </w:r>
            <w:r w:rsidR="00993D95" w:rsidRPr="000533E9">
              <w:rPr>
                <w:rFonts w:asciiTheme="majorHAnsi" w:hAnsiTheme="majorHAnsi" w:cstheme="majorHAnsi"/>
                <w:sz w:val="17"/>
                <w:szCs w:val="17"/>
              </w:rPr>
            </w:r>
            <w:r w:rsidR="00993D95" w:rsidRPr="000533E9">
              <w:rPr>
                <w:rFonts w:asciiTheme="majorHAnsi" w:hAnsiTheme="majorHAnsi" w:cstheme="majorHAnsi"/>
                <w:sz w:val="17"/>
                <w:szCs w:val="17"/>
              </w:rPr>
              <w:fldChar w:fldCharType="separate"/>
            </w:r>
            <w:r w:rsidR="00036405" w:rsidRPr="00036405">
              <w:rPr>
                <w:sz w:val="17"/>
                <w:szCs w:val="17"/>
              </w:rPr>
              <w:t xml:space="preserve">Table </w:t>
            </w:r>
            <w:r w:rsidR="00036405" w:rsidRPr="00036405">
              <w:rPr>
                <w:noProof/>
                <w:sz w:val="17"/>
                <w:szCs w:val="17"/>
              </w:rPr>
              <w:t>7.4</w:t>
            </w:r>
            <w:r w:rsidR="00993D95" w:rsidRPr="000533E9">
              <w:rPr>
                <w:rFonts w:asciiTheme="majorHAnsi" w:hAnsiTheme="majorHAnsi" w:cstheme="majorHAnsi"/>
                <w:sz w:val="17"/>
                <w:szCs w:val="17"/>
              </w:rPr>
              <w:fldChar w:fldCharType="end"/>
            </w:r>
            <w:r w:rsidR="00642F31" w:rsidRPr="000533E9">
              <w:rPr>
                <w:rFonts w:asciiTheme="majorHAnsi" w:hAnsiTheme="majorHAnsi" w:cstheme="majorHAnsi"/>
                <w:sz w:val="17"/>
                <w:szCs w:val="17"/>
              </w:rPr>
              <w:t>).</w:t>
            </w:r>
          </w:p>
        </w:tc>
      </w:tr>
      <w:tr w:rsidR="00BC4D81" w:rsidRPr="000533E9" w14:paraId="475240EF" w14:textId="77777777" w:rsidTr="00814906">
        <w:trPr>
          <w:cantSplit/>
        </w:trPr>
        <w:tc>
          <w:tcPr>
            <w:tcW w:w="198" w:type="pct"/>
            <w:vMerge/>
            <w:tcBorders>
              <w:bottom w:val="nil"/>
              <w:right w:val="single" w:sz="4" w:space="0" w:color="auto"/>
            </w:tcBorders>
            <w:shd w:val="clear" w:color="auto" w:fill="FFFFFF" w:themeFill="background1"/>
          </w:tcPr>
          <w:p w14:paraId="457D3B1B" w14:textId="77777777" w:rsidR="00BC4D81" w:rsidRPr="000533E9" w:rsidRDefault="00BC4D81" w:rsidP="00FB38B5">
            <w:pPr>
              <w:pStyle w:val="TableBodyText"/>
              <w:spacing w:before="20" w:after="20" w:line="240" w:lineRule="auto"/>
              <w:rPr>
                <w:rFonts w:asciiTheme="majorHAnsi" w:hAnsiTheme="majorHAnsi" w:cstheme="majorHAnsi"/>
                <w:sz w:val="17"/>
                <w:szCs w:val="17"/>
              </w:rPr>
            </w:pPr>
          </w:p>
        </w:tc>
        <w:tc>
          <w:tcPr>
            <w:tcW w:w="346" w:type="pct"/>
            <w:tcBorders>
              <w:left w:val="single" w:sz="4" w:space="0" w:color="auto"/>
              <w:bottom w:val="single" w:sz="4" w:space="0" w:color="auto"/>
            </w:tcBorders>
          </w:tcPr>
          <w:p w14:paraId="705166B4" w14:textId="77777777" w:rsidR="00BC4D81" w:rsidRPr="000533E9" w:rsidRDefault="00BC4D81" w:rsidP="00FB38B5">
            <w:pPr>
              <w:pStyle w:val="TableBodyText"/>
              <w:spacing w:before="20" w:after="20" w:line="240" w:lineRule="auto"/>
              <w:rPr>
                <w:rFonts w:asciiTheme="majorHAnsi" w:hAnsiTheme="majorHAnsi" w:cstheme="majorHAnsi"/>
                <w:sz w:val="17"/>
                <w:szCs w:val="17"/>
              </w:rPr>
            </w:pPr>
            <w:r w:rsidRPr="000533E9">
              <w:rPr>
                <w:rFonts w:asciiTheme="majorHAnsi" w:hAnsiTheme="majorHAnsi" w:cstheme="majorHAnsi"/>
                <w:sz w:val="17"/>
                <w:szCs w:val="17"/>
              </w:rPr>
              <w:t xml:space="preserve">Other </w:t>
            </w:r>
          </w:p>
        </w:tc>
        <w:tc>
          <w:tcPr>
            <w:tcW w:w="4456" w:type="pct"/>
            <w:tcBorders>
              <w:bottom w:val="single" w:sz="4" w:space="0" w:color="auto"/>
            </w:tcBorders>
          </w:tcPr>
          <w:p w14:paraId="7DDDF6CE" w14:textId="77777777" w:rsidR="00BC4D81" w:rsidRPr="000533E9" w:rsidRDefault="009906EA" w:rsidP="00FB38B5">
            <w:pPr>
              <w:pStyle w:val="TableBullet10"/>
              <w:spacing w:before="20" w:after="20" w:line="240" w:lineRule="auto"/>
              <w:rPr>
                <w:rFonts w:asciiTheme="majorHAnsi" w:eastAsia="Calibri" w:hAnsiTheme="majorHAnsi" w:cstheme="majorHAnsi"/>
                <w:i/>
                <w:iCs/>
                <w:sz w:val="17"/>
                <w:szCs w:val="17"/>
              </w:rPr>
            </w:pPr>
            <w:r w:rsidRPr="000533E9">
              <w:rPr>
                <w:rFonts w:asciiTheme="majorHAnsi" w:hAnsiTheme="majorHAnsi" w:cstheme="majorHAnsi"/>
                <w:sz w:val="17"/>
                <w:szCs w:val="17"/>
              </w:rPr>
              <w:t>Other stakeholders did not express a view on whether this constituted a problem</w:t>
            </w:r>
            <w:r w:rsidR="00993D95" w:rsidRPr="000533E9">
              <w:rPr>
                <w:rFonts w:asciiTheme="majorHAnsi" w:hAnsiTheme="majorHAnsi" w:cstheme="majorHAnsi"/>
                <w:sz w:val="17"/>
                <w:szCs w:val="17"/>
              </w:rPr>
              <w:t xml:space="preserve"> with the regulatory framework</w:t>
            </w:r>
            <w:r w:rsidRPr="000533E9">
              <w:rPr>
                <w:rFonts w:asciiTheme="majorHAnsi" w:hAnsiTheme="majorHAnsi" w:cstheme="majorHAnsi"/>
                <w:sz w:val="17"/>
                <w:szCs w:val="17"/>
              </w:rPr>
              <w:t>.</w:t>
            </w:r>
          </w:p>
        </w:tc>
      </w:tr>
      <w:tr w:rsidR="00EA44EF" w:rsidRPr="000533E9" w14:paraId="2F3D3DE9" w14:textId="77777777" w:rsidTr="00814906">
        <w:trPr>
          <w:cnfStyle w:val="000000010000" w:firstRow="0" w:lastRow="0" w:firstColumn="0" w:lastColumn="0" w:oddVBand="0" w:evenVBand="0" w:oddHBand="0" w:evenHBand="1" w:firstRowFirstColumn="0" w:firstRowLastColumn="0" w:lastRowFirstColumn="0" w:lastRowLastColumn="0"/>
          <w:cantSplit/>
        </w:trPr>
        <w:tc>
          <w:tcPr>
            <w:tcW w:w="5000" w:type="pct"/>
            <w:gridSpan w:val="3"/>
            <w:shd w:val="clear" w:color="auto" w:fill="65697F" w:themeFill="background2" w:themeFillShade="80"/>
          </w:tcPr>
          <w:p w14:paraId="3991F3A8" w14:textId="77777777" w:rsidR="00EA44EF" w:rsidRPr="000533E9" w:rsidRDefault="00EA44EF" w:rsidP="00FB38B5">
            <w:pPr>
              <w:pStyle w:val="TableBodyText"/>
              <w:keepNext/>
              <w:spacing w:before="20" w:after="20" w:line="240" w:lineRule="auto"/>
              <w:jc w:val="center"/>
              <w:rPr>
                <w:rFonts w:asciiTheme="majorHAnsi" w:hAnsiTheme="majorHAnsi" w:cstheme="majorHAnsi"/>
                <w:b/>
                <w:bCs/>
                <w:color w:val="FFFFFF" w:themeColor="background1"/>
                <w:sz w:val="17"/>
                <w:szCs w:val="17"/>
                <w:lang w:eastAsia="fr-CA"/>
              </w:rPr>
            </w:pPr>
            <w:r>
              <w:rPr>
                <w:rFonts w:asciiTheme="majorHAnsi" w:hAnsiTheme="majorHAnsi" w:cstheme="majorHAnsi"/>
                <w:b/>
                <w:bCs/>
                <w:color w:val="FFFFFF" w:themeColor="background1"/>
                <w:sz w:val="17"/>
                <w:szCs w:val="17"/>
              </w:rPr>
              <w:t>Other issues</w:t>
            </w:r>
            <w:r w:rsidRPr="000533E9">
              <w:rPr>
                <w:rFonts w:asciiTheme="majorHAnsi" w:hAnsiTheme="majorHAnsi" w:cstheme="majorHAnsi"/>
                <w:b/>
                <w:bCs/>
                <w:color w:val="FFFFFF" w:themeColor="background1"/>
                <w:sz w:val="17"/>
                <w:szCs w:val="17"/>
              </w:rPr>
              <w:t xml:space="preserve"> </w:t>
            </w:r>
          </w:p>
        </w:tc>
      </w:tr>
      <w:tr w:rsidR="00EA44EF" w:rsidRPr="000533E9" w14:paraId="19D1FC7F" w14:textId="77777777" w:rsidTr="00814906">
        <w:trPr>
          <w:cantSplit/>
          <w:trHeight w:val="1394"/>
        </w:trPr>
        <w:tc>
          <w:tcPr>
            <w:tcW w:w="544" w:type="pct"/>
            <w:gridSpan w:val="2"/>
            <w:shd w:val="clear" w:color="auto" w:fill="FFFFFF" w:themeFill="background1"/>
          </w:tcPr>
          <w:p w14:paraId="5B7CF13B" w14:textId="77777777" w:rsidR="00EA44EF" w:rsidRPr="004B0459" w:rsidRDefault="00396B28" w:rsidP="00FB38B5">
            <w:pPr>
              <w:pStyle w:val="TableBodyText"/>
              <w:spacing w:before="0" w:after="0" w:line="240" w:lineRule="auto"/>
              <w:rPr>
                <w:rFonts w:asciiTheme="majorHAnsi" w:hAnsiTheme="majorHAnsi" w:cstheme="majorHAnsi"/>
                <w:sz w:val="17"/>
                <w:szCs w:val="17"/>
              </w:rPr>
            </w:pPr>
            <w:r>
              <w:rPr>
                <w:rFonts w:asciiTheme="majorHAnsi" w:hAnsiTheme="majorHAnsi" w:cstheme="majorHAnsi"/>
                <w:sz w:val="17"/>
                <w:szCs w:val="17"/>
              </w:rPr>
              <w:t xml:space="preserve">Non-scheme pipeline </w:t>
            </w:r>
            <w:r w:rsidR="00EA44EF" w:rsidRPr="004B0459">
              <w:rPr>
                <w:rFonts w:asciiTheme="majorHAnsi" w:hAnsiTheme="majorHAnsi" w:cstheme="majorHAnsi"/>
                <w:sz w:val="17"/>
                <w:szCs w:val="17"/>
              </w:rPr>
              <w:t xml:space="preserve">dispute resolution mechanism </w:t>
            </w:r>
          </w:p>
        </w:tc>
        <w:tc>
          <w:tcPr>
            <w:tcW w:w="4456" w:type="pct"/>
            <w:shd w:val="clear" w:color="auto" w:fill="FFFFFF" w:themeFill="background1"/>
          </w:tcPr>
          <w:p w14:paraId="633F3940" w14:textId="77777777" w:rsidR="0021479E" w:rsidRPr="004B0459" w:rsidRDefault="00EA44EF" w:rsidP="00FB38B5">
            <w:pPr>
              <w:pStyle w:val="TableBullet10"/>
              <w:widowControl w:val="0"/>
              <w:spacing w:before="0" w:after="0" w:line="240" w:lineRule="auto"/>
              <w:rPr>
                <w:rStyle w:val="FootnoteReference"/>
                <w:rFonts w:asciiTheme="majorHAnsi" w:hAnsiTheme="majorHAnsi" w:cstheme="majorHAnsi"/>
                <w:sz w:val="17"/>
                <w:szCs w:val="17"/>
                <w:vertAlign w:val="baseline"/>
                <w:lang w:eastAsia="fr-CA"/>
              </w:rPr>
            </w:pPr>
            <w:r w:rsidRPr="004B0459">
              <w:rPr>
                <w:rFonts w:asciiTheme="majorHAnsi" w:hAnsiTheme="majorHAnsi" w:cstheme="majorHAnsi"/>
                <w:sz w:val="17"/>
                <w:szCs w:val="17"/>
              </w:rPr>
              <w:t xml:space="preserve">While not identified as a problem with the current regulatory framework, the </w:t>
            </w:r>
            <w:r w:rsidRPr="004B0459">
              <w:rPr>
                <w:rFonts w:asciiTheme="majorHAnsi" w:hAnsiTheme="majorHAnsi" w:cstheme="majorHAnsi"/>
                <w:color w:val="3333FF"/>
                <w:sz w:val="17"/>
                <w:szCs w:val="17"/>
              </w:rPr>
              <w:t xml:space="preserve">EUAA, Chemistry Australia, </w:t>
            </w:r>
            <w:r w:rsidRPr="004B0459">
              <w:rPr>
                <w:rFonts w:asciiTheme="majorHAnsi" w:hAnsiTheme="majorHAnsi" w:cstheme="majorHAnsi"/>
                <w:color w:val="CC0066"/>
                <w:sz w:val="17"/>
                <w:szCs w:val="17"/>
              </w:rPr>
              <w:t>APLNG, COPA</w:t>
            </w:r>
            <w:r w:rsidRPr="004B0459">
              <w:rPr>
                <w:rFonts w:asciiTheme="majorHAnsi" w:hAnsiTheme="majorHAnsi" w:cstheme="majorHAnsi"/>
                <w:sz w:val="17"/>
                <w:szCs w:val="17"/>
              </w:rPr>
              <w:t xml:space="preserve">, </w:t>
            </w:r>
            <w:r w:rsidRPr="004B0459">
              <w:rPr>
                <w:rFonts w:asciiTheme="majorHAnsi" w:hAnsiTheme="majorHAnsi" w:cstheme="majorHAnsi"/>
                <w:color w:val="00B0F0"/>
                <w:sz w:val="17"/>
                <w:szCs w:val="17"/>
                <w:lang w:eastAsia="fr-CA"/>
              </w:rPr>
              <w:t>EnergyAustralia</w:t>
            </w:r>
            <w:r w:rsidRPr="004B0459">
              <w:rPr>
                <w:rFonts w:asciiTheme="majorHAnsi" w:hAnsiTheme="majorHAnsi" w:cstheme="majorHAnsi"/>
                <w:sz w:val="17"/>
                <w:szCs w:val="17"/>
              </w:rPr>
              <w:t xml:space="preserve"> and </w:t>
            </w:r>
            <w:r w:rsidRPr="004B0459">
              <w:rPr>
                <w:rFonts w:asciiTheme="majorHAnsi" w:hAnsiTheme="majorHAnsi" w:cstheme="majorHAnsi"/>
                <w:color w:val="7030A0"/>
                <w:sz w:val="17"/>
                <w:szCs w:val="17"/>
              </w:rPr>
              <w:t xml:space="preserve">TGP </w:t>
            </w:r>
            <w:r w:rsidRPr="004B0459">
              <w:rPr>
                <w:rFonts w:asciiTheme="majorHAnsi" w:hAnsiTheme="majorHAnsi" w:cstheme="majorHAnsi"/>
                <w:sz w:val="17"/>
                <w:szCs w:val="17"/>
              </w:rPr>
              <w:t xml:space="preserve">expressed </w:t>
            </w:r>
            <w:r w:rsidR="00A25D38" w:rsidRPr="004B0459">
              <w:rPr>
                <w:rFonts w:asciiTheme="majorHAnsi" w:hAnsiTheme="majorHAnsi" w:cstheme="majorHAnsi"/>
                <w:sz w:val="17"/>
                <w:szCs w:val="17"/>
              </w:rPr>
              <w:t xml:space="preserve">a number of </w:t>
            </w:r>
            <w:r w:rsidRPr="004B0459">
              <w:rPr>
                <w:rFonts w:asciiTheme="majorHAnsi" w:hAnsiTheme="majorHAnsi" w:cstheme="majorHAnsi"/>
                <w:sz w:val="17"/>
                <w:szCs w:val="17"/>
              </w:rPr>
              <w:t xml:space="preserve">concerns about the </w:t>
            </w:r>
            <w:r w:rsidR="00396B28">
              <w:rPr>
                <w:rFonts w:asciiTheme="majorHAnsi" w:hAnsiTheme="majorHAnsi" w:cstheme="majorHAnsi"/>
                <w:sz w:val="17"/>
                <w:szCs w:val="17"/>
              </w:rPr>
              <w:t xml:space="preserve">Part 23 </w:t>
            </w:r>
            <w:r w:rsidRPr="004B0459">
              <w:rPr>
                <w:rFonts w:asciiTheme="majorHAnsi" w:hAnsiTheme="majorHAnsi" w:cstheme="majorHAnsi"/>
                <w:sz w:val="17"/>
                <w:szCs w:val="17"/>
              </w:rPr>
              <w:t xml:space="preserve">pricing principles </w:t>
            </w:r>
            <w:r w:rsidR="00A25D38" w:rsidRPr="004B0459">
              <w:rPr>
                <w:rFonts w:asciiTheme="majorHAnsi" w:hAnsiTheme="majorHAnsi" w:cstheme="majorHAnsi"/>
                <w:sz w:val="17"/>
                <w:szCs w:val="17"/>
              </w:rPr>
              <w:t xml:space="preserve">and some other aspects of </w:t>
            </w:r>
            <w:r w:rsidR="00396B28">
              <w:rPr>
                <w:rFonts w:asciiTheme="majorHAnsi" w:hAnsiTheme="majorHAnsi" w:cstheme="majorHAnsi"/>
                <w:sz w:val="17"/>
                <w:szCs w:val="17"/>
              </w:rPr>
              <w:t>the non-scheme pipeline</w:t>
            </w:r>
            <w:r w:rsidR="00A25D38" w:rsidRPr="004B0459">
              <w:rPr>
                <w:rFonts w:asciiTheme="majorHAnsi" w:hAnsiTheme="majorHAnsi" w:cstheme="majorHAnsi"/>
                <w:sz w:val="17"/>
                <w:szCs w:val="17"/>
              </w:rPr>
              <w:t xml:space="preserve"> dispute resolution mechanism</w:t>
            </w:r>
            <w:r w:rsidRPr="004B0459">
              <w:rPr>
                <w:rFonts w:asciiTheme="majorHAnsi" w:hAnsiTheme="majorHAnsi" w:cstheme="majorHAnsi"/>
                <w:sz w:val="17"/>
                <w:szCs w:val="17"/>
              </w:rPr>
              <w:t>.</w:t>
            </w:r>
            <w:r w:rsidRPr="004B0459">
              <w:rPr>
                <w:rStyle w:val="FootnoteReference"/>
                <w:rFonts w:asciiTheme="majorHAnsi" w:hAnsiTheme="majorHAnsi" w:cstheme="majorHAnsi"/>
                <w:sz w:val="17"/>
                <w:szCs w:val="17"/>
                <w:lang w:eastAsia="fr-CA"/>
              </w:rPr>
              <w:t xml:space="preserve"> </w:t>
            </w:r>
          </w:p>
          <w:p w14:paraId="0B843DC5" w14:textId="4390A9AF" w:rsidR="0021479E" w:rsidRPr="004B0459" w:rsidRDefault="00EA44EF" w:rsidP="00FB38B5">
            <w:pPr>
              <w:pStyle w:val="TableBullet2"/>
              <w:spacing w:before="0" w:after="0" w:line="240" w:lineRule="auto"/>
              <w:rPr>
                <w:sz w:val="17"/>
                <w:szCs w:val="17"/>
                <w:lang w:eastAsia="fr-CA"/>
              </w:rPr>
            </w:pPr>
            <w:r w:rsidRPr="004B0459">
              <w:rPr>
                <w:sz w:val="17"/>
                <w:szCs w:val="17"/>
                <w:lang w:eastAsia="fr-CA"/>
              </w:rPr>
              <w:t xml:space="preserve">The </w:t>
            </w:r>
            <w:r w:rsidRPr="004B0459">
              <w:rPr>
                <w:color w:val="3333FF"/>
                <w:sz w:val="17"/>
                <w:szCs w:val="17"/>
              </w:rPr>
              <w:t xml:space="preserve">EUAA </w:t>
            </w:r>
            <w:r w:rsidRPr="004B0459">
              <w:rPr>
                <w:sz w:val="17"/>
                <w:szCs w:val="17"/>
              </w:rPr>
              <w:t>and</w:t>
            </w:r>
            <w:r w:rsidRPr="004B0459">
              <w:rPr>
                <w:color w:val="3333FF"/>
                <w:sz w:val="17"/>
                <w:szCs w:val="17"/>
              </w:rPr>
              <w:t xml:space="preserve"> Chemistry Australia</w:t>
            </w:r>
            <w:r w:rsidR="004B0459">
              <w:rPr>
                <w:sz w:val="17"/>
                <w:szCs w:val="17"/>
                <w:lang w:eastAsia="fr-CA"/>
              </w:rPr>
              <w:t xml:space="preserve"> </w:t>
            </w:r>
            <w:r w:rsidRPr="004B0459">
              <w:rPr>
                <w:sz w:val="17"/>
                <w:szCs w:val="17"/>
                <w:lang w:eastAsia="fr-CA"/>
              </w:rPr>
              <w:t xml:space="preserve">noted that more prescription in the </w:t>
            </w:r>
            <w:r w:rsidR="00A25D38" w:rsidRPr="004B0459">
              <w:rPr>
                <w:sz w:val="17"/>
                <w:szCs w:val="17"/>
                <w:lang w:eastAsia="fr-CA"/>
              </w:rPr>
              <w:t xml:space="preserve">Part 23 pricing </w:t>
            </w:r>
            <w:r w:rsidRPr="004B0459">
              <w:rPr>
                <w:sz w:val="17"/>
                <w:szCs w:val="17"/>
                <w:lang w:eastAsia="fr-CA"/>
              </w:rPr>
              <w:t xml:space="preserve">principles was required to reduce the degree of information and negotiation asymmetry faced by shippers, particularly smaller shippers. </w:t>
            </w:r>
            <w:r w:rsidR="00A25D38" w:rsidRPr="004B0459">
              <w:rPr>
                <w:sz w:val="17"/>
                <w:szCs w:val="17"/>
                <w:lang w:eastAsia="fr-CA"/>
              </w:rPr>
              <w:t xml:space="preserve">They also suggested </w:t>
            </w:r>
            <w:r w:rsidR="0021479E" w:rsidRPr="004B0459">
              <w:rPr>
                <w:sz w:val="17"/>
                <w:szCs w:val="17"/>
                <w:lang w:eastAsia="fr-CA"/>
              </w:rPr>
              <w:t xml:space="preserve">regulator be the arbitrator under this dispute mechanism. </w:t>
            </w:r>
          </w:p>
          <w:p w14:paraId="6B426928" w14:textId="77777777" w:rsidR="00EA44EF" w:rsidRDefault="00EA44EF" w:rsidP="00FB38B5">
            <w:pPr>
              <w:pStyle w:val="TableBullet2"/>
              <w:spacing w:before="0" w:after="0" w:line="240" w:lineRule="auto"/>
              <w:rPr>
                <w:sz w:val="17"/>
                <w:szCs w:val="17"/>
                <w:lang w:eastAsia="fr-CA"/>
              </w:rPr>
            </w:pPr>
            <w:r w:rsidRPr="004B0459">
              <w:rPr>
                <w:color w:val="00B0F0"/>
                <w:sz w:val="17"/>
                <w:szCs w:val="17"/>
                <w:lang w:eastAsia="fr-CA"/>
              </w:rPr>
              <w:t>EnergyAustralia</w:t>
            </w:r>
            <w:r w:rsidRPr="004B0459">
              <w:rPr>
                <w:sz w:val="17"/>
                <w:szCs w:val="17"/>
                <w:lang w:eastAsia="fr-CA"/>
              </w:rPr>
              <w:t xml:space="preserve"> made a similar observation, noting that the current level of detail creates considerable uncertainty for parties considering arbitration, which may discourage its use.</w:t>
            </w:r>
            <w:r w:rsidR="0021479E" w:rsidRPr="004B0459">
              <w:rPr>
                <w:color w:val="00B0F0"/>
                <w:sz w:val="17"/>
                <w:szCs w:val="17"/>
                <w:lang w:eastAsia="fr-CA"/>
              </w:rPr>
              <w:t xml:space="preserve"> EnergyAustralia</w:t>
            </w:r>
            <w:r w:rsidR="0021479E" w:rsidRPr="004B0459">
              <w:rPr>
                <w:sz w:val="17"/>
                <w:szCs w:val="17"/>
                <w:lang w:eastAsia="fr-CA"/>
              </w:rPr>
              <w:t xml:space="preserve"> also suggested the regulator be the arbitrator. </w:t>
            </w:r>
          </w:p>
          <w:p w14:paraId="6DC92561" w14:textId="77777777" w:rsidR="00C60185" w:rsidRPr="004B0459" w:rsidRDefault="00C60185" w:rsidP="00FB38B5">
            <w:pPr>
              <w:pStyle w:val="TableBullet2"/>
              <w:numPr>
                <w:ilvl w:val="0"/>
                <w:numId w:val="0"/>
              </w:numPr>
              <w:spacing w:before="0" w:after="0" w:line="240" w:lineRule="auto"/>
              <w:ind w:left="312"/>
              <w:rPr>
                <w:sz w:val="17"/>
                <w:szCs w:val="17"/>
                <w:lang w:eastAsia="fr-CA"/>
              </w:rPr>
            </w:pPr>
            <w:r w:rsidRPr="004C411D">
              <w:rPr>
                <w:rFonts w:asciiTheme="majorHAnsi" w:hAnsiTheme="majorHAnsi" w:cstheme="majorHAnsi"/>
                <w:sz w:val="17"/>
                <w:szCs w:val="17"/>
                <w:lang w:eastAsia="fr-CA"/>
              </w:rPr>
              <w:t xml:space="preserve">Those that advocated for more prescription in the Part 23 pricing principles, suggested that greater prescription be provided on the asset valuation provisions, the rate of return provisions, the expenditure provisions, cost allocation, </w:t>
            </w:r>
            <w:r w:rsidRPr="004C411D">
              <w:rPr>
                <w:rFonts w:asciiTheme="majorHAnsi" w:hAnsiTheme="majorHAnsi" w:cstheme="majorHAnsi"/>
                <w:sz w:val="17"/>
                <w:szCs w:val="17"/>
              </w:rPr>
              <w:t>demand and revenue risk</w:t>
            </w:r>
            <w:r>
              <w:rPr>
                <w:rFonts w:asciiTheme="majorHAnsi" w:hAnsiTheme="majorHAnsi" w:cstheme="majorHAnsi"/>
                <w:sz w:val="17"/>
                <w:szCs w:val="17"/>
              </w:rPr>
              <w:t xml:space="preserve">. </w:t>
            </w:r>
            <w:r w:rsidRPr="004B0459">
              <w:rPr>
                <w:rFonts w:asciiTheme="majorHAnsi" w:hAnsiTheme="majorHAnsi" w:cstheme="majorHAnsi"/>
                <w:color w:val="7030A0"/>
                <w:sz w:val="17"/>
                <w:szCs w:val="17"/>
              </w:rPr>
              <w:t xml:space="preserve">TGP </w:t>
            </w:r>
            <w:r w:rsidRPr="00670302">
              <w:rPr>
                <w:rFonts w:asciiTheme="majorHAnsi" w:hAnsiTheme="majorHAnsi" w:cstheme="majorHAnsi"/>
                <w:sz w:val="17"/>
                <w:szCs w:val="17"/>
              </w:rPr>
              <w:t>also suggested a number of other changes to the framework to prevent capacity being ‘sterilised’ for the</w:t>
            </w:r>
            <w:r w:rsidRPr="004B0459">
              <w:rPr>
                <w:rFonts w:asciiTheme="majorHAnsi" w:hAnsiTheme="majorHAnsi" w:cstheme="majorHAnsi"/>
                <w:sz w:val="17"/>
                <w:szCs w:val="17"/>
              </w:rPr>
              <w:t xml:space="preserve"> duration of the arbitration</w:t>
            </w:r>
            <w:r>
              <w:rPr>
                <w:rFonts w:asciiTheme="majorHAnsi" w:hAnsiTheme="majorHAnsi" w:cstheme="majorHAnsi"/>
                <w:sz w:val="17"/>
                <w:szCs w:val="17"/>
              </w:rPr>
              <w:t xml:space="preserve">, while </w:t>
            </w:r>
            <w:r w:rsidRPr="004B0459">
              <w:rPr>
                <w:rFonts w:asciiTheme="majorHAnsi" w:hAnsiTheme="majorHAnsi" w:cstheme="majorHAnsi"/>
                <w:color w:val="00B0F0"/>
                <w:sz w:val="17"/>
                <w:szCs w:val="17"/>
              </w:rPr>
              <w:t>EnergyAustralia</w:t>
            </w:r>
            <w:r w:rsidRPr="004B0459">
              <w:rPr>
                <w:rFonts w:asciiTheme="majorHAnsi" w:hAnsiTheme="majorHAnsi" w:cstheme="majorHAnsi"/>
                <w:sz w:val="17"/>
                <w:szCs w:val="17"/>
              </w:rPr>
              <w:t xml:space="preserve"> suggested more detail be published on final access determinations.</w:t>
            </w:r>
          </w:p>
          <w:p w14:paraId="58ABF233" w14:textId="77777777" w:rsidR="00670302" w:rsidRDefault="004B0459" w:rsidP="00FB38B5">
            <w:pPr>
              <w:pStyle w:val="TableBullet10"/>
              <w:widowControl w:val="0"/>
              <w:spacing w:before="0" w:after="0" w:line="240" w:lineRule="auto"/>
              <w:rPr>
                <w:rFonts w:asciiTheme="majorHAnsi" w:hAnsiTheme="majorHAnsi" w:cstheme="majorHAnsi"/>
                <w:sz w:val="17"/>
                <w:szCs w:val="17"/>
                <w:lang w:eastAsia="fr-CA"/>
              </w:rPr>
            </w:pPr>
            <w:r w:rsidRPr="004B0459">
              <w:rPr>
                <w:rFonts w:asciiTheme="majorHAnsi" w:hAnsiTheme="majorHAnsi" w:cstheme="majorHAnsi"/>
                <w:color w:val="7030A0"/>
                <w:sz w:val="17"/>
                <w:szCs w:val="17"/>
              </w:rPr>
              <w:t xml:space="preserve">ATCO </w:t>
            </w:r>
            <w:r w:rsidRPr="004B0459">
              <w:rPr>
                <w:rFonts w:asciiTheme="majorHAnsi" w:hAnsiTheme="majorHAnsi" w:cstheme="majorHAnsi"/>
                <w:sz w:val="17"/>
                <w:szCs w:val="17"/>
              </w:rPr>
              <w:t>suggested an informal, low cost, non-binding one day mediation process be included in the framework</w:t>
            </w:r>
            <w:r w:rsidR="00670302">
              <w:rPr>
                <w:rFonts w:asciiTheme="majorHAnsi" w:hAnsiTheme="majorHAnsi" w:cstheme="majorHAnsi"/>
                <w:sz w:val="17"/>
                <w:szCs w:val="17"/>
              </w:rPr>
              <w:t>.</w:t>
            </w:r>
          </w:p>
          <w:p w14:paraId="57776106" w14:textId="7955911F" w:rsidR="00EA44EF" w:rsidRPr="004B0459" w:rsidRDefault="00EA44EF" w:rsidP="00FB38B5">
            <w:pPr>
              <w:pStyle w:val="TableBullet10"/>
              <w:widowControl w:val="0"/>
              <w:spacing w:before="0" w:after="0" w:line="240" w:lineRule="auto"/>
              <w:rPr>
                <w:rFonts w:asciiTheme="majorHAnsi" w:hAnsiTheme="majorHAnsi" w:cstheme="majorHAnsi"/>
                <w:sz w:val="17"/>
                <w:szCs w:val="17"/>
                <w:lang w:eastAsia="fr-CA"/>
              </w:rPr>
            </w:pPr>
            <w:r w:rsidRPr="004B0459">
              <w:rPr>
                <w:rFonts w:asciiTheme="majorHAnsi" w:hAnsiTheme="majorHAnsi" w:cstheme="majorHAnsi"/>
                <w:sz w:val="17"/>
                <w:szCs w:val="17"/>
                <w:lang w:eastAsia="fr-CA"/>
              </w:rPr>
              <w:t xml:space="preserve">Other stakeholders either thought the </w:t>
            </w:r>
            <w:r w:rsidR="0021479E" w:rsidRPr="004B0459">
              <w:rPr>
                <w:rFonts w:asciiTheme="majorHAnsi" w:hAnsiTheme="majorHAnsi" w:cstheme="majorHAnsi"/>
                <w:sz w:val="17"/>
                <w:szCs w:val="17"/>
                <w:lang w:eastAsia="fr-CA"/>
              </w:rPr>
              <w:t xml:space="preserve">Part 23 dispute resolution mechanism was </w:t>
            </w:r>
            <w:r w:rsidRPr="004B0459">
              <w:rPr>
                <w:rFonts w:asciiTheme="majorHAnsi" w:hAnsiTheme="majorHAnsi" w:cstheme="majorHAnsi"/>
                <w:sz w:val="17"/>
                <w:szCs w:val="17"/>
                <w:lang w:eastAsia="fr-CA"/>
              </w:rPr>
              <w:t xml:space="preserve">working as intended (e.g. </w:t>
            </w:r>
            <w:r w:rsidRPr="00D56FA0">
              <w:rPr>
                <w:rFonts w:asciiTheme="majorHAnsi" w:hAnsiTheme="majorHAnsi" w:cstheme="majorHAnsi"/>
                <w:color w:val="7030A0"/>
                <w:sz w:val="17"/>
                <w:szCs w:val="17"/>
                <w:lang w:eastAsia="fr-CA"/>
              </w:rPr>
              <w:t>APGA</w:t>
            </w:r>
            <w:r w:rsidR="00D56FA0" w:rsidRPr="00D56FA0">
              <w:rPr>
                <w:rFonts w:asciiTheme="majorHAnsi" w:hAnsiTheme="majorHAnsi" w:cstheme="majorHAnsi"/>
                <w:color w:val="7030A0"/>
                <w:sz w:val="17"/>
                <w:szCs w:val="17"/>
                <w:lang w:eastAsia="fr-CA"/>
              </w:rPr>
              <w:t>,</w:t>
            </w:r>
            <w:r w:rsidRPr="00D56FA0">
              <w:rPr>
                <w:rFonts w:asciiTheme="majorHAnsi" w:hAnsiTheme="majorHAnsi" w:cstheme="majorHAnsi"/>
                <w:color w:val="7030A0"/>
                <w:sz w:val="17"/>
                <w:szCs w:val="17"/>
                <w:lang w:eastAsia="fr-CA"/>
              </w:rPr>
              <w:t xml:space="preserve"> Jemena</w:t>
            </w:r>
            <w:r w:rsidRPr="004B0459">
              <w:rPr>
                <w:rFonts w:asciiTheme="majorHAnsi" w:hAnsiTheme="majorHAnsi" w:cstheme="majorHAnsi"/>
                <w:sz w:val="17"/>
                <w:szCs w:val="17"/>
                <w:lang w:eastAsia="fr-CA"/>
              </w:rPr>
              <w:t xml:space="preserve">), or did not raise </w:t>
            </w:r>
            <w:r w:rsidR="00D56FA0">
              <w:rPr>
                <w:rFonts w:asciiTheme="majorHAnsi" w:hAnsiTheme="majorHAnsi" w:cstheme="majorHAnsi"/>
                <w:sz w:val="17"/>
                <w:szCs w:val="17"/>
                <w:lang w:eastAsia="fr-CA"/>
              </w:rPr>
              <w:t xml:space="preserve">it </w:t>
            </w:r>
            <w:r w:rsidRPr="004B0459">
              <w:rPr>
                <w:rFonts w:asciiTheme="majorHAnsi" w:hAnsiTheme="majorHAnsi" w:cstheme="majorHAnsi"/>
                <w:sz w:val="17"/>
                <w:szCs w:val="17"/>
                <w:lang w:eastAsia="fr-CA"/>
              </w:rPr>
              <w:t>as an issue.</w:t>
            </w:r>
          </w:p>
        </w:tc>
      </w:tr>
    </w:tbl>
    <w:p w14:paraId="27D05B65" w14:textId="77777777" w:rsidR="00C9489D" w:rsidRDefault="00C9489D" w:rsidP="00C9489D">
      <w:pPr>
        <w:pStyle w:val="BodyText"/>
        <w:sectPr w:rsidR="00C9489D" w:rsidSect="008B6354">
          <w:headerReference w:type="default" r:id="rId62"/>
          <w:footerReference w:type="default" r:id="rId63"/>
          <w:pgSz w:w="16839" w:h="11907" w:orient="landscape" w:code="9"/>
          <w:pgMar w:top="993" w:right="1418" w:bottom="992" w:left="1701" w:header="567" w:footer="397" w:gutter="0"/>
          <w:cols w:space="708"/>
          <w:docGrid w:linePitch="360"/>
        </w:sectPr>
      </w:pPr>
    </w:p>
    <w:p w14:paraId="7F4F0190" w14:textId="77777777" w:rsidR="00971386" w:rsidRDefault="00971386" w:rsidP="00C74643">
      <w:pPr>
        <w:pStyle w:val="Heading3"/>
      </w:pPr>
      <w:bookmarkStart w:id="159" w:name="_Ref60387364"/>
      <w:r>
        <w:lastRenderedPageBreak/>
        <w:t>Conclusion on problems with this aspect of the regulatory framework</w:t>
      </w:r>
      <w:bookmarkEnd w:id="159"/>
    </w:p>
    <w:p w14:paraId="14FBE348" w14:textId="77777777" w:rsidR="00613FD8" w:rsidRDefault="00327199" w:rsidP="00EB301E">
      <w:pPr>
        <w:pStyle w:val="BodyText"/>
        <w:spacing w:line="252" w:lineRule="auto"/>
      </w:pPr>
      <w:r>
        <w:t xml:space="preserve">Having regard to the prior reviews </w:t>
      </w:r>
      <w:r w:rsidR="005A393D">
        <w:t xml:space="preserve">of the regulatory framework </w:t>
      </w:r>
      <w:r>
        <w:t xml:space="preserve">and the feedback provided by stakeholders, </w:t>
      </w:r>
      <w:r w:rsidR="000679EB">
        <w:t>it would appear that the three potential problems identified in the Consultation RIS are in fact problems with the current regulatory framework</w:t>
      </w:r>
      <w:r w:rsidR="00EB301E">
        <w:t xml:space="preserve">. </w:t>
      </w:r>
    </w:p>
    <w:p w14:paraId="1E4AFF46" w14:textId="77777777" w:rsidR="00EB301E" w:rsidRDefault="00AF120F" w:rsidP="00327199">
      <w:pPr>
        <w:pStyle w:val="BodyText"/>
        <w:spacing w:line="252" w:lineRule="auto"/>
      </w:pPr>
      <w:r>
        <w:t xml:space="preserve">While it has not been possible to quantify the effect of these problems, they can be expected to have a detrimental effect on economic efficiency, consumers and the broader </w:t>
      </w:r>
      <w:r w:rsidRPr="00661154">
        <w:t>economy</w:t>
      </w:r>
      <w:r w:rsidR="00EB301E">
        <w:t xml:space="preserve"> because they are:</w:t>
      </w:r>
    </w:p>
    <w:p w14:paraId="3E2FEA29" w14:textId="77777777" w:rsidR="00EB301E" w:rsidRDefault="00EB301E" w:rsidP="00AD36B8">
      <w:pPr>
        <w:pStyle w:val="ListBullet"/>
      </w:pPr>
      <w:r>
        <w:t xml:space="preserve">hindering the ability of shippers to negotiate effectively and to credibly threaten recourse to the dispute resolution mechanism; </w:t>
      </w:r>
    </w:p>
    <w:p w14:paraId="4F36F68B" w14:textId="77777777" w:rsidR="00EB301E" w:rsidRDefault="00EB301E" w:rsidP="00AD36B8">
      <w:pPr>
        <w:pStyle w:val="ListBullet"/>
      </w:pPr>
      <w:r>
        <w:t>imposing unnecessary costs and delays on negotiations between shippers and service providers; and</w:t>
      </w:r>
    </w:p>
    <w:p w14:paraId="0A9D0F90" w14:textId="77777777" w:rsidR="00EB301E" w:rsidRDefault="00EB301E" w:rsidP="00AD36B8">
      <w:pPr>
        <w:pStyle w:val="ListBullet"/>
      </w:pPr>
      <w:r>
        <w:t xml:space="preserve">leaving shippers more exposed to exercises of market power by service providers, which can result in lower than efficient levels of consumption, production and investment. </w:t>
      </w:r>
    </w:p>
    <w:p w14:paraId="466AAB5A" w14:textId="007F6BCE" w:rsidR="00327199" w:rsidRDefault="00860F76" w:rsidP="00327199">
      <w:pPr>
        <w:pStyle w:val="BodyText"/>
        <w:spacing w:line="252" w:lineRule="auto"/>
        <w:rPr>
          <w:rFonts w:asciiTheme="majorHAnsi" w:hAnsiTheme="majorHAnsi" w:cstheme="majorHAnsi"/>
        </w:rPr>
      </w:pPr>
      <w:r>
        <w:t xml:space="preserve">They </w:t>
      </w:r>
      <w:r w:rsidR="00327199">
        <w:t xml:space="preserve">can therefore be viewed as </w:t>
      </w:r>
      <w:r w:rsidR="00055A96">
        <w:t xml:space="preserve">both a </w:t>
      </w:r>
      <w:r w:rsidR="00327199" w:rsidRPr="006B4639">
        <w:t xml:space="preserve">market </w:t>
      </w:r>
      <w:r w:rsidR="00055A96">
        <w:t xml:space="preserve">failure </w:t>
      </w:r>
      <w:r w:rsidR="0072037A">
        <w:t xml:space="preserve">and </w:t>
      </w:r>
      <w:r w:rsidR="00055A96">
        <w:t xml:space="preserve">a </w:t>
      </w:r>
      <w:r w:rsidR="0072037A">
        <w:t xml:space="preserve">regulatory </w:t>
      </w:r>
      <w:r w:rsidR="00055A96">
        <w:t xml:space="preserve">issue </w:t>
      </w:r>
      <w:r w:rsidR="00327199">
        <w:t xml:space="preserve">that warrant </w:t>
      </w:r>
      <w:r w:rsidR="00327199">
        <w:rPr>
          <w:rFonts w:asciiTheme="majorHAnsi" w:hAnsiTheme="majorHAnsi" w:cstheme="majorHAnsi"/>
        </w:rPr>
        <w:t xml:space="preserve">further action by the </w:t>
      </w:r>
      <w:r w:rsidR="00327199" w:rsidRPr="00807EA1">
        <w:t>Energy National Cabinet Reform Committee</w:t>
      </w:r>
      <w:r w:rsidR="00327199" w:rsidRPr="006B4639">
        <w:rPr>
          <w:rFonts w:asciiTheme="majorHAnsi" w:hAnsiTheme="majorHAnsi" w:cstheme="majorHAnsi"/>
        </w:rPr>
        <w:t>.</w:t>
      </w:r>
    </w:p>
    <w:p w14:paraId="053C83B3" w14:textId="06D7D33E" w:rsidR="00577DF2" w:rsidRDefault="00AA0ADF" w:rsidP="00611EA5">
      <w:pPr>
        <w:pStyle w:val="BodyText"/>
      </w:pPr>
      <w:r>
        <w:t xml:space="preserve">As to the concerns that have been raised about the non-scheme pipeline dispute resolution mechanism, it is worth noting that </w:t>
      </w:r>
      <w:r w:rsidR="00ED58D3">
        <w:t xml:space="preserve">the pricing </w:t>
      </w:r>
      <w:r>
        <w:t xml:space="preserve">principles </w:t>
      </w:r>
      <w:r w:rsidR="00ED58D3">
        <w:t xml:space="preserve">applying under this mechanism </w:t>
      </w:r>
      <w:r w:rsidRPr="006B4639">
        <w:t>were</w:t>
      </w:r>
      <w:r>
        <w:t xml:space="preserve"> designed to provide for </w:t>
      </w:r>
      <w:r w:rsidRPr="006B4639">
        <w:t>some uncertainty in the outcome to incentivise the parties to negotiate and reach a commercial agreement, rather than relying on arbitration as a matter of course.</w:t>
      </w:r>
      <w:r>
        <w:t xml:space="preserve"> It is also worth noting that these principles have </w:t>
      </w:r>
      <w:r w:rsidRPr="006B4639">
        <w:t>only been employed in one arbitration</w:t>
      </w:r>
      <w:r>
        <w:t xml:space="preserve"> to date.</w:t>
      </w:r>
      <w:r w:rsidR="00370905">
        <w:rPr>
          <w:rFonts w:ascii="ZWAdobeF" w:hAnsi="ZWAdobeF" w:cs="ZWAdobeF"/>
          <w:sz w:val="2"/>
          <w:szCs w:val="2"/>
        </w:rPr>
        <w:t>166F</w:t>
      </w:r>
      <w:r w:rsidRPr="006B4639">
        <w:rPr>
          <w:rStyle w:val="FootnoteReference"/>
        </w:rPr>
        <w:footnoteReference w:id="168"/>
      </w:r>
      <w:r w:rsidRPr="006B4639">
        <w:t xml:space="preserve"> </w:t>
      </w:r>
      <w:r>
        <w:t xml:space="preserve">It is not clear therefore that </w:t>
      </w:r>
      <w:r w:rsidR="0081024B">
        <w:t xml:space="preserve">there is actually </w:t>
      </w:r>
      <w:r>
        <w:t xml:space="preserve">a problem with </w:t>
      </w:r>
      <w:r w:rsidR="0081024B">
        <w:t xml:space="preserve">this aspect of the </w:t>
      </w:r>
      <w:r>
        <w:t>regulatory framework that warrants further action</w:t>
      </w:r>
      <w:r w:rsidR="00630DD9">
        <w:t xml:space="preserve">, so no </w:t>
      </w:r>
      <w:r w:rsidR="00B2525D">
        <w:t xml:space="preserve">changes to </w:t>
      </w:r>
      <w:r w:rsidR="00611EA5">
        <w:t xml:space="preserve">this aspect of the regulatory framework </w:t>
      </w:r>
      <w:r w:rsidR="00B2525D">
        <w:t xml:space="preserve">have been </w:t>
      </w:r>
      <w:r w:rsidR="00630DD9">
        <w:t xml:space="preserve">considered as part of </w:t>
      </w:r>
      <w:r w:rsidR="00B2525D">
        <w:t xml:space="preserve">this Decision RIS. </w:t>
      </w:r>
    </w:p>
    <w:p w14:paraId="7D9521FF" w14:textId="77777777" w:rsidR="00B2525D" w:rsidRDefault="00CD4CA0" w:rsidP="00EB297D">
      <w:pPr>
        <w:pStyle w:val="BodyText"/>
      </w:pPr>
      <w:r>
        <w:t xml:space="preserve">While no changes have been considered, it </w:t>
      </w:r>
      <w:r w:rsidR="00B2525D">
        <w:t>is</w:t>
      </w:r>
      <w:r>
        <w:t xml:space="preserve"> </w:t>
      </w:r>
      <w:r w:rsidR="00B2525D">
        <w:t>worth noting that</w:t>
      </w:r>
      <w:r>
        <w:t xml:space="preserve"> </w:t>
      </w:r>
      <w:r w:rsidR="00B2525D">
        <w:rPr>
          <w:szCs w:val="18"/>
        </w:rPr>
        <w:t xml:space="preserve">Energy Senior Officials intend to continue monitoring </w:t>
      </w:r>
      <w:r w:rsidR="00B2525D" w:rsidRPr="00B026BF">
        <w:t>the effectiveness of the</w:t>
      </w:r>
      <w:r w:rsidR="00B2525D">
        <w:t>se principles and the</w:t>
      </w:r>
      <w:r w:rsidR="00B2525D" w:rsidRPr="00B026BF">
        <w:t xml:space="preserve"> </w:t>
      </w:r>
      <w:r w:rsidR="00634143">
        <w:t xml:space="preserve">non-scheme pipeline </w:t>
      </w:r>
      <w:r w:rsidR="00B2525D" w:rsidRPr="00B026BF">
        <w:t>dispute resolution mechanism</w:t>
      </w:r>
      <w:r w:rsidR="00630DD9">
        <w:t xml:space="preserve">. </w:t>
      </w:r>
      <w:r w:rsidR="00050E56">
        <w:t>T</w:t>
      </w:r>
      <w:r w:rsidR="00B2525D">
        <w:t xml:space="preserve">he ACCC is </w:t>
      </w:r>
      <w:r w:rsidR="00050E56">
        <w:t xml:space="preserve">also </w:t>
      </w:r>
      <w:r w:rsidR="00B2525D">
        <w:t>expected to do the same as part of its Gas Inquiry. If</w:t>
      </w:r>
      <w:r w:rsidR="00EB297D">
        <w:t xml:space="preserve">, as a result of this monitoring, </w:t>
      </w:r>
      <w:r w:rsidR="00B2525D">
        <w:t xml:space="preserve">it becomes clear that there are problems that need to be addressed then </w:t>
      </w:r>
      <w:r w:rsidR="00050E56">
        <w:t xml:space="preserve">those </w:t>
      </w:r>
      <w:r w:rsidR="00B2525D">
        <w:t xml:space="preserve">changes </w:t>
      </w:r>
      <w:r w:rsidR="00050E56">
        <w:t xml:space="preserve">would </w:t>
      </w:r>
      <w:r w:rsidR="00B2525D">
        <w:t xml:space="preserve">be considered. </w:t>
      </w:r>
      <w:r w:rsidR="00EB297D">
        <w:t>It is also worth noting that, a</w:t>
      </w:r>
      <w:r w:rsidR="00B2525D">
        <w:t xml:space="preserve">s with any rules in the NGR, it would be </w:t>
      </w:r>
      <w:r w:rsidR="00B2525D" w:rsidRPr="006B4639">
        <w:t>open to interested parties</w:t>
      </w:r>
      <w:r w:rsidR="00B2525D">
        <w:t xml:space="preserve"> </w:t>
      </w:r>
      <w:r w:rsidR="00B2525D" w:rsidRPr="006B4639">
        <w:t xml:space="preserve">to submit a rule change to the AEMC if </w:t>
      </w:r>
      <w:r w:rsidR="00B2525D">
        <w:t xml:space="preserve">they think the pricing principles, or other aspects of this dispute resolution mechanism, are not </w:t>
      </w:r>
      <w:r w:rsidR="00B2525D" w:rsidRPr="006B4639">
        <w:t xml:space="preserve">working as intended. </w:t>
      </w:r>
      <w:r w:rsidR="00B2525D" w:rsidRPr="006B4639">
        <w:rPr>
          <w:lang w:eastAsia="fr-CA"/>
        </w:rPr>
        <w:t xml:space="preserve"> </w:t>
      </w:r>
    </w:p>
    <w:p w14:paraId="5D4627C6" w14:textId="77777777" w:rsidR="00EB218D" w:rsidRDefault="00EB218D" w:rsidP="00EB218D">
      <w:pPr>
        <w:pStyle w:val="Heading2"/>
      </w:pPr>
      <w:bookmarkStart w:id="160" w:name="_Toc62219421"/>
      <w:r>
        <w:t>What options were identified in the Consultation RIS to address the problems and what feedback was provided</w:t>
      </w:r>
      <w:r w:rsidRPr="006B4639">
        <w:t>?</w:t>
      </w:r>
      <w:bookmarkEnd w:id="160"/>
    </w:p>
    <w:bookmarkEnd w:id="156"/>
    <w:p w14:paraId="6770C5BF" w14:textId="77777777" w:rsidR="00753C41" w:rsidRDefault="00753C41" w:rsidP="00753C41">
      <w:pPr>
        <w:pStyle w:val="Heading3"/>
      </w:pPr>
      <w:r>
        <w:t>Options identified in the Consultation RIS</w:t>
      </w:r>
    </w:p>
    <w:p w14:paraId="6C5F2306" w14:textId="4CF10CF5" w:rsidR="00612702" w:rsidRDefault="00732F5A" w:rsidP="00612702">
      <w:pPr>
        <w:pStyle w:val="BodyText"/>
      </w:pPr>
      <w:r>
        <w:fldChar w:fldCharType="begin" w:fldLock="1"/>
      </w:r>
      <w:r>
        <w:instrText xml:space="preserve"> REF _Ref52950092 \h </w:instrText>
      </w:r>
      <w:r>
        <w:fldChar w:fldCharType="separate"/>
      </w:r>
      <w:r w:rsidR="00036405" w:rsidRPr="006B4639">
        <w:t xml:space="preserve">Table </w:t>
      </w:r>
      <w:r w:rsidR="00036405">
        <w:rPr>
          <w:noProof/>
        </w:rPr>
        <w:t>7</w:t>
      </w:r>
      <w:r w:rsidR="00036405">
        <w:t>.</w:t>
      </w:r>
      <w:r w:rsidR="00036405">
        <w:rPr>
          <w:noProof/>
        </w:rPr>
        <w:t>3</w:t>
      </w:r>
      <w:r>
        <w:fldChar w:fldCharType="end"/>
      </w:r>
      <w:r>
        <w:t xml:space="preserve"> </w:t>
      </w:r>
      <w:r w:rsidR="0028416F">
        <w:t xml:space="preserve">set out the options </w:t>
      </w:r>
      <w:r w:rsidR="00C30FAF">
        <w:t xml:space="preserve">to address the potential problems </w:t>
      </w:r>
      <w:r w:rsidR="00C30FAF" w:rsidRPr="006B4639">
        <w:t xml:space="preserve">that </w:t>
      </w:r>
      <w:r w:rsidR="00C30FAF">
        <w:t>were identified in the Consultation RIS</w:t>
      </w:r>
      <w:r w:rsidR="00612702">
        <w:t xml:space="preserve">. </w:t>
      </w:r>
    </w:p>
    <w:p w14:paraId="18CF99F0" w14:textId="6142CA9E" w:rsidR="00732F5A" w:rsidRPr="006B4639" w:rsidDel="00E200E0" w:rsidRDefault="00732F5A" w:rsidP="00732F5A">
      <w:pPr>
        <w:pStyle w:val="Caption"/>
        <w:spacing w:after="0"/>
      </w:pPr>
      <w:bookmarkStart w:id="161" w:name="_Ref52950092"/>
      <w:bookmarkStart w:id="162" w:name="_Toc11150091"/>
      <w:bookmarkStart w:id="163" w:name="_Toc11149721"/>
      <w:bookmarkStart w:id="164" w:name="_Toc10213316"/>
      <w:bookmarkStart w:id="165" w:name="_Toc10197879"/>
      <w:bookmarkStart w:id="166" w:name="_Toc8394201"/>
      <w:bookmarkStart w:id="167" w:name="_Toc8390208"/>
      <w:bookmarkStart w:id="168" w:name="_Toc8390066"/>
      <w:bookmarkStart w:id="169" w:name="_Toc7798167"/>
      <w:bookmarkStart w:id="170" w:name="_Toc7793547"/>
      <w:bookmarkStart w:id="171" w:name="_Toc6998328"/>
      <w:r w:rsidRPr="006B4639">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7</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3</w:t>
      </w:r>
      <w:r w:rsidR="00F323B2">
        <w:rPr>
          <w:noProof/>
        </w:rPr>
        <w:fldChar w:fldCharType="end"/>
      </w:r>
      <w:bookmarkEnd w:id="161"/>
      <w:r w:rsidRPr="006B4639">
        <w:t xml:space="preserve">: </w:t>
      </w:r>
      <w:r>
        <w:t>O</w:t>
      </w:r>
      <w:r w:rsidRPr="006B4639">
        <w:t>ptions</w:t>
      </w:r>
      <w:r>
        <w:t xml:space="preserve"> identified in the Consultation RIS </w:t>
      </w:r>
    </w:p>
    <w:tbl>
      <w:tblPr>
        <w:tblStyle w:val="TableGrid"/>
        <w:tblW w:w="5000" w:type="pct"/>
        <w:tblLook w:val="04A0" w:firstRow="1" w:lastRow="0" w:firstColumn="1" w:lastColumn="0" w:noHBand="0" w:noVBand="1"/>
      </w:tblPr>
      <w:tblGrid>
        <w:gridCol w:w="1851"/>
        <w:gridCol w:w="6937"/>
      </w:tblGrid>
      <w:tr w:rsidR="00EB728E" w:rsidRPr="006B4639" w14:paraId="2B85DF14" w14:textId="77777777" w:rsidTr="00CF688C">
        <w:trPr>
          <w:cnfStyle w:val="100000000000" w:firstRow="1" w:lastRow="0" w:firstColumn="0" w:lastColumn="0" w:oddVBand="0" w:evenVBand="0" w:oddHBand="0" w:evenHBand="0" w:firstRowFirstColumn="0" w:firstRowLastColumn="0" w:lastRowFirstColumn="0" w:lastRowLastColumn="0"/>
          <w:trHeight w:val="73"/>
          <w:tblHeader/>
        </w:trPr>
        <w:tc>
          <w:tcPr>
            <w:tcW w:w="2367" w:type="dxa"/>
            <w:tcBorders>
              <w:right w:val="single" w:sz="4" w:space="0" w:color="FFFFFF" w:themeColor="background1"/>
            </w:tcBorders>
            <w:shd w:val="clear" w:color="auto" w:fill="002060"/>
          </w:tcPr>
          <w:p w14:paraId="6F51504B" w14:textId="77777777" w:rsidR="00EB728E" w:rsidRPr="006B4639" w:rsidRDefault="00C127F0" w:rsidP="00EB728E">
            <w:pPr>
              <w:pStyle w:val="BodyText"/>
              <w:keepNext/>
              <w:spacing w:before="20" w:after="40" w:line="240" w:lineRule="auto"/>
              <w:rPr>
                <w:rFonts w:asciiTheme="majorHAnsi" w:hAnsiTheme="majorHAnsi" w:cstheme="majorHAnsi"/>
                <w:bCs/>
                <w:szCs w:val="18"/>
              </w:rPr>
            </w:pPr>
            <w:r>
              <w:rPr>
                <w:rFonts w:asciiTheme="majorHAnsi" w:hAnsiTheme="majorHAnsi" w:cstheme="majorHAnsi"/>
                <w:bCs/>
                <w:szCs w:val="18"/>
              </w:rPr>
              <w:t>Potential p</w:t>
            </w:r>
            <w:r w:rsidR="00EB728E" w:rsidRPr="006B4639">
              <w:rPr>
                <w:rFonts w:asciiTheme="majorHAnsi" w:hAnsiTheme="majorHAnsi" w:cstheme="majorHAnsi"/>
                <w:bCs/>
                <w:szCs w:val="18"/>
              </w:rPr>
              <w:t>roblem</w:t>
            </w:r>
            <w:r w:rsidR="00C14AC3">
              <w:rPr>
                <w:rFonts w:asciiTheme="majorHAnsi" w:hAnsiTheme="majorHAnsi" w:cstheme="majorHAnsi"/>
                <w:bCs/>
                <w:szCs w:val="18"/>
              </w:rPr>
              <w:t>s</w:t>
            </w:r>
          </w:p>
        </w:tc>
        <w:tc>
          <w:tcPr>
            <w:tcW w:w="11353" w:type="dxa"/>
            <w:tcBorders>
              <w:left w:val="single" w:sz="4" w:space="0" w:color="FFFFFF" w:themeColor="background1"/>
            </w:tcBorders>
            <w:shd w:val="clear" w:color="auto" w:fill="002060"/>
          </w:tcPr>
          <w:p w14:paraId="1D8251B9" w14:textId="77777777" w:rsidR="00EB728E" w:rsidRPr="006B4639" w:rsidRDefault="00EB728E" w:rsidP="00EB728E">
            <w:pPr>
              <w:pStyle w:val="BodyText"/>
              <w:keepNext/>
              <w:spacing w:before="20" w:after="40" w:line="240" w:lineRule="auto"/>
              <w:rPr>
                <w:rFonts w:asciiTheme="majorHAnsi" w:hAnsiTheme="majorHAnsi" w:cstheme="majorHAnsi"/>
                <w:szCs w:val="18"/>
              </w:rPr>
            </w:pPr>
            <w:r w:rsidRPr="006B4639">
              <w:rPr>
                <w:rFonts w:asciiTheme="majorHAnsi" w:hAnsiTheme="majorHAnsi" w:cstheme="majorHAnsi"/>
                <w:szCs w:val="18"/>
              </w:rPr>
              <w:t xml:space="preserve">Potential solutions </w:t>
            </w:r>
          </w:p>
        </w:tc>
      </w:tr>
      <w:tr w:rsidR="00EB728E" w:rsidRPr="006B4639" w14:paraId="3500AC3A" w14:textId="77777777" w:rsidTr="00CF688C">
        <w:trPr>
          <w:trHeight w:val="716"/>
        </w:trPr>
        <w:tc>
          <w:tcPr>
            <w:tcW w:w="2367" w:type="dxa"/>
          </w:tcPr>
          <w:p w14:paraId="49CBD6EF" w14:textId="77777777" w:rsidR="00EB728E" w:rsidRPr="006B4639" w:rsidRDefault="00EB728E" w:rsidP="00EB728E">
            <w:pPr>
              <w:pStyle w:val="BodyText"/>
              <w:keepNext/>
              <w:spacing w:before="20" w:after="40" w:line="240" w:lineRule="auto"/>
              <w:rPr>
                <w:rFonts w:asciiTheme="majorHAnsi" w:hAnsiTheme="majorHAnsi" w:cstheme="majorHAnsi"/>
                <w:b/>
                <w:szCs w:val="18"/>
              </w:rPr>
            </w:pPr>
            <w:r w:rsidRPr="006B4639">
              <w:rPr>
                <w:rFonts w:asciiTheme="majorHAnsi" w:hAnsiTheme="majorHAnsi" w:cstheme="majorHAnsi"/>
                <w:b/>
                <w:szCs w:val="18"/>
              </w:rPr>
              <w:t>Differences in negotiation frameworks</w:t>
            </w:r>
          </w:p>
        </w:tc>
        <w:tc>
          <w:tcPr>
            <w:tcW w:w="11353" w:type="dxa"/>
          </w:tcPr>
          <w:p w14:paraId="2C017268" w14:textId="77777777" w:rsidR="00EB728E" w:rsidRPr="006B4639" w:rsidRDefault="00EB728E" w:rsidP="000A3668">
            <w:pPr>
              <w:pStyle w:val="TableBodyText"/>
              <w:numPr>
                <w:ilvl w:val="0"/>
                <w:numId w:val="128"/>
              </w:numPr>
              <w:ind w:left="442" w:hanging="357"/>
            </w:pPr>
            <w:r w:rsidRPr="006B4639">
              <w:t>Maintain the existing differences in negotiation frameworks (status quo).</w:t>
            </w:r>
          </w:p>
          <w:p w14:paraId="4E8EC29E" w14:textId="77777777" w:rsidR="00EB728E" w:rsidRPr="006B4639" w:rsidRDefault="00EB728E" w:rsidP="000A3668">
            <w:pPr>
              <w:pStyle w:val="TableBodyText"/>
              <w:numPr>
                <w:ilvl w:val="0"/>
                <w:numId w:val="128"/>
              </w:numPr>
              <w:ind w:left="442" w:hanging="357"/>
            </w:pPr>
            <w:r>
              <w:t>Address the problems that have been identified</w:t>
            </w:r>
            <w:r w:rsidR="00721C15">
              <w:t xml:space="preserve"> with the negotiation frameworks</w:t>
            </w:r>
            <w:r>
              <w:t xml:space="preserve">, by adopting </w:t>
            </w:r>
            <w:r w:rsidRPr="006B4639">
              <w:t>a single negotiation framework, which is based on:</w:t>
            </w:r>
          </w:p>
          <w:p w14:paraId="55CD0223" w14:textId="77777777" w:rsidR="00EB728E" w:rsidRPr="006B4639" w:rsidRDefault="00EB728E" w:rsidP="005316A1">
            <w:pPr>
              <w:pStyle w:val="TableListNumber"/>
              <w:keepNext/>
              <w:numPr>
                <w:ilvl w:val="0"/>
                <w:numId w:val="57"/>
              </w:numPr>
              <w:spacing w:after="40" w:line="240" w:lineRule="auto"/>
              <w:rPr>
                <w:rFonts w:asciiTheme="majorHAnsi" w:hAnsiTheme="majorHAnsi" w:cstheme="majorHAnsi"/>
                <w:szCs w:val="18"/>
              </w:rPr>
            </w:pPr>
            <w:r w:rsidRPr="006B4639">
              <w:rPr>
                <w:rFonts w:asciiTheme="majorHAnsi" w:hAnsiTheme="majorHAnsi" w:cstheme="majorHAnsi"/>
                <w:szCs w:val="18"/>
              </w:rPr>
              <w:t>the approach that currently applies under full and light regulation;</w:t>
            </w:r>
          </w:p>
          <w:p w14:paraId="34D7D148" w14:textId="77777777" w:rsidR="00EB728E" w:rsidRPr="006B4639" w:rsidRDefault="00EB728E" w:rsidP="005316A1">
            <w:pPr>
              <w:pStyle w:val="TableListNumber"/>
              <w:keepNext/>
              <w:numPr>
                <w:ilvl w:val="0"/>
                <w:numId w:val="57"/>
              </w:numPr>
              <w:spacing w:after="40" w:line="240" w:lineRule="auto"/>
              <w:rPr>
                <w:rFonts w:asciiTheme="majorHAnsi" w:hAnsiTheme="majorHAnsi" w:cstheme="majorHAnsi"/>
                <w:szCs w:val="18"/>
              </w:rPr>
            </w:pPr>
            <w:r w:rsidRPr="006B4639">
              <w:rPr>
                <w:rFonts w:asciiTheme="majorHAnsi" w:hAnsiTheme="majorHAnsi" w:cstheme="majorHAnsi"/>
                <w:szCs w:val="18"/>
              </w:rPr>
              <w:t>the approach that currently applies under Part 23; or</w:t>
            </w:r>
          </w:p>
          <w:p w14:paraId="56848575" w14:textId="77777777" w:rsidR="00EB728E" w:rsidRPr="00A42E79" w:rsidRDefault="00EB728E" w:rsidP="005316A1">
            <w:pPr>
              <w:pStyle w:val="TableListNumber"/>
              <w:keepNext/>
              <w:numPr>
                <w:ilvl w:val="0"/>
                <w:numId w:val="57"/>
              </w:numPr>
              <w:spacing w:after="40" w:line="240" w:lineRule="auto"/>
            </w:pPr>
            <w:r w:rsidRPr="006B4639">
              <w:rPr>
                <w:rFonts w:asciiTheme="majorHAnsi" w:hAnsiTheme="majorHAnsi" w:cstheme="majorHAnsi"/>
                <w:szCs w:val="18"/>
              </w:rPr>
              <w:t xml:space="preserve">a hybrid approach that: (a) </w:t>
            </w:r>
            <w:r w:rsidRPr="006B4639">
              <w:t>requires all service providers to publish a user access guide; (b) uses the same access request, offer and negotiation timelines used for full and light regulation pipelines; (c) allows shippers to obtain information from service providers in negotiations in the manner set out in Part 23; and</w:t>
            </w:r>
            <w:r w:rsidR="002B762D">
              <w:t xml:space="preserve"> </w:t>
            </w:r>
            <w:r w:rsidRPr="006B4639">
              <w:t xml:space="preserve">(d) adopt the same trigger for access disputes that applies to full and light regulation pipelines. </w:t>
            </w:r>
          </w:p>
        </w:tc>
      </w:tr>
      <w:tr w:rsidR="00EB728E" w:rsidRPr="006B4639" w14:paraId="60C78EAB" w14:textId="77777777" w:rsidTr="00CF688C">
        <w:trPr>
          <w:cnfStyle w:val="000000010000" w:firstRow="0" w:lastRow="0" w:firstColumn="0" w:lastColumn="0" w:oddVBand="0" w:evenVBand="0" w:oddHBand="0" w:evenHBand="1" w:firstRowFirstColumn="0" w:firstRowLastColumn="0" w:lastRowFirstColumn="0" w:lastRowLastColumn="0"/>
          <w:trHeight w:val="272"/>
        </w:trPr>
        <w:tc>
          <w:tcPr>
            <w:tcW w:w="2367" w:type="dxa"/>
          </w:tcPr>
          <w:p w14:paraId="75DBF4EC" w14:textId="77777777" w:rsidR="00EB728E" w:rsidRPr="006B4639" w:rsidRDefault="00EB728E" w:rsidP="00EB728E">
            <w:pPr>
              <w:pStyle w:val="BodyText"/>
              <w:keepNext/>
              <w:spacing w:before="20" w:after="40" w:line="240" w:lineRule="auto"/>
              <w:rPr>
                <w:rFonts w:asciiTheme="majorHAnsi" w:hAnsiTheme="majorHAnsi" w:cstheme="majorHAnsi"/>
                <w:b/>
                <w:szCs w:val="18"/>
              </w:rPr>
            </w:pPr>
            <w:r w:rsidRPr="006B4639">
              <w:rPr>
                <w:rFonts w:asciiTheme="majorHAnsi" w:hAnsiTheme="majorHAnsi" w:cstheme="majorHAnsi"/>
                <w:b/>
                <w:szCs w:val="18"/>
              </w:rPr>
              <w:t>Credibility of the threat of arbitration by smaller shippers</w:t>
            </w:r>
          </w:p>
        </w:tc>
        <w:tc>
          <w:tcPr>
            <w:tcW w:w="11353" w:type="dxa"/>
            <w:tcBorders>
              <w:bottom w:val="single" w:sz="4" w:space="0" w:color="auto"/>
            </w:tcBorders>
          </w:tcPr>
          <w:p w14:paraId="1250095C" w14:textId="77777777" w:rsidR="00EB728E" w:rsidRPr="006B4639" w:rsidRDefault="00EB728E" w:rsidP="000A3668">
            <w:pPr>
              <w:pStyle w:val="TableBodyText"/>
              <w:numPr>
                <w:ilvl w:val="0"/>
                <w:numId w:val="129"/>
              </w:numPr>
              <w:ind w:left="442" w:hanging="357"/>
            </w:pPr>
            <w:r w:rsidRPr="006B4639">
              <w:t>Maintain the existing approach (status quo).</w:t>
            </w:r>
          </w:p>
          <w:p w14:paraId="2383B935" w14:textId="77777777" w:rsidR="00EB728E" w:rsidRDefault="00EB728E" w:rsidP="000A3668">
            <w:pPr>
              <w:pStyle w:val="TableBodyText"/>
              <w:numPr>
                <w:ilvl w:val="0"/>
                <w:numId w:val="129"/>
              </w:numPr>
              <w:ind w:left="442" w:hanging="357"/>
            </w:pPr>
            <w:r>
              <w:t xml:space="preserve">Address the problems that have been identified </w:t>
            </w:r>
            <w:r w:rsidR="00721C15">
              <w:t xml:space="preserve">with the credibility of the threat of arbitration posed by smaller shippers </w:t>
            </w:r>
            <w:r>
              <w:t>by:</w:t>
            </w:r>
          </w:p>
          <w:p w14:paraId="0F64F53B" w14:textId="77777777" w:rsidR="00EB728E" w:rsidRPr="006B4639" w:rsidRDefault="00EB728E" w:rsidP="000A3668">
            <w:pPr>
              <w:pStyle w:val="TableListNumber"/>
              <w:keepNext/>
              <w:numPr>
                <w:ilvl w:val="0"/>
                <w:numId w:val="105"/>
              </w:numPr>
              <w:spacing w:after="40" w:line="240" w:lineRule="auto"/>
              <w:rPr>
                <w:rFonts w:asciiTheme="majorHAnsi" w:hAnsiTheme="majorHAnsi" w:cstheme="majorHAnsi"/>
                <w:szCs w:val="18"/>
              </w:rPr>
            </w:pPr>
            <w:r>
              <w:rPr>
                <w:rFonts w:asciiTheme="majorHAnsi" w:hAnsiTheme="majorHAnsi" w:cstheme="majorHAnsi"/>
                <w:szCs w:val="18"/>
              </w:rPr>
              <w:t>a</w:t>
            </w:r>
            <w:r w:rsidRPr="006B4639">
              <w:rPr>
                <w:rFonts w:asciiTheme="majorHAnsi" w:hAnsiTheme="majorHAnsi" w:cstheme="majorHAnsi"/>
                <w:szCs w:val="18"/>
              </w:rPr>
              <w:t>mend</w:t>
            </w:r>
            <w:r>
              <w:rPr>
                <w:rFonts w:asciiTheme="majorHAnsi" w:hAnsiTheme="majorHAnsi" w:cstheme="majorHAnsi"/>
                <w:szCs w:val="18"/>
              </w:rPr>
              <w:t>ing</w:t>
            </w:r>
            <w:r w:rsidRPr="006B4639">
              <w:rPr>
                <w:rFonts w:asciiTheme="majorHAnsi" w:hAnsiTheme="majorHAnsi" w:cstheme="majorHAnsi"/>
                <w:szCs w:val="18"/>
              </w:rPr>
              <w:t xml:space="preserve"> the dispute resolution mechanisms to prevent service providers’ costs being awarded against smaller shippers (this is only applicable under full and light regulation) and prevent smaller shippers paying more than half the dispute resolution body’s costs</w:t>
            </w:r>
            <w:r>
              <w:rPr>
                <w:rFonts w:asciiTheme="majorHAnsi" w:hAnsiTheme="majorHAnsi" w:cstheme="majorHAnsi"/>
                <w:szCs w:val="18"/>
              </w:rPr>
              <w:t>;</w:t>
            </w:r>
          </w:p>
          <w:p w14:paraId="2F209D25" w14:textId="77777777" w:rsidR="00EB728E" w:rsidRPr="006B4639" w:rsidRDefault="00EB728E" w:rsidP="000A3668">
            <w:pPr>
              <w:pStyle w:val="TableListNumber"/>
              <w:keepNext/>
              <w:numPr>
                <w:ilvl w:val="0"/>
                <w:numId w:val="105"/>
              </w:numPr>
              <w:spacing w:after="40" w:line="240" w:lineRule="auto"/>
              <w:rPr>
                <w:rFonts w:asciiTheme="majorHAnsi" w:hAnsiTheme="majorHAnsi" w:cstheme="majorHAnsi"/>
                <w:szCs w:val="18"/>
              </w:rPr>
            </w:pPr>
            <w:r>
              <w:rPr>
                <w:rFonts w:asciiTheme="majorHAnsi" w:hAnsiTheme="majorHAnsi" w:cstheme="majorHAnsi"/>
                <w:szCs w:val="18"/>
              </w:rPr>
              <w:t>a</w:t>
            </w:r>
            <w:r w:rsidRPr="006B4639">
              <w:rPr>
                <w:rFonts w:asciiTheme="majorHAnsi" w:hAnsiTheme="majorHAnsi" w:cstheme="majorHAnsi"/>
                <w:szCs w:val="18"/>
              </w:rPr>
              <w:t>llow</w:t>
            </w:r>
            <w:r>
              <w:rPr>
                <w:rFonts w:asciiTheme="majorHAnsi" w:hAnsiTheme="majorHAnsi" w:cstheme="majorHAnsi"/>
                <w:szCs w:val="18"/>
              </w:rPr>
              <w:t>ing</w:t>
            </w:r>
            <w:r w:rsidRPr="006B4639">
              <w:rPr>
                <w:rFonts w:asciiTheme="majorHAnsi" w:hAnsiTheme="majorHAnsi" w:cstheme="majorHAnsi"/>
                <w:szCs w:val="18"/>
              </w:rPr>
              <w:t xml:space="preserve"> user groups to intervene in arbitral proceedings involving smaller shippers</w:t>
            </w:r>
            <w:r>
              <w:rPr>
                <w:rFonts w:asciiTheme="majorHAnsi" w:hAnsiTheme="majorHAnsi" w:cstheme="majorHAnsi"/>
                <w:szCs w:val="18"/>
              </w:rPr>
              <w:t>; and/or</w:t>
            </w:r>
          </w:p>
          <w:p w14:paraId="11395D93" w14:textId="77777777" w:rsidR="00EB728E" w:rsidRPr="00BA4627" w:rsidRDefault="00EB728E" w:rsidP="000A3668">
            <w:pPr>
              <w:pStyle w:val="TableListNumber"/>
              <w:keepNext/>
              <w:numPr>
                <w:ilvl w:val="0"/>
                <w:numId w:val="105"/>
              </w:numPr>
              <w:spacing w:after="40" w:line="240" w:lineRule="auto"/>
              <w:rPr>
                <w:rFonts w:asciiTheme="majorHAnsi" w:hAnsiTheme="majorHAnsi" w:cstheme="majorHAnsi"/>
                <w:szCs w:val="18"/>
              </w:rPr>
            </w:pPr>
            <w:r>
              <w:rPr>
                <w:rFonts w:asciiTheme="majorHAnsi" w:hAnsiTheme="majorHAnsi" w:cstheme="majorHAnsi"/>
                <w:szCs w:val="18"/>
              </w:rPr>
              <w:t>e</w:t>
            </w:r>
            <w:r w:rsidRPr="006B4639">
              <w:rPr>
                <w:rFonts w:asciiTheme="majorHAnsi" w:hAnsiTheme="majorHAnsi" w:cstheme="majorHAnsi"/>
                <w:szCs w:val="18"/>
              </w:rPr>
              <w:t>nabl</w:t>
            </w:r>
            <w:r>
              <w:rPr>
                <w:rFonts w:asciiTheme="majorHAnsi" w:hAnsiTheme="majorHAnsi" w:cstheme="majorHAnsi"/>
                <w:szCs w:val="18"/>
              </w:rPr>
              <w:t>ing</w:t>
            </w:r>
            <w:r w:rsidRPr="006B4639">
              <w:rPr>
                <w:rFonts w:asciiTheme="majorHAnsi" w:hAnsiTheme="majorHAnsi" w:cstheme="majorHAnsi"/>
                <w:szCs w:val="18"/>
              </w:rPr>
              <w:t xml:space="preserve"> smaller shippers seeking access to non-scheme pipelines to elect to have the dispute heard by the regulatory dispute resolution body rather than a commercial arbitrator.</w:t>
            </w:r>
          </w:p>
        </w:tc>
      </w:tr>
      <w:tr w:rsidR="00EB728E" w:rsidRPr="006B4639" w14:paraId="03162AFA" w14:textId="77777777" w:rsidTr="00CF688C">
        <w:trPr>
          <w:trHeight w:val="272"/>
        </w:trPr>
        <w:tc>
          <w:tcPr>
            <w:tcW w:w="2367" w:type="dxa"/>
          </w:tcPr>
          <w:p w14:paraId="62B90DC9" w14:textId="77777777" w:rsidR="00EB728E" w:rsidRPr="006B4639" w:rsidRDefault="00EB728E" w:rsidP="00EB728E">
            <w:pPr>
              <w:pStyle w:val="BodyText"/>
              <w:keepNext/>
              <w:spacing w:before="20" w:after="40" w:line="240" w:lineRule="auto"/>
              <w:rPr>
                <w:rFonts w:asciiTheme="majorHAnsi" w:hAnsiTheme="majorHAnsi" w:cstheme="majorHAnsi"/>
                <w:b/>
                <w:szCs w:val="18"/>
              </w:rPr>
            </w:pPr>
            <w:r w:rsidRPr="006B4639">
              <w:rPr>
                <w:rFonts w:asciiTheme="majorHAnsi" w:hAnsiTheme="majorHAnsi" w:cstheme="majorHAnsi"/>
                <w:b/>
                <w:szCs w:val="18"/>
              </w:rPr>
              <w:t>Efficiency, effectiveness and credibility of the threat of arbitration for scheme pipelines</w:t>
            </w:r>
          </w:p>
        </w:tc>
        <w:tc>
          <w:tcPr>
            <w:tcW w:w="11353" w:type="dxa"/>
            <w:shd w:val="clear" w:color="auto" w:fill="FFFFFF" w:themeFill="background1"/>
          </w:tcPr>
          <w:p w14:paraId="7052C5C9" w14:textId="77777777" w:rsidR="00EB728E" w:rsidRPr="006B4639" w:rsidRDefault="00EB728E" w:rsidP="000A3668">
            <w:pPr>
              <w:pStyle w:val="TableBodyText"/>
              <w:numPr>
                <w:ilvl w:val="0"/>
                <w:numId w:val="130"/>
              </w:numPr>
              <w:ind w:left="442" w:hanging="357"/>
            </w:pPr>
            <w:r w:rsidRPr="006B4639">
              <w:t xml:space="preserve">Maintain the existing </w:t>
            </w:r>
            <w:r w:rsidR="00C127F0">
              <w:t>dispute resolution mechanism</w:t>
            </w:r>
            <w:r w:rsidRPr="006B4639">
              <w:t xml:space="preserve"> (status quo).</w:t>
            </w:r>
          </w:p>
          <w:p w14:paraId="327AB432" w14:textId="77777777" w:rsidR="00EB728E" w:rsidRDefault="00EB728E" w:rsidP="000A3668">
            <w:pPr>
              <w:pStyle w:val="TableBodyText"/>
              <w:numPr>
                <w:ilvl w:val="0"/>
                <w:numId w:val="130"/>
              </w:numPr>
              <w:ind w:left="442" w:hanging="357"/>
            </w:pPr>
            <w:r>
              <w:t xml:space="preserve">Address the problems that have been identified </w:t>
            </w:r>
            <w:r w:rsidR="00721C15">
              <w:t xml:space="preserve">with the dispute resolution mechanism applying to scheme pipelines </w:t>
            </w:r>
            <w:r>
              <w:t>by:</w:t>
            </w:r>
          </w:p>
          <w:p w14:paraId="285FA587" w14:textId="77777777" w:rsidR="00EB728E" w:rsidRPr="006B4639" w:rsidRDefault="00EB728E" w:rsidP="000A3668">
            <w:pPr>
              <w:pStyle w:val="TableListNumber"/>
              <w:keepNext/>
              <w:numPr>
                <w:ilvl w:val="0"/>
                <w:numId w:val="107"/>
              </w:numPr>
              <w:spacing w:after="40" w:line="240" w:lineRule="auto"/>
              <w:rPr>
                <w:rFonts w:asciiTheme="majorHAnsi" w:hAnsiTheme="majorHAnsi" w:cstheme="majorHAnsi"/>
                <w:szCs w:val="18"/>
              </w:rPr>
            </w:pPr>
            <w:r>
              <w:rPr>
                <w:rFonts w:asciiTheme="majorHAnsi" w:hAnsiTheme="majorHAnsi" w:cstheme="majorHAnsi"/>
                <w:szCs w:val="18"/>
              </w:rPr>
              <w:t>a</w:t>
            </w:r>
            <w:r w:rsidRPr="006B4639">
              <w:rPr>
                <w:rFonts w:asciiTheme="majorHAnsi" w:hAnsiTheme="majorHAnsi" w:cstheme="majorHAnsi"/>
                <w:szCs w:val="18"/>
              </w:rPr>
              <w:t>mend</w:t>
            </w:r>
            <w:r>
              <w:rPr>
                <w:rFonts w:asciiTheme="majorHAnsi" w:hAnsiTheme="majorHAnsi" w:cstheme="majorHAnsi"/>
                <w:szCs w:val="18"/>
              </w:rPr>
              <w:t>ing</w:t>
            </w:r>
            <w:r w:rsidRPr="006B4639">
              <w:rPr>
                <w:rFonts w:asciiTheme="majorHAnsi" w:hAnsiTheme="majorHAnsi" w:cstheme="majorHAnsi"/>
                <w:szCs w:val="18"/>
              </w:rPr>
              <w:t xml:space="preserve"> the NGL to require the dispute resolution body to have </w:t>
            </w:r>
            <w:r w:rsidRPr="006B4639">
              <w:rPr>
                <w:lang w:eastAsia="fr-CA"/>
              </w:rPr>
              <w:t xml:space="preserve">regard to the NGO, </w:t>
            </w:r>
            <w:r w:rsidRPr="00541FE1">
              <w:rPr>
                <w:rFonts w:asciiTheme="majorHAnsi" w:hAnsiTheme="majorHAnsi" w:cstheme="majorHAnsi"/>
                <w:szCs w:val="18"/>
              </w:rPr>
              <w:t>the revenue and pricing principles, an applicable AA (where relevant), previous AAs or access determinations, pre-existing contractual rights and the price and revenue regulation provisions in Part 9 of the NGR.</w:t>
            </w:r>
          </w:p>
          <w:p w14:paraId="785DEAD4" w14:textId="77777777" w:rsidR="00EB728E" w:rsidRPr="006B4639" w:rsidRDefault="00EB728E" w:rsidP="000A3668">
            <w:pPr>
              <w:pStyle w:val="TableListNumber"/>
              <w:keepNext/>
              <w:numPr>
                <w:ilvl w:val="0"/>
                <w:numId w:val="107"/>
              </w:numPr>
              <w:spacing w:after="40" w:line="240" w:lineRule="auto"/>
              <w:rPr>
                <w:rFonts w:asciiTheme="majorHAnsi" w:hAnsiTheme="majorHAnsi" w:cstheme="majorHAnsi"/>
                <w:szCs w:val="18"/>
              </w:rPr>
            </w:pPr>
            <w:r>
              <w:rPr>
                <w:rFonts w:asciiTheme="majorHAnsi" w:hAnsiTheme="majorHAnsi" w:cstheme="majorHAnsi"/>
                <w:szCs w:val="18"/>
              </w:rPr>
              <w:t>a</w:t>
            </w:r>
            <w:r w:rsidRPr="006B4639">
              <w:rPr>
                <w:rFonts w:asciiTheme="majorHAnsi" w:hAnsiTheme="majorHAnsi" w:cstheme="majorHAnsi"/>
                <w:szCs w:val="18"/>
              </w:rPr>
              <w:t>mend</w:t>
            </w:r>
            <w:r>
              <w:rPr>
                <w:rFonts w:asciiTheme="majorHAnsi" w:hAnsiTheme="majorHAnsi" w:cstheme="majorHAnsi"/>
                <w:szCs w:val="18"/>
              </w:rPr>
              <w:t>ing</w:t>
            </w:r>
            <w:r w:rsidRPr="006B4639">
              <w:rPr>
                <w:rFonts w:asciiTheme="majorHAnsi" w:hAnsiTheme="majorHAnsi" w:cstheme="majorHAnsi"/>
                <w:szCs w:val="18"/>
              </w:rPr>
              <w:t xml:space="preserve"> the joint dispute provisions in the NGL to require the existence of a dispute to be made public and to set out the process for joining parties.</w:t>
            </w:r>
          </w:p>
          <w:p w14:paraId="4606CF76" w14:textId="77777777" w:rsidR="00EB728E" w:rsidRPr="006B4639" w:rsidRDefault="00EB728E" w:rsidP="000A3668">
            <w:pPr>
              <w:pStyle w:val="TableListNumber"/>
              <w:keepNext/>
              <w:numPr>
                <w:ilvl w:val="0"/>
                <w:numId w:val="107"/>
              </w:numPr>
              <w:spacing w:after="40" w:line="240" w:lineRule="auto"/>
              <w:rPr>
                <w:rFonts w:asciiTheme="majorHAnsi" w:hAnsiTheme="majorHAnsi" w:cstheme="majorHAnsi"/>
                <w:szCs w:val="18"/>
              </w:rPr>
            </w:pPr>
            <w:r>
              <w:rPr>
                <w:rFonts w:asciiTheme="majorHAnsi" w:hAnsiTheme="majorHAnsi" w:cstheme="majorHAnsi"/>
                <w:szCs w:val="18"/>
              </w:rPr>
              <w:t>a</w:t>
            </w:r>
            <w:r w:rsidRPr="006B4639">
              <w:rPr>
                <w:rFonts w:asciiTheme="majorHAnsi" w:hAnsiTheme="majorHAnsi" w:cstheme="majorHAnsi"/>
                <w:szCs w:val="18"/>
              </w:rPr>
              <w:t>mend</w:t>
            </w:r>
            <w:r>
              <w:rPr>
                <w:rFonts w:asciiTheme="majorHAnsi" w:hAnsiTheme="majorHAnsi" w:cstheme="majorHAnsi"/>
                <w:szCs w:val="18"/>
              </w:rPr>
              <w:t>ing</w:t>
            </w:r>
            <w:r w:rsidRPr="006B4639">
              <w:rPr>
                <w:rFonts w:asciiTheme="majorHAnsi" w:hAnsiTheme="majorHAnsi" w:cstheme="majorHAnsi"/>
                <w:szCs w:val="18"/>
              </w:rPr>
              <w:t xml:space="preserve"> the timeframes for access determinations by:</w:t>
            </w:r>
          </w:p>
          <w:p w14:paraId="0E51B2DE" w14:textId="77777777" w:rsidR="00EB728E" w:rsidRPr="006B4639" w:rsidRDefault="00EB728E" w:rsidP="000A3668">
            <w:pPr>
              <w:pStyle w:val="BodyText"/>
              <w:keepNext/>
              <w:numPr>
                <w:ilvl w:val="0"/>
                <w:numId w:val="106"/>
              </w:numPr>
              <w:spacing w:before="20" w:after="40" w:line="240" w:lineRule="auto"/>
              <w:ind w:left="1118" w:hanging="272"/>
              <w:rPr>
                <w:rFonts w:asciiTheme="majorHAnsi" w:hAnsiTheme="majorHAnsi" w:cstheme="majorHAnsi"/>
                <w:szCs w:val="18"/>
              </w:rPr>
            </w:pPr>
            <w:r w:rsidRPr="006B4639">
              <w:rPr>
                <w:rFonts w:asciiTheme="majorHAnsi" w:hAnsiTheme="majorHAnsi" w:cstheme="majorHAnsi"/>
                <w:szCs w:val="18"/>
              </w:rPr>
              <w:t>introducing a 50-day fast-track option for disputes involving full regulation pipelines; and/or</w:t>
            </w:r>
          </w:p>
          <w:p w14:paraId="6F47AFAF" w14:textId="77777777" w:rsidR="00EB728E" w:rsidRPr="006B4639" w:rsidRDefault="00EB728E" w:rsidP="000A3668">
            <w:pPr>
              <w:pStyle w:val="BodyText"/>
              <w:keepNext/>
              <w:numPr>
                <w:ilvl w:val="0"/>
                <w:numId w:val="106"/>
              </w:numPr>
              <w:spacing w:before="20" w:after="40" w:line="240" w:lineRule="auto"/>
              <w:ind w:left="1118" w:hanging="272"/>
              <w:rPr>
                <w:rFonts w:asciiTheme="majorHAnsi" w:hAnsiTheme="majorHAnsi" w:cstheme="majorHAnsi"/>
                <w:szCs w:val="18"/>
              </w:rPr>
            </w:pPr>
            <w:r w:rsidRPr="006B4639">
              <w:rPr>
                <w:rFonts w:asciiTheme="majorHAnsi" w:hAnsiTheme="majorHAnsi" w:cstheme="majorHAnsi"/>
                <w:szCs w:val="18"/>
              </w:rPr>
              <w:t xml:space="preserve">specifying the maximum period of time to be taken by the dispute resolution body to resolve a dispute (e.g. 8 or 12 mths). </w:t>
            </w:r>
          </w:p>
          <w:p w14:paraId="2C2BBFE4" w14:textId="77777777" w:rsidR="00EB728E" w:rsidRPr="006B4639" w:rsidRDefault="00EB728E" w:rsidP="000A3668">
            <w:pPr>
              <w:pStyle w:val="TableListNumber"/>
              <w:keepNext/>
              <w:numPr>
                <w:ilvl w:val="0"/>
                <w:numId w:val="107"/>
              </w:numPr>
              <w:spacing w:after="40" w:line="240" w:lineRule="auto"/>
              <w:rPr>
                <w:rFonts w:asciiTheme="majorHAnsi" w:hAnsiTheme="majorHAnsi" w:cstheme="majorHAnsi"/>
                <w:szCs w:val="18"/>
              </w:rPr>
            </w:pPr>
            <w:r>
              <w:rPr>
                <w:rFonts w:asciiTheme="majorHAnsi" w:hAnsiTheme="majorHAnsi" w:cstheme="majorHAnsi"/>
                <w:szCs w:val="18"/>
              </w:rPr>
              <w:t>a</w:t>
            </w:r>
            <w:r w:rsidRPr="006B4639">
              <w:rPr>
                <w:rFonts w:asciiTheme="majorHAnsi" w:hAnsiTheme="majorHAnsi" w:cstheme="majorHAnsi"/>
                <w:szCs w:val="18"/>
              </w:rPr>
              <w:t>mend</w:t>
            </w:r>
            <w:r>
              <w:rPr>
                <w:rFonts w:asciiTheme="majorHAnsi" w:hAnsiTheme="majorHAnsi" w:cstheme="majorHAnsi"/>
                <w:szCs w:val="18"/>
              </w:rPr>
              <w:t>ing</w:t>
            </w:r>
            <w:r w:rsidRPr="006B4639">
              <w:rPr>
                <w:rFonts w:asciiTheme="majorHAnsi" w:hAnsiTheme="majorHAnsi" w:cstheme="majorHAnsi"/>
                <w:szCs w:val="18"/>
              </w:rPr>
              <w:t xml:space="preserve"> the NGL and/or NGR so that: </w:t>
            </w:r>
          </w:p>
          <w:p w14:paraId="256D5649" w14:textId="77777777" w:rsidR="00EB728E" w:rsidRDefault="00EB728E" w:rsidP="000A3668">
            <w:pPr>
              <w:pStyle w:val="BodyText"/>
              <w:keepNext/>
              <w:numPr>
                <w:ilvl w:val="0"/>
                <w:numId w:val="108"/>
              </w:numPr>
              <w:spacing w:before="20" w:after="40" w:line="240" w:lineRule="auto"/>
              <w:ind w:left="1118" w:hanging="272"/>
              <w:rPr>
                <w:rFonts w:asciiTheme="majorHAnsi" w:hAnsiTheme="majorHAnsi" w:cstheme="majorHAnsi"/>
                <w:szCs w:val="18"/>
              </w:rPr>
            </w:pPr>
            <w:r w:rsidRPr="006B4639">
              <w:rPr>
                <w:rFonts w:asciiTheme="majorHAnsi" w:hAnsiTheme="majorHAnsi" w:cstheme="majorHAnsi"/>
                <w:szCs w:val="18"/>
              </w:rPr>
              <w:t xml:space="preserve">an access determination is not binding on the shipper unless the shipper decides to enter into a contract that reflects the access determination; and </w:t>
            </w:r>
          </w:p>
          <w:p w14:paraId="6E93FACB" w14:textId="77777777" w:rsidR="00EB728E" w:rsidRPr="00CF6960" w:rsidRDefault="00EB728E" w:rsidP="000A3668">
            <w:pPr>
              <w:pStyle w:val="BodyText"/>
              <w:keepNext/>
              <w:numPr>
                <w:ilvl w:val="0"/>
                <w:numId w:val="108"/>
              </w:numPr>
              <w:spacing w:before="20" w:after="40" w:line="240" w:lineRule="auto"/>
              <w:ind w:left="1118" w:hanging="272"/>
              <w:rPr>
                <w:rFonts w:asciiTheme="majorHAnsi" w:hAnsiTheme="majorHAnsi" w:cstheme="majorHAnsi"/>
                <w:szCs w:val="18"/>
              </w:rPr>
            </w:pPr>
            <w:r w:rsidRPr="00CF6960">
              <w:rPr>
                <w:rFonts w:asciiTheme="majorHAnsi" w:hAnsiTheme="majorHAnsi" w:cstheme="majorHAnsi"/>
                <w:szCs w:val="18"/>
              </w:rPr>
              <w:t>a shipper that decides not to enter into such a contract is prevented from seeking arbitration for the same or a substantially similar service for 12 mths.</w:t>
            </w:r>
          </w:p>
          <w:p w14:paraId="3E093A81" w14:textId="77777777" w:rsidR="00EB728E" w:rsidRPr="005E2D46" w:rsidRDefault="00EB728E" w:rsidP="000A3668">
            <w:pPr>
              <w:pStyle w:val="TableListNumber"/>
              <w:keepNext/>
              <w:numPr>
                <w:ilvl w:val="0"/>
                <w:numId w:val="107"/>
              </w:numPr>
              <w:spacing w:after="40" w:line="240" w:lineRule="auto"/>
              <w:rPr>
                <w:rFonts w:asciiTheme="majorHAnsi" w:hAnsiTheme="majorHAnsi" w:cstheme="majorHAnsi"/>
                <w:szCs w:val="18"/>
              </w:rPr>
            </w:pPr>
            <w:r>
              <w:rPr>
                <w:rFonts w:asciiTheme="majorHAnsi" w:hAnsiTheme="majorHAnsi" w:cstheme="majorHAnsi"/>
                <w:szCs w:val="18"/>
              </w:rPr>
              <w:t>a</w:t>
            </w:r>
            <w:r w:rsidRPr="006B4639">
              <w:rPr>
                <w:rFonts w:asciiTheme="majorHAnsi" w:hAnsiTheme="majorHAnsi" w:cstheme="majorHAnsi"/>
                <w:szCs w:val="18"/>
              </w:rPr>
              <w:t>mend</w:t>
            </w:r>
            <w:r>
              <w:rPr>
                <w:rFonts w:asciiTheme="majorHAnsi" w:hAnsiTheme="majorHAnsi" w:cstheme="majorHAnsi"/>
                <w:szCs w:val="18"/>
              </w:rPr>
              <w:t>ing</w:t>
            </w:r>
            <w:r w:rsidRPr="006B4639">
              <w:rPr>
                <w:rFonts w:asciiTheme="majorHAnsi" w:hAnsiTheme="majorHAnsi" w:cstheme="majorHAnsi"/>
                <w:szCs w:val="18"/>
              </w:rPr>
              <w:t xml:space="preserve"> the NGL to require the dispute resolution body to publish the access determination, statement of reasons, relevant financial calculations and information provided in the course of the dispute (subject to the confidentiality provisions in the NGL)</w:t>
            </w:r>
            <w:r>
              <w:rPr>
                <w:rFonts w:asciiTheme="majorHAnsi" w:hAnsiTheme="majorHAnsi" w:cstheme="majorHAnsi"/>
                <w:szCs w:val="18"/>
              </w:rPr>
              <w:t>.</w:t>
            </w:r>
          </w:p>
        </w:tc>
      </w:tr>
    </w:tbl>
    <w:p w14:paraId="047B7092" w14:textId="77777777" w:rsidR="00753C41" w:rsidRDefault="00753C41" w:rsidP="00753C41">
      <w:pPr>
        <w:pStyle w:val="Heading3"/>
      </w:pPr>
      <w:r>
        <w:t xml:space="preserve">Stakeholder feedback on the options </w:t>
      </w:r>
    </w:p>
    <w:p w14:paraId="0E9A49EA" w14:textId="487ABC9C" w:rsidR="00753C41" w:rsidRPr="00EB728E" w:rsidRDefault="00753C41" w:rsidP="00EB728E">
      <w:pPr>
        <w:pStyle w:val="BodyText"/>
        <w:sectPr w:rsidR="00753C41" w:rsidRPr="00EB728E" w:rsidSect="00855DD0">
          <w:headerReference w:type="even" r:id="rId64"/>
          <w:headerReference w:type="default" r:id="rId65"/>
          <w:footerReference w:type="even" r:id="rId66"/>
          <w:footerReference w:type="default" r:id="rId67"/>
          <w:headerReference w:type="first" r:id="rId68"/>
          <w:footerReference w:type="first" r:id="rId69"/>
          <w:pgSz w:w="11907" w:h="16839" w:code="9"/>
          <w:pgMar w:top="1361" w:right="1418" w:bottom="992" w:left="1701" w:header="567" w:footer="397" w:gutter="0"/>
          <w:cols w:space="708"/>
          <w:docGrid w:linePitch="360"/>
        </w:sectPr>
      </w:pPr>
      <w:r>
        <w:t>The</w:t>
      </w:r>
      <w:r w:rsidRPr="00563085">
        <w:t xml:space="preserve"> feedback </w:t>
      </w:r>
      <w:r>
        <w:t xml:space="preserve">that </w:t>
      </w:r>
      <w:r w:rsidRPr="00563085">
        <w:t>stakeholders provided on these options</w:t>
      </w:r>
      <w:r>
        <w:t xml:space="preserve"> is set out in </w:t>
      </w:r>
      <w:r>
        <w:fldChar w:fldCharType="begin" w:fldLock="1"/>
      </w:r>
      <w:r>
        <w:instrText xml:space="preserve"> REF _Ref52943655 \h </w:instrText>
      </w:r>
      <w:r>
        <w:fldChar w:fldCharType="separate"/>
      </w:r>
      <w:r w:rsidR="00036405">
        <w:t xml:space="preserve">Table </w:t>
      </w:r>
      <w:r w:rsidR="00036405">
        <w:rPr>
          <w:noProof/>
        </w:rPr>
        <w:t>7</w:t>
      </w:r>
      <w:r w:rsidR="00036405">
        <w:t>.</w:t>
      </w:r>
      <w:r w:rsidR="00036405">
        <w:rPr>
          <w:noProof/>
        </w:rPr>
        <w:t>4</w:t>
      </w:r>
      <w:r>
        <w:fldChar w:fldCharType="end"/>
      </w:r>
      <w:r w:rsidRPr="00563085">
        <w:t>.</w:t>
      </w:r>
      <w:r w:rsidR="00FA33FD">
        <w:t xml:space="preserve"> </w:t>
      </w:r>
    </w:p>
    <w:p w14:paraId="50125B4E" w14:textId="71AC7C5A" w:rsidR="00EB728E" w:rsidRDefault="00EB728E" w:rsidP="00EB728E">
      <w:pPr>
        <w:pStyle w:val="Caption"/>
        <w:spacing w:before="0" w:after="0"/>
      </w:pPr>
      <w:bookmarkStart w:id="172" w:name="_Ref52943655"/>
      <w:r>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7</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4</w:t>
      </w:r>
      <w:r w:rsidR="00F323B2">
        <w:rPr>
          <w:noProof/>
        </w:rPr>
        <w:fldChar w:fldCharType="end"/>
      </w:r>
      <w:bookmarkEnd w:id="172"/>
      <w:r>
        <w:t>: Stakeholder feedback on the options identified in the Consultation RIS</w:t>
      </w:r>
    </w:p>
    <w:tbl>
      <w:tblPr>
        <w:tblStyle w:val="TableGrid"/>
        <w:tblW w:w="5000" w:type="pct"/>
        <w:tblLayout w:type="fixed"/>
        <w:tblLook w:val="0420" w:firstRow="1" w:lastRow="0" w:firstColumn="0" w:lastColumn="0" w:noHBand="0" w:noVBand="1"/>
      </w:tblPr>
      <w:tblGrid>
        <w:gridCol w:w="538"/>
        <w:gridCol w:w="1213"/>
        <w:gridCol w:w="1210"/>
        <w:gridCol w:w="10759"/>
      </w:tblGrid>
      <w:tr w:rsidR="00EB728E" w:rsidRPr="003E4FC1" w14:paraId="5F78CE93" w14:textId="77777777" w:rsidTr="00490822">
        <w:trPr>
          <w:cnfStyle w:val="100000000000" w:firstRow="1" w:lastRow="0" w:firstColumn="0" w:lastColumn="0" w:oddVBand="0" w:evenVBand="0" w:oddHBand="0" w:evenHBand="0" w:firstRowFirstColumn="0" w:firstRowLastColumn="0" w:lastRowFirstColumn="0" w:lastRowLastColumn="0"/>
          <w:cantSplit/>
          <w:tblHeader/>
        </w:trPr>
        <w:tc>
          <w:tcPr>
            <w:tcW w:w="1079" w:type="pct"/>
            <w:gridSpan w:val="3"/>
            <w:shd w:val="clear" w:color="auto" w:fill="002060"/>
          </w:tcPr>
          <w:p w14:paraId="6B45B0F6" w14:textId="77777777" w:rsidR="00EB728E" w:rsidRPr="003E4FC1" w:rsidRDefault="00EB728E" w:rsidP="00201EFD">
            <w:pPr>
              <w:pStyle w:val="TableHeading"/>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Issues</w:t>
            </w:r>
          </w:p>
        </w:tc>
        <w:tc>
          <w:tcPr>
            <w:tcW w:w="3921" w:type="pct"/>
            <w:shd w:val="clear" w:color="auto" w:fill="002060"/>
          </w:tcPr>
          <w:p w14:paraId="6BA2CBFE" w14:textId="77777777" w:rsidR="00EB728E" w:rsidRPr="003E4FC1" w:rsidRDefault="00EB728E" w:rsidP="00201EFD">
            <w:pPr>
              <w:pStyle w:val="TableHeading"/>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Feedback</w:t>
            </w:r>
          </w:p>
        </w:tc>
      </w:tr>
      <w:tr w:rsidR="0029780C" w:rsidRPr="003E4FC1" w14:paraId="7D71FF25" w14:textId="77777777" w:rsidTr="00490822">
        <w:trPr>
          <w:cantSplit/>
          <w:trHeight w:val="279"/>
        </w:trPr>
        <w:tc>
          <w:tcPr>
            <w:tcW w:w="196" w:type="pct"/>
            <w:vMerge w:val="restart"/>
            <w:textDirection w:val="btLr"/>
          </w:tcPr>
          <w:p w14:paraId="3899CE9F" w14:textId="77777777" w:rsidR="0029780C" w:rsidRPr="003E4FC1" w:rsidRDefault="0029780C" w:rsidP="00201EFD">
            <w:pPr>
              <w:spacing w:before="20" w:after="20" w:line="252" w:lineRule="auto"/>
              <w:jc w:val="center"/>
              <w:rPr>
                <w:rFonts w:asciiTheme="majorHAnsi" w:hAnsiTheme="majorHAnsi" w:cstheme="majorHAnsi"/>
                <w:sz w:val="17"/>
                <w:szCs w:val="17"/>
                <w:lang w:eastAsia="fr-CA"/>
              </w:rPr>
            </w:pPr>
            <w:r w:rsidRPr="003E4FC1">
              <w:rPr>
                <w:rFonts w:asciiTheme="majorHAnsi" w:hAnsiTheme="majorHAnsi" w:cstheme="majorHAnsi"/>
                <w:sz w:val="17"/>
                <w:szCs w:val="17"/>
                <w:lang w:eastAsia="fr-CA"/>
              </w:rPr>
              <w:t>Differences in negotiation framework</w:t>
            </w:r>
            <w:r w:rsidR="000C6FC1" w:rsidRPr="003E4FC1">
              <w:rPr>
                <w:rFonts w:asciiTheme="majorHAnsi" w:hAnsiTheme="majorHAnsi" w:cstheme="majorHAnsi"/>
                <w:sz w:val="17"/>
                <w:szCs w:val="17"/>
                <w:lang w:eastAsia="fr-CA"/>
              </w:rPr>
              <w:t>s</w:t>
            </w:r>
          </w:p>
        </w:tc>
        <w:tc>
          <w:tcPr>
            <w:tcW w:w="883" w:type="pct"/>
            <w:gridSpan w:val="2"/>
            <w:tcBorders>
              <w:bottom w:val="single" w:sz="4" w:space="0" w:color="auto"/>
            </w:tcBorders>
          </w:tcPr>
          <w:p w14:paraId="7F986ED8" w14:textId="77777777" w:rsidR="0029780C" w:rsidRPr="003E4FC1" w:rsidRDefault="0029780C" w:rsidP="00201EFD">
            <w:pPr>
              <w:pStyle w:val="TableBodyText"/>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 xml:space="preserve">Option </w:t>
            </w:r>
            <w:r w:rsidR="002B762D" w:rsidRPr="003E4FC1">
              <w:rPr>
                <w:rFonts w:asciiTheme="majorHAnsi" w:hAnsiTheme="majorHAnsi" w:cstheme="majorHAnsi"/>
                <w:sz w:val="17"/>
                <w:szCs w:val="17"/>
                <w:lang w:eastAsia="fr-CA"/>
              </w:rPr>
              <w:t>A</w:t>
            </w:r>
            <w:r w:rsidRPr="003E4FC1">
              <w:rPr>
                <w:rFonts w:asciiTheme="majorHAnsi" w:hAnsiTheme="majorHAnsi" w:cstheme="majorHAnsi"/>
                <w:sz w:val="17"/>
                <w:szCs w:val="17"/>
                <w:lang w:eastAsia="fr-CA"/>
              </w:rPr>
              <w:t xml:space="preserve">: </w:t>
            </w:r>
            <w:r w:rsidR="00211198" w:rsidRPr="003E4FC1">
              <w:rPr>
                <w:rFonts w:asciiTheme="majorHAnsi" w:hAnsiTheme="majorHAnsi" w:cstheme="majorHAnsi"/>
                <w:sz w:val="17"/>
                <w:szCs w:val="17"/>
                <w:lang w:eastAsia="fr-CA"/>
              </w:rPr>
              <w:t>S</w:t>
            </w:r>
            <w:r w:rsidRPr="003E4FC1">
              <w:rPr>
                <w:rFonts w:asciiTheme="majorHAnsi" w:hAnsiTheme="majorHAnsi" w:cstheme="majorHAnsi"/>
                <w:sz w:val="17"/>
                <w:szCs w:val="17"/>
                <w:lang w:eastAsia="fr-CA"/>
              </w:rPr>
              <w:t>tatus quo</w:t>
            </w:r>
          </w:p>
        </w:tc>
        <w:tc>
          <w:tcPr>
            <w:tcW w:w="3921" w:type="pct"/>
            <w:tcBorders>
              <w:bottom w:val="single" w:sz="4" w:space="0" w:color="auto"/>
            </w:tcBorders>
          </w:tcPr>
          <w:p w14:paraId="15E14071" w14:textId="77777777" w:rsidR="006060CB" w:rsidRPr="003E4FC1" w:rsidRDefault="006060CB" w:rsidP="00201EFD">
            <w:pPr>
              <w:pStyle w:val="TableBullet10"/>
              <w:spacing w:before="20" w:after="20" w:line="252" w:lineRule="auto"/>
              <w:rPr>
                <w:rFonts w:asciiTheme="majorHAnsi" w:hAnsiTheme="majorHAnsi" w:cstheme="majorHAnsi"/>
                <w:sz w:val="17"/>
                <w:szCs w:val="17"/>
                <w:lang w:eastAsia="fr-CA"/>
              </w:rPr>
            </w:pPr>
            <w:r w:rsidRPr="003E4FC1">
              <w:rPr>
                <w:rFonts w:asciiTheme="majorHAnsi" w:hAnsiTheme="majorHAnsi" w:cstheme="majorHAnsi"/>
                <w:iCs/>
                <w:color w:val="7030A0"/>
                <w:sz w:val="17"/>
                <w:szCs w:val="17"/>
              </w:rPr>
              <w:t>AGIG</w:t>
            </w:r>
            <w:r w:rsidR="003C3F93" w:rsidRPr="003E4FC1">
              <w:rPr>
                <w:rFonts w:asciiTheme="majorHAnsi" w:hAnsiTheme="majorHAnsi" w:cstheme="majorHAnsi"/>
                <w:iCs/>
                <w:color w:val="7030A0"/>
                <w:sz w:val="17"/>
                <w:szCs w:val="17"/>
              </w:rPr>
              <w:t xml:space="preserve"> </w:t>
            </w:r>
            <w:r w:rsidRPr="003E4FC1">
              <w:rPr>
                <w:rFonts w:asciiTheme="majorHAnsi" w:hAnsiTheme="majorHAnsi" w:cstheme="majorHAnsi"/>
                <w:iCs/>
                <w:sz w:val="17"/>
                <w:szCs w:val="17"/>
              </w:rPr>
              <w:t xml:space="preserve">and </w:t>
            </w:r>
            <w:r w:rsidRPr="003E4FC1">
              <w:rPr>
                <w:rFonts w:asciiTheme="majorHAnsi" w:hAnsiTheme="majorHAnsi" w:cstheme="majorHAnsi"/>
                <w:iCs/>
                <w:color w:val="7030A0"/>
                <w:sz w:val="17"/>
                <w:szCs w:val="17"/>
              </w:rPr>
              <w:t xml:space="preserve">Jemena </w:t>
            </w:r>
            <w:r w:rsidRPr="003E4FC1">
              <w:rPr>
                <w:rFonts w:asciiTheme="majorHAnsi" w:hAnsiTheme="majorHAnsi" w:cstheme="majorHAnsi"/>
                <w:iCs/>
                <w:sz w:val="17"/>
                <w:szCs w:val="17"/>
              </w:rPr>
              <w:t xml:space="preserve">supported the </w:t>
            </w:r>
            <w:r w:rsidR="007B69BD" w:rsidRPr="003E4FC1">
              <w:rPr>
                <w:rFonts w:asciiTheme="majorHAnsi" w:hAnsiTheme="majorHAnsi" w:cstheme="majorHAnsi"/>
                <w:iCs/>
                <w:sz w:val="17"/>
                <w:szCs w:val="17"/>
              </w:rPr>
              <w:t xml:space="preserve">retention of </w:t>
            </w:r>
            <w:r w:rsidR="002646DC" w:rsidRPr="003E4FC1">
              <w:rPr>
                <w:rFonts w:asciiTheme="majorHAnsi" w:hAnsiTheme="majorHAnsi" w:cstheme="majorHAnsi"/>
                <w:iCs/>
                <w:sz w:val="17"/>
                <w:szCs w:val="17"/>
              </w:rPr>
              <w:t>separate negotiation frameworks for scheme and non-scheme pipelines</w:t>
            </w:r>
            <w:r w:rsidRPr="003E4FC1">
              <w:rPr>
                <w:rFonts w:asciiTheme="majorHAnsi" w:hAnsiTheme="majorHAnsi" w:cstheme="majorHAnsi"/>
                <w:iCs/>
                <w:sz w:val="17"/>
                <w:szCs w:val="17"/>
              </w:rPr>
              <w:t xml:space="preserve">. </w:t>
            </w:r>
          </w:p>
        </w:tc>
      </w:tr>
      <w:tr w:rsidR="00F1472A" w:rsidRPr="003E4FC1" w14:paraId="3D065D20" w14:textId="77777777" w:rsidTr="00490822">
        <w:trPr>
          <w:cnfStyle w:val="000000010000" w:firstRow="0" w:lastRow="0" w:firstColumn="0" w:lastColumn="0" w:oddVBand="0" w:evenVBand="0" w:oddHBand="0" w:evenHBand="1" w:firstRowFirstColumn="0" w:firstRowLastColumn="0" w:lastRowFirstColumn="0" w:lastRowLastColumn="0"/>
          <w:cantSplit/>
          <w:trHeight w:val="1118"/>
        </w:trPr>
        <w:tc>
          <w:tcPr>
            <w:tcW w:w="196" w:type="pct"/>
            <w:vMerge/>
          </w:tcPr>
          <w:p w14:paraId="19563551" w14:textId="77777777" w:rsidR="00F1472A" w:rsidRPr="003E4FC1" w:rsidRDefault="00F1472A" w:rsidP="00201EFD">
            <w:pPr>
              <w:spacing w:before="20" w:after="20" w:line="252" w:lineRule="auto"/>
              <w:rPr>
                <w:rFonts w:asciiTheme="majorHAnsi" w:hAnsiTheme="majorHAnsi" w:cstheme="majorHAnsi"/>
                <w:bCs/>
                <w:sz w:val="17"/>
                <w:szCs w:val="17"/>
              </w:rPr>
            </w:pPr>
          </w:p>
        </w:tc>
        <w:tc>
          <w:tcPr>
            <w:tcW w:w="883" w:type="pct"/>
            <w:gridSpan w:val="2"/>
            <w:shd w:val="clear" w:color="auto" w:fill="F2F2F2" w:themeFill="background1" w:themeFillShade="F2"/>
          </w:tcPr>
          <w:p w14:paraId="1B48161B" w14:textId="77777777" w:rsidR="00F1472A" w:rsidRPr="003E4FC1" w:rsidRDefault="00F1472A" w:rsidP="00201EFD">
            <w:pPr>
              <w:pStyle w:val="TableBodyText"/>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 xml:space="preserve">Option </w:t>
            </w:r>
            <w:r w:rsidR="002B762D" w:rsidRPr="003E4FC1">
              <w:rPr>
                <w:rFonts w:asciiTheme="majorHAnsi" w:hAnsiTheme="majorHAnsi" w:cstheme="majorHAnsi"/>
                <w:sz w:val="17"/>
                <w:szCs w:val="17"/>
                <w:lang w:eastAsia="fr-CA"/>
              </w:rPr>
              <w:t>B</w:t>
            </w:r>
            <w:r w:rsidRPr="003E4FC1">
              <w:rPr>
                <w:rFonts w:asciiTheme="majorHAnsi" w:hAnsiTheme="majorHAnsi" w:cstheme="majorHAnsi"/>
                <w:sz w:val="17"/>
                <w:szCs w:val="17"/>
                <w:lang w:eastAsia="fr-CA"/>
              </w:rPr>
              <w:t xml:space="preserve">: Adopt a single negotiation framework </w:t>
            </w:r>
          </w:p>
        </w:tc>
        <w:tc>
          <w:tcPr>
            <w:tcW w:w="3921" w:type="pct"/>
            <w:shd w:val="clear" w:color="auto" w:fill="F2F2F2" w:themeFill="background1" w:themeFillShade="F2"/>
          </w:tcPr>
          <w:p w14:paraId="3784CDB2" w14:textId="77777777" w:rsidR="00F1472A" w:rsidRPr="003E4FC1" w:rsidRDefault="007D3415" w:rsidP="00201EFD">
            <w:pPr>
              <w:pStyle w:val="TableBullet10"/>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rPr>
              <w:t xml:space="preserve">The </w:t>
            </w:r>
            <w:r w:rsidR="009E207D" w:rsidRPr="003E4FC1">
              <w:rPr>
                <w:rFonts w:asciiTheme="majorHAnsi" w:hAnsiTheme="majorHAnsi" w:cstheme="majorHAnsi"/>
                <w:color w:val="FF0000"/>
                <w:sz w:val="17"/>
                <w:szCs w:val="17"/>
              </w:rPr>
              <w:t>ACCC</w:t>
            </w:r>
            <w:r w:rsidR="009E207D" w:rsidRPr="003E4FC1">
              <w:rPr>
                <w:rFonts w:asciiTheme="majorHAnsi" w:hAnsiTheme="majorHAnsi" w:cstheme="majorHAnsi"/>
                <w:sz w:val="17"/>
                <w:szCs w:val="17"/>
              </w:rPr>
              <w:t xml:space="preserve">, </w:t>
            </w:r>
            <w:r w:rsidR="009E207D" w:rsidRPr="003E4FC1">
              <w:rPr>
                <w:rFonts w:asciiTheme="majorHAnsi" w:hAnsiTheme="majorHAnsi" w:cstheme="majorHAnsi"/>
                <w:color w:val="3333FF"/>
                <w:sz w:val="17"/>
                <w:szCs w:val="17"/>
              </w:rPr>
              <w:t>EUAA</w:t>
            </w:r>
            <w:r w:rsidR="009E207D" w:rsidRPr="003E4FC1">
              <w:rPr>
                <w:rFonts w:asciiTheme="majorHAnsi" w:hAnsiTheme="majorHAnsi" w:cstheme="majorHAnsi"/>
                <w:sz w:val="17"/>
                <w:szCs w:val="17"/>
              </w:rPr>
              <w:t xml:space="preserve">, </w:t>
            </w:r>
            <w:r w:rsidR="00D24511" w:rsidRPr="003E4FC1">
              <w:rPr>
                <w:rFonts w:asciiTheme="majorHAnsi" w:hAnsiTheme="majorHAnsi" w:cstheme="majorHAnsi"/>
                <w:color w:val="3333FF"/>
                <w:sz w:val="17"/>
                <w:szCs w:val="17"/>
              </w:rPr>
              <w:t xml:space="preserve">NSW BC, </w:t>
            </w:r>
            <w:r w:rsidR="009E207D" w:rsidRPr="003E4FC1">
              <w:rPr>
                <w:rFonts w:asciiTheme="majorHAnsi" w:hAnsiTheme="majorHAnsi" w:cstheme="majorHAnsi"/>
                <w:color w:val="3333FF"/>
                <w:sz w:val="17"/>
                <w:szCs w:val="17"/>
              </w:rPr>
              <w:t>Chemistry Australia</w:t>
            </w:r>
            <w:r w:rsidR="009E207D" w:rsidRPr="003E4FC1">
              <w:rPr>
                <w:rFonts w:asciiTheme="majorHAnsi" w:hAnsiTheme="majorHAnsi" w:cstheme="majorHAnsi"/>
                <w:sz w:val="17"/>
                <w:szCs w:val="17"/>
              </w:rPr>
              <w:t xml:space="preserve">, </w:t>
            </w:r>
            <w:r w:rsidR="00F64A35" w:rsidRPr="003E4FC1">
              <w:rPr>
                <w:rFonts w:asciiTheme="majorHAnsi" w:hAnsiTheme="majorHAnsi" w:cstheme="majorHAnsi"/>
                <w:color w:val="00B0F0"/>
                <w:sz w:val="17"/>
                <w:szCs w:val="17"/>
              </w:rPr>
              <w:t xml:space="preserve">AGL, EnergyAustralia, </w:t>
            </w:r>
            <w:r w:rsidR="00D24511" w:rsidRPr="003E4FC1">
              <w:rPr>
                <w:rFonts w:asciiTheme="majorHAnsi" w:hAnsiTheme="majorHAnsi" w:cstheme="majorHAnsi"/>
                <w:color w:val="00B0F0"/>
                <w:sz w:val="17"/>
                <w:szCs w:val="17"/>
              </w:rPr>
              <w:t>Origin</w:t>
            </w:r>
            <w:r w:rsidR="00D24511" w:rsidRPr="003E4FC1">
              <w:rPr>
                <w:rFonts w:asciiTheme="majorHAnsi" w:hAnsiTheme="majorHAnsi" w:cstheme="majorHAnsi"/>
                <w:sz w:val="17"/>
                <w:szCs w:val="17"/>
              </w:rPr>
              <w:t xml:space="preserve">, </w:t>
            </w:r>
            <w:r w:rsidR="009E207D" w:rsidRPr="003E4FC1">
              <w:rPr>
                <w:rFonts w:asciiTheme="majorHAnsi" w:hAnsiTheme="majorHAnsi" w:cstheme="majorHAnsi"/>
                <w:color w:val="CC0066"/>
                <w:sz w:val="17"/>
                <w:szCs w:val="17"/>
              </w:rPr>
              <w:t>APLNG</w:t>
            </w:r>
            <w:r w:rsidR="00F64A35" w:rsidRPr="003E4FC1">
              <w:rPr>
                <w:rFonts w:asciiTheme="majorHAnsi" w:hAnsiTheme="majorHAnsi" w:cstheme="majorHAnsi"/>
                <w:color w:val="CC0066"/>
                <w:sz w:val="17"/>
                <w:szCs w:val="17"/>
              </w:rPr>
              <w:t>,</w:t>
            </w:r>
            <w:r w:rsidR="009E207D" w:rsidRPr="003E4FC1">
              <w:rPr>
                <w:rFonts w:asciiTheme="majorHAnsi" w:hAnsiTheme="majorHAnsi" w:cstheme="majorHAnsi"/>
                <w:sz w:val="17"/>
                <w:szCs w:val="17"/>
              </w:rPr>
              <w:t xml:space="preserve"> </w:t>
            </w:r>
            <w:r w:rsidR="009E207D" w:rsidRPr="003E4FC1">
              <w:rPr>
                <w:rFonts w:asciiTheme="majorHAnsi" w:hAnsiTheme="majorHAnsi" w:cstheme="majorHAnsi"/>
                <w:color w:val="CC0066"/>
                <w:sz w:val="17"/>
                <w:szCs w:val="17"/>
              </w:rPr>
              <w:t>COPA</w:t>
            </w:r>
            <w:r w:rsidR="00A55CE1" w:rsidRPr="003E4FC1">
              <w:rPr>
                <w:rFonts w:asciiTheme="majorHAnsi" w:hAnsiTheme="majorHAnsi" w:cstheme="majorHAnsi"/>
                <w:sz w:val="17"/>
                <w:szCs w:val="17"/>
              </w:rPr>
              <w:t xml:space="preserve">, </w:t>
            </w:r>
            <w:r w:rsidR="00A55CE1" w:rsidRPr="003E4FC1">
              <w:rPr>
                <w:rFonts w:asciiTheme="majorHAnsi" w:hAnsiTheme="majorHAnsi" w:cstheme="majorHAnsi"/>
                <w:color w:val="7030A0"/>
                <w:sz w:val="17"/>
                <w:szCs w:val="17"/>
              </w:rPr>
              <w:t>APA</w:t>
            </w:r>
            <w:r w:rsidRPr="003E4FC1">
              <w:rPr>
                <w:rFonts w:asciiTheme="majorHAnsi" w:hAnsiTheme="majorHAnsi" w:cstheme="majorHAnsi"/>
                <w:color w:val="7030A0"/>
                <w:sz w:val="17"/>
                <w:szCs w:val="17"/>
              </w:rPr>
              <w:t xml:space="preserve">, </w:t>
            </w:r>
            <w:r w:rsidR="00D71F40" w:rsidRPr="003E4FC1">
              <w:rPr>
                <w:rFonts w:asciiTheme="majorHAnsi" w:hAnsiTheme="majorHAnsi" w:cstheme="majorHAnsi"/>
                <w:color w:val="7030A0"/>
                <w:sz w:val="17"/>
                <w:szCs w:val="17"/>
              </w:rPr>
              <w:t>ATCO</w:t>
            </w:r>
            <w:r w:rsidR="00B13F32" w:rsidRPr="003E4FC1">
              <w:rPr>
                <w:rFonts w:asciiTheme="majorHAnsi" w:hAnsiTheme="majorHAnsi" w:cstheme="majorHAnsi"/>
                <w:color w:val="000000" w:themeColor="text1"/>
                <w:sz w:val="17"/>
                <w:szCs w:val="17"/>
              </w:rPr>
              <w:t xml:space="preserve"> and </w:t>
            </w:r>
            <w:r w:rsidR="00D71F40" w:rsidRPr="003E4FC1">
              <w:rPr>
                <w:rFonts w:asciiTheme="majorHAnsi" w:hAnsiTheme="majorHAnsi" w:cstheme="majorHAnsi"/>
                <w:color w:val="7030A0"/>
                <w:sz w:val="17"/>
                <w:szCs w:val="17"/>
              </w:rPr>
              <w:t>APGA</w:t>
            </w:r>
            <w:r w:rsidR="00AC7A53" w:rsidRPr="003E4FC1">
              <w:rPr>
                <w:rFonts w:asciiTheme="majorHAnsi" w:hAnsiTheme="majorHAnsi" w:cstheme="majorHAnsi"/>
                <w:sz w:val="17"/>
                <w:szCs w:val="17"/>
              </w:rPr>
              <w:t xml:space="preserve"> supported the adoption of a single negotiation framework that would apply under </w:t>
            </w:r>
            <w:r w:rsidR="0090066E" w:rsidRPr="003E4FC1">
              <w:rPr>
                <w:rFonts w:asciiTheme="majorHAnsi" w:hAnsiTheme="majorHAnsi" w:cstheme="majorHAnsi"/>
                <w:sz w:val="17"/>
                <w:szCs w:val="17"/>
              </w:rPr>
              <w:t xml:space="preserve">all </w:t>
            </w:r>
            <w:r w:rsidR="00AC7A53" w:rsidRPr="003E4FC1">
              <w:rPr>
                <w:rFonts w:asciiTheme="majorHAnsi" w:hAnsiTheme="majorHAnsi" w:cstheme="majorHAnsi"/>
                <w:sz w:val="17"/>
                <w:szCs w:val="17"/>
              </w:rPr>
              <w:t xml:space="preserve">forms of regulation. </w:t>
            </w:r>
          </w:p>
          <w:p w14:paraId="7CD3EEDE" w14:textId="77777777" w:rsidR="00AC7A53" w:rsidRPr="003E4FC1" w:rsidRDefault="00AC7A53" w:rsidP="00201EFD">
            <w:pPr>
              <w:pStyle w:val="TableBullet10"/>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 xml:space="preserve">As to the form the </w:t>
            </w:r>
            <w:r w:rsidR="00E01491" w:rsidRPr="003E4FC1">
              <w:rPr>
                <w:rFonts w:asciiTheme="majorHAnsi" w:hAnsiTheme="majorHAnsi" w:cstheme="majorHAnsi"/>
                <w:sz w:val="17"/>
                <w:szCs w:val="17"/>
                <w:lang w:eastAsia="fr-CA"/>
              </w:rPr>
              <w:t xml:space="preserve">single </w:t>
            </w:r>
            <w:r w:rsidRPr="003E4FC1">
              <w:rPr>
                <w:rFonts w:asciiTheme="majorHAnsi" w:hAnsiTheme="majorHAnsi" w:cstheme="majorHAnsi"/>
                <w:sz w:val="17"/>
                <w:szCs w:val="17"/>
                <w:lang w:eastAsia="fr-CA"/>
              </w:rPr>
              <w:t>negotiation framework should take:</w:t>
            </w:r>
          </w:p>
          <w:p w14:paraId="697FA63E" w14:textId="77777777" w:rsidR="000E7E16" w:rsidRPr="003E4FC1" w:rsidRDefault="000E7E16" w:rsidP="00201EFD">
            <w:pPr>
              <w:pStyle w:val="TableBullet2"/>
              <w:spacing w:before="20" w:after="20" w:line="252" w:lineRule="auto"/>
              <w:rPr>
                <w:rFonts w:asciiTheme="majorHAnsi" w:hAnsiTheme="majorHAnsi" w:cstheme="majorHAnsi"/>
                <w:sz w:val="17"/>
                <w:szCs w:val="17"/>
              </w:rPr>
            </w:pPr>
            <w:r w:rsidRPr="003E4FC1">
              <w:rPr>
                <w:rFonts w:asciiTheme="majorHAnsi" w:hAnsiTheme="majorHAnsi" w:cstheme="majorHAnsi"/>
                <w:sz w:val="17"/>
                <w:szCs w:val="17"/>
              </w:rPr>
              <w:t xml:space="preserve">The </w:t>
            </w:r>
            <w:r w:rsidRPr="003E4FC1">
              <w:rPr>
                <w:rFonts w:asciiTheme="majorHAnsi" w:hAnsiTheme="majorHAnsi" w:cstheme="majorHAnsi"/>
                <w:color w:val="FF0000"/>
                <w:sz w:val="17"/>
                <w:szCs w:val="17"/>
              </w:rPr>
              <w:t>ACCC</w:t>
            </w:r>
            <w:r w:rsidRPr="003E4FC1">
              <w:rPr>
                <w:rFonts w:asciiTheme="majorHAnsi" w:hAnsiTheme="majorHAnsi" w:cstheme="majorHAnsi"/>
                <w:sz w:val="17"/>
                <w:szCs w:val="17"/>
              </w:rPr>
              <w:t xml:space="preserve">, </w:t>
            </w:r>
            <w:r w:rsidRPr="003E4FC1">
              <w:rPr>
                <w:rFonts w:asciiTheme="majorHAnsi" w:hAnsiTheme="majorHAnsi" w:cstheme="majorHAnsi"/>
                <w:color w:val="3333FF"/>
                <w:sz w:val="17"/>
                <w:szCs w:val="17"/>
              </w:rPr>
              <w:t>EUAA, NSW BC, Chemistry Australia</w:t>
            </w:r>
            <w:r w:rsidRPr="003E4FC1">
              <w:rPr>
                <w:rFonts w:asciiTheme="majorHAnsi" w:hAnsiTheme="majorHAnsi" w:cstheme="majorHAnsi"/>
                <w:sz w:val="17"/>
                <w:szCs w:val="17"/>
              </w:rPr>
              <w:t xml:space="preserve">, </w:t>
            </w:r>
            <w:r w:rsidR="003B791B" w:rsidRPr="003E4FC1">
              <w:rPr>
                <w:rFonts w:asciiTheme="majorHAnsi" w:hAnsiTheme="majorHAnsi" w:cstheme="majorHAnsi"/>
                <w:color w:val="00B0F0"/>
                <w:sz w:val="17"/>
                <w:szCs w:val="17"/>
              </w:rPr>
              <w:t xml:space="preserve">EnergyAustralia, </w:t>
            </w:r>
            <w:r w:rsidRPr="003E4FC1">
              <w:rPr>
                <w:rFonts w:asciiTheme="majorHAnsi" w:hAnsiTheme="majorHAnsi" w:cstheme="majorHAnsi"/>
                <w:color w:val="CC0066"/>
                <w:sz w:val="17"/>
                <w:szCs w:val="17"/>
              </w:rPr>
              <w:t xml:space="preserve">APLNG </w:t>
            </w:r>
            <w:r w:rsidRPr="003E4FC1">
              <w:rPr>
                <w:rFonts w:asciiTheme="majorHAnsi" w:hAnsiTheme="majorHAnsi" w:cstheme="majorHAnsi"/>
                <w:sz w:val="17"/>
                <w:szCs w:val="17"/>
              </w:rPr>
              <w:t xml:space="preserve">and </w:t>
            </w:r>
            <w:r w:rsidRPr="003E4FC1">
              <w:rPr>
                <w:rFonts w:asciiTheme="majorHAnsi" w:hAnsiTheme="majorHAnsi" w:cstheme="majorHAnsi"/>
                <w:color w:val="CC0066"/>
                <w:sz w:val="17"/>
                <w:szCs w:val="17"/>
              </w:rPr>
              <w:t xml:space="preserve">COPA </w:t>
            </w:r>
            <w:r w:rsidRPr="003E4FC1">
              <w:rPr>
                <w:rFonts w:asciiTheme="majorHAnsi" w:hAnsiTheme="majorHAnsi" w:cstheme="majorHAnsi"/>
                <w:sz w:val="17"/>
                <w:szCs w:val="17"/>
              </w:rPr>
              <w:t xml:space="preserve">thought the framework should be based on the hybrid model set out in the Consultation RIS. </w:t>
            </w:r>
          </w:p>
          <w:p w14:paraId="6119926E" w14:textId="77777777" w:rsidR="000E7E16" w:rsidRPr="003E4FC1" w:rsidRDefault="000E7E16" w:rsidP="00201EFD">
            <w:pPr>
              <w:pStyle w:val="TableBullet2"/>
              <w:spacing w:before="20" w:after="20" w:line="252" w:lineRule="auto"/>
              <w:rPr>
                <w:rFonts w:asciiTheme="majorHAnsi" w:hAnsiTheme="majorHAnsi" w:cstheme="majorHAnsi"/>
                <w:sz w:val="17"/>
                <w:szCs w:val="17"/>
              </w:rPr>
            </w:pPr>
            <w:r w:rsidRPr="003E4FC1">
              <w:rPr>
                <w:rFonts w:asciiTheme="majorHAnsi" w:hAnsiTheme="majorHAnsi" w:cstheme="majorHAnsi"/>
                <w:color w:val="00B0F0"/>
                <w:sz w:val="17"/>
                <w:szCs w:val="17"/>
              </w:rPr>
              <w:t>Origin</w:t>
            </w:r>
            <w:r w:rsidRPr="003E4FC1">
              <w:rPr>
                <w:rFonts w:asciiTheme="majorHAnsi" w:hAnsiTheme="majorHAnsi" w:cstheme="majorHAnsi"/>
                <w:sz w:val="17"/>
                <w:szCs w:val="17"/>
              </w:rPr>
              <w:t xml:space="preserve">, </w:t>
            </w:r>
            <w:r w:rsidR="003B791B" w:rsidRPr="003E4FC1">
              <w:rPr>
                <w:rFonts w:asciiTheme="majorHAnsi" w:hAnsiTheme="majorHAnsi" w:cstheme="majorHAnsi"/>
                <w:color w:val="7030A0"/>
                <w:sz w:val="17"/>
                <w:szCs w:val="17"/>
              </w:rPr>
              <w:t xml:space="preserve">APA </w:t>
            </w:r>
            <w:r w:rsidR="003B791B" w:rsidRPr="003E4FC1">
              <w:rPr>
                <w:rFonts w:asciiTheme="majorHAnsi" w:hAnsiTheme="majorHAnsi" w:cstheme="majorHAnsi"/>
                <w:sz w:val="17"/>
                <w:szCs w:val="17"/>
              </w:rPr>
              <w:t xml:space="preserve">and </w:t>
            </w:r>
            <w:r w:rsidRPr="003E4FC1">
              <w:rPr>
                <w:rFonts w:asciiTheme="majorHAnsi" w:hAnsiTheme="majorHAnsi" w:cstheme="majorHAnsi"/>
                <w:color w:val="7030A0"/>
                <w:sz w:val="17"/>
                <w:szCs w:val="17"/>
              </w:rPr>
              <w:t xml:space="preserve">APGA </w:t>
            </w:r>
            <w:r w:rsidRPr="003E4FC1">
              <w:rPr>
                <w:rFonts w:asciiTheme="majorHAnsi" w:hAnsiTheme="majorHAnsi" w:cstheme="majorHAnsi"/>
                <w:sz w:val="17"/>
                <w:szCs w:val="17"/>
              </w:rPr>
              <w:t xml:space="preserve">thought it should be based on the Part 23 </w:t>
            </w:r>
            <w:r w:rsidR="00E73A33" w:rsidRPr="003E4FC1">
              <w:rPr>
                <w:rFonts w:asciiTheme="majorHAnsi" w:hAnsiTheme="majorHAnsi" w:cstheme="majorHAnsi"/>
                <w:sz w:val="17"/>
                <w:szCs w:val="17"/>
              </w:rPr>
              <w:t xml:space="preserve">negotiation </w:t>
            </w:r>
            <w:r w:rsidRPr="003E4FC1">
              <w:rPr>
                <w:rFonts w:asciiTheme="majorHAnsi" w:hAnsiTheme="majorHAnsi" w:cstheme="majorHAnsi"/>
                <w:sz w:val="17"/>
                <w:szCs w:val="17"/>
              </w:rPr>
              <w:t>framework.</w:t>
            </w:r>
          </w:p>
          <w:p w14:paraId="2D13741B" w14:textId="77777777" w:rsidR="000E7E16" w:rsidRPr="003E4FC1" w:rsidRDefault="000E7E16" w:rsidP="00201EFD">
            <w:pPr>
              <w:pStyle w:val="TableBullet2"/>
              <w:spacing w:before="20" w:after="20" w:line="252" w:lineRule="auto"/>
              <w:rPr>
                <w:rFonts w:asciiTheme="majorHAnsi" w:hAnsiTheme="majorHAnsi" w:cstheme="majorHAnsi"/>
                <w:sz w:val="17"/>
                <w:szCs w:val="17"/>
              </w:rPr>
            </w:pPr>
            <w:r w:rsidRPr="003E4FC1">
              <w:rPr>
                <w:rFonts w:asciiTheme="majorHAnsi" w:hAnsiTheme="majorHAnsi" w:cstheme="majorHAnsi"/>
                <w:color w:val="00B0F0"/>
                <w:sz w:val="17"/>
                <w:szCs w:val="17"/>
              </w:rPr>
              <w:t xml:space="preserve">AGL </w:t>
            </w:r>
            <w:r w:rsidRPr="003E4FC1">
              <w:rPr>
                <w:rFonts w:asciiTheme="majorHAnsi" w:hAnsiTheme="majorHAnsi" w:cstheme="majorHAnsi"/>
                <w:sz w:val="17"/>
                <w:szCs w:val="17"/>
              </w:rPr>
              <w:t>suggested parties should be able to mutually agree to a different process</w:t>
            </w:r>
            <w:r w:rsidR="005D0410" w:rsidRPr="003E4FC1">
              <w:rPr>
                <w:rFonts w:asciiTheme="majorHAnsi" w:hAnsiTheme="majorHAnsi" w:cstheme="majorHAnsi"/>
                <w:sz w:val="17"/>
                <w:szCs w:val="17"/>
              </w:rPr>
              <w:t xml:space="preserve">, which the </w:t>
            </w:r>
            <w:r w:rsidR="00CA4778" w:rsidRPr="003E4FC1">
              <w:rPr>
                <w:rFonts w:asciiTheme="majorHAnsi" w:hAnsiTheme="majorHAnsi" w:cstheme="majorHAnsi"/>
                <w:sz w:val="17"/>
                <w:szCs w:val="17"/>
              </w:rPr>
              <w:t xml:space="preserve">Part 23 </w:t>
            </w:r>
            <w:r w:rsidR="00E73A33" w:rsidRPr="003E4FC1">
              <w:rPr>
                <w:rFonts w:asciiTheme="majorHAnsi" w:hAnsiTheme="majorHAnsi" w:cstheme="majorHAnsi"/>
                <w:sz w:val="17"/>
                <w:szCs w:val="17"/>
              </w:rPr>
              <w:t xml:space="preserve">negotiation </w:t>
            </w:r>
            <w:r w:rsidR="005D0410" w:rsidRPr="003E4FC1">
              <w:rPr>
                <w:rFonts w:asciiTheme="majorHAnsi" w:hAnsiTheme="majorHAnsi" w:cstheme="majorHAnsi"/>
                <w:sz w:val="17"/>
                <w:szCs w:val="17"/>
              </w:rPr>
              <w:t>framework currently provides for</w:t>
            </w:r>
            <w:r w:rsidRPr="003E4FC1">
              <w:rPr>
                <w:rFonts w:asciiTheme="majorHAnsi" w:hAnsiTheme="majorHAnsi" w:cstheme="majorHAnsi"/>
                <w:sz w:val="17"/>
                <w:szCs w:val="17"/>
              </w:rPr>
              <w:t xml:space="preserve">. </w:t>
            </w:r>
          </w:p>
          <w:p w14:paraId="5E5A0A18" w14:textId="77777777" w:rsidR="00E01491" w:rsidRPr="003E4FC1" w:rsidRDefault="005E39AB" w:rsidP="00201EFD">
            <w:pPr>
              <w:pStyle w:val="TableBullet10"/>
              <w:spacing w:before="20" w:after="20" w:line="252" w:lineRule="auto"/>
              <w:rPr>
                <w:rFonts w:asciiTheme="majorHAnsi" w:hAnsiTheme="majorHAnsi" w:cstheme="majorHAnsi"/>
                <w:sz w:val="17"/>
                <w:szCs w:val="17"/>
              </w:rPr>
            </w:pPr>
            <w:r w:rsidRPr="003E4FC1">
              <w:rPr>
                <w:rFonts w:asciiTheme="majorHAnsi" w:hAnsiTheme="majorHAnsi" w:cstheme="majorHAnsi"/>
                <w:sz w:val="17"/>
                <w:szCs w:val="17"/>
              </w:rPr>
              <w:t>A number of these stakeholders also supported the removal of the preliminary enquiry process, while others supported its retention.</w:t>
            </w:r>
          </w:p>
          <w:p w14:paraId="3F423633" w14:textId="77777777" w:rsidR="005E39AB" w:rsidRPr="003E4FC1" w:rsidRDefault="00A3607F" w:rsidP="00201EFD">
            <w:pPr>
              <w:pStyle w:val="TableBullet2"/>
              <w:spacing w:before="20" w:after="20" w:line="252" w:lineRule="auto"/>
              <w:rPr>
                <w:rFonts w:asciiTheme="majorHAnsi" w:hAnsiTheme="majorHAnsi" w:cstheme="majorHAnsi"/>
                <w:sz w:val="17"/>
                <w:szCs w:val="17"/>
              </w:rPr>
            </w:pPr>
            <w:r w:rsidRPr="003E4FC1">
              <w:rPr>
                <w:rFonts w:asciiTheme="majorHAnsi" w:hAnsiTheme="majorHAnsi" w:cstheme="majorHAnsi"/>
                <w:sz w:val="17"/>
                <w:szCs w:val="17"/>
              </w:rPr>
              <w:t>t</w:t>
            </w:r>
            <w:r w:rsidR="005E39AB" w:rsidRPr="003E4FC1">
              <w:rPr>
                <w:rFonts w:asciiTheme="majorHAnsi" w:hAnsiTheme="majorHAnsi" w:cstheme="majorHAnsi"/>
                <w:sz w:val="17"/>
                <w:szCs w:val="17"/>
              </w:rPr>
              <w:t xml:space="preserve">he </w:t>
            </w:r>
            <w:r w:rsidR="005E39AB" w:rsidRPr="003E4FC1">
              <w:rPr>
                <w:rFonts w:asciiTheme="majorHAnsi" w:hAnsiTheme="majorHAnsi" w:cstheme="majorHAnsi"/>
                <w:color w:val="FF0000"/>
                <w:sz w:val="17"/>
                <w:szCs w:val="17"/>
              </w:rPr>
              <w:t>ACCC</w:t>
            </w:r>
            <w:r w:rsidR="005E39AB" w:rsidRPr="003E4FC1">
              <w:rPr>
                <w:rFonts w:asciiTheme="majorHAnsi" w:hAnsiTheme="majorHAnsi" w:cstheme="majorHAnsi"/>
                <w:sz w:val="17"/>
                <w:szCs w:val="17"/>
              </w:rPr>
              <w:t xml:space="preserve">, </w:t>
            </w:r>
            <w:r w:rsidR="005E39AB" w:rsidRPr="003E4FC1">
              <w:rPr>
                <w:rFonts w:asciiTheme="majorHAnsi" w:hAnsiTheme="majorHAnsi" w:cstheme="majorHAnsi"/>
                <w:color w:val="3333FF"/>
                <w:sz w:val="17"/>
                <w:szCs w:val="17"/>
              </w:rPr>
              <w:t>EUAA, NSW BC, Chemistry Australia</w:t>
            </w:r>
            <w:r w:rsidR="00845BD6" w:rsidRPr="003E4FC1">
              <w:rPr>
                <w:rFonts w:asciiTheme="majorHAnsi" w:hAnsiTheme="majorHAnsi" w:cstheme="majorHAnsi"/>
                <w:color w:val="3333FF"/>
                <w:sz w:val="17"/>
                <w:szCs w:val="17"/>
              </w:rPr>
              <w:t>, MEU</w:t>
            </w:r>
            <w:r w:rsidR="005E39AB" w:rsidRPr="003E4FC1">
              <w:rPr>
                <w:rFonts w:asciiTheme="majorHAnsi" w:hAnsiTheme="majorHAnsi" w:cstheme="majorHAnsi"/>
                <w:color w:val="3333FF"/>
                <w:sz w:val="17"/>
                <w:szCs w:val="17"/>
              </w:rPr>
              <w:t xml:space="preserve"> </w:t>
            </w:r>
            <w:r w:rsidR="005E39AB" w:rsidRPr="003E4FC1">
              <w:rPr>
                <w:rFonts w:asciiTheme="majorHAnsi" w:hAnsiTheme="majorHAnsi" w:cstheme="majorHAnsi"/>
                <w:sz w:val="17"/>
                <w:szCs w:val="17"/>
              </w:rPr>
              <w:t>and</w:t>
            </w:r>
            <w:r w:rsidR="005E39AB" w:rsidRPr="003E4FC1">
              <w:rPr>
                <w:rFonts w:asciiTheme="majorHAnsi" w:hAnsiTheme="majorHAnsi" w:cstheme="majorHAnsi"/>
                <w:color w:val="3333FF"/>
                <w:sz w:val="17"/>
                <w:szCs w:val="17"/>
              </w:rPr>
              <w:t xml:space="preserve"> Qenos </w:t>
            </w:r>
            <w:r w:rsidR="005E39AB" w:rsidRPr="003E4FC1">
              <w:rPr>
                <w:rFonts w:asciiTheme="majorHAnsi" w:hAnsiTheme="majorHAnsi" w:cstheme="majorHAnsi"/>
                <w:sz w:val="17"/>
                <w:szCs w:val="17"/>
              </w:rPr>
              <w:t>supported its removal</w:t>
            </w:r>
            <w:r w:rsidR="00B171DB" w:rsidRPr="003E4FC1">
              <w:rPr>
                <w:rFonts w:asciiTheme="majorHAnsi" w:hAnsiTheme="majorHAnsi" w:cstheme="majorHAnsi"/>
                <w:sz w:val="17"/>
                <w:szCs w:val="17"/>
              </w:rPr>
              <w:t xml:space="preserve"> (or </w:t>
            </w:r>
            <w:r w:rsidR="00845BD6" w:rsidRPr="003E4FC1">
              <w:rPr>
                <w:rFonts w:asciiTheme="majorHAnsi" w:hAnsiTheme="majorHAnsi" w:cstheme="majorHAnsi"/>
                <w:sz w:val="17"/>
                <w:szCs w:val="17"/>
              </w:rPr>
              <w:t>subject</w:t>
            </w:r>
            <w:r w:rsidR="00B171DB" w:rsidRPr="003E4FC1">
              <w:rPr>
                <w:rFonts w:asciiTheme="majorHAnsi" w:hAnsiTheme="majorHAnsi" w:cstheme="majorHAnsi"/>
                <w:sz w:val="17"/>
                <w:szCs w:val="17"/>
              </w:rPr>
              <w:t>ing it</w:t>
            </w:r>
            <w:r w:rsidR="00845BD6" w:rsidRPr="003E4FC1">
              <w:rPr>
                <w:rFonts w:asciiTheme="majorHAnsi" w:hAnsiTheme="majorHAnsi" w:cstheme="majorHAnsi"/>
                <w:sz w:val="17"/>
                <w:szCs w:val="17"/>
              </w:rPr>
              <w:t xml:space="preserve"> to a stricter timetable</w:t>
            </w:r>
            <w:r w:rsidR="00B171DB" w:rsidRPr="003E4FC1">
              <w:rPr>
                <w:rFonts w:asciiTheme="majorHAnsi" w:hAnsiTheme="majorHAnsi" w:cstheme="majorHAnsi"/>
                <w:sz w:val="17"/>
                <w:szCs w:val="17"/>
              </w:rPr>
              <w:t>)</w:t>
            </w:r>
            <w:r w:rsidRPr="003E4FC1">
              <w:rPr>
                <w:rFonts w:asciiTheme="majorHAnsi" w:hAnsiTheme="majorHAnsi" w:cstheme="majorHAnsi"/>
                <w:sz w:val="17"/>
                <w:szCs w:val="17"/>
              </w:rPr>
              <w:t>;</w:t>
            </w:r>
          </w:p>
          <w:p w14:paraId="6A26298D" w14:textId="77777777" w:rsidR="00A3607F" w:rsidRPr="003E4FC1" w:rsidRDefault="00DA71E9" w:rsidP="00201EFD">
            <w:pPr>
              <w:pStyle w:val="TableBullet2"/>
              <w:spacing w:before="20" w:after="20" w:line="252" w:lineRule="auto"/>
              <w:rPr>
                <w:rFonts w:asciiTheme="majorHAnsi" w:hAnsiTheme="majorHAnsi" w:cstheme="majorHAnsi"/>
                <w:sz w:val="17"/>
                <w:szCs w:val="17"/>
              </w:rPr>
            </w:pPr>
            <w:r w:rsidRPr="003E4FC1">
              <w:rPr>
                <w:rFonts w:asciiTheme="majorHAnsi" w:hAnsiTheme="majorHAnsi" w:cstheme="majorHAnsi"/>
                <w:color w:val="00B0F0"/>
                <w:sz w:val="17"/>
                <w:szCs w:val="17"/>
              </w:rPr>
              <w:t xml:space="preserve">AGL, Origin, </w:t>
            </w:r>
            <w:r w:rsidRPr="003E4FC1">
              <w:rPr>
                <w:rFonts w:asciiTheme="majorHAnsi" w:hAnsiTheme="majorHAnsi" w:cstheme="majorHAnsi"/>
                <w:color w:val="CC0066"/>
                <w:sz w:val="17"/>
                <w:szCs w:val="17"/>
              </w:rPr>
              <w:t>APLNG, COPA</w:t>
            </w:r>
            <w:r w:rsidRPr="003E4FC1">
              <w:rPr>
                <w:rFonts w:asciiTheme="majorHAnsi" w:hAnsiTheme="majorHAnsi" w:cstheme="majorHAnsi"/>
                <w:sz w:val="17"/>
                <w:szCs w:val="17"/>
              </w:rPr>
              <w:t xml:space="preserve">, </w:t>
            </w:r>
            <w:r w:rsidR="00A3607F" w:rsidRPr="003E4FC1">
              <w:rPr>
                <w:rFonts w:asciiTheme="majorHAnsi" w:hAnsiTheme="majorHAnsi" w:cstheme="majorHAnsi"/>
                <w:color w:val="7030A0"/>
                <w:sz w:val="17"/>
                <w:szCs w:val="17"/>
              </w:rPr>
              <w:t xml:space="preserve">AGIG, </w:t>
            </w:r>
            <w:r w:rsidRPr="003E4FC1">
              <w:rPr>
                <w:rFonts w:asciiTheme="majorHAnsi" w:hAnsiTheme="majorHAnsi" w:cstheme="majorHAnsi"/>
                <w:color w:val="7030A0"/>
                <w:sz w:val="17"/>
                <w:szCs w:val="17"/>
              </w:rPr>
              <w:t xml:space="preserve">APA, APGA, </w:t>
            </w:r>
            <w:r w:rsidR="00A3607F" w:rsidRPr="003E4FC1">
              <w:rPr>
                <w:rFonts w:asciiTheme="majorHAnsi" w:hAnsiTheme="majorHAnsi" w:cstheme="majorHAnsi"/>
                <w:color w:val="7030A0"/>
                <w:sz w:val="17"/>
                <w:szCs w:val="17"/>
              </w:rPr>
              <w:t>Epic, Jemena</w:t>
            </w:r>
            <w:r w:rsidRPr="003E4FC1">
              <w:rPr>
                <w:rFonts w:asciiTheme="majorHAnsi" w:hAnsiTheme="majorHAnsi" w:cstheme="majorHAnsi"/>
                <w:color w:val="7030A0"/>
                <w:sz w:val="17"/>
                <w:szCs w:val="17"/>
              </w:rPr>
              <w:t xml:space="preserve"> </w:t>
            </w:r>
            <w:r w:rsidRPr="003E4FC1">
              <w:rPr>
                <w:rFonts w:asciiTheme="majorHAnsi" w:hAnsiTheme="majorHAnsi" w:cstheme="majorHAnsi"/>
                <w:sz w:val="17"/>
                <w:szCs w:val="17"/>
              </w:rPr>
              <w:t xml:space="preserve">and </w:t>
            </w:r>
            <w:r w:rsidR="00A3607F" w:rsidRPr="003E4FC1">
              <w:rPr>
                <w:rFonts w:asciiTheme="majorHAnsi" w:hAnsiTheme="majorHAnsi" w:cstheme="majorHAnsi"/>
                <w:color w:val="7030A0"/>
                <w:sz w:val="17"/>
                <w:szCs w:val="17"/>
              </w:rPr>
              <w:t xml:space="preserve">TGP </w:t>
            </w:r>
            <w:r w:rsidR="00A3607F" w:rsidRPr="003E4FC1">
              <w:rPr>
                <w:rFonts w:asciiTheme="majorHAnsi" w:hAnsiTheme="majorHAnsi" w:cstheme="majorHAnsi"/>
                <w:sz w:val="17"/>
                <w:szCs w:val="17"/>
              </w:rPr>
              <w:t xml:space="preserve">supported the retention of the preliminary </w:t>
            </w:r>
            <w:r w:rsidR="00064290" w:rsidRPr="003E4FC1">
              <w:rPr>
                <w:rFonts w:asciiTheme="majorHAnsi" w:hAnsiTheme="majorHAnsi" w:cstheme="majorHAnsi"/>
                <w:sz w:val="17"/>
                <w:szCs w:val="17"/>
              </w:rPr>
              <w:t>e</w:t>
            </w:r>
            <w:r w:rsidR="00A3607F" w:rsidRPr="003E4FC1">
              <w:rPr>
                <w:rFonts w:asciiTheme="majorHAnsi" w:hAnsiTheme="majorHAnsi" w:cstheme="majorHAnsi"/>
                <w:sz w:val="17"/>
                <w:szCs w:val="17"/>
              </w:rPr>
              <w:t>nquiry process</w:t>
            </w:r>
            <w:r w:rsidRPr="003E4FC1">
              <w:rPr>
                <w:rFonts w:asciiTheme="majorHAnsi" w:hAnsiTheme="majorHAnsi" w:cstheme="majorHAnsi"/>
                <w:sz w:val="17"/>
                <w:szCs w:val="17"/>
              </w:rPr>
              <w:t xml:space="preserve">, with </w:t>
            </w:r>
            <w:r w:rsidR="003A4EB4" w:rsidRPr="003E4FC1">
              <w:rPr>
                <w:rFonts w:asciiTheme="majorHAnsi" w:hAnsiTheme="majorHAnsi" w:cstheme="majorHAnsi"/>
                <w:sz w:val="17"/>
                <w:szCs w:val="17"/>
              </w:rPr>
              <w:t xml:space="preserve">some </w:t>
            </w:r>
            <w:r w:rsidRPr="003E4FC1">
              <w:rPr>
                <w:rFonts w:asciiTheme="majorHAnsi" w:hAnsiTheme="majorHAnsi" w:cstheme="majorHAnsi"/>
                <w:sz w:val="17"/>
                <w:szCs w:val="17"/>
              </w:rPr>
              <w:t>noting they found it useful to be able to ne</w:t>
            </w:r>
            <w:r w:rsidR="003A4EB4" w:rsidRPr="003E4FC1">
              <w:rPr>
                <w:rFonts w:asciiTheme="majorHAnsi" w:hAnsiTheme="majorHAnsi" w:cstheme="majorHAnsi"/>
                <w:sz w:val="17"/>
                <w:szCs w:val="17"/>
              </w:rPr>
              <w:t xml:space="preserve">gotiate outside the framework but to have access to the formal process if negotiations fail. </w:t>
            </w:r>
          </w:p>
          <w:p w14:paraId="5514FD0F" w14:textId="77777777" w:rsidR="00167653" w:rsidRPr="003E4FC1" w:rsidRDefault="00167653" w:rsidP="00201EFD">
            <w:pPr>
              <w:pStyle w:val="TableBullet2"/>
              <w:spacing w:before="20" w:after="20" w:line="252" w:lineRule="auto"/>
              <w:rPr>
                <w:rFonts w:asciiTheme="majorHAnsi" w:hAnsiTheme="majorHAnsi" w:cstheme="majorHAnsi"/>
                <w:sz w:val="17"/>
                <w:szCs w:val="17"/>
              </w:rPr>
            </w:pPr>
            <w:r w:rsidRPr="003E4FC1">
              <w:rPr>
                <w:rFonts w:asciiTheme="majorHAnsi" w:hAnsiTheme="majorHAnsi" w:cstheme="majorHAnsi"/>
                <w:color w:val="7030A0"/>
                <w:sz w:val="17"/>
                <w:szCs w:val="17"/>
              </w:rPr>
              <w:t xml:space="preserve">ATCO </w:t>
            </w:r>
            <w:r w:rsidR="003A4EB4" w:rsidRPr="003E4FC1">
              <w:rPr>
                <w:rFonts w:asciiTheme="majorHAnsi" w:hAnsiTheme="majorHAnsi" w:cstheme="majorHAnsi"/>
                <w:sz w:val="17"/>
                <w:szCs w:val="17"/>
              </w:rPr>
              <w:t xml:space="preserve">also </w:t>
            </w:r>
            <w:r w:rsidRPr="003E4FC1">
              <w:rPr>
                <w:rFonts w:asciiTheme="majorHAnsi" w:hAnsiTheme="majorHAnsi" w:cstheme="majorHAnsi"/>
                <w:sz w:val="17"/>
                <w:szCs w:val="17"/>
              </w:rPr>
              <w:t>support</w:t>
            </w:r>
            <w:r w:rsidR="003A4EB4" w:rsidRPr="003E4FC1">
              <w:rPr>
                <w:rFonts w:asciiTheme="majorHAnsi" w:hAnsiTheme="majorHAnsi" w:cstheme="majorHAnsi"/>
                <w:sz w:val="17"/>
                <w:szCs w:val="17"/>
              </w:rPr>
              <w:t>ed</w:t>
            </w:r>
            <w:r w:rsidRPr="003E4FC1">
              <w:rPr>
                <w:rFonts w:asciiTheme="majorHAnsi" w:hAnsiTheme="majorHAnsi" w:cstheme="majorHAnsi"/>
                <w:sz w:val="17"/>
                <w:szCs w:val="17"/>
              </w:rPr>
              <w:t xml:space="preserve"> </w:t>
            </w:r>
            <w:r w:rsidR="009704CB" w:rsidRPr="003E4FC1">
              <w:rPr>
                <w:rFonts w:asciiTheme="majorHAnsi" w:hAnsiTheme="majorHAnsi" w:cstheme="majorHAnsi"/>
                <w:sz w:val="17"/>
                <w:szCs w:val="17"/>
              </w:rPr>
              <w:t>its retention</w:t>
            </w:r>
            <w:r w:rsidR="003A4EB4" w:rsidRPr="003E4FC1">
              <w:rPr>
                <w:rFonts w:asciiTheme="majorHAnsi" w:hAnsiTheme="majorHAnsi" w:cstheme="majorHAnsi"/>
                <w:sz w:val="17"/>
                <w:szCs w:val="17"/>
              </w:rPr>
              <w:t xml:space="preserve">, but </w:t>
            </w:r>
            <w:r w:rsidRPr="003E4FC1">
              <w:rPr>
                <w:rFonts w:asciiTheme="majorHAnsi" w:hAnsiTheme="majorHAnsi" w:cstheme="majorHAnsi"/>
                <w:sz w:val="17"/>
                <w:szCs w:val="17"/>
              </w:rPr>
              <w:t>suggest</w:t>
            </w:r>
            <w:r w:rsidR="003A4EB4" w:rsidRPr="003E4FC1">
              <w:rPr>
                <w:rFonts w:asciiTheme="majorHAnsi" w:hAnsiTheme="majorHAnsi" w:cstheme="majorHAnsi"/>
                <w:sz w:val="17"/>
                <w:szCs w:val="17"/>
              </w:rPr>
              <w:t>ed</w:t>
            </w:r>
            <w:r w:rsidRPr="003E4FC1">
              <w:rPr>
                <w:rFonts w:asciiTheme="majorHAnsi" w:hAnsiTheme="majorHAnsi" w:cstheme="majorHAnsi"/>
                <w:sz w:val="17"/>
                <w:szCs w:val="17"/>
              </w:rPr>
              <w:t xml:space="preserve"> the concerns identified by the ACCC</w:t>
            </w:r>
            <w:r w:rsidR="002A0956" w:rsidRPr="003E4FC1">
              <w:rPr>
                <w:rFonts w:asciiTheme="majorHAnsi" w:hAnsiTheme="majorHAnsi" w:cstheme="majorHAnsi"/>
                <w:sz w:val="17"/>
                <w:szCs w:val="17"/>
              </w:rPr>
              <w:t xml:space="preserve"> </w:t>
            </w:r>
            <w:r w:rsidRPr="003E4FC1">
              <w:rPr>
                <w:rFonts w:asciiTheme="majorHAnsi" w:hAnsiTheme="majorHAnsi" w:cstheme="majorHAnsi"/>
                <w:sz w:val="17"/>
                <w:szCs w:val="17"/>
              </w:rPr>
              <w:t xml:space="preserve">be addressed by </w:t>
            </w:r>
            <w:r w:rsidR="002A0956" w:rsidRPr="003E4FC1">
              <w:rPr>
                <w:rFonts w:asciiTheme="majorHAnsi" w:hAnsiTheme="majorHAnsi" w:cstheme="majorHAnsi"/>
                <w:sz w:val="17"/>
                <w:szCs w:val="17"/>
              </w:rPr>
              <w:t xml:space="preserve">allowing shippers to progress directly to the negotiation phase </w:t>
            </w:r>
            <w:r w:rsidR="009704CB" w:rsidRPr="003E4FC1">
              <w:rPr>
                <w:rFonts w:asciiTheme="majorHAnsi" w:hAnsiTheme="majorHAnsi" w:cstheme="majorHAnsi"/>
                <w:sz w:val="17"/>
                <w:szCs w:val="17"/>
              </w:rPr>
              <w:t xml:space="preserve">of the </w:t>
            </w:r>
            <w:r w:rsidR="00064290" w:rsidRPr="003E4FC1">
              <w:rPr>
                <w:rFonts w:asciiTheme="majorHAnsi" w:hAnsiTheme="majorHAnsi" w:cstheme="majorHAnsi"/>
                <w:sz w:val="17"/>
                <w:szCs w:val="17"/>
              </w:rPr>
              <w:t xml:space="preserve">negotiation </w:t>
            </w:r>
            <w:r w:rsidR="009704CB" w:rsidRPr="003E4FC1">
              <w:rPr>
                <w:rFonts w:asciiTheme="majorHAnsi" w:hAnsiTheme="majorHAnsi" w:cstheme="majorHAnsi"/>
                <w:sz w:val="17"/>
                <w:szCs w:val="17"/>
              </w:rPr>
              <w:t xml:space="preserve">framework, rather than having to </w:t>
            </w:r>
            <w:r w:rsidR="00DC23AF" w:rsidRPr="003E4FC1">
              <w:rPr>
                <w:rFonts w:asciiTheme="majorHAnsi" w:hAnsiTheme="majorHAnsi" w:cstheme="majorHAnsi"/>
                <w:sz w:val="17"/>
                <w:szCs w:val="17"/>
              </w:rPr>
              <w:t xml:space="preserve">go back to the </w:t>
            </w:r>
            <w:r w:rsidR="003A4EB4" w:rsidRPr="003E4FC1">
              <w:rPr>
                <w:rFonts w:asciiTheme="majorHAnsi" w:hAnsiTheme="majorHAnsi" w:cstheme="majorHAnsi"/>
                <w:sz w:val="17"/>
                <w:szCs w:val="17"/>
              </w:rPr>
              <w:t xml:space="preserve">start of the </w:t>
            </w:r>
            <w:r w:rsidR="00DC23AF" w:rsidRPr="003E4FC1">
              <w:rPr>
                <w:rFonts w:asciiTheme="majorHAnsi" w:hAnsiTheme="majorHAnsi" w:cstheme="majorHAnsi"/>
                <w:sz w:val="17"/>
                <w:szCs w:val="17"/>
              </w:rPr>
              <w:t>formal access request stage</w:t>
            </w:r>
            <w:r w:rsidR="002A0956" w:rsidRPr="003E4FC1">
              <w:rPr>
                <w:rFonts w:asciiTheme="majorHAnsi" w:hAnsiTheme="majorHAnsi" w:cstheme="majorHAnsi"/>
                <w:sz w:val="17"/>
                <w:szCs w:val="17"/>
              </w:rPr>
              <w:t>.</w:t>
            </w:r>
          </w:p>
          <w:p w14:paraId="213D0570" w14:textId="77777777" w:rsidR="0000008B" w:rsidRPr="003E4FC1" w:rsidRDefault="00757D8F" w:rsidP="00201EFD">
            <w:pPr>
              <w:pStyle w:val="TableBullet10"/>
              <w:spacing w:before="20" w:after="20" w:line="252" w:lineRule="auto"/>
              <w:rPr>
                <w:rFonts w:asciiTheme="majorHAnsi" w:hAnsiTheme="majorHAnsi" w:cstheme="majorHAnsi"/>
                <w:sz w:val="17"/>
                <w:szCs w:val="17"/>
              </w:rPr>
            </w:pPr>
            <w:r w:rsidRPr="003E4FC1">
              <w:rPr>
                <w:rFonts w:asciiTheme="majorHAnsi" w:hAnsiTheme="majorHAnsi" w:cstheme="majorHAnsi"/>
                <w:sz w:val="17"/>
                <w:szCs w:val="17"/>
              </w:rPr>
              <w:t xml:space="preserve">The </w:t>
            </w:r>
            <w:r w:rsidRPr="003E4FC1">
              <w:rPr>
                <w:rFonts w:asciiTheme="majorHAnsi" w:hAnsiTheme="majorHAnsi" w:cstheme="majorHAnsi"/>
                <w:color w:val="FF0000"/>
                <w:sz w:val="17"/>
                <w:szCs w:val="17"/>
              </w:rPr>
              <w:t xml:space="preserve">ACCC </w:t>
            </w:r>
            <w:r w:rsidRPr="003E4FC1">
              <w:rPr>
                <w:rFonts w:asciiTheme="majorHAnsi" w:hAnsiTheme="majorHAnsi" w:cstheme="majorHAnsi"/>
                <w:sz w:val="17"/>
                <w:szCs w:val="17"/>
              </w:rPr>
              <w:t xml:space="preserve">also suggested </w:t>
            </w:r>
            <w:r w:rsidR="00D55E52" w:rsidRPr="003E4FC1">
              <w:rPr>
                <w:rFonts w:asciiTheme="majorHAnsi" w:hAnsiTheme="majorHAnsi" w:cstheme="majorHAnsi"/>
                <w:sz w:val="17"/>
                <w:szCs w:val="17"/>
              </w:rPr>
              <w:t xml:space="preserve">that </w:t>
            </w:r>
            <w:r w:rsidRPr="003E4FC1">
              <w:rPr>
                <w:rFonts w:asciiTheme="majorHAnsi" w:hAnsiTheme="majorHAnsi" w:cstheme="majorHAnsi"/>
                <w:sz w:val="17"/>
                <w:szCs w:val="17"/>
              </w:rPr>
              <w:t xml:space="preserve">the access information standard be applied more broadly in the negotiation framework to discourage </w:t>
            </w:r>
            <w:r w:rsidR="00D55E52" w:rsidRPr="003E4FC1">
              <w:rPr>
                <w:rFonts w:asciiTheme="majorHAnsi" w:hAnsiTheme="majorHAnsi" w:cstheme="majorHAnsi"/>
                <w:sz w:val="17"/>
                <w:szCs w:val="17"/>
              </w:rPr>
              <w:t xml:space="preserve">service providers from </w:t>
            </w:r>
            <w:r w:rsidRPr="003E4FC1">
              <w:rPr>
                <w:rFonts w:asciiTheme="majorHAnsi" w:hAnsiTheme="majorHAnsi" w:cstheme="majorHAnsi"/>
                <w:sz w:val="17"/>
                <w:szCs w:val="17"/>
              </w:rPr>
              <w:t>providing false or misleading information when making an offer and in negotiations.</w:t>
            </w:r>
          </w:p>
        </w:tc>
      </w:tr>
      <w:tr w:rsidR="00865EEC" w:rsidRPr="003E4FC1" w14:paraId="29986596" w14:textId="77777777" w:rsidTr="00490822">
        <w:trPr>
          <w:cantSplit/>
          <w:trHeight w:val="279"/>
        </w:trPr>
        <w:tc>
          <w:tcPr>
            <w:tcW w:w="196" w:type="pct"/>
            <w:vMerge w:val="restart"/>
            <w:textDirection w:val="btLr"/>
          </w:tcPr>
          <w:p w14:paraId="382F5A62" w14:textId="77777777" w:rsidR="00865EEC" w:rsidRPr="003E4FC1" w:rsidRDefault="00865EEC" w:rsidP="00201EFD">
            <w:pPr>
              <w:spacing w:before="20" w:after="20" w:line="252" w:lineRule="auto"/>
              <w:jc w:val="center"/>
              <w:rPr>
                <w:rFonts w:asciiTheme="majorHAnsi" w:hAnsiTheme="majorHAnsi" w:cstheme="majorHAnsi"/>
                <w:sz w:val="17"/>
                <w:szCs w:val="17"/>
                <w:lang w:eastAsia="fr-CA"/>
              </w:rPr>
            </w:pPr>
            <w:r w:rsidRPr="003E4FC1">
              <w:rPr>
                <w:rFonts w:asciiTheme="majorHAnsi" w:hAnsiTheme="majorHAnsi" w:cstheme="majorHAnsi"/>
                <w:sz w:val="17"/>
                <w:szCs w:val="17"/>
                <w:lang w:eastAsia="fr-CA"/>
              </w:rPr>
              <w:t>Credibility of the threat of arbitration by smaller shippers</w:t>
            </w:r>
          </w:p>
        </w:tc>
        <w:tc>
          <w:tcPr>
            <w:tcW w:w="883" w:type="pct"/>
            <w:gridSpan w:val="2"/>
            <w:tcBorders>
              <w:bottom w:val="single" w:sz="4" w:space="0" w:color="auto"/>
            </w:tcBorders>
          </w:tcPr>
          <w:p w14:paraId="0BAB3F91" w14:textId="77777777" w:rsidR="00865EEC" w:rsidRPr="003E4FC1" w:rsidRDefault="00865EEC" w:rsidP="00201EFD">
            <w:pPr>
              <w:pStyle w:val="TableBodyText"/>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 xml:space="preserve">Option </w:t>
            </w:r>
            <w:r w:rsidR="002B762D" w:rsidRPr="003E4FC1">
              <w:rPr>
                <w:rFonts w:asciiTheme="majorHAnsi" w:hAnsiTheme="majorHAnsi" w:cstheme="majorHAnsi"/>
                <w:sz w:val="17"/>
                <w:szCs w:val="17"/>
                <w:lang w:eastAsia="fr-CA"/>
              </w:rPr>
              <w:t>A</w:t>
            </w:r>
            <w:r w:rsidRPr="003E4FC1">
              <w:rPr>
                <w:rFonts w:asciiTheme="majorHAnsi" w:hAnsiTheme="majorHAnsi" w:cstheme="majorHAnsi"/>
                <w:sz w:val="17"/>
                <w:szCs w:val="17"/>
                <w:lang w:eastAsia="fr-CA"/>
              </w:rPr>
              <w:t xml:space="preserve">: </w:t>
            </w:r>
            <w:r w:rsidR="00211198" w:rsidRPr="003E4FC1">
              <w:rPr>
                <w:rFonts w:asciiTheme="majorHAnsi" w:hAnsiTheme="majorHAnsi" w:cstheme="majorHAnsi"/>
                <w:sz w:val="17"/>
                <w:szCs w:val="17"/>
                <w:lang w:eastAsia="fr-CA"/>
              </w:rPr>
              <w:t>S</w:t>
            </w:r>
            <w:r w:rsidRPr="003E4FC1">
              <w:rPr>
                <w:rFonts w:asciiTheme="majorHAnsi" w:hAnsiTheme="majorHAnsi" w:cstheme="majorHAnsi"/>
                <w:sz w:val="17"/>
                <w:szCs w:val="17"/>
                <w:lang w:eastAsia="fr-CA"/>
              </w:rPr>
              <w:t>tatus quo</w:t>
            </w:r>
          </w:p>
        </w:tc>
        <w:tc>
          <w:tcPr>
            <w:tcW w:w="3921" w:type="pct"/>
            <w:tcBorders>
              <w:bottom w:val="single" w:sz="4" w:space="0" w:color="auto"/>
            </w:tcBorders>
          </w:tcPr>
          <w:p w14:paraId="43B2489C" w14:textId="77777777" w:rsidR="00865EEC" w:rsidRPr="003E4FC1" w:rsidRDefault="00865EEC" w:rsidP="00201EFD">
            <w:pPr>
              <w:pStyle w:val="TableBullet10"/>
              <w:spacing w:before="20" w:after="20" w:line="252" w:lineRule="auto"/>
              <w:rPr>
                <w:rFonts w:asciiTheme="majorHAnsi" w:hAnsiTheme="majorHAnsi" w:cstheme="majorHAnsi"/>
                <w:sz w:val="17"/>
                <w:szCs w:val="17"/>
                <w:lang w:eastAsia="fr-CA"/>
              </w:rPr>
            </w:pPr>
            <w:r w:rsidRPr="003E4FC1">
              <w:rPr>
                <w:rFonts w:asciiTheme="majorHAnsi" w:hAnsiTheme="majorHAnsi" w:cstheme="majorHAnsi"/>
                <w:color w:val="CC0066"/>
                <w:sz w:val="17"/>
                <w:szCs w:val="17"/>
                <w:lang w:eastAsia="fr-CA"/>
              </w:rPr>
              <w:t xml:space="preserve">APLNG </w:t>
            </w:r>
            <w:r w:rsidRPr="003E4FC1">
              <w:rPr>
                <w:rFonts w:asciiTheme="majorHAnsi" w:hAnsiTheme="majorHAnsi" w:cstheme="majorHAnsi"/>
                <w:sz w:val="17"/>
                <w:szCs w:val="17"/>
                <w:lang w:eastAsia="fr-CA"/>
              </w:rPr>
              <w:t xml:space="preserve">supported the retention of the status quo, because it was concerned that any measures to strengthen the credibility of the threat of smaller shippers </w:t>
            </w:r>
            <w:r w:rsidR="00253BC6" w:rsidRPr="003E4FC1">
              <w:rPr>
                <w:rFonts w:asciiTheme="majorHAnsi" w:hAnsiTheme="majorHAnsi" w:cstheme="majorHAnsi"/>
                <w:sz w:val="17"/>
                <w:szCs w:val="17"/>
                <w:lang w:eastAsia="fr-CA"/>
              </w:rPr>
              <w:t>may</w:t>
            </w:r>
            <w:r w:rsidRPr="003E4FC1">
              <w:rPr>
                <w:rFonts w:asciiTheme="majorHAnsi" w:hAnsiTheme="majorHAnsi" w:cstheme="majorHAnsi"/>
                <w:sz w:val="17"/>
                <w:szCs w:val="17"/>
                <w:lang w:eastAsia="fr-CA"/>
              </w:rPr>
              <w:t xml:space="preserve"> result in medium and larger shippers having to subsidise smaller shippers.</w:t>
            </w:r>
          </w:p>
        </w:tc>
      </w:tr>
      <w:tr w:rsidR="002B3EDC" w:rsidRPr="003E4FC1" w14:paraId="5420DD5F" w14:textId="77777777" w:rsidTr="00490822">
        <w:trPr>
          <w:cnfStyle w:val="000000010000" w:firstRow="0" w:lastRow="0" w:firstColumn="0" w:lastColumn="0" w:oddVBand="0" w:evenVBand="0" w:oddHBand="0" w:evenHBand="1" w:firstRowFirstColumn="0" w:firstRowLastColumn="0" w:lastRowFirstColumn="0" w:lastRowLastColumn="0"/>
          <w:cantSplit/>
          <w:trHeight w:val="402"/>
        </w:trPr>
        <w:tc>
          <w:tcPr>
            <w:tcW w:w="196" w:type="pct"/>
            <w:vMerge/>
          </w:tcPr>
          <w:p w14:paraId="567DE7F5" w14:textId="77777777" w:rsidR="002B3EDC" w:rsidRPr="003E4FC1" w:rsidRDefault="002B3EDC" w:rsidP="00201EFD">
            <w:pPr>
              <w:spacing w:before="20" w:after="20" w:line="252" w:lineRule="auto"/>
              <w:rPr>
                <w:rFonts w:asciiTheme="majorHAnsi" w:hAnsiTheme="majorHAnsi" w:cstheme="majorHAnsi"/>
                <w:bCs/>
                <w:sz w:val="17"/>
                <w:szCs w:val="17"/>
              </w:rPr>
            </w:pPr>
          </w:p>
        </w:tc>
        <w:tc>
          <w:tcPr>
            <w:tcW w:w="442" w:type="pct"/>
            <w:vMerge w:val="restart"/>
            <w:shd w:val="clear" w:color="auto" w:fill="F2F2F2" w:themeFill="background1" w:themeFillShade="F2"/>
          </w:tcPr>
          <w:p w14:paraId="3738923F" w14:textId="77777777" w:rsidR="002B3EDC" w:rsidRPr="003E4FC1" w:rsidRDefault="002B3EDC" w:rsidP="00201EFD">
            <w:pPr>
              <w:pStyle w:val="TableBodyText"/>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 xml:space="preserve">Option </w:t>
            </w:r>
            <w:r w:rsidR="002B762D" w:rsidRPr="003E4FC1">
              <w:rPr>
                <w:rFonts w:asciiTheme="majorHAnsi" w:hAnsiTheme="majorHAnsi" w:cstheme="majorHAnsi"/>
                <w:sz w:val="17"/>
                <w:szCs w:val="17"/>
                <w:lang w:eastAsia="fr-CA"/>
              </w:rPr>
              <w:t>B</w:t>
            </w:r>
            <w:r w:rsidRPr="003E4FC1">
              <w:rPr>
                <w:rFonts w:asciiTheme="majorHAnsi" w:hAnsiTheme="majorHAnsi" w:cstheme="majorHAnsi"/>
                <w:sz w:val="17"/>
                <w:szCs w:val="17"/>
                <w:lang w:eastAsia="fr-CA"/>
              </w:rPr>
              <w:t xml:space="preserve">: Improve the credibility of the threat </w:t>
            </w:r>
            <w:r w:rsidR="006F6B21" w:rsidRPr="003E4FC1">
              <w:rPr>
                <w:rFonts w:asciiTheme="majorHAnsi" w:hAnsiTheme="majorHAnsi" w:cstheme="majorHAnsi"/>
                <w:sz w:val="17"/>
                <w:szCs w:val="17"/>
                <w:lang w:eastAsia="fr-CA"/>
              </w:rPr>
              <w:t xml:space="preserve">of arbitration </w:t>
            </w:r>
            <w:r w:rsidRPr="003E4FC1">
              <w:rPr>
                <w:rFonts w:asciiTheme="majorHAnsi" w:hAnsiTheme="majorHAnsi" w:cstheme="majorHAnsi"/>
                <w:sz w:val="17"/>
                <w:szCs w:val="17"/>
                <w:lang w:eastAsia="fr-CA"/>
              </w:rPr>
              <w:t>by</w:t>
            </w:r>
            <w:r w:rsidR="00382E85" w:rsidRPr="003E4FC1">
              <w:rPr>
                <w:rFonts w:asciiTheme="majorHAnsi" w:hAnsiTheme="majorHAnsi" w:cstheme="majorHAnsi"/>
                <w:sz w:val="17"/>
                <w:szCs w:val="17"/>
                <w:lang w:eastAsia="fr-CA"/>
              </w:rPr>
              <w:t xml:space="preserve"> smaller shippers by</w:t>
            </w:r>
            <w:r w:rsidRPr="003E4FC1">
              <w:rPr>
                <w:rFonts w:asciiTheme="majorHAnsi" w:hAnsiTheme="majorHAnsi" w:cstheme="majorHAnsi"/>
                <w:sz w:val="17"/>
                <w:szCs w:val="17"/>
                <w:lang w:eastAsia="fr-CA"/>
              </w:rPr>
              <w:t>:</w:t>
            </w:r>
          </w:p>
        </w:tc>
        <w:tc>
          <w:tcPr>
            <w:tcW w:w="441" w:type="pct"/>
            <w:shd w:val="clear" w:color="auto" w:fill="F2F2F2" w:themeFill="background1" w:themeFillShade="F2"/>
          </w:tcPr>
          <w:p w14:paraId="104F587A" w14:textId="77777777" w:rsidR="002B3EDC" w:rsidRPr="003E4FC1" w:rsidRDefault="002B3EDC" w:rsidP="00201EFD">
            <w:pPr>
              <w:pStyle w:val="TableBodyText"/>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 xml:space="preserve">(a) </w:t>
            </w:r>
            <w:r w:rsidR="00382E85" w:rsidRPr="003E4FC1">
              <w:rPr>
                <w:rFonts w:asciiTheme="majorHAnsi" w:hAnsiTheme="majorHAnsi" w:cstheme="majorHAnsi"/>
                <w:sz w:val="17"/>
                <w:szCs w:val="17"/>
                <w:lang w:eastAsia="fr-CA"/>
              </w:rPr>
              <w:t>a</w:t>
            </w:r>
            <w:r w:rsidRPr="003E4FC1">
              <w:rPr>
                <w:rFonts w:asciiTheme="majorHAnsi" w:hAnsiTheme="majorHAnsi" w:cstheme="majorHAnsi"/>
                <w:sz w:val="17"/>
                <w:szCs w:val="17"/>
                <w:lang w:eastAsia="fr-CA"/>
              </w:rPr>
              <w:t xml:space="preserve">mending the cost provisions  </w:t>
            </w:r>
          </w:p>
        </w:tc>
        <w:tc>
          <w:tcPr>
            <w:tcW w:w="3921" w:type="pct"/>
            <w:shd w:val="clear" w:color="auto" w:fill="F2F2F2" w:themeFill="background1" w:themeFillShade="F2"/>
          </w:tcPr>
          <w:p w14:paraId="4F01EEC6" w14:textId="77777777" w:rsidR="002B3EDC" w:rsidRPr="003E4FC1" w:rsidRDefault="002B3EDC" w:rsidP="00201EFD">
            <w:pPr>
              <w:pStyle w:val="TableBullet10"/>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rPr>
              <w:t xml:space="preserve">The </w:t>
            </w:r>
            <w:r w:rsidRPr="003E4FC1">
              <w:rPr>
                <w:rFonts w:asciiTheme="majorHAnsi" w:hAnsiTheme="majorHAnsi" w:cstheme="majorHAnsi"/>
                <w:color w:val="FF0000"/>
                <w:sz w:val="17"/>
                <w:szCs w:val="17"/>
              </w:rPr>
              <w:t>ACCC</w:t>
            </w:r>
            <w:r w:rsidRPr="003E4FC1">
              <w:rPr>
                <w:rFonts w:asciiTheme="majorHAnsi" w:hAnsiTheme="majorHAnsi" w:cstheme="majorHAnsi"/>
                <w:sz w:val="17"/>
                <w:szCs w:val="17"/>
              </w:rPr>
              <w:t xml:space="preserve">, </w:t>
            </w:r>
            <w:r w:rsidRPr="003E4FC1">
              <w:rPr>
                <w:rFonts w:asciiTheme="majorHAnsi" w:hAnsiTheme="majorHAnsi" w:cstheme="majorHAnsi"/>
                <w:color w:val="3333FF"/>
                <w:sz w:val="17"/>
                <w:szCs w:val="17"/>
              </w:rPr>
              <w:t xml:space="preserve">EUAA, NSW BC, Chemistry Australia </w:t>
            </w:r>
            <w:r w:rsidRPr="003E4FC1">
              <w:rPr>
                <w:rFonts w:asciiTheme="majorHAnsi" w:hAnsiTheme="majorHAnsi" w:cstheme="majorHAnsi"/>
                <w:sz w:val="17"/>
                <w:szCs w:val="17"/>
              </w:rPr>
              <w:t xml:space="preserve">and </w:t>
            </w:r>
            <w:r w:rsidRPr="003E4FC1">
              <w:rPr>
                <w:rFonts w:asciiTheme="majorHAnsi" w:hAnsiTheme="majorHAnsi" w:cstheme="majorHAnsi"/>
                <w:color w:val="3333FF"/>
                <w:sz w:val="17"/>
                <w:szCs w:val="17"/>
              </w:rPr>
              <w:t xml:space="preserve">Qenos </w:t>
            </w:r>
            <w:r w:rsidRPr="003E4FC1">
              <w:rPr>
                <w:rFonts w:asciiTheme="majorHAnsi" w:hAnsiTheme="majorHAnsi" w:cstheme="majorHAnsi"/>
                <w:sz w:val="17"/>
                <w:szCs w:val="17"/>
              </w:rPr>
              <w:t xml:space="preserve">supported the proposal to amend the cost provisions so that smaller shippers are only required to pay their own costs and no more than half the arbitrator’s costs. </w:t>
            </w:r>
          </w:p>
          <w:p w14:paraId="18321373" w14:textId="77777777" w:rsidR="002B3EDC" w:rsidRPr="003E4FC1" w:rsidRDefault="002B3EDC" w:rsidP="00201EFD">
            <w:pPr>
              <w:pStyle w:val="TableBullet10"/>
              <w:spacing w:before="20" w:after="20" w:line="252" w:lineRule="auto"/>
              <w:rPr>
                <w:rFonts w:asciiTheme="majorHAnsi" w:hAnsiTheme="majorHAnsi" w:cstheme="majorHAnsi"/>
                <w:sz w:val="17"/>
                <w:szCs w:val="17"/>
                <w:lang w:eastAsia="fr-CA"/>
              </w:rPr>
            </w:pPr>
            <w:r w:rsidRPr="003E4FC1">
              <w:rPr>
                <w:rFonts w:asciiTheme="majorHAnsi" w:hAnsiTheme="majorHAnsi" w:cstheme="majorHAnsi"/>
                <w:color w:val="7030A0"/>
                <w:sz w:val="17"/>
                <w:szCs w:val="17"/>
              </w:rPr>
              <w:t>AGIG</w:t>
            </w:r>
            <w:r w:rsidRPr="003E4FC1">
              <w:rPr>
                <w:rFonts w:asciiTheme="majorHAnsi" w:hAnsiTheme="majorHAnsi" w:cstheme="majorHAnsi"/>
                <w:sz w:val="17"/>
                <w:szCs w:val="17"/>
              </w:rPr>
              <w:t xml:space="preserve">, </w:t>
            </w:r>
            <w:r w:rsidRPr="003E4FC1">
              <w:rPr>
                <w:rFonts w:asciiTheme="majorHAnsi" w:hAnsiTheme="majorHAnsi" w:cstheme="majorHAnsi"/>
                <w:color w:val="7030A0"/>
                <w:sz w:val="17"/>
                <w:szCs w:val="17"/>
              </w:rPr>
              <w:t>APA</w:t>
            </w:r>
            <w:r w:rsidRPr="003E4FC1">
              <w:rPr>
                <w:rFonts w:asciiTheme="majorHAnsi" w:hAnsiTheme="majorHAnsi" w:cstheme="majorHAnsi"/>
                <w:sz w:val="17"/>
                <w:szCs w:val="17"/>
              </w:rPr>
              <w:t xml:space="preserve">, </w:t>
            </w:r>
            <w:r w:rsidRPr="003E4FC1">
              <w:rPr>
                <w:rFonts w:asciiTheme="majorHAnsi" w:hAnsiTheme="majorHAnsi" w:cstheme="majorHAnsi"/>
                <w:color w:val="7030A0"/>
                <w:sz w:val="17"/>
                <w:szCs w:val="17"/>
              </w:rPr>
              <w:t>APGA</w:t>
            </w:r>
            <w:r w:rsidRPr="003E4FC1">
              <w:rPr>
                <w:rFonts w:asciiTheme="majorHAnsi" w:hAnsiTheme="majorHAnsi" w:cstheme="majorHAnsi"/>
                <w:sz w:val="17"/>
                <w:szCs w:val="17"/>
              </w:rPr>
              <w:t xml:space="preserve">, </w:t>
            </w:r>
            <w:r w:rsidRPr="003E4FC1">
              <w:rPr>
                <w:rFonts w:asciiTheme="majorHAnsi" w:hAnsiTheme="majorHAnsi" w:cstheme="majorHAnsi"/>
                <w:color w:val="7030A0"/>
                <w:sz w:val="17"/>
                <w:szCs w:val="17"/>
              </w:rPr>
              <w:t xml:space="preserve">Epic </w:t>
            </w:r>
            <w:r w:rsidRPr="003E4FC1">
              <w:rPr>
                <w:rFonts w:asciiTheme="majorHAnsi" w:hAnsiTheme="majorHAnsi" w:cstheme="majorHAnsi"/>
                <w:sz w:val="17"/>
                <w:szCs w:val="17"/>
              </w:rPr>
              <w:t xml:space="preserve">and </w:t>
            </w:r>
            <w:r w:rsidRPr="003E4FC1">
              <w:rPr>
                <w:rFonts w:asciiTheme="majorHAnsi" w:hAnsiTheme="majorHAnsi" w:cstheme="majorHAnsi"/>
                <w:color w:val="7030A0"/>
                <w:sz w:val="17"/>
                <w:szCs w:val="17"/>
              </w:rPr>
              <w:t xml:space="preserve">Jemena </w:t>
            </w:r>
            <w:r w:rsidRPr="003E4FC1">
              <w:rPr>
                <w:rFonts w:asciiTheme="majorHAnsi" w:hAnsiTheme="majorHAnsi" w:cstheme="majorHAnsi"/>
                <w:sz w:val="17"/>
                <w:szCs w:val="17"/>
              </w:rPr>
              <w:t xml:space="preserve">also supported this proposal, subject to protections preventing the vexatious use of arbitration. </w:t>
            </w:r>
          </w:p>
        </w:tc>
      </w:tr>
      <w:tr w:rsidR="002B3EDC" w:rsidRPr="003E4FC1" w14:paraId="599AD315" w14:textId="77777777" w:rsidTr="00490822">
        <w:trPr>
          <w:cantSplit/>
          <w:trHeight w:val="401"/>
        </w:trPr>
        <w:tc>
          <w:tcPr>
            <w:tcW w:w="196" w:type="pct"/>
            <w:vMerge/>
            <w:shd w:val="clear" w:color="auto" w:fill="E1E2E7" w:themeFill="background2"/>
          </w:tcPr>
          <w:p w14:paraId="0BD96101" w14:textId="77777777" w:rsidR="002B3EDC" w:rsidRPr="003E4FC1" w:rsidRDefault="002B3EDC" w:rsidP="00201EFD">
            <w:pPr>
              <w:spacing w:before="20" w:after="20" w:line="252" w:lineRule="auto"/>
              <w:rPr>
                <w:rFonts w:asciiTheme="majorHAnsi" w:hAnsiTheme="majorHAnsi" w:cstheme="majorHAnsi"/>
                <w:bCs/>
                <w:sz w:val="17"/>
                <w:szCs w:val="17"/>
              </w:rPr>
            </w:pPr>
          </w:p>
        </w:tc>
        <w:tc>
          <w:tcPr>
            <w:tcW w:w="442" w:type="pct"/>
            <w:vMerge/>
            <w:shd w:val="clear" w:color="auto" w:fill="F2F2F2" w:themeFill="background1" w:themeFillShade="F2"/>
          </w:tcPr>
          <w:p w14:paraId="2D6B0E86" w14:textId="77777777" w:rsidR="002B3EDC" w:rsidRPr="003E4FC1" w:rsidRDefault="002B3EDC" w:rsidP="00201EFD">
            <w:pPr>
              <w:pStyle w:val="TableBodyText"/>
              <w:spacing w:before="20" w:after="20" w:line="252" w:lineRule="auto"/>
              <w:rPr>
                <w:rFonts w:asciiTheme="majorHAnsi" w:hAnsiTheme="majorHAnsi" w:cstheme="majorHAnsi"/>
                <w:sz w:val="17"/>
                <w:szCs w:val="17"/>
                <w:lang w:eastAsia="fr-CA"/>
              </w:rPr>
            </w:pPr>
          </w:p>
        </w:tc>
        <w:tc>
          <w:tcPr>
            <w:tcW w:w="441" w:type="pct"/>
            <w:shd w:val="clear" w:color="auto" w:fill="F2F2F2" w:themeFill="background1" w:themeFillShade="F2"/>
          </w:tcPr>
          <w:p w14:paraId="7F18F621" w14:textId="77777777" w:rsidR="002B3EDC" w:rsidRPr="003E4FC1" w:rsidRDefault="002B3EDC" w:rsidP="00201EFD">
            <w:pPr>
              <w:pStyle w:val="TableBodyText"/>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 xml:space="preserve">(b) </w:t>
            </w:r>
            <w:r w:rsidR="00382E85" w:rsidRPr="003E4FC1">
              <w:rPr>
                <w:rFonts w:asciiTheme="majorHAnsi" w:hAnsiTheme="majorHAnsi" w:cstheme="majorHAnsi"/>
                <w:sz w:val="17"/>
                <w:szCs w:val="17"/>
                <w:lang w:eastAsia="fr-CA"/>
              </w:rPr>
              <w:t>a</w:t>
            </w:r>
            <w:r w:rsidRPr="003E4FC1">
              <w:rPr>
                <w:rFonts w:asciiTheme="majorHAnsi" w:hAnsiTheme="majorHAnsi" w:cstheme="majorHAnsi"/>
                <w:sz w:val="17"/>
                <w:szCs w:val="17"/>
                <w:lang w:eastAsia="fr-CA"/>
              </w:rPr>
              <w:t xml:space="preserve">llowing user associations to be involved in arbitration </w:t>
            </w:r>
          </w:p>
        </w:tc>
        <w:tc>
          <w:tcPr>
            <w:tcW w:w="3921" w:type="pct"/>
            <w:shd w:val="clear" w:color="auto" w:fill="F2F2F2" w:themeFill="background1" w:themeFillShade="F2"/>
          </w:tcPr>
          <w:p w14:paraId="7BA74CD1" w14:textId="77777777" w:rsidR="002B3EDC" w:rsidRPr="003E4FC1" w:rsidRDefault="002B3EDC" w:rsidP="00201EFD">
            <w:pPr>
              <w:pStyle w:val="TableBullet10"/>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rPr>
              <w:t xml:space="preserve">The </w:t>
            </w:r>
            <w:r w:rsidRPr="003E4FC1">
              <w:rPr>
                <w:rFonts w:asciiTheme="majorHAnsi" w:hAnsiTheme="majorHAnsi" w:cstheme="majorHAnsi"/>
                <w:color w:val="FF0000"/>
                <w:sz w:val="17"/>
                <w:szCs w:val="17"/>
              </w:rPr>
              <w:t>ACCC</w:t>
            </w:r>
            <w:r w:rsidRPr="003E4FC1">
              <w:rPr>
                <w:rFonts w:asciiTheme="majorHAnsi" w:hAnsiTheme="majorHAnsi" w:cstheme="majorHAnsi"/>
                <w:sz w:val="17"/>
                <w:szCs w:val="17"/>
              </w:rPr>
              <w:t xml:space="preserve">, </w:t>
            </w:r>
            <w:r w:rsidRPr="003E4FC1">
              <w:rPr>
                <w:rFonts w:asciiTheme="majorHAnsi" w:hAnsiTheme="majorHAnsi" w:cstheme="majorHAnsi"/>
                <w:color w:val="3333FF"/>
                <w:sz w:val="17"/>
                <w:szCs w:val="17"/>
              </w:rPr>
              <w:t xml:space="preserve">EUAA, NSW BC, Chemistry Australia, Qenos </w:t>
            </w:r>
            <w:r w:rsidRPr="003E4FC1">
              <w:rPr>
                <w:rFonts w:asciiTheme="majorHAnsi" w:hAnsiTheme="majorHAnsi" w:cstheme="majorHAnsi"/>
                <w:sz w:val="17"/>
                <w:szCs w:val="17"/>
              </w:rPr>
              <w:t xml:space="preserve">and </w:t>
            </w:r>
            <w:r w:rsidRPr="003E4FC1">
              <w:rPr>
                <w:rFonts w:asciiTheme="majorHAnsi" w:hAnsiTheme="majorHAnsi" w:cstheme="majorHAnsi"/>
                <w:color w:val="CC0066"/>
                <w:sz w:val="17"/>
                <w:szCs w:val="17"/>
              </w:rPr>
              <w:t>COPA</w:t>
            </w:r>
            <w:r w:rsidRPr="003E4FC1">
              <w:rPr>
                <w:rFonts w:asciiTheme="majorHAnsi" w:hAnsiTheme="majorHAnsi" w:cstheme="majorHAnsi"/>
                <w:sz w:val="17"/>
                <w:szCs w:val="17"/>
              </w:rPr>
              <w:t xml:space="preserve"> supported the proposal to allow user </w:t>
            </w:r>
            <w:r w:rsidR="0089126E" w:rsidRPr="003E4FC1">
              <w:rPr>
                <w:rFonts w:asciiTheme="majorHAnsi" w:hAnsiTheme="majorHAnsi" w:cstheme="majorHAnsi"/>
                <w:sz w:val="17"/>
                <w:szCs w:val="17"/>
              </w:rPr>
              <w:t>associations</w:t>
            </w:r>
            <w:r w:rsidRPr="003E4FC1">
              <w:rPr>
                <w:rFonts w:asciiTheme="majorHAnsi" w:hAnsiTheme="majorHAnsi" w:cstheme="majorHAnsi"/>
                <w:sz w:val="17"/>
                <w:szCs w:val="17"/>
              </w:rPr>
              <w:t xml:space="preserve"> to intervene on behalf of a smaller shipper in an arbitration. </w:t>
            </w:r>
            <w:r w:rsidRPr="003E4FC1">
              <w:rPr>
                <w:rFonts w:asciiTheme="majorHAnsi" w:hAnsiTheme="majorHAnsi" w:cstheme="majorHAnsi"/>
                <w:color w:val="7030A0"/>
                <w:sz w:val="17"/>
                <w:szCs w:val="17"/>
              </w:rPr>
              <w:t xml:space="preserve">AGIG </w:t>
            </w:r>
            <w:r w:rsidRPr="003E4FC1">
              <w:rPr>
                <w:rFonts w:asciiTheme="majorHAnsi" w:hAnsiTheme="majorHAnsi" w:cstheme="majorHAnsi"/>
                <w:sz w:val="17"/>
                <w:szCs w:val="17"/>
              </w:rPr>
              <w:t>also supported this proposal, but noted that user groups should only be allowed to participate if the shipper requests that this occur and if they do participate, the confidentiality of the proceedings must be maintained.</w:t>
            </w:r>
          </w:p>
          <w:p w14:paraId="5C3ADF71" w14:textId="77777777" w:rsidR="002B3EDC" w:rsidRPr="003E4FC1" w:rsidRDefault="002B3EDC" w:rsidP="00201EFD">
            <w:pPr>
              <w:pStyle w:val="TableBullet10"/>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 xml:space="preserve">This proposal was, however, </w:t>
            </w:r>
            <w:r w:rsidRPr="003E4FC1">
              <w:rPr>
                <w:rFonts w:asciiTheme="majorHAnsi" w:hAnsiTheme="majorHAnsi" w:cstheme="majorHAnsi"/>
                <w:sz w:val="17"/>
                <w:szCs w:val="17"/>
                <w:u w:val="single"/>
                <w:lang w:eastAsia="fr-CA"/>
              </w:rPr>
              <w:t>opposed</w:t>
            </w:r>
            <w:r w:rsidRPr="003E4FC1">
              <w:rPr>
                <w:rFonts w:asciiTheme="majorHAnsi" w:hAnsiTheme="majorHAnsi" w:cstheme="majorHAnsi"/>
                <w:sz w:val="17"/>
                <w:szCs w:val="17"/>
                <w:lang w:eastAsia="fr-CA"/>
              </w:rPr>
              <w:t xml:space="preserve"> by </w:t>
            </w:r>
            <w:r w:rsidRPr="003E4FC1">
              <w:rPr>
                <w:rFonts w:asciiTheme="majorHAnsi" w:hAnsiTheme="majorHAnsi" w:cstheme="majorHAnsi"/>
                <w:color w:val="7030A0"/>
                <w:sz w:val="17"/>
                <w:szCs w:val="17"/>
              </w:rPr>
              <w:t xml:space="preserve">APA, APGA, Epic, Jemena </w:t>
            </w:r>
            <w:r w:rsidRPr="003E4FC1">
              <w:rPr>
                <w:rFonts w:asciiTheme="majorHAnsi" w:hAnsiTheme="majorHAnsi" w:cstheme="majorHAnsi"/>
                <w:sz w:val="17"/>
                <w:szCs w:val="17"/>
              </w:rPr>
              <w:t xml:space="preserve">and </w:t>
            </w:r>
            <w:r w:rsidRPr="003E4FC1">
              <w:rPr>
                <w:rFonts w:asciiTheme="majorHAnsi" w:hAnsiTheme="majorHAnsi" w:cstheme="majorHAnsi"/>
                <w:color w:val="7030A0"/>
                <w:sz w:val="17"/>
                <w:szCs w:val="17"/>
              </w:rPr>
              <w:t>TGP</w:t>
            </w:r>
            <w:r w:rsidRPr="003E4FC1">
              <w:rPr>
                <w:rFonts w:asciiTheme="majorHAnsi" w:hAnsiTheme="majorHAnsi" w:cstheme="majorHAnsi"/>
                <w:sz w:val="17"/>
                <w:szCs w:val="17"/>
              </w:rPr>
              <w:t xml:space="preserve">. </w:t>
            </w:r>
            <w:r w:rsidRPr="003E4FC1">
              <w:rPr>
                <w:rFonts w:asciiTheme="majorHAnsi" w:hAnsiTheme="majorHAnsi" w:cstheme="majorHAnsi"/>
                <w:color w:val="7030A0"/>
                <w:sz w:val="17"/>
                <w:szCs w:val="17"/>
              </w:rPr>
              <w:t>APGA</w:t>
            </w:r>
            <w:r w:rsidRPr="003E4FC1">
              <w:rPr>
                <w:rFonts w:asciiTheme="majorHAnsi" w:hAnsiTheme="majorHAnsi" w:cstheme="majorHAnsi"/>
                <w:sz w:val="17"/>
                <w:szCs w:val="17"/>
              </w:rPr>
              <w:t>, for example, stated it would increase the scope, complexity, costs and arbitration timeframes.</w:t>
            </w:r>
          </w:p>
        </w:tc>
      </w:tr>
      <w:tr w:rsidR="002B3EDC" w:rsidRPr="003E4FC1" w14:paraId="02B5859F" w14:textId="77777777" w:rsidTr="00490822">
        <w:trPr>
          <w:cnfStyle w:val="000000010000" w:firstRow="0" w:lastRow="0" w:firstColumn="0" w:lastColumn="0" w:oddVBand="0" w:evenVBand="0" w:oddHBand="0" w:evenHBand="1" w:firstRowFirstColumn="0" w:firstRowLastColumn="0" w:lastRowFirstColumn="0" w:lastRowLastColumn="0"/>
          <w:cantSplit/>
          <w:trHeight w:val="401"/>
        </w:trPr>
        <w:tc>
          <w:tcPr>
            <w:tcW w:w="196" w:type="pct"/>
            <w:vMerge/>
          </w:tcPr>
          <w:p w14:paraId="23A0AF16" w14:textId="77777777" w:rsidR="002B3EDC" w:rsidRPr="003E4FC1" w:rsidRDefault="002B3EDC" w:rsidP="00201EFD">
            <w:pPr>
              <w:spacing w:before="20" w:after="20" w:line="252" w:lineRule="auto"/>
              <w:rPr>
                <w:rFonts w:asciiTheme="majorHAnsi" w:hAnsiTheme="majorHAnsi" w:cstheme="majorHAnsi"/>
                <w:bCs/>
                <w:sz w:val="17"/>
                <w:szCs w:val="17"/>
              </w:rPr>
            </w:pPr>
          </w:p>
        </w:tc>
        <w:tc>
          <w:tcPr>
            <w:tcW w:w="442" w:type="pct"/>
            <w:vMerge/>
            <w:shd w:val="clear" w:color="auto" w:fill="F2F2F2" w:themeFill="background1" w:themeFillShade="F2"/>
          </w:tcPr>
          <w:p w14:paraId="6669AC64" w14:textId="77777777" w:rsidR="002B3EDC" w:rsidRPr="003E4FC1" w:rsidRDefault="002B3EDC" w:rsidP="00201EFD">
            <w:pPr>
              <w:pStyle w:val="TableBodyText"/>
              <w:spacing w:before="20" w:after="20" w:line="252" w:lineRule="auto"/>
              <w:rPr>
                <w:rFonts w:asciiTheme="majorHAnsi" w:hAnsiTheme="majorHAnsi" w:cstheme="majorHAnsi"/>
                <w:sz w:val="17"/>
                <w:szCs w:val="17"/>
                <w:lang w:eastAsia="fr-CA"/>
              </w:rPr>
            </w:pPr>
          </w:p>
        </w:tc>
        <w:tc>
          <w:tcPr>
            <w:tcW w:w="441" w:type="pct"/>
            <w:tcBorders>
              <w:bottom w:val="single" w:sz="4" w:space="0" w:color="auto"/>
            </w:tcBorders>
            <w:shd w:val="clear" w:color="auto" w:fill="F2F2F2" w:themeFill="background1" w:themeFillShade="F2"/>
          </w:tcPr>
          <w:p w14:paraId="7F076A84" w14:textId="77777777" w:rsidR="002B3EDC" w:rsidRPr="003E4FC1" w:rsidRDefault="002B3EDC" w:rsidP="00201EFD">
            <w:pPr>
              <w:pStyle w:val="TableBodyText"/>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 xml:space="preserve">(c) </w:t>
            </w:r>
            <w:r w:rsidR="00382E85" w:rsidRPr="003E4FC1">
              <w:rPr>
                <w:rFonts w:asciiTheme="majorHAnsi" w:hAnsiTheme="majorHAnsi" w:cstheme="majorHAnsi"/>
                <w:sz w:val="17"/>
                <w:szCs w:val="17"/>
                <w:lang w:eastAsia="fr-CA"/>
              </w:rPr>
              <w:t>a</w:t>
            </w:r>
            <w:r w:rsidRPr="003E4FC1">
              <w:rPr>
                <w:rFonts w:asciiTheme="majorHAnsi" w:hAnsiTheme="majorHAnsi" w:cstheme="majorHAnsi"/>
                <w:sz w:val="17"/>
                <w:szCs w:val="17"/>
                <w:lang w:eastAsia="fr-CA"/>
              </w:rPr>
              <w:t xml:space="preserve">llowing smaller shippers to elect to have the regulator as arbitrator </w:t>
            </w:r>
          </w:p>
        </w:tc>
        <w:tc>
          <w:tcPr>
            <w:tcW w:w="3921" w:type="pct"/>
            <w:tcBorders>
              <w:bottom w:val="single" w:sz="4" w:space="0" w:color="auto"/>
            </w:tcBorders>
            <w:shd w:val="clear" w:color="auto" w:fill="F2F2F2" w:themeFill="background1" w:themeFillShade="F2"/>
          </w:tcPr>
          <w:p w14:paraId="5A8E4343" w14:textId="77777777" w:rsidR="002B3EDC" w:rsidRPr="003E4FC1" w:rsidRDefault="002B3EDC" w:rsidP="00201EFD">
            <w:pPr>
              <w:pStyle w:val="TableBullet10"/>
              <w:spacing w:before="20" w:after="20" w:line="252" w:lineRule="auto"/>
              <w:rPr>
                <w:rFonts w:asciiTheme="majorHAnsi" w:hAnsiTheme="majorHAnsi" w:cstheme="majorHAnsi"/>
                <w:sz w:val="17"/>
                <w:szCs w:val="17"/>
              </w:rPr>
            </w:pPr>
            <w:r w:rsidRPr="003E4FC1">
              <w:rPr>
                <w:rFonts w:asciiTheme="majorHAnsi" w:hAnsiTheme="majorHAnsi" w:cstheme="majorHAnsi"/>
                <w:sz w:val="17"/>
                <w:szCs w:val="17"/>
              </w:rPr>
              <w:t xml:space="preserve">The </w:t>
            </w:r>
            <w:r w:rsidRPr="003E4FC1">
              <w:rPr>
                <w:rFonts w:asciiTheme="majorHAnsi" w:hAnsiTheme="majorHAnsi" w:cstheme="majorHAnsi"/>
                <w:color w:val="3333FF"/>
                <w:sz w:val="17"/>
                <w:szCs w:val="17"/>
              </w:rPr>
              <w:t>EUAA, NSW BC, Chemistry Australia</w:t>
            </w:r>
            <w:r w:rsidRPr="003E4FC1">
              <w:rPr>
                <w:rFonts w:asciiTheme="majorHAnsi" w:hAnsiTheme="majorHAnsi" w:cstheme="majorHAnsi"/>
                <w:sz w:val="17"/>
                <w:szCs w:val="17"/>
              </w:rPr>
              <w:t xml:space="preserve"> and </w:t>
            </w:r>
            <w:r w:rsidRPr="003E4FC1">
              <w:rPr>
                <w:rFonts w:asciiTheme="majorHAnsi" w:hAnsiTheme="majorHAnsi" w:cstheme="majorHAnsi"/>
                <w:color w:val="3333FF"/>
                <w:sz w:val="17"/>
                <w:szCs w:val="17"/>
              </w:rPr>
              <w:t xml:space="preserve">Qenos </w:t>
            </w:r>
            <w:r w:rsidRPr="003E4FC1">
              <w:rPr>
                <w:rFonts w:asciiTheme="majorHAnsi" w:hAnsiTheme="majorHAnsi" w:cstheme="majorHAnsi"/>
                <w:sz w:val="17"/>
                <w:szCs w:val="17"/>
              </w:rPr>
              <w:t xml:space="preserve">supported the proposal to allow smaller shippers to elect to have the regulator as arbitrator in disputes under the lighter form of regulation. </w:t>
            </w:r>
          </w:p>
          <w:p w14:paraId="1EB73E2E" w14:textId="77777777" w:rsidR="002B3EDC" w:rsidRPr="003E4FC1" w:rsidRDefault="002B3EDC" w:rsidP="00201EFD">
            <w:pPr>
              <w:pStyle w:val="TableBullet10"/>
              <w:spacing w:before="20" w:after="20" w:line="252" w:lineRule="auto"/>
              <w:rPr>
                <w:rFonts w:asciiTheme="majorHAnsi" w:hAnsiTheme="majorHAnsi" w:cstheme="majorHAnsi"/>
                <w:sz w:val="17"/>
                <w:szCs w:val="17"/>
              </w:rPr>
            </w:pPr>
            <w:r w:rsidRPr="003E4FC1">
              <w:rPr>
                <w:rFonts w:asciiTheme="majorHAnsi" w:hAnsiTheme="majorHAnsi" w:cstheme="majorHAnsi"/>
                <w:sz w:val="17"/>
                <w:szCs w:val="17"/>
              </w:rPr>
              <w:t xml:space="preserve">This proposal was, however, opposed by the </w:t>
            </w:r>
            <w:r w:rsidRPr="003E4FC1">
              <w:rPr>
                <w:rFonts w:asciiTheme="majorHAnsi" w:hAnsiTheme="majorHAnsi" w:cstheme="majorHAnsi"/>
                <w:color w:val="7030A0"/>
                <w:sz w:val="17"/>
                <w:szCs w:val="17"/>
              </w:rPr>
              <w:t xml:space="preserve">APGA, AGIG, APA, Epic, Jemena </w:t>
            </w:r>
            <w:r w:rsidRPr="003E4FC1">
              <w:rPr>
                <w:rFonts w:asciiTheme="majorHAnsi" w:hAnsiTheme="majorHAnsi" w:cstheme="majorHAnsi"/>
                <w:sz w:val="17"/>
                <w:szCs w:val="17"/>
              </w:rPr>
              <w:t xml:space="preserve">and </w:t>
            </w:r>
            <w:r w:rsidRPr="003E4FC1">
              <w:rPr>
                <w:rFonts w:asciiTheme="majorHAnsi" w:hAnsiTheme="majorHAnsi" w:cstheme="majorHAnsi"/>
                <w:color w:val="7030A0"/>
                <w:sz w:val="17"/>
                <w:szCs w:val="17"/>
              </w:rPr>
              <w:t>TGP</w:t>
            </w:r>
            <w:r w:rsidRPr="003E4FC1">
              <w:rPr>
                <w:rFonts w:asciiTheme="majorHAnsi" w:hAnsiTheme="majorHAnsi" w:cstheme="majorHAnsi"/>
                <w:sz w:val="17"/>
                <w:szCs w:val="17"/>
              </w:rPr>
              <w:t>, who</w:t>
            </w:r>
            <w:r w:rsidRPr="003E4FC1">
              <w:rPr>
                <w:rFonts w:asciiTheme="majorHAnsi" w:hAnsiTheme="majorHAnsi" w:cstheme="majorHAnsi"/>
                <w:color w:val="7030A0"/>
                <w:sz w:val="17"/>
                <w:szCs w:val="17"/>
              </w:rPr>
              <w:t xml:space="preserve"> </w:t>
            </w:r>
            <w:r w:rsidRPr="003E4FC1">
              <w:rPr>
                <w:rFonts w:asciiTheme="majorHAnsi" w:hAnsiTheme="majorHAnsi" w:cstheme="majorHAnsi"/>
                <w:sz w:val="17"/>
                <w:szCs w:val="17"/>
              </w:rPr>
              <w:t xml:space="preserve">noted that it would </w:t>
            </w:r>
            <w:r w:rsidRPr="003E4FC1">
              <w:rPr>
                <w:rFonts w:asciiTheme="majorHAnsi" w:hAnsiTheme="majorHAnsi" w:cstheme="majorHAnsi"/>
                <w:sz w:val="17"/>
                <w:szCs w:val="17"/>
                <w:lang w:eastAsia="fr-CA"/>
              </w:rPr>
              <w:t xml:space="preserve">constitute a significant </w:t>
            </w:r>
            <w:r w:rsidRPr="003E4FC1">
              <w:rPr>
                <w:rFonts w:asciiTheme="majorHAnsi" w:hAnsiTheme="majorHAnsi" w:cstheme="majorHAnsi"/>
                <w:sz w:val="17"/>
                <w:szCs w:val="17"/>
              </w:rPr>
              <w:t>departure</w:t>
            </w:r>
            <w:r w:rsidRPr="003E4FC1">
              <w:rPr>
                <w:rFonts w:asciiTheme="majorHAnsi" w:hAnsiTheme="majorHAnsi" w:cstheme="majorHAnsi"/>
                <w:sz w:val="17"/>
                <w:szCs w:val="17"/>
                <w:lang w:eastAsia="fr-CA"/>
              </w:rPr>
              <w:t xml:space="preserve"> from the commercially oriented nature of Part 23</w:t>
            </w:r>
            <w:r w:rsidRPr="003E4FC1">
              <w:rPr>
                <w:rFonts w:asciiTheme="majorHAnsi" w:hAnsiTheme="majorHAnsi" w:cstheme="majorHAnsi"/>
                <w:sz w:val="17"/>
                <w:szCs w:val="17"/>
              </w:rPr>
              <w:t xml:space="preserve">. </w:t>
            </w:r>
          </w:p>
          <w:p w14:paraId="76D92035" w14:textId="77777777" w:rsidR="002B3EDC" w:rsidRPr="003E4FC1" w:rsidRDefault="002B3EDC" w:rsidP="00201EFD">
            <w:pPr>
              <w:pStyle w:val="TableBullet10"/>
              <w:spacing w:before="20" w:after="20" w:line="252" w:lineRule="auto"/>
              <w:rPr>
                <w:rFonts w:asciiTheme="majorHAnsi" w:hAnsiTheme="majorHAnsi" w:cstheme="majorHAnsi"/>
                <w:sz w:val="17"/>
                <w:szCs w:val="17"/>
              </w:rPr>
            </w:pPr>
            <w:r w:rsidRPr="003E4FC1">
              <w:rPr>
                <w:rFonts w:asciiTheme="majorHAnsi" w:hAnsiTheme="majorHAnsi" w:cstheme="majorHAnsi"/>
                <w:sz w:val="17"/>
                <w:szCs w:val="17"/>
              </w:rPr>
              <w:t xml:space="preserve">The </w:t>
            </w:r>
            <w:r w:rsidRPr="003E4FC1">
              <w:rPr>
                <w:rFonts w:asciiTheme="majorHAnsi" w:hAnsiTheme="majorHAnsi" w:cstheme="majorHAnsi"/>
                <w:color w:val="FF0000"/>
                <w:sz w:val="17"/>
                <w:szCs w:val="17"/>
              </w:rPr>
              <w:t xml:space="preserve">ACCC </w:t>
            </w:r>
            <w:r w:rsidRPr="003E4FC1">
              <w:rPr>
                <w:rFonts w:asciiTheme="majorHAnsi" w:hAnsiTheme="majorHAnsi" w:cstheme="majorHAnsi"/>
                <w:sz w:val="17"/>
                <w:szCs w:val="17"/>
              </w:rPr>
              <w:t xml:space="preserve">and </w:t>
            </w:r>
            <w:r w:rsidRPr="003E4FC1">
              <w:rPr>
                <w:rFonts w:asciiTheme="majorHAnsi" w:hAnsiTheme="majorHAnsi" w:cstheme="majorHAnsi"/>
                <w:color w:val="FF0000"/>
                <w:sz w:val="17"/>
                <w:szCs w:val="17"/>
              </w:rPr>
              <w:t xml:space="preserve">AER </w:t>
            </w:r>
            <w:r w:rsidRPr="003E4FC1">
              <w:rPr>
                <w:rFonts w:asciiTheme="majorHAnsi" w:hAnsiTheme="majorHAnsi" w:cstheme="majorHAnsi"/>
                <w:sz w:val="17"/>
                <w:szCs w:val="17"/>
              </w:rPr>
              <w:t xml:space="preserve">also expressed </w:t>
            </w:r>
            <w:r w:rsidRPr="003E4FC1">
              <w:rPr>
                <w:rFonts w:asciiTheme="majorHAnsi" w:hAnsiTheme="majorHAnsi" w:cstheme="majorHAnsi"/>
                <w:sz w:val="17"/>
                <w:szCs w:val="17"/>
                <w:lang w:eastAsia="fr-CA"/>
              </w:rPr>
              <w:t xml:space="preserve">concerns with </w:t>
            </w:r>
            <w:r w:rsidRPr="003E4FC1">
              <w:rPr>
                <w:rFonts w:asciiTheme="majorHAnsi" w:hAnsiTheme="majorHAnsi" w:cstheme="majorHAnsi"/>
                <w:sz w:val="17"/>
                <w:szCs w:val="17"/>
              </w:rPr>
              <w:t xml:space="preserve">this </w:t>
            </w:r>
            <w:r w:rsidRPr="003E4FC1">
              <w:rPr>
                <w:rFonts w:asciiTheme="majorHAnsi" w:hAnsiTheme="majorHAnsi" w:cstheme="majorHAnsi"/>
                <w:sz w:val="17"/>
                <w:szCs w:val="17"/>
                <w:lang w:eastAsia="fr-CA"/>
              </w:rPr>
              <w:t xml:space="preserve">proposal, with the </w:t>
            </w:r>
            <w:r w:rsidRPr="003E4FC1">
              <w:rPr>
                <w:rFonts w:asciiTheme="majorHAnsi" w:hAnsiTheme="majorHAnsi" w:cstheme="majorHAnsi"/>
                <w:color w:val="FF0000"/>
                <w:sz w:val="17"/>
                <w:szCs w:val="17"/>
                <w:lang w:eastAsia="fr-CA"/>
              </w:rPr>
              <w:t xml:space="preserve">AER </w:t>
            </w:r>
            <w:r w:rsidRPr="003E4FC1">
              <w:rPr>
                <w:rFonts w:asciiTheme="majorHAnsi" w:hAnsiTheme="majorHAnsi" w:cstheme="majorHAnsi"/>
                <w:sz w:val="17"/>
                <w:szCs w:val="17"/>
                <w:lang w:eastAsia="fr-CA"/>
              </w:rPr>
              <w:t xml:space="preserve">noting </w:t>
            </w:r>
            <w:r w:rsidRPr="003E4FC1">
              <w:rPr>
                <w:rFonts w:asciiTheme="majorHAnsi" w:hAnsiTheme="majorHAnsi" w:cstheme="majorHAnsi"/>
                <w:sz w:val="17"/>
                <w:szCs w:val="17"/>
              </w:rPr>
              <w:t xml:space="preserve">regulators do not have the same level of flexibility to resolve disputes as commercial arbitrators and that </w:t>
            </w:r>
            <w:r w:rsidRPr="003E4FC1">
              <w:rPr>
                <w:rFonts w:asciiTheme="majorHAnsi" w:hAnsiTheme="majorHAnsi" w:cstheme="majorHAnsi"/>
                <w:sz w:val="17"/>
                <w:szCs w:val="17"/>
                <w:lang w:eastAsia="fr-CA"/>
              </w:rPr>
              <w:t xml:space="preserve">it </w:t>
            </w:r>
            <w:r w:rsidRPr="003E4FC1">
              <w:rPr>
                <w:rFonts w:asciiTheme="majorHAnsi" w:hAnsiTheme="majorHAnsi" w:cstheme="majorHAnsi"/>
                <w:sz w:val="17"/>
                <w:szCs w:val="17"/>
              </w:rPr>
              <w:t xml:space="preserve">could result in the regulator’s decision becoming the default position for any future commercial arbitration. The </w:t>
            </w:r>
            <w:r w:rsidRPr="003E4FC1">
              <w:rPr>
                <w:rFonts w:asciiTheme="majorHAnsi" w:hAnsiTheme="majorHAnsi" w:cstheme="majorHAnsi"/>
                <w:color w:val="FF0000"/>
                <w:sz w:val="17"/>
                <w:szCs w:val="17"/>
              </w:rPr>
              <w:t xml:space="preserve">ACCC </w:t>
            </w:r>
            <w:r w:rsidRPr="003E4FC1">
              <w:rPr>
                <w:rFonts w:asciiTheme="majorHAnsi" w:hAnsiTheme="majorHAnsi" w:cstheme="majorHAnsi"/>
                <w:sz w:val="17"/>
                <w:szCs w:val="17"/>
              </w:rPr>
              <w:t xml:space="preserve">noted that if </w:t>
            </w:r>
            <w:r w:rsidRPr="003E4FC1">
              <w:rPr>
                <w:rFonts w:asciiTheme="majorHAnsi" w:hAnsiTheme="majorHAnsi" w:cstheme="majorHAnsi"/>
                <w:sz w:val="17"/>
                <w:szCs w:val="17"/>
                <w:lang w:eastAsia="fr-CA"/>
              </w:rPr>
              <w:t>there was perceived to be a need for there to be a threat of the regulator’s involvement, consideration could be given to allowing smaller shippers to go to mediation before arbitration and for the regulator to be the mediator.</w:t>
            </w:r>
          </w:p>
        </w:tc>
      </w:tr>
      <w:tr w:rsidR="002B3EDC" w:rsidRPr="003E4FC1" w14:paraId="50F631B8" w14:textId="77777777" w:rsidTr="00490822">
        <w:trPr>
          <w:cantSplit/>
          <w:trHeight w:val="401"/>
        </w:trPr>
        <w:tc>
          <w:tcPr>
            <w:tcW w:w="196" w:type="pct"/>
            <w:vMerge/>
          </w:tcPr>
          <w:p w14:paraId="08D3DBB0" w14:textId="77777777" w:rsidR="002B3EDC" w:rsidRPr="003E4FC1" w:rsidRDefault="002B3EDC" w:rsidP="00201EFD">
            <w:pPr>
              <w:spacing w:before="20" w:after="20" w:line="252" w:lineRule="auto"/>
              <w:rPr>
                <w:rFonts w:asciiTheme="majorHAnsi" w:hAnsiTheme="majorHAnsi" w:cstheme="majorHAnsi"/>
                <w:bCs/>
                <w:sz w:val="17"/>
                <w:szCs w:val="17"/>
              </w:rPr>
            </w:pPr>
          </w:p>
        </w:tc>
        <w:tc>
          <w:tcPr>
            <w:tcW w:w="442" w:type="pct"/>
            <w:vMerge/>
            <w:tcBorders>
              <w:bottom w:val="single" w:sz="4" w:space="0" w:color="auto"/>
            </w:tcBorders>
            <w:shd w:val="clear" w:color="auto" w:fill="F2F2F2" w:themeFill="background1" w:themeFillShade="F2"/>
          </w:tcPr>
          <w:p w14:paraId="429FA7E3" w14:textId="77777777" w:rsidR="002B3EDC" w:rsidRPr="003E4FC1" w:rsidRDefault="002B3EDC" w:rsidP="00201EFD">
            <w:pPr>
              <w:pStyle w:val="TableBodyText"/>
              <w:spacing w:before="20" w:after="20" w:line="252" w:lineRule="auto"/>
              <w:rPr>
                <w:rFonts w:asciiTheme="majorHAnsi" w:hAnsiTheme="majorHAnsi" w:cstheme="majorHAnsi"/>
                <w:sz w:val="17"/>
                <w:szCs w:val="17"/>
                <w:lang w:eastAsia="fr-CA"/>
              </w:rPr>
            </w:pPr>
          </w:p>
        </w:tc>
        <w:tc>
          <w:tcPr>
            <w:tcW w:w="441" w:type="pct"/>
            <w:tcBorders>
              <w:bottom w:val="single" w:sz="4" w:space="0" w:color="auto"/>
            </w:tcBorders>
            <w:shd w:val="clear" w:color="auto" w:fill="F2F2F2" w:themeFill="background1" w:themeFillShade="F2"/>
          </w:tcPr>
          <w:p w14:paraId="01F87BBD" w14:textId="77777777" w:rsidR="002B3EDC" w:rsidRPr="003E4FC1" w:rsidRDefault="002B3EDC" w:rsidP="00201EFD">
            <w:pPr>
              <w:pStyle w:val="TableBodyText"/>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Size threshold for small shipper</w:t>
            </w:r>
          </w:p>
        </w:tc>
        <w:tc>
          <w:tcPr>
            <w:tcW w:w="3921" w:type="pct"/>
            <w:tcBorders>
              <w:bottom w:val="single" w:sz="4" w:space="0" w:color="auto"/>
            </w:tcBorders>
            <w:shd w:val="clear" w:color="auto" w:fill="F2F2F2" w:themeFill="background1" w:themeFillShade="F2"/>
          </w:tcPr>
          <w:p w14:paraId="34AFA268" w14:textId="77777777" w:rsidR="002B3EDC" w:rsidRPr="003E4FC1" w:rsidRDefault="002B3EDC" w:rsidP="00201EFD">
            <w:pPr>
              <w:pStyle w:val="TableBullet10"/>
              <w:spacing w:before="20" w:after="20" w:line="252" w:lineRule="auto"/>
              <w:rPr>
                <w:rFonts w:asciiTheme="majorHAnsi" w:hAnsiTheme="majorHAnsi" w:cstheme="majorHAnsi"/>
                <w:sz w:val="17"/>
                <w:szCs w:val="17"/>
              </w:rPr>
            </w:pPr>
            <w:r w:rsidRPr="003E4FC1">
              <w:rPr>
                <w:rFonts w:asciiTheme="majorHAnsi" w:hAnsiTheme="majorHAnsi" w:cstheme="majorHAnsi"/>
                <w:sz w:val="17"/>
                <w:szCs w:val="17"/>
              </w:rPr>
              <w:t>Differing views were expressed on the threshold to be used to define a smaller shipper, with some suggesting it be based on reserved capacity (e.g. less than 10 TJ/day), the net present cost of the transportation contract (e.g. an annual contract cost less than $20 million), the size of the shipper’s business measured in terms of (e.g. annual sales revenue less than $50 million) or employees, or a combination of these measures.</w:t>
            </w:r>
          </w:p>
        </w:tc>
      </w:tr>
      <w:tr w:rsidR="00865EEC" w:rsidRPr="003E4FC1" w14:paraId="53F5C854" w14:textId="77777777" w:rsidTr="00490822">
        <w:trPr>
          <w:cnfStyle w:val="000000010000" w:firstRow="0" w:lastRow="0" w:firstColumn="0" w:lastColumn="0" w:oddVBand="0" w:evenVBand="0" w:oddHBand="0" w:evenHBand="1" w:firstRowFirstColumn="0" w:firstRowLastColumn="0" w:lastRowFirstColumn="0" w:lastRowLastColumn="0"/>
          <w:cantSplit/>
          <w:trHeight w:val="401"/>
        </w:trPr>
        <w:tc>
          <w:tcPr>
            <w:tcW w:w="196" w:type="pct"/>
            <w:vMerge/>
            <w:tcBorders>
              <w:bottom w:val="single" w:sz="4" w:space="0" w:color="auto"/>
            </w:tcBorders>
          </w:tcPr>
          <w:p w14:paraId="0FDE4AB2" w14:textId="77777777" w:rsidR="00865EEC" w:rsidRPr="003E4FC1" w:rsidRDefault="00865EEC" w:rsidP="00201EFD">
            <w:pPr>
              <w:spacing w:before="20" w:after="20" w:line="252" w:lineRule="auto"/>
              <w:rPr>
                <w:rFonts w:asciiTheme="majorHAnsi" w:hAnsiTheme="majorHAnsi" w:cstheme="majorHAnsi"/>
                <w:bCs/>
                <w:sz w:val="17"/>
                <w:szCs w:val="17"/>
              </w:rPr>
            </w:pPr>
          </w:p>
        </w:tc>
        <w:tc>
          <w:tcPr>
            <w:tcW w:w="883" w:type="pct"/>
            <w:gridSpan w:val="2"/>
            <w:tcBorders>
              <w:bottom w:val="single" w:sz="4" w:space="0" w:color="auto"/>
            </w:tcBorders>
          </w:tcPr>
          <w:p w14:paraId="5DE442E3" w14:textId="77777777" w:rsidR="00865EEC" w:rsidRPr="003E4FC1" w:rsidRDefault="00865EEC" w:rsidP="00201EFD">
            <w:pPr>
              <w:pStyle w:val="TableBodyText"/>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 xml:space="preserve">Other measures </w:t>
            </w:r>
          </w:p>
        </w:tc>
        <w:tc>
          <w:tcPr>
            <w:tcW w:w="3921" w:type="pct"/>
            <w:tcBorders>
              <w:bottom w:val="single" w:sz="4" w:space="0" w:color="auto"/>
            </w:tcBorders>
          </w:tcPr>
          <w:p w14:paraId="18E6EF76" w14:textId="77777777" w:rsidR="00865EEC" w:rsidRPr="003E4FC1" w:rsidRDefault="00865EEC" w:rsidP="00201EFD">
            <w:pPr>
              <w:pStyle w:val="TableBullet10"/>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 xml:space="preserve">In addition to the measures listed above, the </w:t>
            </w:r>
            <w:r w:rsidRPr="003E4FC1">
              <w:rPr>
                <w:rFonts w:asciiTheme="majorHAnsi" w:hAnsiTheme="majorHAnsi" w:cstheme="majorHAnsi"/>
                <w:color w:val="3333FF"/>
                <w:sz w:val="17"/>
                <w:szCs w:val="17"/>
                <w:lang w:eastAsia="fr-CA"/>
              </w:rPr>
              <w:t xml:space="preserve">EUAA, Chemistry Australia </w:t>
            </w:r>
            <w:r w:rsidRPr="003E4FC1">
              <w:rPr>
                <w:rFonts w:asciiTheme="majorHAnsi" w:hAnsiTheme="majorHAnsi" w:cstheme="majorHAnsi"/>
                <w:sz w:val="17"/>
                <w:szCs w:val="17"/>
                <w:lang w:eastAsia="fr-CA"/>
              </w:rPr>
              <w:t xml:space="preserve">and </w:t>
            </w:r>
            <w:r w:rsidRPr="003E4FC1">
              <w:rPr>
                <w:rFonts w:asciiTheme="majorHAnsi" w:hAnsiTheme="majorHAnsi" w:cstheme="majorHAnsi"/>
                <w:color w:val="3333FF"/>
                <w:sz w:val="17"/>
                <w:szCs w:val="17"/>
                <w:lang w:eastAsia="fr-CA"/>
              </w:rPr>
              <w:t xml:space="preserve">Qenos </w:t>
            </w:r>
            <w:r w:rsidRPr="003E4FC1">
              <w:rPr>
                <w:rFonts w:asciiTheme="majorHAnsi" w:hAnsiTheme="majorHAnsi" w:cstheme="majorHAnsi"/>
                <w:sz w:val="17"/>
                <w:szCs w:val="17"/>
                <w:lang w:eastAsia="fr-CA"/>
              </w:rPr>
              <w:t xml:space="preserve">noted that improved information disclosure and oversight by the regulator </w:t>
            </w:r>
            <w:r w:rsidRPr="003E4FC1">
              <w:rPr>
                <w:rFonts w:asciiTheme="majorHAnsi" w:hAnsiTheme="majorHAnsi" w:cstheme="majorHAnsi"/>
                <w:sz w:val="17"/>
                <w:szCs w:val="17"/>
              </w:rPr>
              <w:t xml:space="preserve">(with regular audits and public reporting of the audit results) and more prescription in the Part 23 pricing principles would </w:t>
            </w:r>
            <w:r w:rsidRPr="003E4FC1">
              <w:rPr>
                <w:rFonts w:asciiTheme="majorHAnsi" w:hAnsiTheme="majorHAnsi" w:cstheme="majorHAnsi"/>
                <w:sz w:val="17"/>
                <w:szCs w:val="17"/>
                <w:lang w:eastAsia="fr-CA"/>
              </w:rPr>
              <w:t xml:space="preserve">increase the chance of agreement being reached without arbitration. </w:t>
            </w:r>
          </w:p>
          <w:p w14:paraId="6E7D320B" w14:textId="77777777" w:rsidR="00865EEC" w:rsidRPr="003E4FC1" w:rsidRDefault="00865EEC" w:rsidP="00201EFD">
            <w:pPr>
              <w:pStyle w:val="TableBullet10"/>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 xml:space="preserve">The </w:t>
            </w:r>
            <w:r w:rsidRPr="003E4FC1">
              <w:rPr>
                <w:rFonts w:asciiTheme="majorHAnsi" w:hAnsiTheme="majorHAnsi" w:cstheme="majorHAnsi"/>
                <w:color w:val="3333FF"/>
                <w:sz w:val="17"/>
                <w:szCs w:val="17"/>
                <w:lang w:eastAsia="fr-CA"/>
              </w:rPr>
              <w:t xml:space="preserve">MEU </w:t>
            </w:r>
            <w:r w:rsidRPr="003E4FC1">
              <w:rPr>
                <w:rFonts w:asciiTheme="majorHAnsi" w:hAnsiTheme="majorHAnsi" w:cstheme="majorHAnsi"/>
                <w:sz w:val="17"/>
                <w:szCs w:val="17"/>
                <w:lang w:eastAsia="fr-CA"/>
              </w:rPr>
              <w:t xml:space="preserve">suggested </w:t>
            </w:r>
            <w:r w:rsidR="00F91FC3" w:rsidRPr="003E4FC1">
              <w:rPr>
                <w:rFonts w:asciiTheme="majorHAnsi" w:hAnsiTheme="majorHAnsi" w:cstheme="majorHAnsi"/>
                <w:sz w:val="17"/>
                <w:szCs w:val="17"/>
                <w:lang w:eastAsia="fr-CA"/>
              </w:rPr>
              <w:t xml:space="preserve">this </w:t>
            </w:r>
            <w:r w:rsidRPr="003E4FC1">
              <w:rPr>
                <w:rFonts w:asciiTheme="majorHAnsi" w:hAnsiTheme="majorHAnsi" w:cstheme="majorHAnsi"/>
                <w:sz w:val="17"/>
                <w:szCs w:val="17"/>
                <w:lang w:eastAsia="fr-CA"/>
              </w:rPr>
              <w:t>‘very significant issue’ be addressed by requiring all pipelines offering monopoly services to be subject to full regulation.</w:t>
            </w:r>
          </w:p>
        </w:tc>
      </w:tr>
      <w:tr w:rsidR="009A1E55" w:rsidRPr="003E4FC1" w14:paraId="494817FF" w14:textId="77777777" w:rsidTr="00490822">
        <w:trPr>
          <w:cantSplit/>
          <w:trHeight w:val="279"/>
        </w:trPr>
        <w:tc>
          <w:tcPr>
            <w:tcW w:w="196" w:type="pct"/>
            <w:vMerge w:val="restart"/>
            <w:shd w:val="clear" w:color="auto" w:fill="FFFFFF" w:themeFill="background1"/>
            <w:textDirection w:val="btLr"/>
          </w:tcPr>
          <w:p w14:paraId="171333EE" w14:textId="77777777" w:rsidR="009A1E55" w:rsidRPr="003E4FC1" w:rsidRDefault="009A1E55" w:rsidP="00201EFD">
            <w:pPr>
              <w:spacing w:before="20" w:after="20" w:line="252" w:lineRule="auto"/>
              <w:jc w:val="center"/>
              <w:rPr>
                <w:rFonts w:asciiTheme="majorHAnsi" w:hAnsiTheme="majorHAnsi" w:cstheme="majorHAnsi"/>
                <w:sz w:val="17"/>
                <w:szCs w:val="17"/>
                <w:lang w:eastAsia="fr-CA"/>
              </w:rPr>
            </w:pPr>
            <w:r w:rsidRPr="003E4FC1">
              <w:rPr>
                <w:rFonts w:asciiTheme="majorHAnsi" w:hAnsiTheme="majorHAnsi" w:cstheme="majorHAnsi"/>
                <w:sz w:val="17"/>
                <w:szCs w:val="17"/>
                <w:lang w:eastAsia="fr-CA"/>
              </w:rPr>
              <w:t>Scheme pipeline dispute resolution mechanism</w:t>
            </w:r>
          </w:p>
        </w:tc>
        <w:tc>
          <w:tcPr>
            <w:tcW w:w="883" w:type="pct"/>
            <w:gridSpan w:val="2"/>
            <w:tcBorders>
              <w:bottom w:val="single" w:sz="4" w:space="0" w:color="auto"/>
            </w:tcBorders>
            <w:shd w:val="clear" w:color="auto" w:fill="FFFFFF" w:themeFill="background1"/>
          </w:tcPr>
          <w:p w14:paraId="56BBFD23" w14:textId="77777777" w:rsidR="009A1E55" w:rsidRPr="003E4FC1" w:rsidRDefault="009A1E55" w:rsidP="00201EFD">
            <w:pPr>
              <w:pStyle w:val="TableBodyText"/>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 xml:space="preserve">Option </w:t>
            </w:r>
            <w:r w:rsidR="002B762D" w:rsidRPr="003E4FC1">
              <w:rPr>
                <w:rFonts w:asciiTheme="majorHAnsi" w:hAnsiTheme="majorHAnsi" w:cstheme="majorHAnsi"/>
                <w:sz w:val="17"/>
                <w:szCs w:val="17"/>
                <w:lang w:eastAsia="fr-CA"/>
              </w:rPr>
              <w:t>A</w:t>
            </w:r>
            <w:r w:rsidRPr="003E4FC1">
              <w:rPr>
                <w:rFonts w:asciiTheme="majorHAnsi" w:hAnsiTheme="majorHAnsi" w:cstheme="majorHAnsi"/>
                <w:sz w:val="17"/>
                <w:szCs w:val="17"/>
                <w:lang w:eastAsia="fr-CA"/>
              </w:rPr>
              <w:t xml:space="preserve">: </w:t>
            </w:r>
            <w:r w:rsidR="00211198" w:rsidRPr="003E4FC1">
              <w:rPr>
                <w:rFonts w:asciiTheme="majorHAnsi" w:hAnsiTheme="majorHAnsi" w:cstheme="majorHAnsi"/>
                <w:sz w:val="17"/>
                <w:szCs w:val="17"/>
                <w:lang w:eastAsia="fr-CA"/>
              </w:rPr>
              <w:t>S</w:t>
            </w:r>
            <w:r w:rsidRPr="003E4FC1">
              <w:rPr>
                <w:rFonts w:asciiTheme="majorHAnsi" w:hAnsiTheme="majorHAnsi" w:cstheme="majorHAnsi"/>
                <w:sz w:val="17"/>
                <w:szCs w:val="17"/>
                <w:lang w:eastAsia="fr-CA"/>
              </w:rPr>
              <w:t>tatus quo</w:t>
            </w:r>
          </w:p>
        </w:tc>
        <w:tc>
          <w:tcPr>
            <w:tcW w:w="3921" w:type="pct"/>
            <w:tcBorders>
              <w:bottom w:val="single" w:sz="4" w:space="0" w:color="auto"/>
            </w:tcBorders>
            <w:shd w:val="clear" w:color="auto" w:fill="FFFFFF" w:themeFill="background1"/>
          </w:tcPr>
          <w:p w14:paraId="04EB1317" w14:textId="77777777" w:rsidR="009A1E55" w:rsidRPr="003E4FC1" w:rsidRDefault="009A1E55" w:rsidP="00201EFD">
            <w:pPr>
              <w:pStyle w:val="TableBullet10"/>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No stakeholders supported the maintenance of the status quo.</w:t>
            </w:r>
          </w:p>
        </w:tc>
      </w:tr>
      <w:tr w:rsidR="009A1E55" w:rsidRPr="003E4FC1" w14:paraId="60FC9A6F" w14:textId="77777777" w:rsidTr="00490822">
        <w:trPr>
          <w:cnfStyle w:val="000000010000" w:firstRow="0" w:lastRow="0" w:firstColumn="0" w:lastColumn="0" w:oddVBand="0" w:evenVBand="0" w:oddHBand="0" w:evenHBand="1" w:firstRowFirstColumn="0" w:firstRowLastColumn="0" w:lastRowFirstColumn="0" w:lastRowLastColumn="0"/>
          <w:cantSplit/>
          <w:trHeight w:val="1118"/>
        </w:trPr>
        <w:tc>
          <w:tcPr>
            <w:tcW w:w="196" w:type="pct"/>
            <w:vMerge/>
            <w:tcBorders>
              <w:bottom w:val="single" w:sz="4" w:space="0" w:color="auto"/>
            </w:tcBorders>
            <w:shd w:val="clear" w:color="auto" w:fill="FFFFFF" w:themeFill="background1"/>
          </w:tcPr>
          <w:p w14:paraId="6DCD65C7" w14:textId="77777777" w:rsidR="009A1E55" w:rsidRPr="003E4FC1" w:rsidRDefault="009A1E55" w:rsidP="00201EFD">
            <w:pPr>
              <w:spacing w:before="20" w:after="20" w:line="252" w:lineRule="auto"/>
              <w:rPr>
                <w:rFonts w:asciiTheme="majorHAnsi" w:hAnsiTheme="majorHAnsi" w:cstheme="majorHAnsi"/>
                <w:bCs/>
                <w:sz w:val="17"/>
                <w:szCs w:val="17"/>
              </w:rPr>
            </w:pPr>
          </w:p>
        </w:tc>
        <w:tc>
          <w:tcPr>
            <w:tcW w:w="883" w:type="pct"/>
            <w:gridSpan w:val="2"/>
            <w:tcBorders>
              <w:bottom w:val="single" w:sz="4" w:space="0" w:color="auto"/>
            </w:tcBorders>
            <w:shd w:val="clear" w:color="auto" w:fill="F2F2F2" w:themeFill="background1" w:themeFillShade="F2"/>
          </w:tcPr>
          <w:p w14:paraId="7BC682D1" w14:textId="77777777" w:rsidR="009A1E55" w:rsidRPr="003E4FC1" w:rsidRDefault="009A1E55" w:rsidP="00201EFD">
            <w:pPr>
              <w:pStyle w:val="TableBodyText"/>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lang w:eastAsia="fr-CA"/>
              </w:rPr>
              <w:t xml:space="preserve">Option </w:t>
            </w:r>
            <w:r w:rsidR="002B762D" w:rsidRPr="003E4FC1">
              <w:rPr>
                <w:rFonts w:asciiTheme="majorHAnsi" w:hAnsiTheme="majorHAnsi" w:cstheme="majorHAnsi"/>
                <w:sz w:val="17"/>
                <w:szCs w:val="17"/>
                <w:lang w:eastAsia="fr-CA"/>
              </w:rPr>
              <w:t>B</w:t>
            </w:r>
            <w:r w:rsidRPr="003E4FC1">
              <w:rPr>
                <w:rFonts w:asciiTheme="majorHAnsi" w:hAnsiTheme="majorHAnsi" w:cstheme="majorHAnsi"/>
                <w:sz w:val="17"/>
                <w:szCs w:val="17"/>
                <w:lang w:eastAsia="fr-CA"/>
              </w:rPr>
              <w:t xml:space="preserve">: Amend the scheme pipeline dispute resolution mechanism  </w:t>
            </w:r>
          </w:p>
        </w:tc>
        <w:tc>
          <w:tcPr>
            <w:tcW w:w="3921" w:type="pct"/>
            <w:tcBorders>
              <w:bottom w:val="single" w:sz="4" w:space="0" w:color="auto"/>
            </w:tcBorders>
            <w:shd w:val="clear" w:color="auto" w:fill="F2F2F2" w:themeFill="background1" w:themeFillShade="F2"/>
          </w:tcPr>
          <w:p w14:paraId="09959220" w14:textId="77777777" w:rsidR="00101825" w:rsidRPr="003E4FC1" w:rsidRDefault="009A1E55" w:rsidP="00101825">
            <w:pPr>
              <w:pStyle w:val="TableBullet10"/>
              <w:spacing w:line="252" w:lineRule="auto"/>
              <w:rPr>
                <w:rFonts w:asciiTheme="majorHAnsi" w:hAnsiTheme="majorHAnsi" w:cstheme="majorHAnsi"/>
                <w:sz w:val="17"/>
                <w:szCs w:val="17"/>
              </w:rPr>
            </w:pPr>
            <w:r w:rsidRPr="003E4FC1">
              <w:rPr>
                <w:rFonts w:asciiTheme="majorHAnsi" w:hAnsiTheme="majorHAnsi" w:cstheme="majorHAnsi"/>
                <w:sz w:val="17"/>
                <w:szCs w:val="17"/>
              </w:rPr>
              <w:t xml:space="preserve">The </w:t>
            </w:r>
            <w:r w:rsidRPr="003E4FC1">
              <w:rPr>
                <w:rFonts w:asciiTheme="majorHAnsi" w:hAnsiTheme="majorHAnsi" w:cstheme="majorHAnsi"/>
                <w:color w:val="3333FF"/>
                <w:sz w:val="17"/>
                <w:szCs w:val="17"/>
              </w:rPr>
              <w:t>EUAA</w:t>
            </w:r>
            <w:r w:rsidRPr="003E4FC1">
              <w:rPr>
                <w:rFonts w:asciiTheme="majorHAnsi" w:hAnsiTheme="majorHAnsi" w:cstheme="majorHAnsi"/>
                <w:sz w:val="17"/>
                <w:szCs w:val="17"/>
              </w:rPr>
              <w:t xml:space="preserve">, </w:t>
            </w:r>
            <w:r w:rsidRPr="003E4FC1">
              <w:rPr>
                <w:rFonts w:asciiTheme="majorHAnsi" w:hAnsiTheme="majorHAnsi" w:cstheme="majorHAnsi"/>
                <w:color w:val="3333FF"/>
                <w:sz w:val="17"/>
                <w:szCs w:val="17"/>
              </w:rPr>
              <w:t>NSW BC, Chemistry Australia</w:t>
            </w:r>
            <w:r w:rsidRPr="003E4FC1">
              <w:rPr>
                <w:rFonts w:asciiTheme="majorHAnsi" w:hAnsiTheme="majorHAnsi" w:cstheme="majorHAnsi"/>
                <w:sz w:val="17"/>
                <w:szCs w:val="17"/>
              </w:rPr>
              <w:t xml:space="preserve">, </w:t>
            </w:r>
            <w:r w:rsidRPr="003E4FC1">
              <w:rPr>
                <w:rFonts w:asciiTheme="majorHAnsi" w:hAnsiTheme="majorHAnsi" w:cstheme="majorHAnsi"/>
                <w:color w:val="CC0066"/>
                <w:sz w:val="17"/>
                <w:szCs w:val="17"/>
              </w:rPr>
              <w:t xml:space="preserve">COPA </w:t>
            </w:r>
            <w:r w:rsidRPr="003E4FC1">
              <w:rPr>
                <w:rFonts w:asciiTheme="majorHAnsi" w:hAnsiTheme="majorHAnsi" w:cstheme="majorHAnsi"/>
                <w:sz w:val="17"/>
                <w:szCs w:val="17"/>
              </w:rPr>
              <w:t xml:space="preserve">and </w:t>
            </w:r>
            <w:r w:rsidR="001855BC" w:rsidRPr="003E4FC1">
              <w:rPr>
                <w:rFonts w:asciiTheme="majorHAnsi" w:hAnsiTheme="majorHAnsi" w:cstheme="majorHAnsi"/>
                <w:color w:val="7030A0"/>
                <w:sz w:val="17"/>
                <w:szCs w:val="17"/>
              </w:rPr>
              <w:t xml:space="preserve">AGIG </w:t>
            </w:r>
            <w:r w:rsidRPr="003E4FC1">
              <w:rPr>
                <w:rFonts w:asciiTheme="majorHAnsi" w:hAnsiTheme="majorHAnsi" w:cstheme="majorHAnsi"/>
                <w:sz w:val="17"/>
                <w:szCs w:val="17"/>
              </w:rPr>
              <w:t xml:space="preserve">agreed with all of the proposed changes to </w:t>
            </w:r>
            <w:r w:rsidR="00A71837" w:rsidRPr="003E4FC1">
              <w:rPr>
                <w:rFonts w:asciiTheme="majorHAnsi" w:hAnsiTheme="majorHAnsi" w:cstheme="majorHAnsi"/>
                <w:sz w:val="17"/>
                <w:szCs w:val="17"/>
              </w:rPr>
              <w:t xml:space="preserve">this </w:t>
            </w:r>
            <w:r w:rsidRPr="003E4FC1">
              <w:rPr>
                <w:rFonts w:asciiTheme="majorHAnsi" w:hAnsiTheme="majorHAnsi" w:cstheme="majorHAnsi"/>
                <w:sz w:val="17"/>
                <w:szCs w:val="17"/>
              </w:rPr>
              <w:t xml:space="preserve">dispute resolution mechanism. </w:t>
            </w:r>
            <w:r w:rsidR="00101825" w:rsidRPr="003E4FC1">
              <w:rPr>
                <w:rFonts w:asciiTheme="majorHAnsi" w:hAnsiTheme="majorHAnsi" w:cstheme="majorHAnsi"/>
                <w:color w:val="7030A0"/>
                <w:sz w:val="17"/>
                <w:szCs w:val="17"/>
              </w:rPr>
              <w:t xml:space="preserve">APGA </w:t>
            </w:r>
            <w:r w:rsidR="00101825" w:rsidRPr="003E4FC1">
              <w:rPr>
                <w:rFonts w:asciiTheme="majorHAnsi" w:hAnsiTheme="majorHAnsi" w:cstheme="majorHAnsi"/>
                <w:sz w:val="17"/>
                <w:szCs w:val="17"/>
              </w:rPr>
              <w:t xml:space="preserve">also agreed more guidance could be provided on timeframes and the role and appointment process for the dispute resolution expert. </w:t>
            </w:r>
          </w:p>
          <w:p w14:paraId="4A139564" w14:textId="77777777" w:rsidR="009A1E55" w:rsidRPr="003E4FC1" w:rsidRDefault="009A1E55" w:rsidP="00201EFD">
            <w:pPr>
              <w:pStyle w:val="TableBullet10"/>
              <w:spacing w:before="20" w:after="20" w:line="252" w:lineRule="auto"/>
              <w:rPr>
                <w:rFonts w:asciiTheme="majorHAnsi" w:hAnsiTheme="majorHAnsi" w:cstheme="majorHAnsi"/>
                <w:sz w:val="17"/>
                <w:szCs w:val="17"/>
                <w:lang w:eastAsia="fr-CA"/>
              </w:rPr>
            </w:pPr>
            <w:r w:rsidRPr="003E4FC1">
              <w:rPr>
                <w:rFonts w:asciiTheme="majorHAnsi" w:hAnsiTheme="majorHAnsi" w:cstheme="majorHAnsi"/>
                <w:sz w:val="17"/>
                <w:szCs w:val="17"/>
              </w:rPr>
              <w:t xml:space="preserve">The </w:t>
            </w:r>
            <w:r w:rsidRPr="003E4FC1">
              <w:rPr>
                <w:rFonts w:asciiTheme="majorHAnsi" w:hAnsiTheme="majorHAnsi" w:cstheme="majorHAnsi"/>
                <w:color w:val="FF0000"/>
                <w:sz w:val="17"/>
                <w:szCs w:val="17"/>
              </w:rPr>
              <w:t xml:space="preserve">ACCC </w:t>
            </w:r>
            <w:r w:rsidRPr="003E4FC1">
              <w:rPr>
                <w:rFonts w:asciiTheme="majorHAnsi" w:hAnsiTheme="majorHAnsi" w:cstheme="majorHAnsi"/>
                <w:sz w:val="17"/>
                <w:szCs w:val="17"/>
              </w:rPr>
              <w:t>agreed with all the proposed changes except the fast-track process</w:t>
            </w:r>
            <w:r w:rsidR="006E55F5" w:rsidRPr="003E4FC1">
              <w:rPr>
                <w:rFonts w:asciiTheme="majorHAnsi" w:hAnsiTheme="majorHAnsi" w:cstheme="majorHAnsi"/>
                <w:sz w:val="17"/>
                <w:szCs w:val="17"/>
              </w:rPr>
              <w:t>, noting that</w:t>
            </w:r>
            <w:r w:rsidR="00417638" w:rsidRPr="003E4FC1">
              <w:rPr>
                <w:rFonts w:asciiTheme="majorHAnsi" w:hAnsiTheme="majorHAnsi" w:cstheme="majorHAnsi"/>
                <w:sz w:val="17"/>
                <w:szCs w:val="17"/>
              </w:rPr>
              <w:t xml:space="preserve"> in its </w:t>
            </w:r>
            <w:r w:rsidRPr="003E4FC1">
              <w:rPr>
                <w:rFonts w:asciiTheme="majorHAnsi" w:hAnsiTheme="majorHAnsi" w:cstheme="majorHAnsi"/>
                <w:sz w:val="17"/>
                <w:szCs w:val="17"/>
              </w:rPr>
              <w:t>experience it is not possible for a regulator to resolve dispute</w:t>
            </w:r>
            <w:r w:rsidR="00417638" w:rsidRPr="003E4FC1">
              <w:rPr>
                <w:rFonts w:asciiTheme="majorHAnsi" w:hAnsiTheme="majorHAnsi" w:cstheme="majorHAnsi"/>
                <w:sz w:val="17"/>
                <w:szCs w:val="17"/>
              </w:rPr>
              <w:t>s</w:t>
            </w:r>
            <w:r w:rsidRPr="003E4FC1">
              <w:rPr>
                <w:rFonts w:asciiTheme="majorHAnsi" w:hAnsiTheme="majorHAnsi" w:cstheme="majorHAnsi"/>
                <w:sz w:val="17"/>
                <w:szCs w:val="17"/>
              </w:rPr>
              <w:t xml:space="preserve"> in </w:t>
            </w:r>
            <w:r w:rsidR="00A71837" w:rsidRPr="003E4FC1">
              <w:rPr>
                <w:rFonts w:asciiTheme="majorHAnsi" w:hAnsiTheme="majorHAnsi" w:cstheme="majorHAnsi"/>
                <w:sz w:val="17"/>
                <w:szCs w:val="17"/>
              </w:rPr>
              <w:t xml:space="preserve">such </w:t>
            </w:r>
            <w:r w:rsidRPr="003E4FC1">
              <w:rPr>
                <w:rFonts w:asciiTheme="majorHAnsi" w:hAnsiTheme="majorHAnsi" w:cstheme="majorHAnsi"/>
                <w:sz w:val="17"/>
                <w:szCs w:val="17"/>
              </w:rPr>
              <w:t xml:space="preserve">a short period of time. The ACCC suggested a better solution </w:t>
            </w:r>
            <w:r w:rsidR="00811CA2" w:rsidRPr="003E4FC1">
              <w:rPr>
                <w:rFonts w:asciiTheme="majorHAnsi" w:hAnsiTheme="majorHAnsi" w:cstheme="majorHAnsi"/>
                <w:sz w:val="17"/>
                <w:szCs w:val="17"/>
              </w:rPr>
              <w:t xml:space="preserve">was </w:t>
            </w:r>
            <w:r w:rsidRPr="003E4FC1">
              <w:rPr>
                <w:rFonts w:asciiTheme="majorHAnsi" w:hAnsiTheme="majorHAnsi" w:cstheme="majorHAnsi"/>
                <w:sz w:val="17"/>
                <w:szCs w:val="17"/>
              </w:rPr>
              <w:t xml:space="preserve">to specify </w:t>
            </w:r>
            <w:r w:rsidR="00811CA2" w:rsidRPr="003E4FC1">
              <w:rPr>
                <w:rFonts w:asciiTheme="majorHAnsi" w:hAnsiTheme="majorHAnsi" w:cstheme="majorHAnsi"/>
                <w:sz w:val="17"/>
                <w:szCs w:val="17"/>
              </w:rPr>
              <w:t xml:space="preserve">a </w:t>
            </w:r>
            <w:r w:rsidRPr="003E4FC1">
              <w:rPr>
                <w:rFonts w:asciiTheme="majorHAnsi" w:hAnsiTheme="majorHAnsi" w:cstheme="majorHAnsi"/>
                <w:sz w:val="17"/>
                <w:szCs w:val="17"/>
              </w:rPr>
              <w:t xml:space="preserve">maximum </w:t>
            </w:r>
            <w:r w:rsidR="00811CA2" w:rsidRPr="003E4FC1">
              <w:rPr>
                <w:rFonts w:asciiTheme="majorHAnsi" w:hAnsiTheme="majorHAnsi" w:cstheme="majorHAnsi"/>
                <w:sz w:val="17"/>
                <w:szCs w:val="17"/>
              </w:rPr>
              <w:t xml:space="preserve">decision </w:t>
            </w:r>
            <w:r w:rsidRPr="003E4FC1">
              <w:rPr>
                <w:rFonts w:asciiTheme="majorHAnsi" w:hAnsiTheme="majorHAnsi" w:cstheme="majorHAnsi"/>
                <w:sz w:val="17"/>
                <w:szCs w:val="17"/>
              </w:rPr>
              <w:t>time for all disputes.</w:t>
            </w:r>
          </w:p>
          <w:p w14:paraId="6C56E6E8" w14:textId="20CF9711" w:rsidR="009A1E55" w:rsidRPr="003E4FC1" w:rsidRDefault="009A1E55" w:rsidP="00201EFD">
            <w:pPr>
              <w:pStyle w:val="TableBullet10"/>
              <w:spacing w:line="252" w:lineRule="auto"/>
              <w:rPr>
                <w:rFonts w:asciiTheme="majorHAnsi" w:hAnsiTheme="majorHAnsi" w:cstheme="majorHAnsi"/>
                <w:sz w:val="17"/>
                <w:szCs w:val="17"/>
              </w:rPr>
            </w:pPr>
            <w:r w:rsidRPr="003E4FC1">
              <w:rPr>
                <w:rFonts w:asciiTheme="majorHAnsi" w:hAnsiTheme="majorHAnsi" w:cstheme="majorHAnsi"/>
                <w:color w:val="7030A0"/>
                <w:sz w:val="17"/>
                <w:szCs w:val="17"/>
              </w:rPr>
              <w:t xml:space="preserve">APA </w:t>
            </w:r>
            <w:r w:rsidRPr="003E4FC1">
              <w:rPr>
                <w:rFonts w:asciiTheme="majorHAnsi" w:hAnsiTheme="majorHAnsi" w:cstheme="majorHAnsi"/>
                <w:sz w:val="17"/>
                <w:szCs w:val="17"/>
              </w:rPr>
              <w:t>agreed with the proposals to require the dispute resolution body to have regard to the pricing principles in Part 9 of the NGR and to adopt a fast-track option, but did not agree with the proposal to publish information on the outcome of the arbitration</w:t>
            </w:r>
            <w:r w:rsidR="003E4462" w:rsidRPr="003E4FC1">
              <w:rPr>
                <w:rFonts w:asciiTheme="majorHAnsi" w:hAnsiTheme="majorHAnsi" w:cstheme="majorHAnsi"/>
                <w:sz w:val="17"/>
                <w:szCs w:val="17"/>
              </w:rPr>
              <w:t xml:space="preserve"> because it was concerned about confidentiality</w:t>
            </w:r>
            <w:r w:rsidRPr="003E4FC1">
              <w:rPr>
                <w:rFonts w:asciiTheme="majorHAnsi" w:hAnsiTheme="majorHAnsi" w:cstheme="majorHAnsi"/>
                <w:sz w:val="17"/>
                <w:szCs w:val="17"/>
              </w:rPr>
              <w:t>.</w:t>
            </w:r>
            <w:r w:rsidR="00370905">
              <w:rPr>
                <w:rFonts w:ascii="ZWAdobeF" w:hAnsi="ZWAdobeF" w:cs="ZWAdobeF"/>
                <w:sz w:val="2"/>
                <w:szCs w:val="2"/>
              </w:rPr>
              <w:t>167F</w:t>
            </w:r>
            <w:r w:rsidR="003E4462" w:rsidRPr="003E4FC1">
              <w:rPr>
                <w:rStyle w:val="FootnoteReference"/>
                <w:rFonts w:asciiTheme="majorHAnsi" w:hAnsiTheme="majorHAnsi" w:cstheme="majorHAnsi"/>
                <w:sz w:val="17"/>
                <w:szCs w:val="17"/>
              </w:rPr>
              <w:footnoteReference w:id="169"/>
            </w:r>
          </w:p>
          <w:p w14:paraId="5CE53A5B" w14:textId="77777777" w:rsidR="009A1E55" w:rsidRPr="003E4FC1" w:rsidRDefault="009A1E55" w:rsidP="00201EFD">
            <w:pPr>
              <w:pStyle w:val="TableBullet10"/>
              <w:spacing w:before="20" w:after="20" w:line="252" w:lineRule="auto"/>
              <w:rPr>
                <w:rFonts w:asciiTheme="majorHAnsi" w:hAnsiTheme="majorHAnsi" w:cstheme="majorHAnsi"/>
                <w:sz w:val="17"/>
                <w:szCs w:val="17"/>
                <w:lang w:eastAsia="fr-CA"/>
              </w:rPr>
            </w:pPr>
            <w:r w:rsidRPr="003E4FC1">
              <w:rPr>
                <w:rFonts w:asciiTheme="majorHAnsi" w:hAnsiTheme="majorHAnsi" w:cstheme="majorHAnsi"/>
                <w:color w:val="00B0F0"/>
                <w:sz w:val="17"/>
                <w:szCs w:val="17"/>
              </w:rPr>
              <w:t xml:space="preserve">Origin </w:t>
            </w:r>
            <w:r w:rsidRPr="003E4FC1">
              <w:rPr>
                <w:rFonts w:asciiTheme="majorHAnsi" w:hAnsiTheme="majorHAnsi" w:cstheme="majorHAnsi"/>
                <w:sz w:val="17"/>
                <w:szCs w:val="17"/>
              </w:rPr>
              <w:t xml:space="preserve">and </w:t>
            </w:r>
            <w:r w:rsidRPr="003E4FC1">
              <w:rPr>
                <w:rFonts w:asciiTheme="majorHAnsi" w:hAnsiTheme="majorHAnsi" w:cstheme="majorHAnsi"/>
                <w:color w:val="CC0066"/>
                <w:sz w:val="17"/>
                <w:szCs w:val="17"/>
              </w:rPr>
              <w:t xml:space="preserve">APLNG </w:t>
            </w:r>
            <w:r w:rsidR="008C58DB" w:rsidRPr="003E4FC1">
              <w:rPr>
                <w:rFonts w:asciiTheme="majorHAnsi" w:hAnsiTheme="majorHAnsi" w:cstheme="majorHAnsi"/>
                <w:sz w:val="17"/>
                <w:szCs w:val="17"/>
              </w:rPr>
              <w:t xml:space="preserve">supported the proposal that an arbitrator’s </w:t>
            </w:r>
            <w:r w:rsidRPr="003E4FC1">
              <w:rPr>
                <w:rFonts w:asciiTheme="majorHAnsi" w:hAnsiTheme="majorHAnsi" w:cstheme="majorHAnsi"/>
                <w:sz w:val="17"/>
                <w:szCs w:val="17"/>
              </w:rPr>
              <w:t xml:space="preserve">decision should only be binding if the shipper decides to enter into the contract that reflects the access determination. In doing so, they noted the current approach could undermine the credibility of the threat of arbitration because shippers may avoid arbitration if there is a possibility they will be forced to take access on terms that cause financial distress. </w:t>
            </w:r>
            <w:r w:rsidRPr="003E4FC1">
              <w:rPr>
                <w:rFonts w:asciiTheme="majorHAnsi" w:hAnsiTheme="majorHAnsi" w:cstheme="majorHAnsi"/>
                <w:color w:val="7030A0"/>
                <w:sz w:val="17"/>
                <w:szCs w:val="17"/>
              </w:rPr>
              <w:t>TGP</w:t>
            </w:r>
            <w:r w:rsidRPr="003E4FC1">
              <w:rPr>
                <w:rFonts w:asciiTheme="majorHAnsi" w:hAnsiTheme="majorHAnsi" w:cstheme="majorHAnsi"/>
                <w:sz w:val="17"/>
                <w:szCs w:val="17"/>
              </w:rPr>
              <w:t xml:space="preserve">, on the other hand, noted this </w:t>
            </w:r>
            <w:r w:rsidR="008C58DB" w:rsidRPr="003E4FC1">
              <w:rPr>
                <w:rFonts w:asciiTheme="majorHAnsi" w:hAnsiTheme="majorHAnsi" w:cstheme="majorHAnsi"/>
                <w:sz w:val="17"/>
                <w:szCs w:val="17"/>
              </w:rPr>
              <w:t xml:space="preserve">could “encourage ambit claims” because it </w:t>
            </w:r>
            <w:r w:rsidRPr="003E4FC1">
              <w:rPr>
                <w:rFonts w:asciiTheme="majorHAnsi" w:hAnsiTheme="majorHAnsi" w:cstheme="majorHAnsi"/>
                <w:sz w:val="17"/>
                <w:szCs w:val="17"/>
              </w:rPr>
              <w:t>gives shippers a “free option if there is spare capacity”.</w:t>
            </w:r>
          </w:p>
        </w:tc>
      </w:tr>
    </w:tbl>
    <w:p w14:paraId="55BD8B4F" w14:textId="77777777" w:rsidR="00612702" w:rsidRDefault="00612702" w:rsidP="00CF688C">
      <w:pPr>
        <w:pStyle w:val="Heading3"/>
        <w:sectPr w:rsidR="00612702" w:rsidSect="00C84A67">
          <w:pgSz w:w="16839" w:h="11907" w:orient="landscape" w:code="9"/>
          <w:pgMar w:top="1361" w:right="1418" w:bottom="709" w:left="1701" w:header="567" w:footer="397" w:gutter="0"/>
          <w:cols w:space="708"/>
          <w:docGrid w:linePitch="360"/>
        </w:sectPr>
      </w:pPr>
    </w:p>
    <w:p w14:paraId="6396409F" w14:textId="77777777" w:rsidR="00753C41" w:rsidRDefault="00753C41" w:rsidP="00D45D56">
      <w:pPr>
        <w:pStyle w:val="Heading3"/>
        <w:spacing w:after="120"/>
      </w:pPr>
      <w:r>
        <w:lastRenderedPageBreak/>
        <w:t xml:space="preserve">Assessment of the feedback </w:t>
      </w:r>
      <w:r w:rsidR="004C767F">
        <w:t>and how it has been accounted for in the reform options</w:t>
      </w:r>
    </w:p>
    <w:p w14:paraId="1639F552" w14:textId="53B06F32" w:rsidR="00A51904" w:rsidRDefault="00EC36B2" w:rsidP="00D45D56">
      <w:pPr>
        <w:pStyle w:val="BodyText"/>
        <w:spacing w:before="120"/>
      </w:pPr>
      <w:r w:rsidRPr="00110484">
        <w:t xml:space="preserve">As </w:t>
      </w:r>
      <w:r w:rsidR="00753C41">
        <w:fldChar w:fldCharType="begin" w:fldLock="1"/>
      </w:r>
      <w:r w:rsidR="00753C41">
        <w:instrText xml:space="preserve"> REF _Ref52943655 \h </w:instrText>
      </w:r>
      <w:r w:rsidR="00753C41">
        <w:fldChar w:fldCharType="separate"/>
      </w:r>
      <w:r w:rsidR="00036405">
        <w:t xml:space="preserve">Table </w:t>
      </w:r>
      <w:r w:rsidR="00036405">
        <w:rPr>
          <w:noProof/>
        </w:rPr>
        <w:t>7</w:t>
      </w:r>
      <w:r w:rsidR="00036405">
        <w:t>.</w:t>
      </w:r>
      <w:r w:rsidR="00036405">
        <w:rPr>
          <w:noProof/>
        </w:rPr>
        <w:t>4</w:t>
      </w:r>
      <w:r w:rsidR="00753C41">
        <w:fldChar w:fldCharType="end"/>
      </w:r>
      <w:r w:rsidR="00753C41">
        <w:t xml:space="preserve"> </w:t>
      </w:r>
      <w:r w:rsidRPr="00110484">
        <w:t>reveals</w:t>
      </w:r>
      <w:r w:rsidR="009B3EDB" w:rsidRPr="00110484">
        <w:t xml:space="preserve">, </w:t>
      </w:r>
      <w:r w:rsidR="002C73F9" w:rsidRPr="00110484">
        <w:t>t</w:t>
      </w:r>
      <w:r w:rsidR="008C159A" w:rsidRPr="00110484">
        <w:t xml:space="preserve">he majority of stakeholders, including some of those service providers that did not think having multiple negotiation frameworks was a problem (or not a significant problem) supported </w:t>
      </w:r>
      <w:r w:rsidRPr="00110484">
        <w:t>the adoption of a single negotiation framework</w:t>
      </w:r>
      <w:r w:rsidR="008C159A" w:rsidRPr="00110484">
        <w:t xml:space="preserve"> that would apply under all forms of regulation</w:t>
      </w:r>
      <w:r w:rsidR="00CF2DAB" w:rsidRPr="00110484">
        <w:t xml:space="preserve">. Most of these stakeholders </w:t>
      </w:r>
      <w:r w:rsidR="00127580" w:rsidRPr="00110484">
        <w:t xml:space="preserve">thought </w:t>
      </w:r>
      <w:r w:rsidR="00CF2DAB" w:rsidRPr="00110484">
        <w:t xml:space="preserve">the </w:t>
      </w:r>
      <w:r w:rsidR="00127580" w:rsidRPr="00110484">
        <w:t>framework should be based on a hybrid of the two existing</w:t>
      </w:r>
      <w:r w:rsidR="00127580">
        <w:t xml:space="preserve"> </w:t>
      </w:r>
      <w:r w:rsidR="00CF2DAB">
        <w:t>negotiation framework</w:t>
      </w:r>
      <w:r w:rsidR="00127580">
        <w:t>s</w:t>
      </w:r>
      <w:r w:rsidR="006E20DF">
        <w:t xml:space="preserve">. A large number also supported the retention of the preliminary enquiry process, although some </w:t>
      </w:r>
      <w:r w:rsidR="007A40D5">
        <w:t xml:space="preserve">stakeholders </w:t>
      </w:r>
      <w:r w:rsidR="006E20DF">
        <w:t xml:space="preserve">acknowledged that changes were required to address the concerns the ACCC has previously raised about </w:t>
      </w:r>
      <w:r w:rsidR="00E80AF2">
        <w:t xml:space="preserve">the potential for this process to be used to delay access to arbitration </w:t>
      </w:r>
      <w:r w:rsidR="009701D2">
        <w:t xml:space="preserve">and to avoid the rules regarding </w:t>
      </w:r>
      <w:r w:rsidR="00DA02B2">
        <w:t xml:space="preserve">service provider </w:t>
      </w:r>
      <w:r w:rsidR="009701D2">
        <w:t>response times</w:t>
      </w:r>
      <w:r w:rsidR="0074156D">
        <w:t xml:space="preserve">. </w:t>
      </w:r>
      <w:r w:rsidR="00CF2DAB">
        <w:t xml:space="preserve"> </w:t>
      </w:r>
    </w:p>
    <w:p w14:paraId="4885114C" w14:textId="77777777" w:rsidR="00520FA3" w:rsidRDefault="006D731C" w:rsidP="00A51904">
      <w:pPr>
        <w:pStyle w:val="BodyText"/>
      </w:pPr>
      <w:r>
        <w:t xml:space="preserve">The majority of stakeholders also supported </w:t>
      </w:r>
      <w:r w:rsidR="00812D10">
        <w:t xml:space="preserve">the adoption of </w:t>
      </w:r>
      <w:r w:rsidR="006F6B21">
        <w:t xml:space="preserve">measures to improve the credibility of the threat of arbitration </w:t>
      </w:r>
      <w:r w:rsidR="00382E85">
        <w:t xml:space="preserve">by smaller shippers, with most </w:t>
      </w:r>
      <w:r w:rsidR="00500B38">
        <w:t xml:space="preserve">of these </w:t>
      </w:r>
      <w:r w:rsidR="00382E85">
        <w:t xml:space="preserve">stakeholders agreeing the cost provisions should be amended and a large number also supporting the proposal to allow </w:t>
      </w:r>
      <w:r w:rsidR="0089126E">
        <w:t xml:space="preserve">user associations to intervene. </w:t>
      </w:r>
      <w:r w:rsidR="00500B38">
        <w:t xml:space="preserve">Stakeholders were, however, more divided on whether the </w:t>
      </w:r>
      <w:r w:rsidR="00FA20B4">
        <w:t xml:space="preserve">relevant </w:t>
      </w:r>
      <w:r w:rsidR="00500B38">
        <w:t xml:space="preserve">regulator should act as arbitrator </w:t>
      </w:r>
      <w:r w:rsidR="00FA20B4">
        <w:t>in disputes involving smaller shippers under the lighter form of regulation</w:t>
      </w:r>
      <w:r w:rsidR="00063BCA">
        <w:t xml:space="preserve">. </w:t>
      </w:r>
    </w:p>
    <w:p w14:paraId="33F56787" w14:textId="77777777" w:rsidR="0074156D" w:rsidRDefault="00A92C88" w:rsidP="00A51904">
      <w:pPr>
        <w:pStyle w:val="BodyText"/>
      </w:pPr>
      <w:r>
        <w:t xml:space="preserve">As to the </w:t>
      </w:r>
      <w:r w:rsidR="00763FCE">
        <w:t>scheme pipeline dispute resolution mechanism</w:t>
      </w:r>
      <w:r>
        <w:t>, there was universal support</w:t>
      </w:r>
      <w:r w:rsidR="00763FCE">
        <w:t xml:space="preserve"> </w:t>
      </w:r>
      <w:r w:rsidR="00762278">
        <w:t>to improve the credibility of the threat of arbitration and the efficiency of this mechanism</w:t>
      </w:r>
      <w:r w:rsidR="00050ADA">
        <w:t xml:space="preserve">, </w:t>
      </w:r>
      <w:r w:rsidR="004F0CEE">
        <w:t xml:space="preserve">but </w:t>
      </w:r>
      <w:r w:rsidR="00050ADA">
        <w:t xml:space="preserve">mixed views were </w:t>
      </w:r>
      <w:r w:rsidR="006B5D39">
        <w:t>expressed on some of the proposed amendments (e.g. the fast track provisions</w:t>
      </w:r>
      <w:r w:rsidR="00316189">
        <w:t xml:space="preserve"> and </w:t>
      </w:r>
      <w:r w:rsidR="00110484">
        <w:t xml:space="preserve">the binding nature of </w:t>
      </w:r>
      <w:r w:rsidR="00DC109F">
        <w:t xml:space="preserve">the arbitrator’s </w:t>
      </w:r>
      <w:r w:rsidR="00110484">
        <w:t>determination)</w:t>
      </w:r>
      <w:r w:rsidR="006B5D39">
        <w:t xml:space="preserve">. </w:t>
      </w:r>
    </w:p>
    <w:p w14:paraId="6891747E" w14:textId="77777777" w:rsidR="00A01B62" w:rsidRDefault="00A01B62" w:rsidP="00A01B62">
      <w:pPr>
        <w:pStyle w:val="BodyText"/>
      </w:pPr>
      <w:r>
        <w:t xml:space="preserve">Given the diversity of views expressed on some of these issues, further consideration has been given to the issues raised by stakeholders and the extent to which they should be reflected in two alternative reform options that have been developed to reflect the outcomes of stakeholder feedback: Option 3A and Option 3B. In doing so, consideration has been given to: </w:t>
      </w:r>
    </w:p>
    <w:p w14:paraId="2F2EE66F" w14:textId="431CE771" w:rsidR="00A01B62" w:rsidRDefault="00A01B62" w:rsidP="00AD36B8">
      <w:pPr>
        <w:pStyle w:val="ListBullet"/>
      </w:pPr>
      <w:r>
        <w:t xml:space="preserve">the problems that have been identified with this aspect of the regulatory framework (see section </w:t>
      </w:r>
      <w:r>
        <w:fldChar w:fldCharType="begin" w:fldLock="1"/>
      </w:r>
      <w:r>
        <w:instrText xml:space="preserve"> REF _Ref60387364 \r \h </w:instrText>
      </w:r>
      <w:r>
        <w:fldChar w:fldCharType="separate"/>
      </w:r>
      <w:r w:rsidR="00036405">
        <w:t>7.2.3</w:t>
      </w:r>
      <w:r>
        <w:fldChar w:fldCharType="end"/>
      </w:r>
      <w:r>
        <w:t>); and</w:t>
      </w:r>
    </w:p>
    <w:p w14:paraId="354AEFF0" w14:textId="77777777" w:rsidR="00A01B62" w:rsidRDefault="00A01B62" w:rsidP="00AD36B8">
      <w:pPr>
        <w:pStyle w:val="ListBullet"/>
      </w:pPr>
      <w:r>
        <w:t xml:space="preserve">the objectives of Energy National Cabinet Reform Committee action (see section 3.2). </w:t>
      </w:r>
    </w:p>
    <w:p w14:paraId="16E3AC32" w14:textId="01D6CE10" w:rsidR="00A01B62" w:rsidRDefault="00A01B62" w:rsidP="00A01B62">
      <w:pPr>
        <w:pStyle w:val="BodyText"/>
        <w:spacing w:before="60" w:after="0"/>
      </w:pPr>
      <w:r w:rsidRPr="008F1132">
        <w:t xml:space="preserve">The results of this consideration </w:t>
      </w:r>
      <w:r>
        <w:t xml:space="preserve">are set out in </w:t>
      </w:r>
      <w:r>
        <w:fldChar w:fldCharType="begin" w:fldLock="1"/>
      </w:r>
      <w:r>
        <w:instrText xml:space="preserve"> REF _Ref60218764 \h </w:instrText>
      </w:r>
      <w:r>
        <w:fldChar w:fldCharType="separate"/>
      </w:r>
      <w:r w:rsidR="00036405" w:rsidRPr="008F1132">
        <w:rPr>
          <w:rFonts w:cs="Arial"/>
        </w:rPr>
        <w:t xml:space="preserve">Table </w:t>
      </w:r>
      <w:r w:rsidR="00036405">
        <w:rPr>
          <w:rFonts w:cs="Arial"/>
          <w:noProof/>
        </w:rPr>
        <w:t>7</w:t>
      </w:r>
      <w:r w:rsidR="00036405" w:rsidRPr="008F1132">
        <w:rPr>
          <w:rFonts w:cs="Arial"/>
        </w:rPr>
        <w:t>.</w:t>
      </w:r>
      <w:r w:rsidR="00036405">
        <w:rPr>
          <w:rFonts w:cs="Arial"/>
          <w:noProof/>
        </w:rPr>
        <w:t>5</w:t>
      </w:r>
      <w:r>
        <w:fldChar w:fldCharType="end"/>
      </w:r>
      <w:r>
        <w:t xml:space="preserve">, which also sets out how the feedback has been taken into account in options 3A and 3B. </w:t>
      </w:r>
    </w:p>
    <w:p w14:paraId="3751C41F" w14:textId="77777777" w:rsidR="001935CC" w:rsidRDefault="001935CC" w:rsidP="001511C2">
      <w:pPr>
        <w:pStyle w:val="BodyText"/>
        <w:spacing w:before="0"/>
      </w:pPr>
    </w:p>
    <w:p w14:paraId="56DD9773" w14:textId="77777777" w:rsidR="001935CC" w:rsidRDefault="001935CC" w:rsidP="001511C2">
      <w:pPr>
        <w:pStyle w:val="BodyText"/>
        <w:spacing w:before="0"/>
      </w:pPr>
    </w:p>
    <w:p w14:paraId="0E080DD7" w14:textId="77777777" w:rsidR="00BA221F" w:rsidRDefault="00BA221F" w:rsidP="001511C2">
      <w:pPr>
        <w:pStyle w:val="BodyText"/>
        <w:spacing w:before="0"/>
        <w:sectPr w:rsidR="00BA221F" w:rsidSect="00855DD0">
          <w:headerReference w:type="default" r:id="rId70"/>
          <w:footerReference w:type="default" r:id="rId71"/>
          <w:pgSz w:w="11907" w:h="16839" w:code="9"/>
          <w:pgMar w:top="1361" w:right="1418" w:bottom="992" w:left="1701" w:header="567" w:footer="397" w:gutter="0"/>
          <w:cols w:space="708"/>
          <w:docGrid w:linePitch="360"/>
        </w:sectPr>
      </w:pPr>
    </w:p>
    <w:p w14:paraId="6607BCA2" w14:textId="422E7EA8" w:rsidR="0023428B" w:rsidRPr="008F1132" w:rsidDel="00E200E0" w:rsidRDefault="0023428B" w:rsidP="0023428B">
      <w:pPr>
        <w:pStyle w:val="Caption"/>
        <w:spacing w:before="120" w:after="0"/>
        <w:rPr>
          <w:rFonts w:cs="Arial"/>
        </w:rPr>
      </w:pPr>
      <w:bookmarkStart w:id="173" w:name="_Ref60218764"/>
      <w:r w:rsidRPr="008F1132">
        <w:rPr>
          <w:rFonts w:cs="Arial"/>
        </w:rPr>
        <w:lastRenderedPageBreak/>
        <w:t xml:space="preserve">Table </w:t>
      </w:r>
      <w:r w:rsidRPr="008F1132">
        <w:rPr>
          <w:rFonts w:cs="Arial"/>
        </w:rPr>
        <w:fldChar w:fldCharType="begin" w:fldLock="1"/>
      </w:r>
      <w:r w:rsidRPr="008F1132">
        <w:rPr>
          <w:rFonts w:cs="Arial"/>
        </w:rPr>
        <w:instrText xml:space="preserve"> STYLEREF 1 \s </w:instrText>
      </w:r>
      <w:r w:rsidRPr="008F1132">
        <w:rPr>
          <w:rFonts w:cs="Arial"/>
        </w:rPr>
        <w:fldChar w:fldCharType="separate"/>
      </w:r>
      <w:r w:rsidR="00036405">
        <w:rPr>
          <w:rFonts w:cs="Arial"/>
          <w:noProof/>
        </w:rPr>
        <w:t>7</w:t>
      </w:r>
      <w:r w:rsidRPr="008F1132">
        <w:rPr>
          <w:rFonts w:cs="Arial"/>
          <w:noProof/>
        </w:rPr>
        <w:fldChar w:fldCharType="end"/>
      </w:r>
      <w:r w:rsidRPr="008F1132">
        <w:rPr>
          <w:rFonts w:cs="Arial"/>
        </w:rPr>
        <w:t>.</w:t>
      </w:r>
      <w:r w:rsidRPr="008F1132">
        <w:rPr>
          <w:rFonts w:cs="Arial"/>
        </w:rPr>
        <w:fldChar w:fldCharType="begin"/>
      </w:r>
      <w:r w:rsidRPr="008F1132">
        <w:rPr>
          <w:rFonts w:cs="Arial"/>
        </w:rPr>
        <w:instrText xml:space="preserve"> SEQ Table \* ARABIC \s 1 </w:instrText>
      </w:r>
      <w:r w:rsidRPr="008F1132">
        <w:rPr>
          <w:rFonts w:cs="Arial"/>
        </w:rPr>
        <w:fldChar w:fldCharType="separate"/>
      </w:r>
      <w:r w:rsidR="004031E8">
        <w:rPr>
          <w:rFonts w:cs="Arial"/>
          <w:noProof/>
        </w:rPr>
        <w:t>5</w:t>
      </w:r>
      <w:r w:rsidRPr="008F1132">
        <w:rPr>
          <w:rFonts w:cs="Arial"/>
          <w:noProof/>
        </w:rPr>
        <w:fldChar w:fldCharType="end"/>
      </w:r>
      <w:bookmarkEnd w:id="173"/>
      <w:r w:rsidRPr="008F1132">
        <w:rPr>
          <w:rFonts w:cs="Arial"/>
        </w:rPr>
        <w:t xml:space="preserve">: Assessment of the feedback </w:t>
      </w:r>
      <w:r w:rsidR="002E6285">
        <w:rPr>
          <w:rFonts w:cs="Arial"/>
        </w:rPr>
        <w:t>and how it has been accounted for in options 3A and 3B</w:t>
      </w:r>
    </w:p>
    <w:tbl>
      <w:tblPr>
        <w:tblStyle w:val="TableGrid"/>
        <w:tblW w:w="5000" w:type="pct"/>
        <w:tblLook w:val="04A0" w:firstRow="1" w:lastRow="0" w:firstColumn="1" w:lastColumn="0" w:noHBand="0" w:noVBand="1"/>
      </w:tblPr>
      <w:tblGrid>
        <w:gridCol w:w="1045"/>
        <w:gridCol w:w="8438"/>
        <w:gridCol w:w="4237"/>
      </w:tblGrid>
      <w:tr w:rsidR="0023428B" w:rsidRPr="00960823" w14:paraId="2497ACCB" w14:textId="77777777" w:rsidTr="00490822">
        <w:trPr>
          <w:cnfStyle w:val="100000000000" w:firstRow="1" w:lastRow="0" w:firstColumn="0" w:lastColumn="0" w:oddVBand="0" w:evenVBand="0" w:oddHBand="0" w:evenHBand="0" w:firstRowFirstColumn="0" w:firstRowLastColumn="0" w:lastRowFirstColumn="0" w:lastRowLastColumn="0"/>
          <w:tblHeader/>
        </w:trPr>
        <w:tc>
          <w:tcPr>
            <w:tcW w:w="369" w:type="pct"/>
            <w:shd w:val="clear" w:color="auto" w:fill="002060"/>
          </w:tcPr>
          <w:p w14:paraId="51DC7049" w14:textId="77777777" w:rsidR="0023428B" w:rsidRPr="00960823" w:rsidRDefault="0023428B" w:rsidP="00857981">
            <w:pPr>
              <w:pStyle w:val="TableHeading"/>
              <w:keepNext/>
              <w:spacing w:before="40" w:after="40" w:line="252" w:lineRule="auto"/>
              <w:rPr>
                <w:sz w:val="17"/>
                <w:szCs w:val="17"/>
              </w:rPr>
            </w:pPr>
            <w:r w:rsidRPr="00960823">
              <w:rPr>
                <w:sz w:val="17"/>
                <w:szCs w:val="17"/>
              </w:rPr>
              <w:t>Issue</w:t>
            </w:r>
          </w:p>
        </w:tc>
        <w:tc>
          <w:tcPr>
            <w:tcW w:w="3081" w:type="pct"/>
            <w:shd w:val="clear" w:color="auto" w:fill="002060"/>
          </w:tcPr>
          <w:p w14:paraId="10CC8DC5" w14:textId="77777777" w:rsidR="0023428B" w:rsidRPr="00960823" w:rsidRDefault="0023428B" w:rsidP="00857981">
            <w:pPr>
              <w:pStyle w:val="TableHeading"/>
              <w:keepNext/>
              <w:spacing w:before="40" w:after="40" w:line="252" w:lineRule="auto"/>
              <w:rPr>
                <w:sz w:val="17"/>
                <w:szCs w:val="17"/>
              </w:rPr>
            </w:pPr>
            <w:r w:rsidRPr="00960823">
              <w:rPr>
                <w:sz w:val="17"/>
                <w:szCs w:val="17"/>
              </w:rPr>
              <w:t>Assessment of the feedback</w:t>
            </w:r>
          </w:p>
        </w:tc>
        <w:tc>
          <w:tcPr>
            <w:tcW w:w="1550" w:type="pct"/>
            <w:shd w:val="clear" w:color="auto" w:fill="002060"/>
          </w:tcPr>
          <w:p w14:paraId="12676B9A" w14:textId="77777777" w:rsidR="0023428B" w:rsidRPr="00960823" w:rsidRDefault="002E6285" w:rsidP="00857981">
            <w:pPr>
              <w:pStyle w:val="TableHeading"/>
              <w:keepNext/>
              <w:spacing w:before="40" w:after="40" w:line="252" w:lineRule="auto"/>
              <w:rPr>
                <w:sz w:val="17"/>
                <w:szCs w:val="17"/>
              </w:rPr>
            </w:pPr>
            <w:r>
              <w:rPr>
                <w:sz w:val="17"/>
                <w:szCs w:val="17"/>
              </w:rPr>
              <w:t>How feedback accounted for in options 3A and 3B</w:t>
            </w:r>
          </w:p>
        </w:tc>
      </w:tr>
      <w:tr w:rsidR="0023428B" w:rsidRPr="00960823" w14:paraId="215E1C18" w14:textId="77777777" w:rsidTr="00490822">
        <w:tc>
          <w:tcPr>
            <w:tcW w:w="369" w:type="pct"/>
          </w:tcPr>
          <w:p w14:paraId="69CCA3E9" w14:textId="77777777" w:rsidR="0023428B" w:rsidRPr="000B4F5A" w:rsidRDefault="0023428B" w:rsidP="00857981">
            <w:pPr>
              <w:pStyle w:val="TableBodyText"/>
              <w:spacing w:before="40" w:after="40" w:line="252" w:lineRule="auto"/>
              <w:rPr>
                <w:sz w:val="17"/>
                <w:szCs w:val="17"/>
              </w:rPr>
            </w:pPr>
            <w:r>
              <w:rPr>
                <w:sz w:val="17"/>
                <w:szCs w:val="17"/>
              </w:rPr>
              <w:t>N</w:t>
            </w:r>
            <w:r w:rsidRPr="000B4F5A">
              <w:rPr>
                <w:sz w:val="17"/>
                <w:szCs w:val="17"/>
              </w:rPr>
              <w:t xml:space="preserve">egotiation framework </w:t>
            </w:r>
          </w:p>
        </w:tc>
        <w:tc>
          <w:tcPr>
            <w:tcW w:w="3081" w:type="pct"/>
          </w:tcPr>
          <w:p w14:paraId="6AB91C60" w14:textId="77777777" w:rsidR="0023428B" w:rsidRPr="00FE5783" w:rsidRDefault="0023428B" w:rsidP="00857981">
            <w:pPr>
              <w:pStyle w:val="TableBullet10"/>
              <w:numPr>
                <w:ilvl w:val="0"/>
                <w:numId w:val="0"/>
              </w:numPr>
              <w:spacing w:before="0" w:after="20" w:line="252" w:lineRule="auto"/>
              <w:ind w:left="85"/>
              <w:rPr>
                <w:sz w:val="17"/>
                <w:szCs w:val="17"/>
                <w:lang w:eastAsia="fr-CA"/>
              </w:rPr>
            </w:pPr>
            <w:r w:rsidRPr="00FE5783">
              <w:rPr>
                <w:sz w:val="17"/>
                <w:szCs w:val="17"/>
              </w:rPr>
              <w:t xml:space="preserve">As noted above, </w:t>
            </w:r>
            <w:r w:rsidRPr="00FE5783">
              <w:rPr>
                <w:rFonts w:asciiTheme="majorHAnsi" w:hAnsiTheme="majorHAnsi" w:cstheme="majorHAnsi"/>
                <w:sz w:val="17"/>
                <w:szCs w:val="17"/>
              </w:rPr>
              <w:t>the majority of stakeholders supported the adoption of a single negotiation framework and most of the proposed elements of the single framework outlined in Option B(c) (see Table 7.3). Differing views were, however, expressed about</w:t>
            </w:r>
            <w:r w:rsidRPr="00FE5783">
              <w:rPr>
                <w:sz w:val="17"/>
                <w:szCs w:val="17"/>
              </w:rPr>
              <w:t>:</w:t>
            </w:r>
          </w:p>
          <w:p w14:paraId="5A827CF2" w14:textId="77777777" w:rsidR="0023428B" w:rsidRPr="00FE5783" w:rsidRDefault="0023428B" w:rsidP="00857981">
            <w:pPr>
              <w:pStyle w:val="TableBullet10"/>
              <w:spacing w:after="20" w:line="252" w:lineRule="auto"/>
              <w:rPr>
                <w:sz w:val="17"/>
                <w:szCs w:val="17"/>
              </w:rPr>
            </w:pPr>
            <w:r w:rsidRPr="00FE5783">
              <w:rPr>
                <w:sz w:val="17"/>
                <w:szCs w:val="17"/>
              </w:rPr>
              <w:t>whether the preliminary enquiry process should be retained in the framework; and</w:t>
            </w:r>
          </w:p>
          <w:p w14:paraId="5B00233C" w14:textId="77777777" w:rsidR="0023428B" w:rsidRPr="00FE5783" w:rsidRDefault="0023428B" w:rsidP="00857981">
            <w:pPr>
              <w:pStyle w:val="TableBullet10"/>
              <w:spacing w:after="20" w:line="252" w:lineRule="auto"/>
              <w:rPr>
                <w:sz w:val="17"/>
                <w:szCs w:val="17"/>
              </w:rPr>
            </w:pPr>
            <w:r w:rsidRPr="00FE5783">
              <w:rPr>
                <w:sz w:val="17"/>
                <w:szCs w:val="17"/>
              </w:rPr>
              <w:t>the response and negotiation timeframes.</w:t>
            </w:r>
          </w:p>
          <w:p w14:paraId="2F548E0A" w14:textId="77777777" w:rsidR="0023428B" w:rsidRPr="00FE5783" w:rsidRDefault="0023428B" w:rsidP="00857981">
            <w:pPr>
              <w:pStyle w:val="BodyText"/>
              <w:spacing w:before="0" w:line="252" w:lineRule="auto"/>
              <w:rPr>
                <w:rFonts w:cs="Arial"/>
                <w:sz w:val="17"/>
                <w:szCs w:val="17"/>
              </w:rPr>
            </w:pPr>
            <w:r w:rsidRPr="00FE5783">
              <w:rPr>
                <w:rFonts w:cs="Arial"/>
                <w:sz w:val="17"/>
                <w:szCs w:val="17"/>
              </w:rPr>
              <w:t>The ACCC also suggested the application of the access information standard be extended to other parts of the negotiation framework. Further consideration has therefore been given to these matters.</w:t>
            </w:r>
          </w:p>
          <w:p w14:paraId="59D9D5EC" w14:textId="77777777" w:rsidR="0023428B" w:rsidRPr="00FE5783" w:rsidRDefault="0023428B" w:rsidP="00857981">
            <w:pPr>
              <w:pStyle w:val="BodyText"/>
              <w:spacing w:before="0" w:line="252" w:lineRule="auto"/>
              <w:rPr>
                <w:rFonts w:cs="Arial"/>
                <w:b/>
                <w:bCs/>
                <w:sz w:val="17"/>
                <w:szCs w:val="17"/>
              </w:rPr>
            </w:pPr>
            <w:r w:rsidRPr="00FE5783">
              <w:rPr>
                <w:rFonts w:cs="Arial"/>
                <w:b/>
                <w:bCs/>
                <w:sz w:val="17"/>
                <w:szCs w:val="17"/>
              </w:rPr>
              <w:t>Preliminary enquiry process</w:t>
            </w:r>
          </w:p>
          <w:p w14:paraId="14F092BB" w14:textId="77777777" w:rsidR="0023428B" w:rsidRPr="00FE5783" w:rsidRDefault="0023428B" w:rsidP="00857981">
            <w:pPr>
              <w:pStyle w:val="BodyText"/>
              <w:spacing w:before="0" w:line="252" w:lineRule="auto"/>
              <w:rPr>
                <w:sz w:val="17"/>
                <w:szCs w:val="17"/>
              </w:rPr>
            </w:pPr>
            <w:r w:rsidRPr="00FE5783">
              <w:rPr>
                <w:sz w:val="17"/>
                <w:szCs w:val="17"/>
              </w:rPr>
              <w:t xml:space="preserve">As noted in Table 7.2, one of the problems that the ACCC has identified with the Part 23 negotiation framework is that the preliminary enquiry process may be used by service providers to try and delay a shipper’s access to arbitration and/or to avoid some of the rules relating to access responses. These potential problems were echoed by other stakeholders, some of whom suggested that rather than removing the preliminary enquiry process, the concerns raised by the ACCC be addressed in an alternative manner.  The proposal by these stakeholders to try and retain the preliminary enquiry process is consistent with the feedback provided by a large number of other shippers and service providers that they value the flexibility provided by the preliminary enquiry process. </w:t>
            </w:r>
          </w:p>
          <w:p w14:paraId="6C39DB29" w14:textId="77777777" w:rsidR="0023428B" w:rsidRPr="00FE5783" w:rsidRDefault="0023428B" w:rsidP="00857981">
            <w:pPr>
              <w:pStyle w:val="BodyText"/>
              <w:spacing w:before="0" w:after="60" w:line="252" w:lineRule="auto"/>
              <w:rPr>
                <w:sz w:val="17"/>
                <w:szCs w:val="17"/>
              </w:rPr>
            </w:pPr>
            <w:r w:rsidRPr="00FE5783">
              <w:rPr>
                <w:sz w:val="17"/>
                <w:szCs w:val="17"/>
              </w:rPr>
              <w:t xml:space="preserve">Given this feedback, further consideration has been given to how the ACCC’s concerns with the current process could be addressed </w:t>
            </w:r>
            <w:r w:rsidR="001B07E2">
              <w:rPr>
                <w:sz w:val="17"/>
                <w:szCs w:val="17"/>
              </w:rPr>
              <w:t xml:space="preserve">whilst also retaining the </w:t>
            </w:r>
            <w:r w:rsidRPr="00FE5783">
              <w:rPr>
                <w:sz w:val="17"/>
                <w:szCs w:val="17"/>
              </w:rPr>
              <w:t xml:space="preserve">preliminary enquiry process. As a number of stakeholders noted, </w:t>
            </w:r>
            <w:r w:rsidR="001B07E2">
              <w:rPr>
                <w:sz w:val="17"/>
                <w:szCs w:val="17"/>
              </w:rPr>
              <w:t xml:space="preserve">this could be achieved by </w:t>
            </w:r>
            <w:r w:rsidRPr="00FE5783">
              <w:rPr>
                <w:sz w:val="17"/>
                <w:szCs w:val="17"/>
              </w:rPr>
              <w:t xml:space="preserve">amending the NGR to: </w:t>
            </w:r>
          </w:p>
          <w:p w14:paraId="02999BD3" w14:textId="77777777" w:rsidR="0023428B" w:rsidRPr="00FE5783" w:rsidRDefault="0023428B" w:rsidP="00857981">
            <w:pPr>
              <w:pStyle w:val="TableBullet10"/>
              <w:spacing w:line="252" w:lineRule="auto"/>
              <w:rPr>
                <w:sz w:val="17"/>
                <w:szCs w:val="17"/>
              </w:rPr>
            </w:pPr>
            <w:r w:rsidRPr="00FE5783">
              <w:rPr>
                <w:sz w:val="17"/>
                <w:szCs w:val="17"/>
              </w:rPr>
              <w:t>require service providers to provide an initial response to preliminary enquiries within a specified period of time (</w:t>
            </w:r>
            <w:r w:rsidR="007D19E7">
              <w:rPr>
                <w:sz w:val="17"/>
                <w:szCs w:val="17"/>
              </w:rPr>
              <w:t>i.e.</w:t>
            </w:r>
            <w:r w:rsidRPr="00FE5783">
              <w:rPr>
                <w:sz w:val="17"/>
                <w:szCs w:val="17"/>
              </w:rPr>
              <w:t>. within 10 business days, stating whether the service can be provided or not, or if further investigations are required and, if so, when an offer will be provided); and</w:t>
            </w:r>
          </w:p>
          <w:p w14:paraId="59FB9EBB" w14:textId="77777777" w:rsidR="0023428B" w:rsidRPr="00FE5783" w:rsidRDefault="0023428B" w:rsidP="00857981">
            <w:pPr>
              <w:pStyle w:val="TableBullet10"/>
              <w:spacing w:line="252" w:lineRule="auto"/>
              <w:rPr>
                <w:sz w:val="17"/>
                <w:szCs w:val="17"/>
              </w:rPr>
            </w:pPr>
            <w:r w:rsidRPr="00FE5783">
              <w:rPr>
                <w:sz w:val="17"/>
                <w:szCs w:val="17"/>
              </w:rPr>
              <w:t>allow a shipper that has made a preliminary enquiry and received an offer from a service provider to proceed directly to the negotiation stage, rather than having to go back and submit a formal access request and proceed through the access request and access offer stages.</w:t>
            </w:r>
          </w:p>
          <w:p w14:paraId="250544CE" w14:textId="77777777" w:rsidR="0023428B" w:rsidRPr="00FE5783" w:rsidRDefault="0023428B" w:rsidP="00857981">
            <w:pPr>
              <w:pStyle w:val="TableBullet10"/>
              <w:numPr>
                <w:ilvl w:val="0"/>
                <w:numId w:val="0"/>
              </w:numPr>
              <w:spacing w:after="120" w:line="252" w:lineRule="auto"/>
              <w:ind w:left="85"/>
              <w:rPr>
                <w:sz w:val="17"/>
                <w:szCs w:val="17"/>
              </w:rPr>
            </w:pPr>
            <w:r w:rsidRPr="00FE5783">
              <w:rPr>
                <w:sz w:val="17"/>
                <w:szCs w:val="17"/>
              </w:rPr>
              <w:t xml:space="preserve">Amending the NGR in this way is </w:t>
            </w:r>
            <w:r w:rsidR="00B83D6A">
              <w:rPr>
                <w:sz w:val="17"/>
                <w:szCs w:val="17"/>
              </w:rPr>
              <w:t xml:space="preserve">preferable to the removal of the </w:t>
            </w:r>
            <w:r w:rsidRPr="00FE5783">
              <w:rPr>
                <w:sz w:val="17"/>
                <w:szCs w:val="17"/>
              </w:rPr>
              <w:t>preliminary enquiry process because it will ensure that the flexibility that shippers and service providers value is retained in the negotiation framework</w:t>
            </w:r>
            <w:r w:rsidR="006C0F08">
              <w:rPr>
                <w:sz w:val="17"/>
                <w:szCs w:val="17"/>
              </w:rPr>
              <w:t xml:space="preserve">. It will also ensure </w:t>
            </w:r>
            <w:r w:rsidRPr="00FE5783">
              <w:rPr>
                <w:sz w:val="17"/>
                <w:szCs w:val="17"/>
              </w:rPr>
              <w:t>that there are adequate protections in place for shippers that use this process</w:t>
            </w:r>
            <w:r w:rsidR="006C0F08">
              <w:rPr>
                <w:sz w:val="17"/>
                <w:szCs w:val="17"/>
              </w:rPr>
              <w:t xml:space="preserve"> and that it is not used by service providers to delay access to arbitration</w:t>
            </w:r>
            <w:r w:rsidRPr="00FE5783">
              <w:rPr>
                <w:sz w:val="17"/>
                <w:szCs w:val="17"/>
              </w:rPr>
              <w:t xml:space="preserve">. </w:t>
            </w:r>
            <w:r w:rsidR="00B83D6A">
              <w:rPr>
                <w:sz w:val="17"/>
                <w:szCs w:val="17"/>
              </w:rPr>
              <w:t xml:space="preserve">Provision has therefore been made for the preliminary enquiry process to be retained in options 3A and 3B, but amended in the manner described above. </w:t>
            </w:r>
          </w:p>
          <w:p w14:paraId="562D4749" w14:textId="77777777" w:rsidR="0023428B" w:rsidRPr="00FE5783" w:rsidRDefault="0023428B" w:rsidP="00D454BD">
            <w:pPr>
              <w:pStyle w:val="BodyText"/>
              <w:spacing w:before="0" w:line="252" w:lineRule="auto"/>
              <w:rPr>
                <w:b/>
                <w:bCs/>
                <w:sz w:val="17"/>
                <w:szCs w:val="17"/>
              </w:rPr>
            </w:pPr>
            <w:r w:rsidRPr="00FE5783">
              <w:rPr>
                <w:b/>
                <w:bCs/>
                <w:sz w:val="17"/>
                <w:szCs w:val="17"/>
              </w:rPr>
              <w:t xml:space="preserve">Timeframes for responses and negotiations </w:t>
            </w:r>
          </w:p>
          <w:p w14:paraId="22149B0E" w14:textId="77777777" w:rsidR="00F40761" w:rsidRDefault="0023428B" w:rsidP="00857981">
            <w:pPr>
              <w:pStyle w:val="BodyText"/>
              <w:spacing w:before="0" w:after="60" w:line="252" w:lineRule="auto"/>
              <w:rPr>
                <w:sz w:val="17"/>
                <w:szCs w:val="17"/>
              </w:rPr>
            </w:pPr>
            <w:r w:rsidRPr="00FE5783">
              <w:rPr>
                <w:sz w:val="17"/>
                <w:szCs w:val="17"/>
              </w:rPr>
              <w:t xml:space="preserve">The timeframes for initial responses, access offers and negotiations that were assumed in the Consultation RIS hybrid model were based on the timeframes that had been adopted for scheme pipelines. </w:t>
            </w:r>
            <w:r w:rsidR="00F40761">
              <w:rPr>
                <w:sz w:val="17"/>
                <w:szCs w:val="17"/>
              </w:rPr>
              <w:t xml:space="preserve">The trigger for an access dispute was also based on these timeframes. </w:t>
            </w:r>
          </w:p>
          <w:p w14:paraId="0B8D3245" w14:textId="77777777" w:rsidR="0023428B" w:rsidRPr="00FE5783" w:rsidRDefault="0023428B" w:rsidP="00857981">
            <w:pPr>
              <w:pStyle w:val="BodyText"/>
              <w:spacing w:before="0" w:after="60" w:line="252" w:lineRule="auto"/>
              <w:rPr>
                <w:sz w:val="17"/>
                <w:szCs w:val="17"/>
              </w:rPr>
            </w:pPr>
            <w:r w:rsidRPr="00FE5783">
              <w:rPr>
                <w:sz w:val="17"/>
                <w:szCs w:val="17"/>
              </w:rPr>
              <w:t>Having considered the feedback provided by stakeholders, it would appear that a better approach for the single negotiation framework would be to adopt the following timeframes in the NGR:</w:t>
            </w:r>
          </w:p>
          <w:p w14:paraId="42CE2DCC" w14:textId="56E31ABA" w:rsidR="0023428B" w:rsidRPr="00FE5783" w:rsidRDefault="0023428B" w:rsidP="00857981">
            <w:pPr>
              <w:pStyle w:val="TableBullet10"/>
              <w:spacing w:line="252" w:lineRule="auto"/>
              <w:rPr>
                <w:sz w:val="17"/>
                <w:szCs w:val="17"/>
              </w:rPr>
            </w:pPr>
            <w:r w:rsidRPr="00FE5783">
              <w:rPr>
                <w:sz w:val="17"/>
                <w:szCs w:val="17"/>
              </w:rPr>
              <w:lastRenderedPageBreak/>
              <w:t xml:space="preserve">a hybrid of the initial response timeframes that currently apply under Part 23 and to scheme pipelines (i.e. with service providers to inform shippers if they require further information within 5 business days of receiving a request and within 10 business days </w:t>
            </w:r>
            <w:r w:rsidR="00750D34">
              <w:rPr>
                <w:sz w:val="17"/>
                <w:szCs w:val="17"/>
              </w:rPr>
              <w:t xml:space="preserve">informing the shipper whether </w:t>
            </w:r>
            <w:r w:rsidRPr="00FE5783">
              <w:rPr>
                <w:sz w:val="17"/>
                <w:szCs w:val="17"/>
              </w:rPr>
              <w:t>they can provide the service,</w:t>
            </w:r>
            <w:r w:rsidR="00370905">
              <w:rPr>
                <w:rFonts w:ascii="ZWAdobeF" w:hAnsi="ZWAdobeF" w:cs="ZWAdobeF"/>
                <w:sz w:val="2"/>
                <w:szCs w:val="2"/>
              </w:rPr>
              <w:t>168F</w:t>
            </w:r>
            <w:r w:rsidR="008D2770">
              <w:rPr>
                <w:rStyle w:val="FootnoteReference"/>
                <w:sz w:val="17"/>
                <w:szCs w:val="17"/>
              </w:rPr>
              <w:footnoteReference w:id="170"/>
            </w:r>
            <w:r w:rsidRPr="00FE5783">
              <w:rPr>
                <w:sz w:val="17"/>
                <w:szCs w:val="17"/>
              </w:rPr>
              <w:t xml:space="preserve"> or if further investigations are required);</w:t>
            </w:r>
          </w:p>
          <w:p w14:paraId="7ABFD5CE" w14:textId="77777777" w:rsidR="0023428B" w:rsidRPr="00FE5783" w:rsidRDefault="0023428B" w:rsidP="00857981">
            <w:pPr>
              <w:pStyle w:val="TableBullet10"/>
              <w:spacing w:line="252" w:lineRule="auto"/>
              <w:rPr>
                <w:sz w:val="17"/>
                <w:szCs w:val="17"/>
              </w:rPr>
            </w:pPr>
            <w:r w:rsidRPr="00FE5783">
              <w:rPr>
                <w:sz w:val="17"/>
                <w:szCs w:val="17"/>
              </w:rPr>
              <w:t xml:space="preserve">the access offer timeframes that currently </w:t>
            </w:r>
            <w:r w:rsidRPr="009B3D3C">
              <w:rPr>
                <w:sz w:val="17"/>
                <w:szCs w:val="17"/>
              </w:rPr>
              <w:t>apply under Part 23</w:t>
            </w:r>
            <w:r w:rsidR="009B3D3C" w:rsidRPr="009B3D3C">
              <w:rPr>
                <w:sz w:val="17"/>
                <w:szCs w:val="17"/>
              </w:rPr>
              <w:t xml:space="preserve"> (i.e. the service provider would be required to provide an access offer within the time agreed by the parties, but if no time is agreed, within 20 business days of receiving the request if no further investigations are required, or within 60 business days of receiving the request if further investigations are required)</w:t>
            </w:r>
            <w:r w:rsidRPr="009B3D3C">
              <w:rPr>
                <w:sz w:val="17"/>
                <w:szCs w:val="17"/>
              </w:rPr>
              <w:t>; and</w:t>
            </w:r>
          </w:p>
          <w:p w14:paraId="2C7A32DA" w14:textId="77777777" w:rsidR="0023428B" w:rsidRPr="00FE5783" w:rsidRDefault="0023428B" w:rsidP="00857981">
            <w:pPr>
              <w:pStyle w:val="TableBullet10"/>
              <w:spacing w:line="252" w:lineRule="auto"/>
              <w:rPr>
                <w:sz w:val="17"/>
                <w:szCs w:val="17"/>
              </w:rPr>
            </w:pPr>
            <w:r w:rsidRPr="00FE5783">
              <w:rPr>
                <w:sz w:val="17"/>
                <w:szCs w:val="17"/>
              </w:rPr>
              <w:t xml:space="preserve">the flexible approach to setting the negotiation timetable that currently applies under Part 23, which allows the parties to agree to their own timetable and to </w:t>
            </w:r>
            <w:r w:rsidR="002D4952">
              <w:rPr>
                <w:sz w:val="17"/>
                <w:szCs w:val="17"/>
              </w:rPr>
              <w:t xml:space="preserve">agree to </w:t>
            </w:r>
            <w:r w:rsidRPr="00FE5783">
              <w:rPr>
                <w:sz w:val="17"/>
                <w:szCs w:val="17"/>
              </w:rPr>
              <w:t xml:space="preserve">extend </w:t>
            </w:r>
            <w:r w:rsidR="002D4952">
              <w:rPr>
                <w:sz w:val="17"/>
                <w:szCs w:val="17"/>
              </w:rPr>
              <w:t xml:space="preserve">the </w:t>
            </w:r>
            <w:r w:rsidRPr="00FE5783">
              <w:rPr>
                <w:sz w:val="17"/>
                <w:szCs w:val="17"/>
              </w:rPr>
              <w:t xml:space="preserve">timeframes if required.  </w:t>
            </w:r>
          </w:p>
          <w:p w14:paraId="66FDA824" w14:textId="77777777" w:rsidR="0023428B" w:rsidRPr="00FE5783" w:rsidRDefault="00F40761" w:rsidP="00857981">
            <w:pPr>
              <w:pStyle w:val="TableBullet10"/>
              <w:numPr>
                <w:ilvl w:val="0"/>
                <w:numId w:val="0"/>
              </w:numPr>
              <w:spacing w:line="252" w:lineRule="auto"/>
              <w:ind w:left="85"/>
              <w:rPr>
                <w:sz w:val="17"/>
                <w:szCs w:val="17"/>
              </w:rPr>
            </w:pPr>
            <w:r>
              <w:rPr>
                <w:sz w:val="17"/>
                <w:szCs w:val="17"/>
              </w:rPr>
              <w:t xml:space="preserve">If these changes are made, then the </w:t>
            </w:r>
            <w:r w:rsidR="0023428B" w:rsidRPr="00FE5783">
              <w:rPr>
                <w:sz w:val="17"/>
                <w:szCs w:val="17"/>
              </w:rPr>
              <w:t xml:space="preserve">access dispute </w:t>
            </w:r>
            <w:r>
              <w:rPr>
                <w:sz w:val="17"/>
                <w:szCs w:val="17"/>
              </w:rPr>
              <w:t xml:space="preserve">trigger </w:t>
            </w:r>
            <w:r w:rsidR="00741C35">
              <w:rPr>
                <w:sz w:val="17"/>
                <w:szCs w:val="17"/>
              </w:rPr>
              <w:t xml:space="preserve">would also need to be amended to provide for a </w:t>
            </w:r>
            <w:r w:rsidR="0023428B" w:rsidRPr="00FE5783">
              <w:rPr>
                <w:sz w:val="17"/>
                <w:szCs w:val="17"/>
              </w:rPr>
              <w:t xml:space="preserve">dispute </w:t>
            </w:r>
            <w:r w:rsidR="00741C35">
              <w:rPr>
                <w:sz w:val="17"/>
                <w:szCs w:val="17"/>
              </w:rPr>
              <w:t xml:space="preserve">to </w:t>
            </w:r>
            <w:r w:rsidR="0023428B" w:rsidRPr="00FE5783">
              <w:rPr>
                <w:sz w:val="17"/>
                <w:szCs w:val="17"/>
              </w:rPr>
              <w:t>be triggered by either party if</w:t>
            </w:r>
            <w:r>
              <w:rPr>
                <w:sz w:val="17"/>
                <w:szCs w:val="17"/>
              </w:rPr>
              <w:t>:</w:t>
            </w:r>
          </w:p>
          <w:p w14:paraId="2C2849D7" w14:textId="77777777" w:rsidR="00741C35" w:rsidRPr="00FE5783" w:rsidRDefault="00741C35" w:rsidP="000A3668">
            <w:pPr>
              <w:pStyle w:val="TableBullet10"/>
              <w:numPr>
                <w:ilvl w:val="2"/>
                <w:numId w:val="153"/>
              </w:numPr>
              <w:spacing w:after="120" w:line="252" w:lineRule="auto"/>
              <w:ind w:left="442" w:hanging="357"/>
              <w:rPr>
                <w:sz w:val="17"/>
                <w:szCs w:val="17"/>
              </w:rPr>
            </w:pPr>
            <w:r w:rsidRPr="00FE5783">
              <w:rPr>
                <w:sz w:val="17"/>
                <w:szCs w:val="17"/>
                <w:lang w:eastAsia="fr-CA"/>
              </w:rPr>
              <w:t>an agreement is not reached within the timeframe agreed to in the negotiation timetable</w:t>
            </w:r>
            <w:r>
              <w:rPr>
                <w:sz w:val="17"/>
                <w:szCs w:val="17"/>
                <w:lang w:eastAsia="fr-CA"/>
              </w:rPr>
              <w:t>; or</w:t>
            </w:r>
          </w:p>
          <w:p w14:paraId="20A59200" w14:textId="77777777" w:rsidR="0023428B" w:rsidRPr="00FE5783" w:rsidRDefault="0023428B" w:rsidP="000A3668">
            <w:pPr>
              <w:pStyle w:val="TableBullet10"/>
              <w:numPr>
                <w:ilvl w:val="2"/>
                <w:numId w:val="153"/>
              </w:numPr>
              <w:spacing w:line="252" w:lineRule="auto"/>
              <w:ind w:left="442" w:hanging="357"/>
              <w:rPr>
                <w:sz w:val="17"/>
                <w:szCs w:val="17"/>
              </w:rPr>
            </w:pPr>
            <w:r w:rsidRPr="00FE5783">
              <w:rPr>
                <w:sz w:val="17"/>
                <w:szCs w:val="17"/>
              </w:rPr>
              <w:t>the shipper disagrees with any of the responses provided by the service provider in response to its request (including a refusal to provide the service)</w:t>
            </w:r>
            <w:r w:rsidR="00741C35">
              <w:rPr>
                <w:sz w:val="17"/>
                <w:szCs w:val="17"/>
              </w:rPr>
              <w:t>.</w:t>
            </w:r>
          </w:p>
          <w:p w14:paraId="0ADEDC20" w14:textId="77777777" w:rsidR="0023428B" w:rsidRPr="00FE5783" w:rsidRDefault="0023428B" w:rsidP="00857981">
            <w:pPr>
              <w:pStyle w:val="TableBullet10"/>
              <w:numPr>
                <w:ilvl w:val="0"/>
                <w:numId w:val="0"/>
              </w:numPr>
              <w:spacing w:after="120" w:line="252" w:lineRule="auto"/>
              <w:ind w:left="85"/>
              <w:rPr>
                <w:sz w:val="17"/>
                <w:szCs w:val="17"/>
              </w:rPr>
            </w:pPr>
            <w:r w:rsidRPr="00FE5783">
              <w:rPr>
                <w:sz w:val="17"/>
                <w:szCs w:val="17"/>
              </w:rPr>
              <w:t xml:space="preserve">These elements of the single negotiation framework would provide shippers and service providers with greater clarity about their rights and obligations and facilitate more timely and effective negotiations. </w:t>
            </w:r>
            <w:r w:rsidR="009B0E7A">
              <w:rPr>
                <w:sz w:val="17"/>
                <w:szCs w:val="17"/>
              </w:rPr>
              <w:t xml:space="preserve">Provision has therefore been made for them in options 3A and 3B. </w:t>
            </w:r>
          </w:p>
          <w:p w14:paraId="22AF6E1A" w14:textId="77777777" w:rsidR="0023428B" w:rsidRPr="00FE5783" w:rsidRDefault="0023428B" w:rsidP="00857981">
            <w:pPr>
              <w:pStyle w:val="BodyText"/>
              <w:spacing w:before="0" w:after="20" w:line="252" w:lineRule="auto"/>
              <w:rPr>
                <w:b/>
                <w:bCs/>
                <w:sz w:val="17"/>
                <w:szCs w:val="17"/>
              </w:rPr>
            </w:pPr>
            <w:r w:rsidRPr="00FE5783">
              <w:rPr>
                <w:b/>
                <w:bCs/>
                <w:sz w:val="17"/>
                <w:szCs w:val="17"/>
              </w:rPr>
              <w:t xml:space="preserve">Access information standard </w:t>
            </w:r>
          </w:p>
          <w:p w14:paraId="3F1F90F2" w14:textId="61852A35" w:rsidR="0023428B" w:rsidRPr="00FE5783" w:rsidRDefault="0023428B" w:rsidP="00AD36B8">
            <w:pPr>
              <w:pStyle w:val="ListBullet"/>
              <w:numPr>
                <w:ilvl w:val="0"/>
                <w:numId w:val="0"/>
              </w:numPr>
              <w:ind w:left="85"/>
              <w:rPr>
                <w:lang w:eastAsia="fr-CA"/>
              </w:rPr>
            </w:pPr>
            <w:r w:rsidRPr="00FE5783">
              <w:rPr>
                <w:lang w:eastAsia="fr-CA"/>
              </w:rPr>
              <w:t xml:space="preserve">The access information standard currently applies to access offers and information exchanged during negotiations, but not to </w:t>
            </w:r>
            <w:r w:rsidR="000C159F">
              <w:rPr>
                <w:lang w:eastAsia="fr-CA"/>
              </w:rPr>
              <w:t xml:space="preserve">the </w:t>
            </w:r>
            <w:r w:rsidRPr="00FE5783">
              <w:rPr>
                <w:lang w:eastAsia="fr-CA"/>
              </w:rPr>
              <w:t xml:space="preserve">information exchanged during the preliminary enquiry process. </w:t>
            </w:r>
            <w:r w:rsidR="000C159F">
              <w:rPr>
                <w:lang w:eastAsia="fr-CA"/>
              </w:rPr>
              <w:t>A</w:t>
            </w:r>
            <w:r w:rsidRPr="00FE5783">
              <w:rPr>
                <w:lang w:eastAsia="fr-CA"/>
              </w:rPr>
              <w:t xml:space="preserve">s the ACCC </w:t>
            </w:r>
            <w:r w:rsidR="000C159F">
              <w:rPr>
                <w:lang w:eastAsia="fr-CA"/>
              </w:rPr>
              <w:t xml:space="preserve">noted, this is </w:t>
            </w:r>
            <w:r w:rsidRPr="00FE5783">
              <w:rPr>
                <w:lang w:eastAsia="fr-CA"/>
              </w:rPr>
              <w:t>a gap in the current framework that could be exploited by service providers that want to prevent new shippers obtaining access to their pipeline (or service) by misrepresenting their ability to provide access and the terms of access more generally.</w:t>
            </w:r>
            <w:r w:rsidR="00370905">
              <w:rPr>
                <w:rFonts w:ascii="ZWAdobeF" w:hAnsi="ZWAdobeF" w:cs="ZWAdobeF"/>
                <w:sz w:val="2"/>
                <w:szCs w:val="2"/>
                <w:lang w:eastAsia="fr-CA"/>
              </w:rPr>
              <w:t>169F</w:t>
            </w:r>
            <w:r w:rsidRPr="00FE5783">
              <w:rPr>
                <w:rStyle w:val="FootnoteReference"/>
                <w:sz w:val="17"/>
                <w:szCs w:val="17"/>
                <w:lang w:eastAsia="fr-CA"/>
              </w:rPr>
              <w:footnoteReference w:id="171"/>
            </w:r>
            <w:r w:rsidRPr="00FE5783">
              <w:rPr>
                <w:lang w:eastAsia="fr-CA"/>
              </w:rPr>
              <w:t xml:space="preserve"> </w:t>
            </w:r>
          </w:p>
          <w:p w14:paraId="390861EA" w14:textId="77777777" w:rsidR="0023428B" w:rsidRPr="00FE5783" w:rsidRDefault="0023428B" w:rsidP="00D454BD">
            <w:pPr>
              <w:pStyle w:val="BodyText"/>
              <w:spacing w:before="0" w:after="60" w:line="252" w:lineRule="auto"/>
              <w:rPr>
                <w:sz w:val="17"/>
                <w:szCs w:val="17"/>
              </w:rPr>
            </w:pPr>
            <w:r w:rsidRPr="00FE5783">
              <w:rPr>
                <w:rFonts w:cs="Arial"/>
                <w:sz w:val="17"/>
                <w:szCs w:val="17"/>
                <w:lang w:eastAsia="fr-CA"/>
              </w:rPr>
              <w:t xml:space="preserve">To </w:t>
            </w:r>
            <w:r w:rsidR="009B0E7A">
              <w:rPr>
                <w:rFonts w:cs="Arial"/>
                <w:sz w:val="17"/>
                <w:szCs w:val="17"/>
                <w:lang w:eastAsia="fr-CA"/>
              </w:rPr>
              <w:t>remove</w:t>
            </w:r>
            <w:r w:rsidRPr="00FE5783">
              <w:rPr>
                <w:rFonts w:cs="Arial"/>
                <w:sz w:val="17"/>
                <w:szCs w:val="17"/>
                <w:lang w:eastAsia="fr-CA"/>
              </w:rPr>
              <w:t xml:space="preserve"> this gap, the </w:t>
            </w:r>
            <w:r w:rsidR="00470708">
              <w:rPr>
                <w:rFonts w:cs="Arial"/>
                <w:sz w:val="17"/>
                <w:szCs w:val="17"/>
                <w:lang w:eastAsia="fr-CA"/>
              </w:rPr>
              <w:t xml:space="preserve">application of the </w:t>
            </w:r>
            <w:r w:rsidRPr="00FE5783">
              <w:rPr>
                <w:rFonts w:cs="Arial"/>
                <w:sz w:val="17"/>
                <w:szCs w:val="17"/>
                <w:lang w:eastAsia="fr-CA"/>
              </w:rPr>
              <w:t xml:space="preserve">access information standard </w:t>
            </w:r>
            <w:r w:rsidR="00470708">
              <w:rPr>
                <w:rFonts w:cs="Arial"/>
                <w:sz w:val="17"/>
                <w:szCs w:val="17"/>
                <w:lang w:eastAsia="fr-CA"/>
              </w:rPr>
              <w:t xml:space="preserve">could be extended to </w:t>
            </w:r>
            <w:r w:rsidRPr="00FE5783">
              <w:rPr>
                <w:rFonts w:cs="Arial"/>
                <w:sz w:val="17"/>
                <w:szCs w:val="17"/>
                <w:lang w:eastAsia="fr-CA"/>
              </w:rPr>
              <w:t xml:space="preserve">apply to any information provided by a service provider in response to a preliminary enquiry, a formal access request and in negotiations. </w:t>
            </w:r>
            <w:r w:rsidR="00DD33A1">
              <w:rPr>
                <w:rFonts w:cs="Arial"/>
                <w:sz w:val="17"/>
                <w:szCs w:val="17"/>
                <w:lang w:eastAsia="fr-CA"/>
              </w:rPr>
              <w:t xml:space="preserve">Making this change </w:t>
            </w:r>
            <w:r w:rsidR="00470708">
              <w:rPr>
                <w:rFonts w:cs="Arial"/>
                <w:sz w:val="17"/>
                <w:szCs w:val="17"/>
                <w:lang w:eastAsia="fr-CA"/>
              </w:rPr>
              <w:t xml:space="preserve">would reduce the </w:t>
            </w:r>
            <w:r w:rsidR="000C159F">
              <w:rPr>
                <w:rFonts w:cs="Arial"/>
                <w:sz w:val="17"/>
                <w:szCs w:val="17"/>
                <w:lang w:eastAsia="fr-CA"/>
              </w:rPr>
              <w:t xml:space="preserve">degree of information asymmetry faced by </w:t>
            </w:r>
            <w:r w:rsidR="003F127F">
              <w:rPr>
                <w:rFonts w:cs="Arial"/>
                <w:sz w:val="17"/>
                <w:szCs w:val="17"/>
                <w:lang w:eastAsia="fr-CA"/>
              </w:rPr>
              <w:t xml:space="preserve">shippers. </w:t>
            </w:r>
            <w:r w:rsidR="009B0E7A">
              <w:rPr>
                <w:sz w:val="17"/>
                <w:szCs w:val="17"/>
              </w:rPr>
              <w:t xml:space="preserve">Provision has therefore been made for </w:t>
            </w:r>
            <w:r w:rsidR="00422C25">
              <w:rPr>
                <w:sz w:val="17"/>
                <w:szCs w:val="17"/>
              </w:rPr>
              <w:t xml:space="preserve">this under </w:t>
            </w:r>
            <w:r w:rsidR="009B0E7A">
              <w:rPr>
                <w:sz w:val="17"/>
                <w:szCs w:val="17"/>
              </w:rPr>
              <w:t>options 3A and 3B.</w:t>
            </w:r>
          </w:p>
        </w:tc>
        <w:tc>
          <w:tcPr>
            <w:tcW w:w="1550" w:type="pct"/>
          </w:tcPr>
          <w:p w14:paraId="11A12B39" w14:textId="77777777" w:rsidR="00A86994" w:rsidRDefault="00A86994" w:rsidP="00A86994">
            <w:pPr>
              <w:pStyle w:val="BodyText"/>
              <w:spacing w:before="0" w:after="0" w:line="252" w:lineRule="auto"/>
              <w:rPr>
                <w:i/>
                <w:iCs/>
                <w:sz w:val="17"/>
                <w:szCs w:val="17"/>
              </w:rPr>
            </w:pPr>
            <w:r w:rsidRPr="00FE5783">
              <w:rPr>
                <w:rFonts w:asciiTheme="majorHAnsi" w:hAnsiTheme="majorHAnsi" w:cstheme="majorHAnsi"/>
                <w:i/>
                <w:iCs/>
                <w:sz w:val="17"/>
                <w:szCs w:val="17"/>
                <w:lang w:eastAsia="fr-CA"/>
              </w:rPr>
              <w:lastRenderedPageBreak/>
              <w:t xml:space="preserve">Under options 3A and 3B there would be a </w:t>
            </w:r>
            <w:r w:rsidRPr="00FE5783">
              <w:rPr>
                <w:i/>
                <w:iCs/>
                <w:sz w:val="17"/>
                <w:szCs w:val="17"/>
              </w:rPr>
              <w:t xml:space="preserve">single negotiation </w:t>
            </w:r>
            <w:r w:rsidRPr="00FA3CE5">
              <w:rPr>
                <w:i/>
                <w:iCs/>
                <w:sz w:val="17"/>
                <w:szCs w:val="17"/>
              </w:rPr>
              <w:t xml:space="preserve">framework that would apply </w:t>
            </w:r>
            <w:r w:rsidR="007A0B37">
              <w:rPr>
                <w:i/>
                <w:iCs/>
                <w:sz w:val="17"/>
                <w:szCs w:val="17"/>
              </w:rPr>
              <w:t xml:space="preserve">under </w:t>
            </w:r>
            <w:r w:rsidRPr="00FA3CE5">
              <w:rPr>
                <w:i/>
                <w:iCs/>
                <w:sz w:val="17"/>
                <w:szCs w:val="17"/>
              </w:rPr>
              <w:t xml:space="preserve">both the stronger and lighter forms of regulation and would operate as follows: </w:t>
            </w:r>
          </w:p>
          <w:p w14:paraId="6F03DBAF" w14:textId="77777777" w:rsidR="005F1D8F" w:rsidRPr="00E41317" w:rsidRDefault="005F1D8F" w:rsidP="000A3668">
            <w:pPr>
              <w:pStyle w:val="BodyText"/>
              <w:numPr>
                <w:ilvl w:val="2"/>
                <w:numId w:val="154"/>
              </w:numPr>
              <w:tabs>
                <w:tab w:val="left" w:pos="423"/>
              </w:tabs>
              <w:spacing w:before="0" w:after="20" w:line="252" w:lineRule="auto"/>
              <w:ind w:left="442" w:hanging="357"/>
              <w:rPr>
                <w:i/>
                <w:iCs/>
                <w:sz w:val="17"/>
                <w:szCs w:val="17"/>
              </w:rPr>
            </w:pPr>
            <w:r w:rsidRPr="00E41317">
              <w:rPr>
                <w:i/>
                <w:iCs/>
                <w:sz w:val="17"/>
                <w:szCs w:val="17"/>
              </w:rPr>
              <w:t xml:space="preserve">all service providers </w:t>
            </w:r>
            <w:r>
              <w:rPr>
                <w:i/>
                <w:iCs/>
                <w:sz w:val="17"/>
                <w:szCs w:val="17"/>
              </w:rPr>
              <w:t xml:space="preserve">would be required </w:t>
            </w:r>
            <w:r w:rsidRPr="00E41317">
              <w:rPr>
                <w:i/>
                <w:iCs/>
                <w:sz w:val="17"/>
                <w:szCs w:val="17"/>
              </w:rPr>
              <w:t xml:space="preserve">to publish a user access guide; </w:t>
            </w:r>
          </w:p>
          <w:p w14:paraId="020FA856" w14:textId="77777777" w:rsidR="005F1D8F" w:rsidRPr="00E41317" w:rsidRDefault="005F1D8F" w:rsidP="000A3668">
            <w:pPr>
              <w:pStyle w:val="BodyText"/>
              <w:numPr>
                <w:ilvl w:val="2"/>
                <w:numId w:val="154"/>
              </w:numPr>
              <w:tabs>
                <w:tab w:val="left" w:pos="423"/>
              </w:tabs>
              <w:spacing w:before="0" w:after="20" w:line="252" w:lineRule="auto"/>
              <w:ind w:left="442" w:hanging="357"/>
              <w:rPr>
                <w:i/>
                <w:iCs/>
                <w:sz w:val="17"/>
                <w:szCs w:val="17"/>
              </w:rPr>
            </w:pPr>
            <w:r>
              <w:rPr>
                <w:i/>
                <w:iCs/>
                <w:sz w:val="17"/>
                <w:szCs w:val="17"/>
              </w:rPr>
              <w:t xml:space="preserve">the preliminary enquiry process would be retained but </w:t>
            </w:r>
            <w:r w:rsidRPr="00E41317">
              <w:rPr>
                <w:i/>
                <w:iCs/>
                <w:sz w:val="17"/>
                <w:szCs w:val="17"/>
              </w:rPr>
              <w:t xml:space="preserve">modified </w:t>
            </w:r>
            <w:r>
              <w:rPr>
                <w:i/>
                <w:iCs/>
                <w:sz w:val="17"/>
                <w:szCs w:val="17"/>
              </w:rPr>
              <w:t xml:space="preserve">in the manner </w:t>
            </w:r>
            <w:r w:rsidRPr="00E41317">
              <w:rPr>
                <w:i/>
                <w:iCs/>
                <w:sz w:val="17"/>
                <w:szCs w:val="17"/>
              </w:rPr>
              <w:t>described;</w:t>
            </w:r>
          </w:p>
          <w:p w14:paraId="2DB9A41D" w14:textId="77777777" w:rsidR="005F1D8F" w:rsidRPr="00E41317" w:rsidRDefault="009B3D3C" w:rsidP="000A3668">
            <w:pPr>
              <w:pStyle w:val="BodyText"/>
              <w:numPr>
                <w:ilvl w:val="2"/>
                <w:numId w:val="154"/>
              </w:numPr>
              <w:tabs>
                <w:tab w:val="left" w:pos="423"/>
              </w:tabs>
              <w:spacing w:before="0" w:after="20" w:line="252" w:lineRule="auto"/>
              <w:ind w:left="442" w:hanging="357"/>
              <w:rPr>
                <w:i/>
                <w:iCs/>
                <w:sz w:val="17"/>
                <w:szCs w:val="17"/>
              </w:rPr>
            </w:pPr>
            <w:r>
              <w:rPr>
                <w:i/>
                <w:iCs/>
                <w:sz w:val="17"/>
                <w:szCs w:val="17"/>
              </w:rPr>
              <w:t xml:space="preserve">the timeframes for </w:t>
            </w:r>
            <w:r w:rsidR="005F1D8F" w:rsidRPr="00E41317">
              <w:rPr>
                <w:i/>
                <w:iCs/>
                <w:sz w:val="17"/>
                <w:szCs w:val="17"/>
              </w:rPr>
              <w:t>initial response</w:t>
            </w:r>
            <w:r>
              <w:rPr>
                <w:i/>
                <w:iCs/>
                <w:sz w:val="17"/>
                <w:szCs w:val="17"/>
              </w:rPr>
              <w:t>s</w:t>
            </w:r>
            <w:r w:rsidR="005F1D8F" w:rsidRPr="00E41317">
              <w:rPr>
                <w:i/>
                <w:iCs/>
                <w:sz w:val="17"/>
                <w:szCs w:val="17"/>
              </w:rPr>
              <w:t>, access offer</w:t>
            </w:r>
            <w:r>
              <w:rPr>
                <w:i/>
                <w:iCs/>
                <w:sz w:val="17"/>
                <w:szCs w:val="17"/>
              </w:rPr>
              <w:t>s</w:t>
            </w:r>
            <w:r w:rsidR="005F1D8F" w:rsidRPr="00E41317">
              <w:rPr>
                <w:i/>
                <w:iCs/>
                <w:sz w:val="17"/>
                <w:szCs w:val="17"/>
              </w:rPr>
              <w:t xml:space="preserve"> and negotiation</w:t>
            </w:r>
            <w:r w:rsidR="00FF7CA2">
              <w:rPr>
                <w:i/>
                <w:iCs/>
                <w:sz w:val="17"/>
                <w:szCs w:val="17"/>
              </w:rPr>
              <w:t xml:space="preserve">s </w:t>
            </w:r>
            <w:r>
              <w:rPr>
                <w:i/>
                <w:iCs/>
                <w:sz w:val="17"/>
                <w:szCs w:val="17"/>
              </w:rPr>
              <w:t xml:space="preserve">would be </w:t>
            </w:r>
            <w:r w:rsidR="002556FB">
              <w:rPr>
                <w:i/>
                <w:iCs/>
                <w:sz w:val="17"/>
                <w:szCs w:val="17"/>
              </w:rPr>
              <w:t xml:space="preserve">as described and </w:t>
            </w:r>
            <w:r>
              <w:rPr>
                <w:i/>
                <w:iCs/>
                <w:sz w:val="17"/>
                <w:szCs w:val="17"/>
              </w:rPr>
              <w:t>specified in the rules</w:t>
            </w:r>
            <w:r w:rsidR="005F1D8F" w:rsidRPr="00E41317">
              <w:rPr>
                <w:i/>
                <w:iCs/>
                <w:sz w:val="17"/>
                <w:szCs w:val="17"/>
              </w:rPr>
              <w:t xml:space="preserve">; </w:t>
            </w:r>
          </w:p>
          <w:p w14:paraId="45D9C135" w14:textId="77777777" w:rsidR="00FE5783" w:rsidRDefault="005F1D8F" w:rsidP="000A3668">
            <w:pPr>
              <w:pStyle w:val="BodyText"/>
              <w:numPr>
                <w:ilvl w:val="2"/>
                <w:numId w:val="154"/>
              </w:numPr>
              <w:tabs>
                <w:tab w:val="left" w:pos="423"/>
              </w:tabs>
              <w:spacing w:before="0" w:after="20" w:line="252" w:lineRule="auto"/>
              <w:ind w:left="442" w:hanging="357"/>
              <w:rPr>
                <w:i/>
                <w:iCs/>
                <w:sz w:val="17"/>
                <w:szCs w:val="17"/>
              </w:rPr>
            </w:pPr>
            <w:r w:rsidRPr="00E41317">
              <w:rPr>
                <w:i/>
                <w:iCs/>
                <w:sz w:val="17"/>
                <w:szCs w:val="17"/>
              </w:rPr>
              <w:t xml:space="preserve">shippers </w:t>
            </w:r>
            <w:r w:rsidR="009B3D3C">
              <w:rPr>
                <w:i/>
                <w:iCs/>
                <w:sz w:val="17"/>
                <w:szCs w:val="17"/>
              </w:rPr>
              <w:t xml:space="preserve">would be able </w:t>
            </w:r>
            <w:r w:rsidRPr="00E41317">
              <w:rPr>
                <w:i/>
                <w:iCs/>
                <w:sz w:val="17"/>
                <w:szCs w:val="17"/>
              </w:rPr>
              <w:t>to obtain information from service providers during negotiations</w:t>
            </w:r>
            <w:r w:rsidR="009B3D3C">
              <w:rPr>
                <w:i/>
                <w:iCs/>
                <w:sz w:val="17"/>
                <w:szCs w:val="17"/>
              </w:rPr>
              <w:t xml:space="preserve"> in the same way that they can under Part 23</w:t>
            </w:r>
            <w:r w:rsidRPr="00E41317">
              <w:rPr>
                <w:i/>
                <w:iCs/>
                <w:sz w:val="17"/>
                <w:szCs w:val="17"/>
              </w:rPr>
              <w:t xml:space="preserve"> </w:t>
            </w:r>
            <w:r w:rsidR="00FF7CA2">
              <w:rPr>
                <w:i/>
                <w:iCs/>
                <w:sz w:val="17"/>
                <w:szCs w:val="17"/>
              </w:rPr>
              <w:t>and</w:t>
            </w:r>
            <w:r w:rsidR="00D454BD">
              <w:rPr>
                <w:i/>
                <w:iCs/>
                <w:sz w:val="17"/>
                <w:szCs w:val="17"/>
              </w:rPr>
              <w:t xml:space="preserve"> </w:t>
            </w:r>
            <w:r w:rsidRPr="00E41317">
              <w:rPr>
                <w:i/>
                <w:iCs/>
                <w:sz w:val="17"/>
                <w:szCs w:val="17"/>
              </w:rPr>
              <w:t xml:space="preserve">the access information standard </w:t>
            </w:r>
            <w:r w:rsidR="003A01BB">
              <w:rPr>
                <w:i/>
                <w:iCs/>
                <w:sz w:val="17"/>
                <w:szCs w:val="17"/>
              </w:rPr>
              <w:t xml:space="preserve">would </w:t>
            </w:r>
            <w:r w:rsidRPr="00E41317">
              <w:rPr>
                <w:i/>
                <w:iCs/>
                <w:sz w:val="17"/>
                <w:szCs w:val="17"/>
              </w:rPr>
              <w:t>apply to any information provided by a service provider</w:t>
            </w:r>
            <w:r>
              <w:rPr>
                <w:i/>
                <w:iCs/>
                <w:sz w:val="17"/>
                <w:szCs w:val="17"/>
              </w:rPr>
              <w:t xml:space="preserve"> in response to a preliminary enquiry or formal access request and during negotiations</w:t>
            </w:r>
            <w:r w:rsidR="00D454BD">
              <w:rPr>
                <w:i/>
                <w:iCs/>
                <w:sz w:val="17"/>
                <w:szCs w:val="17"/>
              </w:rPr>
              <w:t>; and</w:t>
            </w:r>
          </w:p>
          <w:p w14:paraId="4DD5E279" w14:textId="014C4B6F" w:rsidR="00D454BD" w:rsidRPr="00811F91" w:rsidRDefault="00D454BD" w:rsidP="000A3668">
            <w:pPr>
              <w:pStyle w:val="BodyText"/>
              <w:numPr>
                <w:ilvl w:val="2"/>
                <w:numId w:val="154"/>
              </w:numPr>
              <w:tabs>
                <w:tab w:val="left" w:pos="423"/>
              </w:tabs>
              <w:spacing w:before="0" w:after="20" w:line="252" w:lineRule="auto"/>
              <w:ind w:left="442" w:hanging="357"/>
              <w:rPr>
                <w:i/>
                <w:iCs/>
                <w:sz w:val="17"/>
                <w:szCs w:val="17"/>
              </w:rPr>
            </w:pPr>
            <w:r>
              <w:rPr>
                <w:i/>
                <w:iCs/>
                <w:sz w:val="17"/>
                <w:szCs w:val="17"/>
              </w:rPr>
              <w:t>the access dispute trigger would be as described and specified in the NGL or NGR</w:t>
            </w:r>
            <w:r w:rsidR="00471E01">
              <w:rPr>
                <w:i/>
                <w:iCs/>
                <w:sz w:val="17"/>
                <w:szCs w:val="17"/>
              </w:rPr>
              <w:t xml:space="preserve"> (see Box 8.2)</w:t>
            </w:r>
            <w:r>
              <w:rPr>
                <w:i/>
                <w:iCs/>
                <w:sz w:val="17"/>
                <w:szCs w:val="17"/>
              </w:rPr>
              <w:t>.</w:t>
            </w:r>
          </w:p>
        </w:tc>
      </w:tr>
      <w:tr w:rsidR="0023428B" w:rsidRPr="00960823" w14:paraId="2FD24E30" w14:textId="77777777" w:rsidTr="00490822">
        <w:trPr>
          <w:cnfStyle w:val="000000010000" w:firstRow="0" w:lastRow="0" w:firstColumn="0" w:lastColumn="0" w:oddVBand="0" w:evenVBand="0" w:oddHBand="0" w:evenHBand="1" w:firstRowFirstColumn="0" w:firstRowLastColumn="0" w:lastRowFirstColumn="0" w:lastRowLastColumn="0"/>
        </w:trPr>
        <w:tc>
          <w:tcPr>
            <w:tcW w:w="369" w:type="pct"/>
          </w:tcPr>
          <w:p w14:paraId="326879EB" w14:textId="77777777" w:rsidR="0023428B" w:rsidRPr="00662DAB" w:rsidRDefault="0023428B" w:rsidP="00857981">
            <w:pPr>
              <w:pStyle w:val="TableBodyText"/>
              <w:spacing w:before="0" w:after="120" w:line="252" w:lineRule="auto"/>
              <w:rPr>
                <w:rFonts w:asciiTheme="majorHAnsi" w:hAnsiTheme="majorHAnsi" w:cstheme="majorHAnsi"/>
                <w:sz w:val="17"/>
                <w:szCs w:val="17"/>
              </w:rPr>
            </w:pPr>
            <w:r w:rsidRPr="00662DAB">
              <w:rPr>
                <w:rFonts w:asciiTheme="majorHAnsi" w:hAnsiTheme="majorHAnsi" w:cstheme="majorHAnsi"/>
                <w:sz w:val="17"/>
                <w:szCs w:val="17"/>
              </w:rPr>
              <w:t xml:space="preserve">Credibility of the threat of arbitration </w:t>
            </w:r>
            <w:r w:rsidRPr="00662DAB">
              <w:rPr>
                <w:rFonts w:asciiTheme="majorHAnsi" w:hAnsiTheme="majorHAnsi" w:cstheme="majorHAnsi"/>
                <w:sz w:val="17"/>
                <w:szCs w:val="17"/>
              </w:rPr>
              <w:lastRenderedPageBreak/>
              <w:t>by smaller shippers</w:t>
            </w:r>
          </w:p>
        </w:tc>
        <w:tc>
          <w:tcPr>
            <w:tcW w:w="3081" w:type="pct"/>
          </w:tcPr>
          <w:p w14:paraId="6D1A04DC" w14:textId="66FDDB9D" w:rsidR="0023428B" w:rsidRPr="00662DAB" w:rsidRDefault="0023428B" w:rsidP="00857981">
            <w:pPr>
              <w:pStyle w:val="TableBullet10"/>
              <w:numPr>
                <w:ilvl w:val="0"/>
                <w:numId w:val="0"/>
              </w:numPr>
              <w:spacing w:before="0" w:after="120" w:line="252" w:lineRule="auto"/>
              <w:ind w:left="85"/>
              <w:rPr>
                <w:sz w:val="17"/>
                <w:szCs w:val="17"/>
              </w:rPr>
            </w:pPr>
            <w:r w:rsidRPr="00CD165F">
              <w:rPr>
                <w:rFonts w:asciiTheme="majorHAnsi" w:hAnsiTheme="majorHAnsi" w:cstheme="majorHAnsi"/>
                <w:sz w:val="16"/>
                <w:szCs w:val="16"/>
              </w:rPr>
              <w:lastRenderedPageBreak/>
              <w:t xml:space="preserve">As </w:t>
            </w:r>
            <w:r w:rsidRPr="00CD165F">
              <w:rPr>
                <w:sz w:val="16"/>
                <w:szCs w:val="16"/>
              </w:rPr>
              <w:fldChar w:fldCharType="begin" w:fldLock="1"/>
            </w:r>
            <w:r w:rsidRPr="00CD165F">
              <w:rPr>
                <w:sz w:val="16"/>
                <w:szCs w:val="16"/>
              </w:rPr>
              <w:instrText xml:space="preserve"> REF _Ref52943655 \h </w:instrText>
            </w:r>
            <w:r>
              <w:rPr>
                <w:sz w:val="16"/>
                <w:szCs w:val="16"/>
              </w:rPr>
              <w:instrText xml:space="preserve"> \* MERGEFORMAT </w:instrText>
            </w:r>
            <w:r w:rsidRPr="00CD165F">
              <w:rPr>
                <w:sz w:val="16"/>
                <w:szCs w:val="16"/>
              </w:rPr>
            </w:r>
            <w:r w:rsidRPr="00CD165F">
              <w:rPr>
                <w:sz w:val="16"/>
                <w:szCs w:val="16"/>
              </w:rPr>
              <w:fldChar w:fldCharType="separate"/>
            </w:r>
            <w:r w:rsidR="00036405" w:rsidRPr="00036405">
              <w:rPr>
                <w:sz w:val="16"/>
                <w:szCs w:val="16"/>
              </w:rPr>
              <w:t xml:space="preserve">Table </w:t>
            </w:r>
            <w:r w:rsidR="00036405" w:rsidRPr="00036405">
              <w:rPr>
                <w:noProof/>
                <w:sz w:val="16"/>
                <w:szCs w:val="16"/>
              </w:rPr>
              <w:t>7.4</w:t>
            </w:r>
            <w:r w:rsidRPr="00CD165F">
              <w:rPr>
                <w:sz w:val="16"/>
                <w:szCs w:val="16"/>
              </w:rPr>
              <w:fldChar w:fldCharType="end"/>
            </w:r>
            <w:r w:rsidRPr="00CD165F">
              <w:rPr>
                <w:sz w:val="16"/>
                <w:szCs w:val="16"/>
              </w:rPr>
              <w:t xml:space="preserve"> shows,</w:t>
            </w:r>
            <w:r>
              <w:t xml:space="preserve"> </w:t>
            </w:r>
            <w:r w:rsidRPr="00662DAB">
              <w:rPr>
                <w:rFonts w:asciiTheme="majorHAnsi" w:hAnsiTheme="majorHAnsi" w:cstheme="majorHAnsi"/>
                <w:sz w:val="17"/>
                <w:szCs w:val="17"/>
              </w:rPr>
              <w:t xml:space="preserve">most stakeholders agreed that the </w:t>
            </w:r>
            <w:r w:rsidRPr="00662DAB">
              <w:rPr>
                <w:sz w:val="17"/>
                <w:szCs w:val="17"/>
              </w:rPr>
              <w:t>credibility of the threat of arbitration by smaller shippers should be improved by amending the cost provisions and allowing user associations to intervene</w:t>
            </w:r>
            <w:r>
              <w:rPr>
                <w:sz w:val="17"/>
                <w:szCs w:val="17"/>
              </w:rPr>
              <w:t xml:space="preserve"> in arbitral proceedings if requested by a smaller shipper</w:t>
            </w:r>
            <w:r w:rsidRPr="00662DAB">
              <w:rPr>
                <w:sz w:val="17"/>
                <w:szCs w:val="17"/>
              </w:rPr>
              <w:t xml:space="preserve">. Mixed views were, however, expressed about the potential for the regulator to act as an arbitrator in disputes involving smaller shippers on pipelines subject to the lighter form of regulation.  Further consideration has therefore been given to this proposal. </w:t>
            </w:r>
          </w:p>
          <w:p w14:paraId="1A39599F" w14:textId="77777777" w:rsidR="0008059C" w:rsidRDefault="0023428B" w:rsidP="006B0FE1">
            <w:pPr>
              <w:pStyle w:val="TableBullet10"/>
              <w:numPr>
                <w:ilvl w:val="0"/>
                <w:numId w:val="0"/>
              </w:numPr>
              <w:spacing w:before="0" w:after="40" w:line="252" w:lineRule="auto"/>
              <w:ind w:left="85"/>
              <w:rPr>
                <w:sz w:val="17"/>
                <w:szCs w:val="17"/>
              </w:rPr>
            </w:pPr>
            <w:r w:rsidRPr="00662DAB">
              <w:rPr>
                <w:sz w:val="17"/>
                <w:szCs w:val="17"/>
              </w:rPr>
              <w:lastRenderedPageBreak/>
              <w:t xml:space="preserve">As the AER, ACCC and some other stakeholders observed, allowing the relevant regulator to act as an arbitrator in these disputes would constitute a departure from the commercial nature of the arbitration mechanism that would apply under the new lighter form of regulation. It could also give rise to some conflicts for the regulator. Consideration has therefore been given to the ACCC’s suggestion that smaller shippers using pipelines subject to the new lighter form of regulation have the option to go to mediation. </w:t>
            </w:r>
            <w:r>
              <w:rPr>
                <w:sz w:val="17"/>
                <w:szCs w:val="17"/>
              </w:rPr>
              <w:t xml:space="preserve">However, rather than the regulator acting as mediator (as proposed by the ACCC), </w:t>
            </w:r>
            <w:r w:rsidR="007A28A6">
              <w:rPr>
                <w:sz w:val="17"/>
                <w:szCs w:val="17"/>
              </w:rPr>
              <w:t>it has been assumed that</w:t>
            </w:r>
            <w:r w:rsidR="0008059C">
              <w:rPr>
                <w:sz w:val="17"/>
                <w:szCs w:val="17"/>
              </w:rPr>
              <w:t>:</w:t>
            </w:r>
            <w:r w:rsidR="007A28A6">
              <w:rPr>
                <w:sz w:val="17"/>
                <w:szCs w:val="17"/>
              </w:rPr>
              <w:t xml:space="preserve"> </w:t>
            </w:r>
          </w:p>
          <w:p w14:paraId="252FD93E" w14:textId="46771968" w:rsidR="0008059C" w:rsidRPr="0008059C" w:rsidRDefault="0023428B" w:rsidP="0008059C">
            <w:pPr>
              <w:pStyle w:val="TableBullet10"/>
              <w:rPr>
                <w:sz w:val="17"/>
                <w:szCs w:val="17"/>
              </w:rPr>
            </w:pPr>
            <w:r w:rsidRPr="0008059C">
              <w:rPr>
                <w:sz w:val="17"/>
                <w:szCs w:val="17"/>
              </w:rPr>
              <w:t xml:space="preserve">the regulator would </w:t>
            </w:r>
            <w:r w:rsidR="007A28A6" w:rsidRPr="0008059C">
              <w:rPr>
                <w:sz w:val="17"/>
                <w:szCs w:val="17"/>
              </w:rPr>
              <w:t xml:space="preserve">appoint </w:t>
            </w:r>
            <w:r w:rsidRPr="0008059C">
              <w:rPr>
                <w:sz w:val="17"/>
                <w:szCs w:val="17"/>
              </w:rPr>
              <w:t xml:space="preserve">an independent party to act as mediator in a </w:t>
            </w:r>
            <w:r w:rsidRPr="0008059C">
              <w:rPr>
                <w:i/>
                <w:iCs/>
                <w:sz w:val="17"/>
                <w:szCs w:val="17"/>
              </w:rPr>
              <w:t>compulsory but non-binding</w:t>
            </w:r>
            <w:r w:rsidR="00370905">
              <w:rPr>
                <w:rFonts w:ascii="ZWAdobeF" w:hAnsi="ZWAdobeF" w:cs="ZWAdobeF"/>
                <w:iCs/>
                <w:sz w:val="2"/>
                <w:szCs w:val="2"/>
              </w:rPr>
              <w:t>170F</w:t>
            </w:r>
            <w:r w:rsidRPr="0008059C">
              <w:rPr>
                <w:rStyle w:val="FootnoteReference"/>
                <w:i/>
                <w:iCs/>
                <w:sz w:val="17"/>
                <w:szCs w:val="17"/>
              </w:rPr>
              <w:footnoteReference w:id="172"/>
            </w:r>
            <w:r w:rsidRPr="0008059C">
              <w:rPr>
                <w:i/>
                <w:iCs/>
                <w:sz w:val="17"/>
                <w:szCs w:val="17"/>
              </w:rPr>
              <w:t xml:space="preserve"> </w:t>
            </w:r>
            <w:r w:rsidRPr="0008059C">
              <w:rPr>
                <w:sz w:val="17"/>
                <w:szCs w:val="17"/>
              </w:rPr>
              <w:t>mediation</w:t>
            </w:r>
            <w:r w:rsidR="0008059C" w:rsidRPr="0008059C">
              <w:rPr>
                <w:sz w:val="17"/>
                <w:szCs w:val="17"/>
              </w:rPr>
              <w:t xml:space="preserve"> to avoid any perceived conflicts;</w:t>
            </w:r>
            <w:r w:rsidR="00370905">
              <w:rPr>
                <w:rFonts w:ascii="ZWAdobeF" w:hAnsi="ZWAdobeF" w:cs="ZWAdobeF"/>
                <w:sz w:val="2"/>
                <w:szCs w:val="2"/>
              </w:rPr>
              <w:t>171F</w:t>
            </w:r>
            <w:r w:rsidRPr="0008059C">
              <w:rPr>
                <w:rStyle w:val="FootnoteReference"/>
                <w:sz w:val="17"/>
                <w:szCs w:val="17"/>
              </w:rPr>
              <w:footnoteReference w:id="173"/>
            </w:r>
            <w:r w:rsidRPr="0008059C">
              <w:rPr>
                <w:sz w:val="17"/>
                <w:szCs w:val="17"/>
                <w:vertAlign w:val="superscript"/>
              </w:rPr>
              <w:t>,</w:t>
            </w:r>
            <w:r w:rsidR="00370905">
              <w:rPr>
                <w:rFonts w:ascii="ZWAdobeF" w:hAnsi="ZWAdobeF" w:cs="ZWAdobeF"/>
                <w:sz w:val="2"/>
                <w:szCs w:val="2"/>
              </w:rPr>
              <w:t>172F</w:t>
            </w:r>
            <w:r w:rsidRPr="0008059C">
              <w:rPr>
                <w:rStyle w:val="FootnoteReference"/>
                <w:sz w:val="17"/>
                <w:szCs w:val="17"/>
              </w:rPr>
              <w:footnoteReference w:id="174"/>
            </w:r>
            <w:r w:rsidRPr="0008059C">
              <w:rPr>
                <w:sz w:val="17"/>
                <w:szCs w:val="17"/>
              </w:rPr>
              <w:t xml:space="preserve"> </w:t>
            </w:r>
            <w:r w:rsidR="0008059C" w:rsidRPr="0008059C">
              <w:rPr>
                <w:sz w:val="17"/>
                <w:szCs w:val="17"/>
              </w:rPr>
              <w:t>and</w:t>
            </w:r>
          </w:p>
          <w:p w14:paraId="37ADE702" w14:textId="77777777" w:rsidR="0023428B" w:rsidRPr="0008059C" w:rsidRDefault="0008059C" w:rsidP="0008059C">
            <w:pPr>
              <w:pStyle w:val="TableBullet10"/>
              <w:rPr>
                <w:sz w:val="17"/>
                <w:szCs w:val="17"/>
              </w:rPr>
            </w:pPr>
            <w:r w:rsidRPr="0008059C">
              <w:rPr>
                <w:sz w:val="17"/>
                <w:szCs w:val="17"/>
              </w:rPr>
              <w:t xml:space="preserve">the </w:t>
            </w:r>
            <w:r w:rsidR="0023428B" w:rsidRPr="0008059C">
              <w:rPr>
                <w:sz w:val="17"/>
                <w:szCs w:val="17"/>
              </w:rPr>
              <w:t xml:space="preserve">mediator would be required to report back to the regulator on the outcomes of the mediation, which could then be used to inform </w:t>
            </w:r>
            <w:r w:rsidRPr="0008059C">
              <w:rPr>
                <w:sz w:val="17"/>
                <w:szCs w:val="17"/>
              </w:rPr>
              <w:t xml:space="preserve">the regulator’s </w:t>
            </w:r>
            <w:r w:rsidR="0023428B" w:rsidRPr="0008059C">
              <w:rPr>
                <w:sz w:val="17"/>
                <w:szCs w:val="17"/>
              </w:rPr>
              <w:t xml:space="preserve">monitoring and referral functions. </w:t>
            </w:r>
          </w:p>
          <w:p w14:paraId="2583F625" w14:textId="77777777" w:rsidR="0023428B" w:rsidRPr="00662DAB" w:rsidRDefault="0023428B" w:rsidP="00857981">
            <w:pPr>
              <w:tabs>
                <w:tab w:val="left" w:pos="2268"/>
                <w:tab w:val="left" w:pos="4536"/>
                <w:tab w:val="left" w:pos="6804"/>
                <w:tab w:val="right" w:pos="9638"/>
              </w:tabs>
              <w:spacing w:after="20" w:line="252" w:lineRule="auto"/>
              <w:rPr>
                <w:rFonts w:cstheme="minorHAnsi"/>
                <w:sz w:val="17"/>
                <w:szCs w:val="17"/>
              </w:rPr>
            </w:pPr>
            <w:r w:rsidRPr="00662DAB">
              <w:rPr>
                <w:rFonts w:cstheme="minorHAnsi"/>
                <w:sz w:val="17"/>
                <w:szCs w:val="17"/>
              </w:rPr>
              <w:t xml:space="preserve">Including this type of mechanism in the regulatory framework is expected to strengthen the position of smaller shippers in their negotiations on pipelines subject to the lighter form of regulation, because: </w:t>
            </w:r>
          </w:p>
          <w:p w14:paraId="5286A8AE" w14:textId="77777777" w:rsidR="0023428B" w:rsidRPr="00662DAB" w:rsidRDefault="0023428B" w:rsidP="00857981">
            <w:pPr>
              <w:pStyle w:val="TableBullet10"/>
              <w:spacing w:before="20" w:after="20" w:line="252" w:lineRule="auto"/>
              <w:rPr>
                <w:sz w:val="17"/>
                <w:szCs w:val="17"/>
              </w:rPr>
            </w:pPr>
            <w:r w:rsidRPr="00662DAB">
              <w:rPr>
                <w:sz w:val="17"/>
                <w:szCs w:val="17"/>
              </w:rPr>
              <w:t xml:space="preserve">the threat of </w:t>
            </w:r>
            <w:r>
              <w:rPr>
                <w:sz w:val="17"/>
                <w:szCs w:val="17"/>
              </w:rPr>
              <w:t xml:space="preserve">intervention by a third party </w:t>
            </w:r>
            <w:r w:rsidRPr="00662DAB">
              <w:rPr>
                <w:sz w:val="17"/>
                <w:szCs w:val="17"/>
              </w:rPr>
              <w:t xml:space="preserve">will be more credible (i.e. because the costs associated with mediation are </w:t>
            </w:r>
            <w:r w:rsidR="006C09AD">
              <w:rPr>
                <w:sz w:val="17"/>
                <w:szCs w:val="17"/>
              </w:rPr>
              <w:t>usually</w:t>
            </w:r>
            <w:r w:rsidRPr="00662DAB">
              <w:rPr>
                <w:sz w:val="17"/>
                <w:szCs w:val="17"/>
              </w:rPr>
              <w:t xml:space="preserve"> lower than the costs associated with arbitrations); and</w:t>
            </w:r>
          </w:p>
          <w:p w14:paraId="130200BE" w14:textId="77777777" w:rsidR="0023428B" w:rsidRPr="00662DAB" w:rsidRDefault="0023428B" w:rsidP="00857981">
            <w:pPr>
              <w:pStyle w:val="TableBullet10"/>
              <w:spacing w:before="20" w:after="20" w:line="252" w:lineRule="auto"/>
              <w:rPr>
                <w:sz w:val="17"/>
                <w:szCs w:val="17"/>
              </w:rPr>
            </w:pPr>
            <w:r w:rsidRPr="00662DAB">
              <w:rPr>
                <w:sz w:val="17"/>
                <w:szCs w:val="17"/>
              </w:rPr>
              <w:t xml:space="preserve">the threat of the relevant regulator being informed of the dispute is expected to pose more of a constraint on the behaviour of service providers in their negotiations with smaller shippers, because the relevant regulator </w:t>
            </w:r>
            <w:r>
              <w:rPr>
                <w:sz w:val="17"/>
                <w:szCs w:val="17"/>
              </w:rPr>
              <w:t xml:space="preserve">is </w:t>
            </w:r>
            <w:r w:rsidRPr="00662DAB">
              <w:rPr>
                <w:sz w:val="17"/>
                <w:szCs w:val="17"/>
              </w:rPr>
              <w:t xml:space="preserve">expected to monitor the behaviour of service providers and </w:t>
            </w:r>
            <w:r>
              <w:rPr>
                <w:sz w:val="17"/>
                <w:szCs w:val="17"/>
              </w:rPr>
              <w:t xml:space="preserve">to </w:t>
            </w:r>
            <w:r w:rsidRPr="00662DAB">
              <w:rPr>
                <w:sz w:val="17"/>
                <w:szCs w:val="17"/>
              </w:rPr>
              <w:t xml:space="preserve">refer pipelines for a form of regulation assessment if it suspects market power is being exercised. </w:t>
            </w:r>
          </w:p>
          <w:p w14:paraId="4EE33138" w14:textId="77777777" w:rsidR="0023428B" w:rsidRPr="00D454BD" w:rsidRDefault="0023428B" w:rsidP="00D454BD">
            <w:pPr>
              <w:tabs>
                <w:tab w:val="left" w:pos="2268"/>
                <w:tab w:val="left" w:pos="4536"/>
                <w:tab w:val="left" w:pos="6804"/>
                <w:tab w:val="right" w:pos="9638"/>
              </w:tabs>
              <w:spacing w:line="252" w:lineRule="auto"/>
              <w:rPr>
                <w:rFonts w:cs="Arial"/>
                <w:sz w:val="17"/>
                <w:szCs w:val="17"/>
              </w:rPr>
            </w:pPr>
            <w:r w:rsidRPr="00662DAB">
              <w:rPr>
                <w:rFonts w:cs="Arial"/>
                <w:sz w:val="17"/>
                <w:szCs w:val="17"/>
              </w:rPr>
              <w:t>Importantly, the smaller shipper may not actually have to proceed to mediation to see a change in the behaviour of service providers</w:t>
            </w:r>
            <w:r w:rsidR="00BA0CB8">
              <w:rPr>
                <w:rFonts w:cs="Arial"/>
                <w:sz w:val="17"/>
                <w:szCs w:val="17"/>
              </w:rPr>
              <w:t xml:space="preserve">. This is </w:t>
            </w:r>
            <w:r w:rsidRPr="00662DAB">
              <w:rPr>
                <w:rFonts w:cs="Arial"/>
                <w:sz w:val="17"/>
                <w:szCs w:val="17"/>
              </w:rPr>
              <w:t xml:space="preserve">because the </w:t>
            </w:r>
            <w:r w:rsidRPr="00662DAB">
              <w:rPr>
                <w:rFonts w:cs="Arial"/>
                <w:i/>
                <w:iCs/>
                <w:sz w:val="17"/>
                <w:szCs w:val="17"/>
              </w:rPr>
              <w:t>threat</w:t>
            </w:r>
            <w:r w:rsidRPr="00662DAB">
              <w:rPr>
                <w:rFonts w:cs="Arial"/>
                <w:sz w:val="17"/>
                <w:szCs w:val="17"/>
              </w:rPr>
              <w:t xml:space="preserve"> of the regulator being informed of the dispute should in most cases be sufficient to pose more of a constraint on the behaviour of service providers</w:t>
            </w:r>
            <w:r w:rsidR="00BA0CB8">
              <w:rPr>
                <w:rFonts w:cs="Arial"/>
                <w:sz w:val="17"/>
                <w:szCs w:val="17"/>
              </w:rPr>
              <w:t xml:space="preserve"> in negotiations</w:t>
            </w:r>
            <w:r w:rsidRPr="00662DAB">
              <w:rPr>
                <w:rFonts w:cs="Arial"/>
                <w:sz w:val="17"/>
                <w:szCs w:val="17"/>
              </w:rPr>
              <w:t>.</w:t>
            </w:r>
            <w:r w:rsidR="006416CE">
              <w:rPr>
                <w:rFonts w:cs="Arial"/>
                <w:sz w:val="17"/>
                <w:szCs w:val="17"/>
              </w:rPr>
              <w:t xml:space="preserve"> Provision has therefore been made for </w:t>
            </w:r>
            <w:r w:rsidR="00156C40">
              <w:rPr>
                <w:rFonts w:cs="Arial"/>
                <w:sz w:val="17"/>
                <w:szCs w:val="17"/>
              </w:rPr>
              <w:t xml:space="preserve">this measure to be included in options 3A and 3B. </w:t>
            </w:r>
          </w:p>
        </w:tc>
        <w:tc>
          <w:tcPr>
            <w:tcW w:w="1550" w:type="pct"/>
          </w:tcPr>
          <w:p w14:paraId="7CE41405" w14:textId="62168884" w:rsidR="00D454BD" w:rsidRPr="00662DAB" w:rsidRDefault="00422C25" w:rsidP="00D454BD">
            <w:pPr>
              <w:pStyle w:val="TableBullet10"/>
              <w:numPr>
                <w:ilvl w:val="0"/>
                <w:numId w:val="0"/>
              </w:numPr>
              <w:spacing w:after="20" w:line="252" w:lineRule="auto"/>
              <w:ind w:left="85"/>
              <w:rPr>
                <w:rFonts w:asciiTheme="majorHAnsi" w:hAnsiTheme="majorHAnsi" w:cstheme="majorHAnsi"/>
                <w:i/>
                <w:iCs/>
                <w:sz w:val="17"/>
                <w:szCs w:val="17"/>
                <w:lang w:eastAsia="fr-CA"/>
              </w:rPr>
            </w:pPr>
            <w:r>
              <w:rPr>
                <w:rFonts w:asciiTheme="majorHAnsi" w:hAnsiTheme="majorHAnsi" w:cstheme="majorHAnsi"/>
                <w:i/>
                <w:iCs/>
                <w:sz w:val="17"/>
                <w:szCs w:val="17"/>
                <w:lang w:eastAsia="fr-CA"/>
              </w:rPr>
              <w:lastRenderedPageBreak/>
              <w:t>Under o</w:t>
            </w:r>
            <w:r w:rsidR="00D454BD">
              <w:rPr>
                <w:rFonts w:asciiTheme="majorHAnsi" w:hAnsiTheme="majorHAnsi" w:cstheme="majorHAnsi"/>
                <w:i/>
                <w:iCs/>
                <w:sz w:val="17"/>
                <w:szCs w:val="17"/>
                <w:lang w:eastAsia="fr-CA"/>
              </w:rPr>
              <w:t>ptions 3A and 3B t</w:t>
            </w:r>
            <w:r w:rsidR="00D454BD" w:rsidRPr="00662DAB">
              <w:rPr>
                <w:rFonts w:asciiTheme="majorHAnsi" w:hAnsiTheme="majorHAnsi" w:cstheme="majorHAnsi"/>
                <w:i/>
                <w:iCs/>
                <w:sz w:val="17"/>
                <w:szCs w:val="17"/>
                <w:lang w:eastAsia="fr-CA"/>
              </w:rPr>
              <w:t xml:space="preserve">he </w:t>
            </w:r>
            <w:r w:rsidR="00D454BD">
              <w:rPr>
                <w:rFonts w:asciiTheme="majorHAnsi" w:hAnsiTheme="majorHAnsi" w:cstheme="majorHAnsi"/>
                <w:i/>
                <w:iCs/>
                <w:sz w:val="17"/>
                <w:szCs w:val="17"/>
                <w:lang w:eastAsia="fr-CA"/>
              </w:rPr>
              <w:t>negotiation position of smaller shippers</w:t>
            </w:r>
            <w:r w:rsidR="00370905">
              <w:rPr>
                <w:rFonts w:ascii="ZWAdobeF" w:hAnsi="ZWAdobeF" w:cs="ZWAdobeF"/>
                <w:iCs/>
                <w:sz w:val="2"/>
                <w:szCs w:val="2"/>
                <w:lang w:eastAsia="fr-CA"/>
              </w:rPr>
              <w:t>173F</w:t>
            </w:r>
            <w:r w:rsidR="000F2EFF">
              <w:rPr>
                <w:rStyle w:val="FootnoteReference"/>
                <w:rFonts w:asciiTheme="majorHAnsi" w:hAnsiTheme="majorHAnsi" w:cstheme="majorHAnsi"/>
                <w:i/>
                <w:iCs/>
                <w:sz w:val="17"/>
                <w:szCs w:val="17"/>
                <w:lang w:eastAsia="fr-CA"/>
              </w:rPr>
              <w:footnoteReference w:id="175"/>
            </w:r>
            <w:r w:rsidR="00D454BD">
              <w:rPr>
                <w:rFonts w:asciiTheme="majorHAnsi" w:hAnsiTheme="majorHAnsi" w:cstheme="majorHAnsi"/>
                <w:i/>
                <w:iCs/>
                <w:sz w:val="17"/>
                <w:szCs w:val="17"/>
                <w:lang w:eastAsia="fr-CA"/>
              </w:rPr>
              <w:t xml:space="preserve"> </w:t>
            </w:r>
            <w:r w:rsidR="000F2EFF">
              <w:rPr>
                <w:rFonts w:asciiTheme="majorHAnsi" w:hAnsiTheme="majorHAnsi" w:cstheme="majorHAnsi"/>
                <w:i/>
                <w:iCs/>
                <w:sz w:val="17"/>
                <w:szCs w:val="17"/>
                <w:lang w:eastAsia="fr-CA"/>
              </w:rPr>
              <w:t xml:space="preserve">would </w:t>
            </w:r>
            <w:r w:rsidR="00D454BD" w:rsidRPr="00662DAB">
              <w:rPr>
                <w:rFonts w:asciiTheme="majorHAnsi" w:hAnsiTheme="majorHAnsi" w:cstheme="majorHAnsi"/>
                <w:i/>
                <w:iCs/>
                <w:sz w:val="17"/>
                <w:szCs w:val="17"/>
                <w:lang w:eastAsia="fr-CA"/>
              </w:rPr>
              <w:t>be improved by:</w:t>
            </w:r>
          </w:p>
          <w:p w14:paraId="54E10C7C" w14:textId="77777777" w:rsidR="00D454BD" w:rsidRDefault="00D454BD" w:rsidP="000A3668">
            <w:pPr>
              <w:pStyle w:val="TableBullet10"/>
              <w:numPr>
                <w:ilvl w:val="0"/>
                <w:numId w:val="148"/>
              </w:numPr>
              <w:spacing w:before="20" w:after="20" w:line="252" w:lineRule="auto"/>
              <w:ind w:left="442" w:hanging="357"/>
              <w:rPr>
                <w:i/>
                <w:iCs/>
                <w:sz w:val="17"/>
                <w:szCs w:val="17"/>
              </w:rPr>
            </w:pPr>
            <w:r w:rsidRPr="00410E53">
              <w:rPr>
                <w:i/>
                <w:iCs/>
                <w:sz w:val="17"/>
                <w:szCs w:val="17"/>
              </w:rPr>
              <w:t xml:space="preserve">changing </w:t>
            </w:r>
            <w:r>
              <w:rPr>
                <w:i/>
                <w:iCs/>
                <w:sz w:val="17"/>
                <w:szCs w:val="17"/>
              </w:rPr>
              <w:t xml:space="preserve">the </w:t>
            </w:r>
            <w:r w:rsidRPr="00410E53">
              <w:rPr>
                <w:i/>
                <w:iCs/>
                <w:sz w:val="17"/>
                <w:szCs w:val="17"/>
              </w:rPr>
              <w:t>cost provisions to prevent</w:t>
            </w:r>
            <w:r>
              <w:rPr>
                <w:i/>
                <w:iCs/>
                <w:sz w:val="17"/>
                <w:szCs w:val="17"/>
              </w:rPr>
              <w:t xml:space="preserve">: </w:t>
            </w:r>
          </w:p>
          <w:p w14:paraId="58A8D6E0" w14:textId="77777777" w:rsidR="00D454BD" w:rsidRDefault="00D454BD" w:rsidP="00D454BD">
            <w:pPr>
              <w:pStyle w:val="TableBullet10"/>
              <w:numPr>
                <w:ilvl w:val="0"/>
                <w:numId w:val="0"/>
              </w:numPr>
              <w:spacing w:before="20" w:after="20" w:line="252" w:lineRule="auto"/>
              <w:ind w:left="442"/>
              <w:rPr>
                <w:i/>
                <w:iCs/>
                <w:sz w:val="17"/>
                <w:szCs w:val="17"/>
              </w:rPr>
            </w:pPr>
            <w:r>
              <w:rPr>
                <w:i/>
                <w:iCs/>
                <w:sz w:val="17"/>
                <w:szCs w:val="17"/>
              </w:rPr>
              <w:t>(i)</w:t>
            </w:r>
            <w:r w:rsidRPr="00410E53">
              <w:rPr>
                <w:i/>
                <w:iCs/>
                <w:sz w:val="17"/>
                <w:szCs w:val="17"/>
              </w:rPr>
              <w:t xml:space="preserve"> service providers’ costs being awarded against smaller shippers</w:t>
            </w:r>
            <w:r w:rsidR="000F2EFF">
              <w:rPr>
                <w:i/>
                <w:iCs/>
                <w:sz w:val="17"/>
                <w:szCs w:val="17"/>
              </w:rPr>
              <w:t xml:space="preserve"> in disputes</w:t>
            </w:r>
            <w:r>
              <w:rPr>
                <w:i/>
                <w:iCs/>
                <w:sz w:val="17"/>
                <w:szCs w:val="17"/>
              </w:rPr>
              <w:t>;</w:t>
            </w:r>
            <w:r w:rsidRPr="00410E53">
              <w:rPr>
                <w:i/>
                <w:iCs/>
                <w:sz w:val="17"/>
                <w:szCs w:val="17"/>
              </w:rPr>
              <w:t xml:space="preserve"> and </w:t>
            </w:r>
          </w:p>
          <w:p w14:paraId="60482371" w14:textId="77777777" w:rsidR="00D454BD" w:rsidRPr="00410E53" w:rsidRDefault="00D454BD" w:rsidP="00D454BD">
            <w:pPr>
              <w:pStyle w:val="TableBullet10"/>
              <w:numPr>
                <w:ilvl w:val="0"/>
                <w:numId w:val="0"/>
              </w:numPr>
              <w:spacing w:before="20" w:after="20" w:line="252" w:lineRule="auto"/>
              <w:ind w:left="442"/>
              <w:rPr>
                <w:i/>
                <w:iCs/>
                <w:sz w:val="17"/>
                <w:szCs w:val="17"/>
              </w:rPr>
            </w:pPr>
            <w:r>
              <w:rPr>
                <w:i/>
                <w:iCs/>
                <w:sz w:val="17"/>
                <w:szCs w:val="17"/>
              </w:rPr>
              <w:lastRenderedPageBreak/>
              <w:t xml:space="preserve">(ii) </w:t>
            </w:r>
            <w:r w:rsidRPr="00410E53">
              <w:rPr>
                <w:i/>
                <w:iCs/>
                <w:sz w:val="17"/>
                <w:szCs w:val="17"/>
              </w:rPr>
              <w:t>smaller shippers paying more than half the dispute resolution body’s costs;</w:t>
            </w:r>
          </w:p>
          <w:p w14:paraId="4A849E9C" w14:textId="77777777" w:rsidR="00D454BD" w:rsidRPr="00410E53" w:rsidRDefault="00D454BD" w:rsidP="000A3668">
            <w:pPr>
              <w:pStyle w:val="TableBullet10"/>
              <w:numPr>
                <w:ilvl w:val="0"/>
                <w:numId w:val="148"/>
              </w:numPr>
              <w:spacing w:before="20" w:after="20" w:line="252" w:lineRule="auto"/>
              <w:ind w:left="442" w:hanging="357"/>
              <w:rPr>
                <w:i/>
                <w:iCs/>
                <w:sz w:val="17"/>
                <w:szCs w:val="17"/>
              </w:rPr>
            </w:pPr>
            <w:r w:rsidRPr="00410E53">
              <w:rPr>
                <w:i/>
                <w:iCs/>
                <w:sz w:val="17"/>
                <w:szCs w:val="17"/>
              </w:rPr>
              <w:t>allowing user associations to intervene in arbitral proceedings</w:t>
            </w:r>
            <w:r>
              <w:rPr>
                <w:i/>
                <w:iCs/>
                <w:sz w:val="17"/>
                <w:szCs w:val="17"/>
              </w:rPr>
              <w:t xml:space="preserve"> if requested by a smaller shipper</w:t>
            </w:r>
            <w:r w:rsidRPr="00410E53">
              <w:rPr>
                <w:i/>
                <w:iCs/>
                <w:sz w:val="17"/>
                <w:szCs w:val="17"/>
              </w:rPr>
              <w:t>; and</w:t>
            </w:r>
          </w:p>
          <w:p w14:paraId="5CC5AA7A" w14:textId="77777777" w:rsidR="00D454BD" w:rsidRPr="00371776" w:rsidRDefault="00D454BD" w:rsidP="000A3668">
            <w:pPr>
              <w:pStyle w:val="TableBullet10"/>
              <w:numPr>
                <w:ilvl w:val="0"/>
                <w:numId w:val="148"/>
              </w:numPr>
              <w:spacing w:before="20" w:after="20" w:line="252" w:lineRule="auto"/>
              <w:ind w:left="442" w:hanging="357"/>
              <w:rPr>
                <w:rFonts w:cs="Times New Roman"/>
                <w:i/>
                <w:iCs/>
                <w:sz w:val="17"/>
                <w:szCs w:val="17"/>
              </w:rPr>
            </w:pPr>
            <w:r w:rsidRPr="00410E53">
              <w:rPr>
                <w:i/>
                <w:iCs/>
                <w:sz w:val="17"/>
                <w:szCs w:val="17"/>
              </w:rPr>
              <w:t xml:space="preserve">allowing smaller shippers using pipelines subject to the lighter handed form of regulation to elect to have a dispute mediated by </w:t>
            </w:r>
            <w:r w:rsidR="00DB28D9">
              <w:rPr>
                <w:i/>
                <w:iCs/>
                <w:sz w:val="17"/>
                <w:szCs w:val="17"/>
              </w:rPr>
              <w:t xml:space="preserve">a regulator-appointed </w:t>
            </w:r>
            <w:r>
              <w:rPr>
                <w:i/>
                <w:iCs/>
                <w:sz w:val="17"/>
                <w:szCs w:val="17"/>
              </w:rPr>
              <w:t xml:space="preserve">mediator </w:t>
            </w:r>
            <w:r w:rsidRPr="00410E53">
              <w:rPr>
                <w:i/>
                <w:iCs/>
                <w:sz w:val="17"/>
                <w:szCs w:val="17"/>
              </w:rPr>
              <w:t>(</w:t>
            </w:r>
            <w:r w:rsidR="00DB28D9">
              <w:rPr>
                <w:i/>
                <w:iCs/>
                <w:sz w:val="17"/>
                <w:szCs w:val="17"/>
              </w:rPr>
              <w:t xml:space="preserve">with the mediator </w:t>
            </w:r>
            <w:r w:rsidRPr="00410E53">
              <w:rPr>
                <w:i/>
                <w:iCs/>
                <w:sz w:val="17"/>
                <w:szCs w:val="17"/>
              </w:rPr>
              <w:t>required to report back to the relevant regulator</w:t>
            </w:r>
            <w:r>
              <w:rPr>
                <w:i/>
                <w:iCs/>
                <w:sz w:val="17"/>
                <w:szCs w:val="17"/>
              </w:rPr>
              <w:t xml:space="preserve"> on the outcomes of the mediation</w:t>
            </w:r>
            <w:r w:rsidRPr="00410E53">
              <w:rPr>
                <w:i/>
                <w:iCs/>
                <w:sz w:val="17"/>
                <w:szCs w:val="17"/>
              </w:rPr>
              <w:t>).</w:t>
            </w:r>
          </w:p>
          <w:p w14:paraId="2629E210" w14:textId="77777777" w:rsidR="0023428B" w:rsidRPr="00CD165F" w:rsidRDefault="0023428B" w:rsidP="00D454BD">
            <w:pPr>
              <w:pStyle w:val="TableBullet10"/>
              <w:numPr>
                <w:ilvl w:val="0"/>
                <w:numId w:val="0"/>
              </w:numPr>
              <w:spacing w:before="0" w:after="120" w:line="252" w:lineRule="auto"/>
              <w:ind w:left="85"/>
              <w:rPr>
                <w:rFonts w:asciiTheme="majorHAnsi" w:hAnsiTheme="majorHAnsi" w:cstheme="majorHAnsi"/>
                <w:sz w:val="16"/>
                <w:szCs w:val="16"/>
              </w:rPr>
            </w:pPr>
          </w:p>
        </w:tc>
      </w:tr>
      <w:tr w:rsidR="0023428B" w:rsidRPr="00960823" w14:paraId="18D327FD" w14:textId="77777777" w:rsidTr="00490822">
        <w:tc>
          <w:tcPr>
            <w:tcW w:w="369" w:type="pct"/>
          </w:tcPr>
          <w:p w14:paraId="320E6121" w14:textId="77777777" w:rsidR="0023428B" w:rsidRPr="00960823" w:rsidRDefault="0023428B" w:rsidP="00071449">
            <w:pPr>
              <w:pStyle w:val="TableBodyText"/>
              <w:spacing w:before="0" w:after="120" w:line="252" w:lineRule="auto"/>
              <w:rPr>
                <w:rFonts w:asciiTheme="majorHAnsi" w:hAnsiTheme="majorHAnsi" w:cstheme="majorHAnsi"/>
                <w:sz w:val="17"/>
                <w:szCs w:val="17"/>
              </w:rPr>
            </w:pPr>
            <w:r>
              <w:rPr>
                <w:rFonts w:asciiTheme="majorHAnsi" w:hAnsiTheme="majorHAnsi" w:cstheme="majorHAnsi"/>
                <w:sz w:val="17"/>
                <w:szCs w:val="17"/>
              </w:rPr>
              <w:lastRenderedPageBreak/>
              <w:t xml:space="preserve">Dispute resolution mechanism </w:t>
            </w:r>
          </w:p>
        </w:tc>
        <w:tc>
          <w:tcPr>
            <w:tcW w:w="3081" w:type="pct"/>
          </w:tcPr>
          <w:p w14:paraId="6CB0F2B9" w14:textId="61B3C98F" w:rsidR="0023428B" w:rsidRDefault="0023428B" w:rsidP="00071449">
            <w:pPr>
              <w:pStyle w:val="TableBullet10"/>
              <w:numPr>
                <w:ilvl w:val="0"/>
                <w:numId w:val="0"/>
              </w:numPr>
              <w:spacing w:before="0" w:after="120" w:line="252" w:lineRule="auto"/>
              <w:ind w:left="85"/>
              <w:rPr>
                <w:rFonts w:asciiTheme="majorHAnsi" w:hAnsiTheme="majorHAnsi" w:cstheme="majorHAnsi"/>
                <w:sz w:val="17"/>
                <w:szCs w:val="17"/>
              </w:rPr>
            </w:pPr>
            <w:r>
              <w:rPr>
                <w:rFonts w:asciiTheme="majorHAnsi" w:hAnsiTheme="majorHAnsi" w:cstheme="majorHAnsi"/>
                <w:sz w:val="17"/>
                <w:szCs w:val="17"/>
              </w:rPr>
              <w:t xml:space="preserve">As </w:t>
            </w:r>
            <w:r w:rsidRPr="00DB3E56">
              <w:rPr>
                <w:rFonts w:asciiTheme="majorHAnsi" w:hAnsiTheme="majorHAnsi" w:cstheme="majorHAnsi"/>
                <w:sz w:val="17"/>
                <w:szCs w:val="17"/>
              </w:rPr>
              <w:t xml:space="preserve">outlined above, most stakeholders agreed </w:t>
            </w:r>
            <w:r w:rsidR="00530B36">
              <w:rPr>
                <w:rFonts w:asciiTheme="majorHAnsi" w:hAnsiTheme="majorHAnsi" w:cstheme="majorHAnsi"/>
                <w:sz w:val="17"/>
                <w:szCs w:val="17"/>
              </w:rPr>
              <w:t xml:space="preserve">that </w:t>
            </w:r>
            <w:r w:rsidR="009D7ABB">
              <w:rPr>
                <w:rFonts w:asciiTheme="majorHAnsi" w:hAnsiTheme="majorHAnsi" w:cstheme="majorHAnsi"/>
                <w:sz w:val="17"/>
                <w:szCs w:val="17"/>
              </w:rPr>
              <w:t xml:space="preserve">a </w:t>
            </w:r>
            <w:r w:rsidR="00C62E57">
              <w:rPr>
                <w:rFonts w:asciiTheme="majorHAnsi" w:hAnsiTheme="majorHAnsi" w:cstheme="majorHAnsi"/>
                <w:sz w:val="17"/>
                <w:szCs w:val="17"/>
              </w:rPr>
              <w:t xml:space="preserve">commercially-oriented </w:t>
            </w:r>
            <w:r w:rsidR="009D7ABB">
              <w:rPr>
                <w:rFonts w:asciiTheme="majorHAnsi" w:hAnsiTheme="majorHAnsi" w:cstheme="majorHAnsi"/>
                <w:sz w:val="17"/>
                <w:szCs w:val="17"/>
              </w:rPr>
              <w:t xml:space="preserve">dispute resolution </w:t>
            </w:r>
            <w:r w:rsidR="00C62E57">
              <w:rPr>
                <w:rFonts w:asciiTheme="majorHAnsi" w:hAnsiTheme="majorHAnsi" w:cstheme="majorHAnsi"/>
                <w:sz w:val="17"/>
                <w:szCs w:val="17"/>
              </w:rPr>
              <w:t xml:space="preserve">mechanism should </w:t>
            </w:r>
            <w:r w:rsidR="009D7ABB">
              <w:rPr>
                <w:rFonts w:asciiTheme="majorHAnsi" w:hAnsiTheme="majorHAnsi" w:cstheme="majorHAnsi"/>
                <w:sz w:val="17"/>
                <w:szCs w:val="17"/>
              </w:rPr>
              <w:t xml:space="preserve">continue to </w:t>
            </w:r>
            <w:r w:rsidR="00C62E57">
              <w:rPr>
                <w:rFonts w:asciiTheme="majorHAnsi" w:hAnsiTheme="majorHAnsi" w:cstheme="majorHAnsi"/>
                <w:sz w:val="17"/>
                <w:szCs w:val="17"/>
              </w:rPr>
              <w:t xml:space="preserve">apply under the lighter form of regulation and a regulatory-oriented </w:t>
            </w:r>
            <w:r w:rsidR="009D7ABB">
              <w:rPr>
                <w:rFonts w:asciiTheme="majorHAnsi" w:hAnsiTheme="majorHAnsi" w:cstheme="majorHAnsi"/>
                <w:sz w:val="17"/>
                <w:szCs w:val="17"/>
              </w:rPr>
              <w:t xml:space="preserve">dispute resolution mechanism should apply under the stronger form of regulation. Most stakeholders also agreed with the </w:t>
            </w:r>
            <w:r w:rsidRPr="00DB3E56">
              <w:rPr>
                <w:rFonts w:asciiTheme="majorHAnsi" w:hAnsiTheme="majorHAnsi" w:cstheme="majorHAnsi"/>
                <w:sz w:val="17"/>
                <w:szCs w:val="17"/>
              </w:rPr>
              <w:t xml:space="preserve">proposed changes to </w:t>
            </w:r>
            <w:r w:rsidR="009D7ABB">
              <w:rPr>
                <w:rFonts w:asciiTheme="majorHAnsi" w:hAnsiTheme="majorHAnsi" w:cstheme="majorHAnsi"/>
                <w:sz w:val="17"/>
                <w:szCs w:val="17"/>
              </w:rPr>
              <w:t xml:space="preserve">regulatory-oriented dispute </w:t>
            </w:r>
            <w:r w:rsidRPr="00DB3E56">
              <w:rPr>
                <w:rFonts w:asciiTheme="majorHAnsi" w:hAnsiTheme="majorHAnsi" w:cstheme="majorHAnsi"/>
                <w:sz w:val="17"/>
                <w:szCs w:val="17"/>
              </w:rPr>
              <w:t xml:space="preserve">resolution mechanism set out in </w:t>
            </w:r>
            <w:r w:rsidRPr="00DB3E56">
              <w:rPr>
                <w:rFonts w:asciiTheme="majorHAnsi" w:hAnsiTheme="majorHAnsi" w:cstheme="majorHAnsi"/>
                <w:sz w:val="17"/>
                <w:szCs w:val="17"/>
              </w:rPr>
              <w:fldChar w:fldCharType="begin" w:fldLock="1"/>
            </w:r>
            <w:r w:rsidRPr="00DB3E56">
              <w:rPr>
                <w:rFonts w:asciiTheme="majorHAnsi" w:hAnsiTheme="majorHAnsi" w:cstheme="majorHAnsi"/>
                <w:sz w:val="17"/>
                <w:szCs w:val="17"/>
              </w:rPr>
              <w:instrText xml:space="preserve"> REF _Ref52950092 \h </w:instrText>
            </w:r>
            <w:r>
              <w:rPr>
                <w:rFonts w:asciiTheme="majorHAnsi" w:hAnsiTheme="majorHAnsi" w:cstheme="majorHAnsi"/>
                <w:sz w:val="17"/>
                <w:szCs w:val="17"/>
              </w:rPr>
              <w:instrText xml:space="preserve"> \* MERGEFORMAT </w:instrText>
            </w:r>
            <w:r w:rsidRPr="00DB3E56">
              <w:rPr>
                <w:rFonts w:asciiTheme="majorHAnsi" w:hAnsiTheme="majorHAnsi" w:cstheme="majorHAnsi"/>
                <w:sz w:val="17"/>
                <w:szCs w:val="17"/>
              </w:rPr>
            </w:r>
            <w:r w:rsidRPr="00DB3E56">
              <w:rPr>
                <w:rFonts w:asciiTheme="majorHAnsi" w:hAnsiTheme="majorHAnsi" w:cstheme="majorHAnsi"/>
                <w:sz w:val="17"/>
                <w:szCs w:val="17"/>
              </w:rPr>
              <w:fldChar w:fldCharType="separate"/>
            </w:r>
            <w:r w:rsidR="00036405" w:rsidRPr="00036405">
              <w:rPr>
                <w:sz w:val="17"/>
                <w:szCs w:val="17"/>
              </w:rPr>
              <w:t xml:space="preserve">Table </w:t>
            </w:r>
            <w:r w:rsidR="00036405" w:rsidRPr="00036405">
              <w:rPr>
                <w:noProof/>
                <w:sz w:val="17"/>
                <w:szCs w:val="17"/>
              </w:rPr>
              <w:t>7.3</w:t>
            </w:r>
            <w:r w:rsidRPr="00DB3E56">
              <w:rPr>
                <w:rFonts w:asciiTheme="majorHAnsi" w:hAnsiTheme="majorHAnsi" w:cstheme="majorHAnsi"/>
                <w:sz w:val="17"/>
                <w:szCs w:val="17"/>
              </w:rPr>
              <w:fldChar w:fldCharType="end"/>
            </w:r>
            <w:r w:rsidR="009D7ABB">
              <w:rPr>
                <w:rFonts w:asciiTheme="majorHAnsi" w:hAnsiTheme="majorHAnsi" w:cstheme="majorHAnsi"/>
                <w:sz w:val="17"/>
                <w:szCs w:val="17"/>
              </w:rPr>
              <w:t xml:space="preserve">, although there were some differences in views </w:t>
            </w:r>
            <w:r w:rsidRPr="00DB3E56">
              <w:rPr>
                <w:rFonts w:asciiTheme="majorHAnsi" w:hAnsiTheme="majorHAnsi" w:cstheme="majorHAnsi"/>
                <w:sz w:val="17"/>
                <w:szCs w:val="17"/>
              </w:rPr>
              <w:t xml:space="preserve">expressed </w:t>
            </w:r>
            <w:r w:rsidR="009D7ABB">
              <w:rPr>
                <w:rFonts w:asciiTheme="majorHAnsi" w:hAnsiTheme="majorHAnsi" w:cstheme="majorHAnsi"/>
                <w:sz w:val="17"/>
                <w:szCs w:val="17"/>
              </w:rPr>
              <w:t xml:space="preserve">about </w:t>
            </w:r>
            <w:r w:rsidRPr="00DB3E56">
              <w:rPr>
                <w:rFonts w:asciiTheme="majorHAnsi" w:hAnsiTheme="majorHAnsi" w:cstheme="majorHAnsi"/>
                <w:sz w:val="17"/>
                <w:szCs w:val="17"/>
              </w:rPr>
              <w:t>the fast track option</w:t>
            </w:r>
            <w:r>
              <w:rPr>
                <w:rFonts w:asciiTheme="majorHAnsi" w:hAnsiTheme="majorHAnsi" w:cstheme="majorHAnsi"/>
                <w:sz w:val="17"/>
                <w:szCs w:val="17"/>
              </w:rPr>
              <w:t xml:space="preserve"> and whether the </w:t>
            </w:r>
            <w:r w:rsidRPr="00DB3E56">
              <w:rPr>
                <w:rFonts w:asciiTheme="majorHAnsi" w:hAnsiTheme="majorHAnsi" w:cstheme="majorHAnsi"/>
                <w:sz w:val="17"/>
                <w:szCs w:val="17"/>
              </w:rPr>
              <w:t>arbitrator’s decision</w:t>
            </w:r>
            <w:r>
              <w:rPr>
                <w:rFonts w:asciiTheme="majorHAnsi" w:hAnsiTheme="majorHAnsi" w:cstheme="majorHAnsi"/>
                <w:sz w:val="17"/>
                <w:szCs w:val="17"/>
              </w:rPr>
              <w:t xml:space="preserve"> should be binding on shippers</w:t>
            </w:r>
            <w:r w:rsidRPr="00DB3E56">
              <w:rPr>
                <w:rFonts w:asciiTheme="majorHAnsi" w:hAnsiTheme="majorHAnsi" w:cstheme="majorHAnsi"/>
                <w:sz w:val="17"/>
                <w:szCs w:val="17"/>
              </w:rPr>
              <w:t xml:space="preserve">. Further consideration has therefore been given to these </w:t>
            </w:r>
            <w:r>
              <w:rPr>
                <w:rFonts w:asciiTheme="majorHAnsi" w:hAnsiTheme="majorHAnsi" w:cstheme="majorHAnsi"/>
                <w:sz w:val="17"/>
                <w:szCs w:val="17"/>
              </w:rPr>
              <w:t>two</w:t>
            </w:r>
            <w:r w:rsidRPr="00DB3E56">
              <w:rPr>
                <w:rFonts w:asciiTheme="majorHAnsi" w:hAnsiTheme="majorHAnsi" w:cstheme="majorHAnsi"/>
                <w:sz w:val="17"/>
                <w:szCs w:val="17"/>
              </w:rPr>
              <w:t xml:space="preserve"> elements.</w:t>
            </w:r>
          </w:p>
          <w:p w14:paraId="5B5C84D6" w14:textId="77777777" w:rsidR="0023428B" w:rsidRPr="002A0440" w:rsidRDefault="0023428B" w:rsidP="00071449">
            <w:pPr>
              <w:pStyle w:val="TableBullet10"/>
              <w:numPr>
                <w:ilvl w:val="0"/>
                <w:numId w:val="0"/>
              </w:numPr>
              <w:spacing w:before="0" w:after="120" w:line="252" w:lineRule="auto"/>
              <w:ind w:left="85"/>
              <w:rPr>
                <w:rFonts w:asciiTheme="majorHAnsi" w:hAnsiTheme="majorHAnsi" w:cstheme="majorHAnsi"/>
                <w:b/>
                <w:bCs/>
                <w:sz w:val="17"/>
                <w:szCs w:val="17"/>
              </w:rPr>
            </w:pPr>
            <w:r w:rsidRPr="002A0440">
              <w:rPr>
                <w:rFonts w:asciiTheme="majorHAnsi" w:hAnsiTheme="majorHAnsi" w:cstheme="majorHAnsi"/>
                <w:b/>
                <w:bCs/>
                <w:sz w:val="17"/>
                <w:szCs w:val="17"/>
              </w:rPr>
              <w:t>Fast track option</w:t>
            </w:r>
          </w:p>
          <w:p w14:paraId="0760F9A9" w14:textId="77777777" w:rsidR="0023428B" w:rsidRDefault="0023428B" w:rsidP="00071449">
            <w:pPr>
              <w:pStyle w:val="TableBullet10"/>
              <w:numPr>
                <w:ilvl w:val="0"/>
                <w:numId w:val="0"/>
              </w:numPr>
              <w:spacing w:before="0" w:after="120" w:line="252" w:lineRule="auto"/>
              <w:ind w:left="85"/>
              <w:rPr>
                <w:rFonts w:asciiTheme="majorHAnsi" w:hAnsiTheme="majorHAnsi" w:cstheme="majorHAnsi"/>
                <w:sz w:val="17"/>
                <w:szCs w:val="17"/>
              </w:rPr>
            </w:pPr>
            <w:r>
              <w:rPr>
                <w:rFonts w:asciiTheme="majorHAnsi" w:hAnsiTheme="majorHAnsi" w:cstheme="majorHAnsi"/>
                <w:sz w:val="17"/>
                <w:szCs w:val="17"/>
              </w:rPr>
              <w:t>The fast track arbitration option was recommended by the AEMC in its 2017-18 Economic regulation review in response to concerns that the current process</w:t>
            </w:r>
            <w:r w:rsidR="00C519B3">
              <w:rPr>
                <w:rFonts w:asciiTheme="majorHAnsi" w:hAnsiTheme="majorHAnsi" w:cstheme="majorHAnsi"/>
                <w:sz w:val="17"/>
                <w:szCs w:val="17"/>
              </w:rPr>
              <w:t xml:space="preserve"> </w:t>
            </w:r>
            <w:r>
              <w:rPr>
                <w:rFonts w:asciiTheme="majorHAnsi" w:hAnsiTheme="majorHAnsi" w:cstheme="majorHAnsi"/>
                <w:sz w:val="17"/>
                <w:szCs w:val="17"/>
              </w:rPr>
              <w:t xml:space="preserve">is too slow. The ACCC questioned how realistic a fast-track process would be for a regulatory-oriented arbitration and suggested that a better way to address these concerns would be to specify the maximum decision time for all disputes. </w:t>
            </w:r>
          </w:p>
          <w:p w14:paraId="2E567BCC" w14:textId="77777777" w:rsidR="0023428B" w:rsidRDefault="0023428B" w:rsidP="00071449">
            <w:pPr>
              <w:pStyle w:val="TableBullet10"/>
              <w:numPr>
                <w:ilvl w:val="0"/>
                <w:numId w:val="0"/>
              </w:numPr>
              <w:spacing w:before="0" w:after="120" w:line="252" w:lineRule="auto"/>
              <w:ind w:left="85"/>
              <w:rPr>
                <w:rFonts w:asciiTheme="majorHAnsi" w:hAnsiTheme="majorHAnsi" w:cstheme="majorHAnsi"/>
                <w:sz w:val="17"/>
                <w:szCs w:val="17"/>
              </w:rPr>
            </w:pPr>
            <w:r>
              <w:rPr>
                <w:rFonts w:asciiTheme="majorHAnsi" w:hAnsiTheme="majorHAnsi" w:cstheme="majorHAnsi"/>
                <w:sz w:val="17"/>
                <w:szCs w:val="17"/>
              </w:rPr>
              <w:t xml:space="preserve">While the opportunity for the AER or the WA Energy Disputes Arbitrator to fast-track a dispute is likely to be quite limited, there may be some cases where this can occur (e.g. for disputes about access to a reference </w:t>
            </w:r>
            <w:r>
              <w:rPr>
                <w:rFonts w:asciiTheme="majorHAnsi" w:hAnsiTheme="majorHAnsi" w:cstheme="majorHAnsi"/>
                <w:sz w:val="17"/>
                <w:szCs w:val="17"/>
              </w:rPr>
              <w:lastRenderedPageBreak/>
              <w:t xml:space="preserve">service, or about non-price terms and conditions). </w:t>
            </w:r>
            <w:r w:rsidR="001232F4">
              <w:rPr>
                <w:rFonts w:asciiTheme="majorHAnsi" w:hAnsiTheme="majorHAnsi" w:cstheme="majorHAnsi"/>
                <w:sz w:val="17"/>
                <w:szCs w:val="17"/>
              </w:rPr>
              <w:t xml:space="preserve">Provision has therefore been made for this fast-track option in options 3A and 3B. </w:t>
            </w:r>
          </w:p>
          <w:p w14:paraId="46D80BD0" w14:textId="77777777" w:rsidR="0023428B" w:rsidRDefault="001232F4" w:rsidP="00071449">
            <w:pPr>
              <w:pStyle w:val="TableBullet10"/>
              <w:numPr>
                <w:ilvl w:val="0"/>
                <w:numId w:val="0"/>
              </w:numPr>
              <w:spacing w:before="0" w:after="120" w:line="252" w:lineRule="auto"/>
              <w:ind w:left="85"/>
              <w:rPr>
                <w:rFonts w:asciiTheme="majorHAnsi" w:hAnsiTheme="majorHAnsi" w:cstheme="majorHAnsi"/>
                <w:sz w:val="17"/>
                <w:szCs w:val="17"/>
              </w:rPr>
            </w:pPr>
            <w:r>
              <w:rPr>
                <w:rFonts w:asciiTheme="majorHAnsi" w:hAnsiTheme="majorHAnsi" w:cstheme="majorHAnsi"/>
                <w:sz w:val="17"/>
                <w:szCs w:val="17"/>
              </w:rPr>
              <w:t xml:space="preserve">Provision has also been made in these two options for a </w:t>
            </w:r>
            <w:r w:rsidR="0023428B">
              <w:rPr>
                <w:rFonts w:asciiTheme="majorHAnsi" w:hAnsiTheme="majorHAnsi" w:cstheme="majorHAnsi"/>
                <w:sz w:val="17"/>
                <w:szCs w:val="17"/>
              </w:rPr>
              <w:t xml:space="preserve">maximum period of time to be </w:t>
            </w:r>
            <w:r w:rsidR="00D71AAB">
              <w:rPr>
                <w:rFonts w:asciiTheme="majorHAnsi" w:hAnsiTheme="majorHAnsi" w:cstheme="majorHAnsi"/>
                <w:sz w:val="17"/>
                <w:szCs w:val="17"/>
              </w:rPr>
              <w:t xml:space="preserve">specified for the </w:t>
            </w:r>
            <w:r w:rsidR="0023428B">
              <w:rPr>
                <w:rFonts w:asciiTheme="majorHAnsi" w:hAnsiTheme="majorHAnsi" w:cstheme="majorHAnsi"/>
                <w:sz w:val="17"/>
                <w:szCs w:val="17"/>
              </w:rPr>
              <w:t>dispute resolution body</w:t>
            </w:r>
            <w:r w:rsidR="00D71AAB">
              <w:rPr>
                <w:rFonts w:asciiTheme="majorHAnsi" w:hAnsiTheme="majorHAnsi" w:cstheme="majorHAnsi"/>
                <w:sz w:val="17"/>
                <w:szCs w:val="17"/>
              </w:rPr>
              <w:t xml:space="preserve">’s decision, as suggested by the ACCC and as supported by a number of other stakeholders. </w:t>
            </w:r>
            <w:r w:rsidR="0023428B">
              <w:rPr>
                <w:rFonts w:asciiTheme="majorHAnsi" w:hAnsiTheme="majorHAnsi" w:cstheme="majorHAnsi"/>
                <w:sz w:val="17"/>
                <w:szCs w:val="17"/>
              </w:rPr>
              <w:t xml:space="preserve">To ensure some degree of consistency across the regulatory framework, the timeframe should be the same as that allowed for access arrangement decisions, which is eight months (plus a potential extension of two months).  </w:t>
            </w:r>
          </w:p>
          <w:p w14:paraId="694A0812" w14:textId="77777777" w:rsidR="0023428B" w:rsidRDefault="0023428B" w:rsidP="00071449">
            <w:pPr>
              <w:pStyle w:val="TableBullet10"/>
              <w:numPr>
                <w:ilvl w:val="0"/>
                <w:numId w:val="0"/>
              </w:numPr>
              <w:spacing w:before="0" w:after="120" w:line="252" w:lineRule="auto"/>
              <w:ind w:left="85"/>
              <w:rPr>
                <w:rFonts w:asciiTheme="majorHAnsi" w:hAnsiTheme="majorHAnsi" w:cstheme="majorHAnsi"/>
                <w:sz w:val="17"/>
                <w:szCs w:val="17"/>
              </w:rPr>
            </w:pPr>
            <w:r>
              <w:rPr>
                <w:rFonts w:asciiTheme="majorHAnsi" w:hAnsiTheme="majorHAnsi" w:cstheme="majorHAnsi"/>
                <w:sz w:val="17"/>
                <w:szCs w:val="17"/>
              </w:rPr>
              <w:t xml:space="preserve">Making these changes to the dispute resolution mechanism is expected to provide the more timely resolution of those disputes that proceed to arbitration under the stronger form of regulation. </w:t>
            </w:r>
          </w:p>
          <w:p w14:paraId="58248EC0" w14:textId="77777777" w:rsidR="0023428B" w:rsidRPr="004701CA" w:rsidRDefault="0023428B" w:rsidP="00071449">
            <w:pPr>
              <w:pStyle w:val="TableBullet10"/>
              <w:numPr>
                <w:ilvl w:val="0"/>
                <w:numId w:val="0"/>
              </w:numPr>
              <w:spacing w:before="0" w:after="120" w:line="252" w:lineRule="auto"/>
              <w:ind w:left="85"/>
              <w:rPr>
                <w:rFonts w:asciiTheme="majorHAnsi" w:hAnsiTheme="majorHAnsi" w:cstheme="majorHAnsi"/>
                <w:b/>
                <w:bCs/>
                <w:sz w:val="17"/>
                <w:szCs w:val="17"/>
              </w:rPr>
            </w:pPr>
            <w:r w:rsidRPr="002A0440">
              <w:rPr>
                <w:rFonts w:asciiTheme="majorHAnsi" w:hAnsiTheme="majorHAnsi" w:cstheme="majorHAnsi"/>
                <w:b/>
                <w:bCs/>
                <w:sz w:val="17"/>
                <w:szCs w:val="17"/>
              </w:rPr>
              <w:t xml:space="preserve">Binding </w:t>
            </w:r>
            <w:r w:rsidRPr="004701CA">
              <w:rPr>
                <w:rFonts w:asciiTheme="majorHAnsi" w:hAnsiTheme="majorHAnsi" w:cstheme="majorHAnsi"/>
                <w:b/>
                <w:bCs/>
                <w:sz w:val="17"/>
                <w:szCs w:val="17"/>
              </w:rPr>
              <w:t xml:space="preserve">nature of the decision </w:t>
            </w:r>
          </w:p>
          <w:p w14:paraId="0D855164" w14:textId="77777777" w:rsidR="0023428B" w:rsidRPr="004701CA" w:rsidRDefault="0023428B" w:rsidP="00071449">
            <w:pPr>
              <w:pStyle w:val="TableBullet10"/>
              <w:numPr>
                <w:ilvl w:val="0"/>
                <w:numId w:val="0"/>
              </w:numPr>
              <w:spacing w:before="0" w:after="120" w:line="252" w:lineRule="auto"/>
              <w:ind w:left="85"/>
              <w:rPr>
                <w:sz w:val="17"/>
                <w:szCs w:val="17"/>
              </w:rPr>
            </w:pPr>
            <w:r w:rsidRPr="004701CA">
              <w:rPr>
                <w:rFonts w:asciiTheme="majorHAnsi" w:hAnsiTheme="majorHAnsi" w:cstheme="majorHAnsi"/>
                <w:sz w:val="17"/>
                <w:szCs w:val="17"/>
              </w:rPr>
              <w:t xml:space="preserve">The outcomes of an arbitration on scheme pipelines are currently binding on service providers and shippers. </w:t>
            </w:r>
            <w:r w:rsidRPr="004701CA">
              <w:rPr>
                <w:sz w:val="17"/>
                <w:szCs w:val="17"/>
              </w:rPr>
              <w:t xml:space="preserve">This is in direct contrast to the approach </w:t>
            </w:r>
            <w:r>
              <w:rPr>
                <w:sz w:val="17"/>
                <w:szCs w:val="17"/>
              </w:rPr>
              <w:t xml:space="preserve">taken in </w:t>
            </w:r>
            <w:r w:rsidRPr="004701CA">
              <w:rPr>
                <w:sz w:val="17"/>
                <w:szCs w:val="17"/>
              </w:rPr>
              <w:t xml:space="preserve">Part 23, where </w:t>
            </w:r>
            <w:r w:rsidR="00492967">
              <w:rPr>
                <w:sz w:val="17"/>
                <w:szCs w:val="17"/>
              </w:rPr>
              <w:t>an</w:t>
            </w:r>
            <w:r w:rsidRPr="004701CA">
              <w:rPr>
                <w:sz w:val="17"/>
                <w:szCs w:val="17"/>
              </w:rPr>
              <w:t xml:space="preserve"> access determination is binding on the service provider but is only binding on the shipper if it decides to enter into a contract that gives effect to the access determination. If the shipper decides not to enter into such a contract, then it is prohibited by the rules from seeking arbitration in relation to the same or a substantially similar service for a period of one year.</w:t>
            </w:r>
          </w:p>
          <w:p w14:paraId="4E90238C" w14:textId="77777777" w:rsidR="00D6487D" w:rsidRDefault="0023428B" w:rsidP="00071449">
            <w:pPr>
              <w:pStyle w:val="TableBullet10"/>
              <w:numPr>
                <w:ilvl w:val="0"/>
                <w:numId w:val="0"/>
              </w:numPr>
              <w:spacing w:before="0" w:after="120" w:line="252" w:lineRule="auto"/>
              <w:ind w:left="85"/>
              <w:rPr>
                <w:sz w:val="17"/>
                <w:szCs w:val="17"/>
              </w:rPr>
            </w:pPr>
            <w:r w:rsidRPr="004701CA">
              <w:rPr>
                <w:sz w:val="17"/>
                <w:szCs w:val="17"/>
              </w:rPr>
              <w:t xml:space="preserve">A different approach was adopted in Part 23 because concerns were raised about the potential for an arbitrator’s access determination to cause a shipper financial distress. While a similar risk exists </w:t>
            </w:r>
            <w:r w:rsidR="00492967">
              <w:rPr>
                <w:sz w:val="17"/>
                <w:szCs w:val="17"/>
              </w:rPr>
              <w:t>for scheme pipelines</w:t>
            </w:r>
            <w:r w:rsidRPr="004701CA">
              <w:rPr>
                <w:sz w:val="17"/>
                <w:szCs w:val="17"/>
              </w:rPr>
              <w:t xml:space="preserve">, the access determination </w:t>
            </w:r>
            <w:r>
              <w:rPr>
                <w:sz w:val="17"/>
                <w:szCs w:val="17"/>
              </w:rPr>
              <w:t xml:space="preserve">applying to </w:t>
            </w:r>
            <w:r w:rsidR="00CC0AA0">
              <w:rPr>
                <w:sz w:val="17"/>
                <w:szCs w:val="17"/>
              </w:rPr>
              <w:t xml:space="preserve">these </w:t>
            </w:r>
            <w:r>
              <w:rPr>
                <w:sz w:val="17"/>
                <w:szCs w:val="17"/>
              </w:rPr>
              <w:t xml:space="preserve">pipelines </w:t>
            </w:r>
            <w:r w:rsidRPr="004701CA">
              <w:rPr>
                <w:sz w:val="17"/>
                <w:szCs w:val="17"/>
              </w:rPr>
              <w:t xml:space="preserve">is </w:t>
            </w:r>
            <w:r>
              <w:rPr>
                <w:sz w:val="17"/>
                <w:szCs w:val="17"/>
              </w:rPr>
              <w:t xml:space="preserve">currently </w:t>
            </w:r>
            <w:r w:rsidRPr="004701CA">
              <w:rPr>
                <w:sz w:val="17"/>
                <w:szCs w:val="17"/>
              </w:rPr>
              <w:t>binding on shippers</w:t>
            </w:r>
            <w:r>
              <w:rPr>
                <w:sz w:val="17"/>
                <w:szCs w:val="17"/>
              </w:rPr>
              <w:t xml:space="preserve">. As Origin and APLNG noted, the binding nature of this determination could discourage shippers from having recourse to the dispute resolution mechanism and, in so doing, undermine the credibility of the threat that arbitration is intended to pose on service providers. </w:t>
            </w:r>
          </w:p>
          <w:p w14:paraId="0AB090DF" w14:textId="158012B6" w:rsidR="0023428B" w:rsidRPr="00811E4F" w:rsidRDefault="004C2B41" w:rsidP="00F17BF8">
            <w:pPr>
              <w:pStyle w:val="TableBullet10"/>
              <w:numPr>
                <w:ilvl w:val="0"/>
                <w:numId w:val="0"/>
              </w:numPr>
              <w:spacing w:before="0" w:after="120" w:line="252" w:lineRule="auto"/>
              <w:ind w:left="85"/>
              <w:rPr>
                <w:sz w:val="17"/>
                <w:szCs w:val="17"/>
              </w:rPr>
            </w:pPr>
            <w:r>
              <w:rPr>
                <w:sz w:val="17"/>
                <w:szCs w:val="17"/>
              </w:rPr>
              <w:t xml:space="preserve">If the same approach that has been used under Part 23 was applied to scheme pipelines, then it </w:t>
            </w:r>
            <w:r w:rsidR="00F17BF8">
              <w:rPr>
                <w:sz w:val="17"/>
                <w:szCs w:val="17"/>
              </w:rPr>
              <w:t xml:space="preserve">should </w:t>
            </w:r>
            <w:r w:rsidR="0023428B" w:rsidRPr="00D05E51">
              <w:rPr>
                <w:sz w:val="17"/>
                <w:szCs w:val="17"/>
              </w:rPr>
              <w:t>strengthen the credibility of the threat of arbitration, which should</w:t>
            </w:r>
            <w:r w:rsidR="00F17BF8">
              <w:rPr>
                <w:sz w:val="17"/>
                <w:szCs w:val="17"/>
              </w:rPr>
              <w:t xml:space="preserve">, in turn, </w:t>
            </w:r>
            <w:r w:rsidR="0023428B" w:rsidRPr="00D05E51">
              <w:rPr>
                <w:sz w:val="17"/>
                <w:szCs w:val="17"/>
              </w:rPr>
              <w:t>pose more of a constraint on the behaviour of service providers subject to the stronger form of regulation when negotiating with shippers.</w:t>
            </w:r>
            <w:r w:rsidR="0023428B" w:rsidRPr="00067CB1">
              <w:rPr>
                <w:sz w:val="17"/>
                <w:szCs w:val="17"/>
              </w:rPr>
              <w:t xml:space="preserve"> </w:t>
            </w:r>
            <w:r w:rsidR="00F17BF8">
              <w:rPr>
                <w:sz w:val="17"/>
                <w:szCs w:val="17"/>
              </w:rPr>
              <w:t>Provision has therefore been made in options 3A and 3B for the same approach to be employed under the stronger form of regulation.</w:t>
            </w:r>
            <w:r w:rsidR="00370905">
              <w:rPr>
                <w:rFonts w:ascii="ZWAdobeF" w:hAnsi="ZWAdobeF" w:cs="ZWAdobeF"/>
                <w:sz w:val="2"/>
                <w:szCs w:val="2"/>
              </w:rPr>
              <w:t>174F</w:t>
            </w:r>
            <w:r w:rsidR="00F17BF8">
              <w:rPr>
                <w:rStyle w:val="FootnoteReference"/>
                <w:sz w:val="17"/>
                <w:szCs w:val="17"/>
              </w:rPr>
              <w:footnoteReference w:id="176"/>
            </w:r>
            <w:r w:rsidR="00F17BF8">
              <w:rPr>
                <w:sz w:val="17"/>
                <w:szCs w:val="17"/>
              </w:rPr>
              <w:t xml:space="preserve"> </w:t>
            </w:r>
          </w:p>
        </w:tc>
        <w:tc>
          <w:tcPr>
            <w:tcW w:w="1550" w:type="pct"/>
          </w:tcPr>
          <w:p w14:paraId="32B27AC7" w14:textId="77777777" w:rsidR="001C741C" w:rsidRDefault="00156C40" w:rsidP="00071449">
            <w:pPr>
              <w:pStyle w:val="TableBullet10"/>
              <w:numPr>
                <w:ilvl w:val="0"/>
                <w:numId w:val="0"/>
              </w:numPr>
              <w:spacing w:before="0" w:after="0" w:line="252" w:lineRule="auto"/>
              <w:ind w:left="85"/>
              <w:rPr>
                <w:rFonts w:asciiTheme="majorHAnsi" w:hAnsiTheme="majorHAnsi" w:cstheme="majorHAnsi"/>
                <w:i/>
                <w:iCs/>
                <w:sz w:val="17"/>
                <w:szCs w:val="17"/>
                <w:lang w:eastAsia="fr-CA"/>
              </w:rPr>
            </w:pPr>
            <w:r>
              <w:rPr>
                <w:rFonts w:asciiTheme="majorHAnsi" w:hAnsiTheme="majorHAnsi" w:cstheme="majorHAnsi"/>
                <w:i/>
                <w:iCs/>
                <w:sz w:val="17"/>
                <w:szCs w:val="17"/>
                <w:lang w:eastAsia="fr-CA"/>
              </w:rPr>
              <w:lastRenderedPageBreak/>
              <w:t>Under o</w:t>
            </w:r>
            <w:r w:rsidR="00D454BD">
              <w:rPr>
                <w:rFonts w:asciiTheme="majorHAnsi" w:hAnsiTheme="majorHAnsi" w:cstheme="majorHAnsi"/>
                <w:i/>
                <w:iCs/>
                <w:sz w:val="17"/>
                <w:szCs w:val="17"/>
                <w:lang w:eastAsia="fr-CA"/>
              </w:rPr>
              <w:t>ptions 3A and 3B</w:t>
            </w:r>
            <w:r w:rsidR="001C741C">
              <w:rPr>
                <w:rFonts w:asciiTheme="majorHAnsi" w:hAnsiTheme="majorHAnsi" w:cstheme="majorHAnsi"/>
                <w:i/>
                <w:iCs/>
                <w:sz w:val="17"/>
                <w:szCs w:val="17"/>
                <w:lang w:eastAsia="fr-CA"/>
              </w:rPr>
              <w:t>:</w:t>
            </w:r>
          </w:p>
          <w:p w14:paraId="041CEDE0" w14:textId="77777777" w:rsidR="0093287B" w:rsidRPr="0093287B" w:rsidRDefault="00156C40" w:rsidP="0093287B">
            <w:pPr>
              <w:pStyle w:val="TableBullet10"/>
              <w:rPr>
                <w:i/>
                <w:iCs/>
                <w:sz w:val="17"/>
                <w:szCs w:val="17"/>
              </w:rPr>
            </w:pPr>
            <w:r>
              <w:rPr>
                <w:i/>
                <w:iCs/>
                <w:sz w:val="17"/>
                <w:szCs w:val="17"/>
              </w:rPr>
              <w:t xml:space="preserve">the </w:t>
            </w:r>
            <w:r w:rsidR="0093287B" w:rsidRPr="0093287B">
              <w:rPr>
                <w:i/>
                <w:iCs/>
                <w:sz w:val="17"/>
                <w:szCs w:val="17"/>
              </w:rPr>
              <w:t xml:space="preserve">commercially oriented </w:t>
            </w:r>
            <w:r w:rsidR="007E4215">
              <w:rPr>
                <w:i/>
                <w:iCs/>
                <w:sz w:val="17"/>
                <w:szCs w:val="17"/>
              </w:rPr>
              <w:t xml:space="preserve">dispute resolution mechanism </w:t>
            </w:r>
            <w:r>
              <w:rPr>
                <w:i/>
                <w:iCs/>
                <w:sz w:val="17"/>
                <w:szCs w:val="17"/>
              </w:rPr>
              <w:t xml:space="preserve">that currently applies under Part 23 would apply under </w:t>
            </w:r>
            <w:r w:rsidR="0093287B" w:rsidRPr="0093287B">
              <w:rPr>
                <w:i/>
                <w:iCs/>
                <w:sz w:val="17"/>
                <w:szCs w:val="17"/>
              </w:rPr>
              <w:t xml:space="preserve">for the lighter form of regulation; and </w:t>
            </w:r>
          </w:p>
          <w:p w14:paraId="64DE6C16" w14:textId="77777777" w:rsidR="001C741C" w:rsidRPr="0093287B" w:rsidRDefault="00156C40" w:rsidP="0093287B">
            <w:pPr>
              <w:pStyle w:val="TableBullet10"/>
              <w:rPr>
                <w:rFonts w:asciiTheme="majorHAnsi" w:hAnsiTheme="majorHAnsi" w:cstheme="majorHAnsi"/>
                <w:i/>
                <w:iCs/>
                <w:sz w:val="17"/>
                <w:szCs w:val="17"/>
                <w:lang w:eastAsia="fr-CA"/>
              </w:rPr>
            </w:pPr>
            <w:r>
              <w:rPr>
                <w:i/>
                <w:iCs/>
                <w:sz w:val="17"/>
                <w:szCs w:val="17"/>
              </w:rPr>
              <w:t xml:space="preserve">the </w:t>
            </w:r>
            <w:r w:rsidR="0093287B" w:rsidRPr="0093287B">
              <w:rPr>
                <w:i/>
                <w:iCs/>
                <w:sz w:val="17"/>
                <w:szCs w:val="17"/>
              </w:rPr>
              <w:t xml:space="preserve">regulatory </w:t>
            </w:r>
            <w:r w:rsidR="007E4215" w:rsidRPr="0093287B">
              <w:rPr>
                <w:i/>
                <w:iCs/>
                <w:sz w:val="17"/>
                <w:szCs w:val="17"/>
              </w:rPr>
              <w:t xml:space="preserve">oriented </w:t>
            </w:r>
            <w:r w:rsidR="007E4215">
              <w:rPr>
                <w:i/>
                <w:iCs/>
                <w:sz w:val="17"/>
                <w:szCs w:val="17"/>
              </w:rPr>
              <w:t xml:space="preserve">dispute resolution mechanism </w:t>
            </w:r>
            <w:r>
              <w:rPr>
                <w:i/>
                <w:iCs/>
                <w:sz w:val="17"/>
                <w:szCs w:val="17"/>
              </w:rPr>
              <w:t>that currently applies to scheme pipelines would apply under t</w:t>
            </w:r>
            <w:r w:rsidR="0093287B" w:rsidRPr="0093287B">
              <w:rPr>
                <w:i/>
                <w:iCs/>
                <w:sz w:val="17"/>
                <w:szCs w:val="17"/>
              </w:rPr>
              <w:t>he stronger form of regulation.</w:t>
            </w:r>
          </w:p>
          <w:p w14:paraId="43E56D4C" w14:textId="77777777" w:rsidR="00D454BD" w:rsidRPr="00514688" w:rsidRDefault="00DB537D" w:rsidP="00C519B3">
            <w:pPr>
              <w:pStyle w:val="TableBullet10"/>
              <w:numPr>
                <w:ilvl w:val="0"/>
                <w:numId w:val="0"/>
              </w:numPr>
              <w:spacing w:before="0" w:after="0" w:line="252" w:lineRule="auto"/>
              <w:ind w:left="85"/>
              <w:rPr>
                <w:rFonts w:asciiTheme="majorHAnsi" w:hAnsiTheme="majorHAnsi" w:cstheme="majorHAnsi"/>
                <w:i/>
                <w:iCs/>
                <w:sz w:val="17"/>
                <w:szCs w:val="17"/>
                <w:lang w:eastAsia="fr-CA"/>
              </w:rPr>
            </w:pPr>
            <w:r>
              <w:rPr>
                <w:rFonts w:asciiTheme="majorHAnsi" w:hAnsiTheme="majorHAnsi" w:cstheme="majorHAnsi"/>
                <w:i/>
                <w:iCs/>
                <w:sz w:val="17"/>
                <w:szCs w:val="17"/>
                <w:lang w:eastAsia="fr-CA"/>
              </w:rPr>
              <w:t xml:space="preserve">The two options </w:t>
            </w:r>
            <w:r w:rsidR="0093287B">
              <w:rPr>
                <w:rFonts w:asciiTheme="majorHAnsi" w:hAnsiTheme="majorHAnsi" w:cstheme="majorHAnsi"/>
                <w:i/>
                <w:iCs/>
                <w:sz w:val="17"/>
                <w:szCs w:val="17"/>
                <w:lang w:eastAsia="fr-CA"/>
              </w:rPr>
              <w:t xml:space="preserve">also provide for the </w:t>
            </w:r>
            <w:r w:rsidR="007B2527">
              <w:rPr>
                <w:rFonts w:asciiTheme="majorHAnsi" w:hAnsiTheme="majorHAnsi" w:cstheme="majorHAnsi"/>
                <w:i/>
                <w:iCs/>
                <w:sz w:val="17"/>
                <w:szCs w:val="17"/>
                <w:lang w:eastAsia="fr-CA"/>
              </w:rPr>
              <w:t xml:space="preserve">scheme pipeline </w:t>
            </w:r>
            <w:r w:rsidR="007E4215">
              <w:rPr>
                <w:rFonts w:asciiTheme="majorHAnsi" w:hAnsiTheme="majorHAnsi" w:cstheme="majorHAnsi"/>
                <w:i/>
                <w:iCs/>
                <w:sz w:val="17"/>
                <w:szCs w:val="17"/>
                <w:lang w:eastAsia="fr-CA"/>
              </w:rPr>
              <w:t xml:space="preserve">dispute resolution mechanism to </w:t>
            </w:r>
            <w:r w:rsidR="00D454BD" w:rsidRPr="00514688">
              <w:rPr>
                <w:rFonts w:asciiTheme="majorHAnsi" w:hAnsiTheme="majorHAnsi" w:cstheme="majorHAnsi"/>
                <w:i/>
                <w:iCs/>
                <w:sz w:val="17"/>
                <w:szCs w:val="17"/>
                <w:lang w:eastAsia="fr-CA"/>
              </w:rPr>
              <w:t>be amended to:</w:t>
            </w:r>
          </w:p>
          <w:p w14:paraId="539EC643" w14:textId="77777777" w:rsidR="00D454BD" w:rsidRPr="00514688" w:rsidRDefault="00D454BD" w:rsidP="000A3668">
            <w:pPr>
              <w:pStyle w:val="Default"/>
              <w:numPr>
                <w:ilvl w:val="0"/>
                <w:numId w:val="149"/>
              </w:numPr>
              <w:spacing w:before="20" w:after="20" w:line="252" w:lineRule="auto"/>
              <w:ind w:left="442" w:hanging="357"/>
              <w:rPr>
                <w:i/>
                <w:iCs/>
                <w:sz w:val="17"/>
                <w:szCs w:val="17"/>
              </w:rPr>
            </w:pPr>
            <w:r>
              <w:rPr>
                <w:i/>
                <w:iCs/>
                <w:sz w:val="17"/>
                <w:szCs w:val="17"/>
              </w:rPr>
              <w:t>R</w:t>
            </w:r>
            <w:r w:rsidRPr="00514688">
              <w:rPr>
                <w:i/>
                <w:iCs/>
                <w:sz w:val="17"/>
                <w:szCs w:val="17"/>
              </w:rPr>
              <w:t xml:space="preserve">equire the dispute resolution body to have regard to the NGO, the revenue and pricing </w:t>
            </w:r>
            <w:r w:rsidRPr="00514688">
              <w:rPr>
                <w:i/>
                <w:iCs/>
                <w:sz w:val="17"/>
                <w:szCs w:val="17"/>
              </w:rPr>
              <w:lastRenderedPageBreak/>
              <w:t xml:space="preserve">principles, an applicable AA (where relevant), previous AAs or access determinations, pre-existing contractual rights and the price and revenue regulation provisions in Part 9 of the NGR. </w:t>
            </w:r>
          </w:p>
          <w:p w14:paraId="0D28E763" w14:textId="77777777" w:rsidR="00D454BD" w:rsidRPr="00514688" w:rsidRDefault="00D454BD" w:rsidP="000A3668">
            <w:pPr>
              <w:pStyle w:val="Default"/>
              <w:numPr>
                <w:ilvl w:val="0"/>
                <w:numId w:val="149"/>
              </w:numPr>
              <w:spacing w:before="20" w:after="20" w:line="252" w:lineRule="auto"/>
              <w:ind w:left="442" w:hanging="357"/>
              <w:rPr>
                <w:i/>
                <w:iCs/>
                <w:sz w:val="17"/>
                <w:szCs w:val="17"/>
              </w:rPr>
            </w:pPr>
            <w:r w:rsidRPr="00514688">
              <w:rPr>
                <w:i/>
                <w:iCs/>
                <w:sz w:val="17"/>
                <w:szCs w:val="17"/>
              </w:rPr>
              <w:t>Provide additional guidance on the role of the dispute resolution expert and the process for appointing and using the evidence of such an expert</w:t>
            </w:r>
          </w:p>
          <w:p w14:paraId="75417BC8" w14:textId="77777777" w:rsidR="00D454BD" w:rsidRPr="00514688" w:rsidRDefault="00D454BD" w:rsidP="000A3668">
            <w:pPr>
              <w:pStyle w:val="Default"/>
              <w:numPr>
                <w:ilvl w:val="0"/>
                <w:numId w:val="149"/>
              </w:numPr>
              <w:spacing w:before="20" w:after="20" w:line="252" w:lineRule="auto"/>
              <w:ind w:left="442" w:hanging="357"/>
              <w:rPr>
                <w:i/>
                <w:iCs/>
                <w:sz w:val="17"/>
                <w:szCs w:val="17"/>
              </w:rPr>
            </w:pPr>
            <w:r w:rsidRPr="00514688">
              <w:rPr>
                <w:i/>
                <w:iCs/>
                <w:sz w:val="17"/>
                <w:szCs w:val="17"/>
              </w:rPr>
              <w:t xml:space="preserve">Better facilitate joint dispute hearing by requiring the existence of a dispute to be made public and setting out the process for joining parties. </w:t>
            </w:r>
          </w:p>
          <w:p w14:paraId="6C36980C" w14:textId="77777777" w:rsidR="00D454BD" w:rsidRPr="00514688" w:rsidRDefault="00D454BD" w:rsidP="000A3668">
            <w:pPr>
              <w:pStyle w:val="Default"/>
              <w:numPr>
                <w:ilvl w:val="0"/>
                <w:numId w:val="149"/>
              </w:numPr>
              <w:spacing w:before="20" w:after="20" w:line="252" w:lineRule="auto"/>
              <w:ind w:left="442" w:hanging="357"/>
              <w:rPr>
                <w:i/>
                <w:iCs/>
                <w:sz w:val="17"/>
                <w:szCs w:val="17"/>
              </w:rPr>
            </w:pPr>
            <w:r>
              <w:rPr>
                <w:i/>
                <w:iCs/>
                <w:sz w:val="17"/>
                <w:szCs w:val="17"/>
              </w:rPr>
              <w:t>I</w:t>
            </w:r>
            <w:r w:rsidRPr="00514688">
              <w:rPr>
                <w:i/>
                <w:iCs/>
                <w:sz w:val="17"/>
                <w:szCs w:val="17"/>
              </w:rPr>
              <w:t xml:space="preserve">ntroduce a 50-day fast-track option and specify the maximum period of time to be taken by the dispute resolution body to resolve a dispute (i.e. eight months). </w:t>
            </w:r>
          </w:p>
          <w:p w14:paraId="0573EFE3" w14:textId="77777777" w:rsidR="00D454BD" w:rsidRPr="00067CB1" w:rsidRDefault="00D454BD" w:rsidP="000A3668">
            <w:pPr>
              <w:pStyle w:val="Default"/>
              <w:numPr>
                <w:ilvl w:val="0"/>
                <w:numId w:val="149"/>
              </w:numPr>
              <w:spacing w:before="20" w:after="20" w:line="252" w:lineRule="auto"/>
              <w:ind w:left="442" w:hanging="357"/>
              <w:rPr>
                <w:i/>
                <w:iCs/>
                <w:sz w:val="17"/>
                <w:szCs w:val="17"/>
              </w:rPr>
            </w:pPr>
            <w:r>
              <w:rPr>
                <w:i/>
                <w:iCs/>
                <w:sz w:val="17"/>
                <w:szCs w:val="17"/>
              </w:rPr>
              <w:t>S</w:t>
            </w:r>
            <w:r w:rsidRPr="00514688">
              <w:rPr>
                <w:i/>
                <w:iCs/>
                <w:sz w:val="17"/>
                <w:szCs w:val="17"/>
              </w:rPr>
              <w:t xml:space="preserve">tate that an access </w:t>
            </w:r>
            <w:r w:rsidRPr="00067CB1">
              <w:rPr>
                <w:i/>
                <w:iCs/>
                <w:sz w:val="17"/>
                <w:szCs w:val="17"/>
              </w:rPr>
              <w:t xml:space="preserve">determination is not binding on the shipper unless it decides to enter into a contract that reflects the access determination; and that if it decides not to enter into such a contract is prevented from seeking arbitration for the same or a substantially similar service for 12 months. </w:t>
            </w:r>
          </w:p>
          <w:p w14:paraId="4BC67DC1" w14:textId="77777777" w:rsidR="0023428B" w:rsidRDefault="00D454BD" w:rsidP="000A3668">
            <w:pPr>
              <w:pStyle w:val="TableBullet10"/>
              <w:numPr>
                <w:ilvl w:val="0"/>
                <w:numId w:val="149"/>
              </w:numPr>
              <w:spacing w:before="0" w:after="120" w:line="252" w:lineRule="auto"/>
              <w:ind w:left="442" w:hanging="357"/>
              <w:rPr>
                <w:rFonts w:asciiTheme="majorHAnsi" w:hAnsiTheme="majorHAnsi" w:cstheme="majorHAnsi"/>
                <w:sz w:val="17"/>
                <w:szCs w:val="17"/>
              </w:rPr>
            </w:pPr>
            <w:r w:rsidRPr="00067CB1">
              <w:rPr>
                <w:i/>
                <w:iCs/>
                <w:sz w:val="17"/>
                <w:szCs w:val="17"/>
              </w:rPr>
              <w:t>Require the dispute resolution body to publish the access determination, statement of reasons, relevant financial calculations and information provided in the course of the dispute (subject to the confidentiality provisions in the NGL).</w:t>
            </w:r>
          </w:p>
        </w:tc>
      </w:tr>
    </w:tbl>
    <w:p w14:paraId="77B1C456" w14:textId="77777777" w:rsidR="00BA221F" w:rsidRPr="00D454BD" w:rsidRDefault="00BA221F" w:rsidP="00D454BD">
      <w:pPr>
        <w:pStyle w:val="BodyText"/>
        <w:spacing w:before="0" w:after="0"/>
        <w:rPr>
          <w:sz w:val="2"/>
          <w:szCs w:val="2"/>
        </w:rPr>
        <w:sectPr w:rsidR="00BA221F" w:rsidRPr="00D454BD" w:rsidSect="00BA221F">
          <w:pgSz w:w="16839" w:h="11907" w:orient="landscape" w:code="9"/>
          <w:pgMar w:top="1361" w:right="1418" w:bottom="992" w:left="1701" w:header="567" w:footer="397" w:gutter="0"/>
          <w:cols w:space="708"/>
          <w:docGrid w:linePitch="360"/>
        </w:sectPr>
      </w:pPr>
    </w:p>
    <w:p w14:paraId="79C6169E" w14:textId="77777777" w:rsidR="007D2D21" w:rsidRDefault="007D2D21" w:rsidP="001D4B2F">
      <w:pPr>
        <w:pStyle w:val="Heading2"/>
      </w:pPr>
      <w:bookmarkStart w:id="174" w:name="_Toc62219422"/>
      <w:r>
        <w:lastRenderedPageBreak/>
        <w:t xml:space="preserve">Summary of policy options for </w:t>
      </w:r>
      <w:r w:rsidR="001D4B2F">
        <w:t>negotiation framework and dispute resolution mechanism</w:t>
      </w:r>
      <w:bookmarkEnd w:id="174"/>
    </w:p>
    <w:p w14:paraId="3F5EA382" w14:textId="5104391A" w:rsidR="007D2D21" w:rsidRDefault="00043B60" w:rsidP="007D2D21">
      <w:pPr>
        <w:pStyle w:val="BodyText"/>
      </w:pPr>
      <w:r>
        <w:fldChar w:fldCharType="begin" w:fldLock="1"/>
      </w:r>
      <w:r>
        <w:instrText xml:space="preserve"> REF _Ref52942925 \h </w:instrText>
      </w:r>
      <w:r>
        <w:fldChar w:fldCharType="separate"/>
      </w:r>
      <w:r w:rsidR="00036405" w:rsidRPr="006B4639">
        <w:t xml:space="preserve">Table </w:t>
      </w:r>
      <w:r w:rsidR="00036405">
        <w:rPr>
          <w:noProof/>
        </w:rPr>
        <w:t>7</w:t>
      </w:r>
      <w:r w:rsidR="00036405">
        <w:t>.</w:t>
      </w:r>
      <w:r w:rsidR="00036405">
        <w:rPr>
          <w:noProof/>
        </w:rPr>
        <w:t>6</w:t>
      </w:r>
      <w:r>
        <w:fldChar w:fldCharType="end"/>
      </w:r>
      <w:r w:rsidRPr="00E8405E">
        <w:t xml:space="preserve"> </w:t>
      </w:r>
      <w:r w:rsidR="007D2D21" w:rsidRPr="00E8405E">
        <w:t xml:space="preserve">sets out the policy options </w:t>
      </w:r>
      <w:r w:rsidR="007D2D21">
        <w:t xml:space="preserve">for this aspect of the regulatory framework </w:t>
      </w:r>
      <w:r w:rsidR="007D2D21" w:rsidRPr="00E8405E">
        <w:t xml:space="preserve">that have been considered as part of the Decision RIS.  </w:t>
      </w:r>
    </w:p>
    <w:p w14:paraId="2CB392A9" w14:textId="31A9FC11" w:rsidR="00534D4A" w:rsidRDefault="00534D4A" w:rsidP="00534D4A">
      <w:pPr>
        <w:pStyle w:val="Caption"/>
        <w:spacing w:before="0" w:after="0"/>
      </w:pPr>
      <w:bookmarkStart w:id="175" w:name="_Ref52942925"/>
      <w:r w:rsidRPr="006B4639">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7</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6</w:t>
      </w:r>
      <w:r w:rsidR="00F323B2">
        <w:rPr>
          <w:noProof/>
        </w:rPr>
        <w:fldChar w:fldCharType="end"/>
      </w:r>
      <w:bookmarkEnd w:id="175"/>
      <w:r w:rsidRPr="006B4639">
        <w:t xml:space="preserve">: </w:t>
      </w:r>
      <w:r>
        <w:t>Policy options identified for the Decision RIS</w:t>
      </w:r>
    </w:p>
    <w:tbl>
      <w:tblPr>
        <w:tblStyle w:val="TableGrid"/>
        <w:tblW w:w="4887" w:type="pct"/>
        <w:tblLook w:val="04A0" w:firstRow="1" w:lastRow="0" w:firstColumn="1" w:lastColumn="0" w:noHBand="0" w:noVBand="1"/>
      </w:tblPr>
      <w:tblGrid>
        <w:gridCol w:w="1221"/>
        <w:gridCol w:w="1544"/>
        <w:gridCol w:w="1557"/>
        <w:gridCol w:w="1323"/>
        <w:gridCol w:w="1302"/>
        <w:gridCol w:w="1642"/>
      </w:tblGrid>
      <w:tr w:rsidR="00B210F6" w:rsidRPr="009708B7" w14:paraId="54085FF0" w14:textId="77777777" w:rsidTr="00E37D90">
        <w:trPr>
          <w:cnfStyle w:val="100000000000" w:firstRow="1" w:lastRow="0" w:firstColumn="0" w:lastColumn="0" w:oddVBand="0" w:evenVBand="0" w:oddHBand="0" w:evenHBand="0" w:firstRowFirstColumn="0" w:firstRowLastColumn="0" w:lastRowFirstColumn="0" w:lastRowLastColumn="0"/>
          <w:tblHeader/>
        </w:trPr>
        <w:tc>
          <w:tcPr>
            <w:tcW w:w="1221" w:type="dxa"/>
            <w:tcBorders>
              <w:bottom w:val="single" w:sz="4" w:space="0" w:color="auto"/>
              <w:right w:val="single" w:sz="4" w:space="0" w:color="FFFFFF" w:themeColor="background1"/>
            </w:tcBorders>
            <w:shd w:val="clear" w:color="auto" w:fill="002060"/>
          </w:tcPr>
          <w:p w14:paraId="000E2E79" w14:textId="77777777" w:rsidR="00B210F6" w:rsidRPr="001962A4" w:rsidRDefault="001962A4" w:rsidP="004D334D">
            <w:pPr>
              <w:keepNext/>
              <w:spacing w:before="40" w:after="40" w:line="240" w:lineRule="auto"/>
              <w:rPr>
                <w:rFonts w:cs="Arial"/>
                <w:sz w:val="16"/>
                <w:szCs w:val="16"/>
              </w:rPr>
            </w:pPr>
            <w:r w:rsidRPr="001962A4">
              <w:rPr>
                <w:rFonts w:cs="Arial"/>
                <w:sz w:val="16"/>
                <w:szCs w:val="16"/>
              </w:rPr>
              <w:t>Element</w:t>
            </w:r>
          </w:p>
        </w:tc>
        <w:tc>
          <w:tcPr>
            <w:tcW w:w="1544" w:type="dxa"/>
            <w:tcBorders>
              <w:left w:val="single" w:sz="4" w:space="0" w:color="FFFFFF" w:themeColor="background1"/>
              <w:bottom w:val="single" w:sz="4" w:space="0" w:color="auto"/>
              <w:right w:val="single" w:sz="4" w:space="0" w:color="FFFFFF" w:themeColor="background1"/>
            </w:tcBorders>
            <w:shd w:val="clear" w:color="auto" w:fill="002060"/>
          </w:tcPr>
          <w:p w14:paraId="3B19799A" w14:textId="77777777" w:rsidR="00B210F6" w:rsidRPr="009708B7" w:rsidRDefault="00B210F6" w:rsidP="004D334D">
            <w:pPr>
              <w:pStyle w:val="BodyText"/>
              <w:keepNext/>
              <w:spacing w:before="40" w:after="40"/>
              <w:jc w:val="center"/>
              <w:rPr>
                <w:rFonts w:cs="Arial"/>
                <w:b w:val="0"/>
                <w:bCs/>
                <w:sz w:val="16"/>
                <w:szCs w:val="16"/>
              </w:rPr>
            </w:pPr>
            <w:r w:rsidRPr="009708B7">
              <w:rPr>
                <w:rFonts w:cs="Arial"/>
                <w:bCs/>
                <w:sz w:val="16"/>
                <w:szCs w:val="16"/>
              </w:rPr>
              <w:t xml:space="preserve">Option 1 </w:t>
            </w:r>
            <w:r>
              <w:rPr>
                <w:rFonts w:cs="Arial"/>
                <w:bCs/>
                <w:sz w:val="16"/>
                <w:szCs w:val="16"/>
              </w:rPr>
              <w:br/>
            </w:r>
            <w:r w:rsidRPr="009708B7">
              <w:rPr>
                <w:rFonts w:cs="Arial"/>
                <w:bCs/>
                <w:sz w:val="16"/>
                <w:szCs w:val="16"/>
              </w:rPr>
              <w:t>(Status quo)</w:t>
            </w:r>
          </w:p>
        </w:tc>
        <w:tc>
          <w:tcPr>
            <w:tcW w:w="1557" w:type="dxa"/>
            <w:tcBorders>
              <w:left w:val="single" w:sz="4" w:space="0" w:color="FFFFFF" w:themeColor="background1"/>
              <w:bottom w:val="single" w:sz="4" w:space="0" w:color="auto"/>
              <w:right w:val="single" w:sz="4" w:space="0" w:color="FFFFFF" w:themeColor="background1"/>
            </w:tcBorders>
            <w:shd w:val="clear" w:color="auto" w:fill="002060"/>
          </w:tcPr>
          <w:p w14:paraId="5B5AD1C7" w14:textId="77777777" w:rsidR="00B210F6" w:rsidRPr="009708B7" w:rsidRDefault="00B210F6" w:rsidP="004D334D">
            <w:pPr>
              <w:pStyle w:val="BodyText"/>
              <w:keepNext/>
              <w:spacing w:before="40" w:after="40"/>
              <w:jc w:val="center"/>
              <w:rPr>
                <w:rFonts w:cs="Arial"/>
                <w:b w:val="0"/>
                <w:bCs/>
                <w:sz w:val="16"/>
                <w:szCs w:val="16"/>
              </w:rPr>
            </w:pPr>
            <w:r w:rsidRPr="009708B7">
              <w:rPr>
                <w:rFonts w:cs="Arial"/>
                <w:bCs/>
                <w:sz w:val="16"/>
                <w:szCs w:val="16"/>
              </w:rPr>
              <w:t>Option 2</w:t>
            </w:r>
          </w:p>
        </w:tc>
        <w:tc>
          <w:tcPr>
            <w:tcW w:w="1323" w:type="dxa"/>
            <w:tcBorders>
              <w:left w:val="single" w:sz="4" w:space="0" w:color="FFFFFF" w:themeColor="background1"/>
              <w:bottom w:val="single" w:sz="4" w:space="0" w:color="auto"/>
              <w:right w:val="single" w:sz="4" w:space="0" w:color="FFFFFF" w:themeColor="background1"/>
            </w:tcBorders>
            <w:shd w:val="clear" w:color="auto" w:fill="002060"/>
          </w:tcPr>
          <w:p w14:paraId="462E95AF" w14:textId="77777777" w:rsidR="00B210F6" w:rsidRPr="009708B7" w:rsidRDefault="00B210F6" w:rsidP="004D334D">
            <w:pPr>
              <w:pStyle w:val="BodyText"/>
              <w:keepNext/>
              <w:spacing w:before="40" w:after="40"/>
              <w:jc w:val="center"/>
              <w:rPr>
                <w:rFonts w:cs="Arial"/>
                <w:b w:val="0"/>
                <w:bCs/>
                <w:sz w:val="16"/>
                <w:szCs w:val="16"/>
              </w:rPr>
            </w:pPr>
            <w:r w:rsidRPr="009708B7">
              <w:rPr>
                <w:rFonts w:cs="Arial"/>
                <w:bCs/>
                <w:sz w:val="16"/>
                <w:szCs w:val="16"/>
              </w:rPr>
              <w:t xml:space="preserve">Option </w:t>
            </w:r>
            <w:r>
              <w:rPr>
                <w:rFonts w:cs="Arial"/>
                <w:bCs/>
                <w:sz w:val="16"/>
                <w:szCs w:val="16"/>
              </w:rPr>
              <w:t>3</w:t>
            </w:r>
            <w:r w:rsidRPr="009708B7">
              <w:rPr>
                <w:rFonts w:cs="Arial"/>
                <w:bCs/>
                <w:sz w:val="16"/>
                <w:szCs w:val="16"/>
              </w:rPr>
              <w:t>A</w:t>
            </w:r>
          </w:p>
        </w:tc>
        <w:tc>
          <w:tcPr>
            <w:tcW w:w="1302" w:type="dxa"/>
            <w:tcBorders>
              <w:left w:val="single" w:sz="4" w:space="0" w:color="FFFFFF" w:themeColor="background1"/>
              <w:bottom w:val="single" w:sz="4" w:space="0" w:color="auto"/>
              <w:right w:val="single" w:sz="4" w:space="0" w:color="FFFFFF" w:themeColor="background1"/>
            </w:tcBorders>
            <w:shd w:val="clear" w:color="auto" w:fill="002060"/>
          </w:tcPr>
          <w:p w14:paraId="043144FA" w14:textId="77777777" w:rsidR="00B210F6" w:rsidRPr="0048187C" w:rsidRDefault="00B210F6" w:rsidP="004D334D">
            <w:pPr>
              <w:pStyle w:val="BodyText"/>
              <w:keepNext/>
              <w:spacing w:before="40" w:after="40"/>
              <w:jc w:val="center"/>
              <w:rPr>
                <w:rFonts w:cs="Arial"/>
                <w:bCs/>
                <w:sz w:val="16"/>
                <w:szCs w:val="16"/>
              </w:rPr>
            </w:pPr>
            <w:r w:rsidRPr="0048187C">
              <w:rPr>
                <w:rFonts w:cs="Arial"/>
                <w:bCs/>
                <w:sz w:val="16"/>
                <w:szCs w:val="16"/>
              </w:rPr>
              <w:t>Option 3B</w:t>
            </w:r>
          </w:p>
        </w:tc>
        <w:tc>
          <w:tcPr>
            <w:tcW w:w="1642" w:type="dxa"/>
            <w:tcBorders>
              <w:left w:val="single" w:sz="4" w:space="0" w:color="FFFFFF" w:themeColor="background1"/>
              <w:bottom w:val="single" w:sz="4" w:space="0" w:color="auto"/>
            </w:tcBorders>
            <w:shd w:val="clear" w:color="auto" w:fill="002060"/>
          </w:tcPr>
          <w:p w14:paraId="712FDB99" w14:textId="77777777" w:rsidR="00B210F6" w:rsidRPr="0048187C" w:rsidRDefault="00B210F6" w:rsidP="004D334D">
            <w:pPr>
              <w:pStyle w:val="BodyText"/>
              <w:keepNext/>
              <w:spacing w:before="40" w:after="40"/>
              <w:jc w:val="center"/>
              <w:rPr>
                <w:rFonts w:cs="Arial"/>
                <w:bCs/>
                <w:sz w:val="16"/>
                <w:szCs w:val="16"/>
              </w:rPr>
            </w:pPr>
            <w:r w:rsidRPr="0048187C">
              <w:rPr>
                <w:rFonts w:cs="Arial"/>
                <w:bCs/>
                <w:sz w:val="16"/>
                <w:szCs w:val="16"/>
              </w:rPr>
              <w:t>Option 4</w:t>
            </w:r>
          </w:p>
        </w:tc>
      </w:tr>
      <w:tr w:rsidR="00B210F6" w:rsidRPr="004E18B9" w14:paraId="09CBC924" w14:textId="77777777" w:rsidTr="00534D4A">
        <w:trPr>
          <w:trHeight w:val="213"/>
        </w:trPr>
        <w:tc>
          <w:tcPr>
            <w:tcW w:w="1221" w:type="dxa"/>
            <w:tcBorders>
              <w:bottom w:val="single" w:sz="4" w:space="0" w:color="auto"/>
            </w:tcBorders>
            <w:shd w:val="clear" w:color="auto" w:fill="FFFFFF" w:themeFill="background1"/>
          </w:tcPr>
          <w:p w14:paraId="60554EA1" w14:textId="77777777" w:rsidR="00B210F6" w:rsidRPr="004E18B9" w:rsidRDefault="00B210F6" w:rsidP="004D334D">
            <w:pPr>
              <w:pStyle w:val="BodyText"/>
              <w:keepNext/>
              <w:spacing w:before="20" w:after="20"/>
              <w:rPr>
                <w:rFonts w:cs="Arial"/>
                <w:b/>
                <w:bCs/>
                <w:sz w:val="16"/>
                <w:szCs w:val="16"/>
              </w:rPr>
            </w:pPr>
            <w:r w:rsidRPr="004E18B9">
              <w:rPr>
                <w:rFonts w:cs="Arial"/>
                <w:b/>
                <w:sz w:val="16"/>
                <w:szCs w:val="16"/>
              </w:rPr>
              <w:t>Negotiation framework</w:t>
            </w:r>
          </w:p>
        </w:tc>
        <w:tc>
          <w:tcPr>
            <w:tcW w:w="1544" w:type="dxa"/>
            <w:tcBorders>
              <w:bottom w:val="single" w:sz="4" w:space="0" w:color="auto"/>
            </w:tcBorders>
            <w:shd w:val="clear" w:color="auto" w:fill="FFFFFF" w:themeFill="background1"/>
          </w:tcPr>
          <w:p w14:paraId="43B66B87" w14:textId="77777777" w:rsidR="00B210F6" w:rsidRPr="004E18B9" w:rsidRDefault="00B210F6" w:rsidP="004D334D">
            <w:pPr>
              <w:pStyle w:val="BodyText"/>
              <w:keepNext/>
              <w:spacing w:before="20" w:after="20"/>
              <w:rPr>
                <w:rFonts w:cs="Arial"/>
                <w:sz w:val="16"/>
                <w:szCs w:val="16"/>
              </w:rPr>
            </w:pPr>
            <w:r w:rsidRPr="004E18B9">
              <w:rPr>
                <w:rFonts w:cs="Arial"/>
                <w:sz w:val="16"/>
                <w:szCs w:val="16"/>
              </w:rPr>
              <w:t xml:space="preserve">Retain existing negotiation frameworks. </w:t>
            </w:r>
          </w:p>
        </w:tc>
        <w:tc>
          <w:tcPr>
            <w:tcW w:w="5824" w:type="dxa"/>
            <w:gridSpan w:val="4"/>
            <w:tcBorders>
              <w:bottom w:val="single" w:sz="4" w:space="0" w:color="auto"/>
            </w:tcBorders>
            <w:shd w:val="clear" w:color="auto" w:fill="FFFFFF" w:themeFill="background1"/>
          </w:tcPr>
          <w:p w14:paraId="4847E93E" w14:textId="77777777" w:rsidR="00B210F6" w:rsidRPr="004E18B9" w:rsidRDefault="00B210F6" w:rsidP="004D334D">
            <w:pPr>
              <w:pStyle w:val="BodyText"/>
              <w:keepNext/>
              <w:spacing w:before="20" w:after="20"/>
              <w:rPr>
                <w:rFonts w:cs="Arial"/>
                <w:sz w:val="16"/>
                <w:szCs w:val="16"/>
              </w:rPr>
            </w:pPr>
            <w:r w:rsidRPr="004E18B9">
              <w:rPr>
                <w:rFonts w:cs="Arial"/>
                <w:sz w:val="16"/>
                <w:szCs w:val="16"/>
              </w:rPr>
              <w:t xml:space="preserve">Single negotiation framework to apply under </w:t>
            </w:r>
            <w:r>
              <w:rPr>
                <w:rFonts w:cs="Arial"/>
                <w:sz w:val="16"/>
                <w:szCs w:val="16"/>
              </w:rPr>
              <w:t xml:space="preserve">all </w:t>
            </w:r>
            <w:r w:rsidRPr="004E18B9">
              <w:rPr>
                <w:rFonts w:cs="Arial"/>
                <w:sz w:val="16"/>
                <w:szCs w:val="16"/>
              </w:rPr>
              <w:t xml:space="preserve">forms of regulation. </w:t>
            </w:r>
          </w:p>
        </w:tc>
      </w:tr>
      <w:tr w:rsidR="00B210F6" w:rsidRPr="004E18B9" w14:paraId="4239DD75" w14:textId="77777777" w:rsidTr="00534D4A">
        <w:trPr>
          <w:cnfStyle w:val="000000010000" w:firstRow="0" w:lastRow="0" w:firstColumn="0" w:lastColumn="0" w:oddVBand="0" w:evenVBand="0" w:oddHBand="0" w:evenHBand="1" w:firstRowFirstColumn="0" w:firstRowLastColumn="0" w:lastRowFirstColumn="0" w:lastRowLastColumn="0"/>
          <w:trHeight w:val="537"/>
        </w:trPr>
        <w:tc>
          <w:tcPr>
            <w:tcW w:w="1221" w:type="dxa"/>
            <w:tcBorders>
              <w:bottom w:val="single" w:sz="4" w:space="0" w:color="auto"/>
            </w:tcBorders>
          </w:tcPr>
          <w:p w14:paraId="69F026D8" w14:textId="77777777" w:rsidR="00B210F6" w:rsidRPr="004E18B9" w:rsidRDefault="00B210F6" w:rsidP="004D334D">
            <w:pPr>
              <w:pStyle w:val="BodyText"/>
              <w:keepNext/>
              <w:spacing w:before="20" w:after="20"/>
              <w:rPr>
                <w:rFonts w:cs="Arial"/>
                <w:b/>
                <w:sz w:val="16"/>
                <w:szCs w:val="16"/>
              </w:rPr>
            </w:pPr>
            <w:r w:rsidRPr="004E18B9">
              <w:rPr>
                <w:rFonts w:cs="Arial"/>
                <w:b/>
                <w:sz w:val="16"/>
                <w:szCs w:val="16"/>
              </w:rPr>
              <w:t xml:space="preserve">Threat of </w:t>
            </w:r>
            <w:r w:rsidR="00A90B19">
              <w:rPr>
                <w:rFonts w:cs="Arial"/>
                <w:b/>
                <w:sz w:val="16"/>
                <w:szCs w:val="16"/>
              </w:rPr>
              <w:t xml:space="preserve">dispute by </w:t>
            </w:r>
            <w:r w:rsidRPr="004E18B9">
              <w:rPr>
                <w:rFonts w:cs="Arial"/>
                <w:b/>
                <w:sz w:val="16"/>
                <w:szCs w:val="16"/>
              </w:rPr>
              <w:t>small</w:t>
            </w:r>
            <w:r w:rsidR="00A90B19">
              <w:rPr>
                <w:rFonts w:cs="Arial"/>
                <w:b/>
                <w:sz w:val="16"/>
                <w:szCs w:val="16"/>
              </w:rPr>
              <w:t>er</w:t>
            </w:r>
            <w:r w:rsidRPr="004E18B9">
              <w:rPr>
                <w:rFonts w:cs="Arial"/>
                <w:b/>
                <w:sz w:val="16"/>
                <w:szCs w:val="16"/>
              </w:rPr>
              <w:t xml:space="preserve"> shippers</w:t>
            </w:r>
          </w:p>
        </w:tc>
        <w:tc>
          <w:tcPr>
            <w:tcW w:w="1544" w:type="dxa"/>
            <w:tcBorders>
              <w:bottom w:val="single" w:sz="4" w:space="0" w:color="auto"/>
            </w:tcBorders>
          </w:tcPr>
          <w:p w14:paraId="3D0F1239" w14:textId="77777777" w:rsidR="00B210F6" w:rsidRPr="004E18B9" w:rsidRDefault="00B210F6" w:rsidP="004D334D">
            <w:pPr>
              <w:pStyle w:val="BodyText"/>
              <w:keepNext/>
              <w:spacing w:before="20" w:after="20"/>
              <w:rPr>
                <w:rFonts w:cs="Arial"/>
                <w:sz w:val="16"/>
                <w:szCs w:val="16"/>
              </w:rPr>
            </w:pPr>
            <w:r w:rsidRPr="004E18B9">
              <w:rPr>
                <w:rFonts w:cs="Arial"/>
                <w:sz w:val="16"/>
                <w:szCs w:val="16"/>
              </w:rPr>
              <w:t>Retain the existing arrangements (i.e. no specific measures to strengthen the threat for smaller shippers).</w:t>
            </w:r>
          </w:p>
        </w:tc>
        <w:tc>
          <w:tcPr>
            <w:tcW w:w="1557" w:type="dxa"/>
            <w:tcBorders>
              <w:bottom w:val="single" w:sz="4" w:space="0" w:color="auto"/>
            </w:tcBorders>
          </w:tcPr>
          <w:p w14:paraId="063AE1D0" w14:textId="77777777" w:rsidR="00B210F6" w:rsidRPr="00507A0C" w:rsidRDefault="00B210F6" w:rsidP="004D334D">
            <w:pPr>
              <w:pStyle w:val="BodyText"/>
              <w:keepNext/>
              <w:spacing w:before="20" w:after="20"/>
              <w:rPr>
                <w:rFonts w:cs="Arial"/>
                <w:sz w:val="16"/>
                <w:szCs w:val="16"/>
              </w:rPr>
            </w:pPr>
            <w:r w:rsidRPr="00507A0C">
              <w:rPr>
                <w:rFonts w:cs="Arial"/>
                <w:sz w:val="16"/>
                <w:szCs w:val="16"/>
              </w:rPr>
              <w:t xml:space="preserve">Strengthen credibility of the threat of arbitration for small shippers by changing the dispute related cost provisions. </w:t>
            </w:r>
          </w:p>
        </w:tc>
        <w:tc>
          <w:tcPr>
            <w:tcW w:w="2625" w:type="dxa"/>
            <w:gridSpan w:val="2"/>
            <w:tcBorders>
              <w:bottom w:val="single" w:sz="4" w:space="0" w:color="auto"/>
            </w:tcBorders>
          </w:tcPr>
          <w:p w14:paraId="1BF59885" w14:textId="77777777" w:rsidR="003D52B1" w:rsidRPr="004E18B9" w:rsidRDefault="00A90B19" w:rsidP="00A90B19">
            <w:pPr>
              <w:pStyle w:val="BodyText"/>
              <w:spacing w:before="60" w:after="60" w:line="247" w:lineRule="auto"/>
              <w:rPr>
                <w:rFonts w:cs="Arial"/>
                <w:sz w:val="16"/>
                <w:szCs w:val="16"/>
              </w:rPr>
            </w:pPr>
            <w:r w:rsidRPr="0088629E">
              <w:rPr>
                <w:rFonts w:cs="Arial"/>
                <w:sz w:val="16"/>
                <w:szCs w:val="16"/>
              </w:rPr>
              <w:t>The credibility of the threat of smaller shippers triggering a dispute would be strengthened by</w:t>
            </w:r>
            <w:r w:rsidR="003D52B1" w:rsidRPr="004E18B9">
              <w:rPr>
                <w:rFonts w:cs="Arial"/>
                <w:sz w:val="16"/>
                <w:szCs w:val="16"/>
              </w:rPr>
              <w:t>:</w:t>
            </w:r>
          </w:p>
          <w:p w14:paraId="37E8E362" w14:textId="77777777" w:rsidR="003D52B1" w:rsidRPr="004E18B9" w:rsidRDefault="003D52B1" w:rsidP="003D52B1">
            <w:pPr>
              <w:pStyle w:val="BodyText"/>
              <w:numPr>
                <w:ilvl w:val="0"/>
                <w:numId w:val="58"/>
              </w:numPr>
              <w:spacing w:before="20" w:after="20" w:line="247" w:lineRule="auto"/>
              <w:ind w:left="312" w:hanging="227"/>
              <w:rPr>
                <w:rFonts w:cs="Arial"/>
                <w:sz w:val="16"/>
                <w:szCs w:val="16"/>
              </w:rPr>
            </w:pPr>
            <w:r w:rsidRPr="004E18B9">
              <w:rPr>
                <w:rFonts w:cs="Arial"/>
                <w:sz w:val="16"/>
                <w:szCs w:val="16"/>
              </w:rPr>
              <w:t>changing the dispute related cost provisions</w:t>
            </w:r>
          </w:p>
          <w:p w14:paraId="7C6801DC" w14:textId="77777777" w:rsidR="003D52B1" w:rsidRDefault="003D52B1" w:rsidP="003D52B1">
            <w:pPr>
              <w:pStyle w:val="BodyText"/>
              <w:numPr>
                <w:ilvl w:val="0"/>
                <w:numId w:val="58"/>
              </w:numPr>
              <w:spacing w:before="20" w:after="20" w:line="247" w:lineRule="auto"/>
              <w:ind w:left="312" w:hanging="227"/>
              <w:rPr>
                <w:rFonts w:cs="Arial"/>
                <w:sz w:val="16"/>
                <w:szCs w:val="16"/>
              </w:rPr>
            </w:pPr>
            <w:r w:rsidRPr="004E18B9">
              <w:rPr>
                <w:rFonts w:cs="Arial"/>
                <w:sz w:val="16"/>
                <w:szCs w:val="16"/>
              </w:rPr>
              <w:t>allowing user bodies to be joined to proceedings involving smaller shippers</w:t>
            </w:r>
          </w:p>
          <w:p w14:paraId="3D1C5E44" w14:textId="77777777" w:rsidR="00B210F6" w:rsidRPr="00507A0C" w:rsidRDefault="00F333DF" w:rsidP="003D52B1">
            <w:pPr>
              <w:pStyle w:val="BodyText"/>
              <w:keepNext/>
              <w:numPr>
                <w:ilvl w:val="0"/>
                <w:numId w:val="58"/>
              </w:numPr>
              <w:spacing w:before="20" w:after="20" w:line="247" w:lineRule="auto"/>
              <w:ind w:left="312" w:hanging="227"/>
              <w:rPr>
                <w:rFonts w:cs="Arial"/>
                <w:sz w:val="16"/>
                <w:szCs w:val="16"/>
              </w:rPr>
            </w:pPr>
            <w:r w:rsidRPr="000658D6">
              <w:rPr>
                <w:rFonts w:cs="Arial"/>
                <w:sz w:val="16"/>
                <w:szCs w:val="16"/>
              </w:rPr>
              <w:t xml:space="preserve">allowing smaller shippers to elect to have a dispute involving a pipeline subject to the lighter form of regulation mediated by a regulator appointed party (who </w:t>
            </w:r>
            <w:r>
              <w:rPr>
                <w:rFonts w:cs="Arial"/>
                <w:sz w:val="16"/>
                <w:szCs w:val="16"/>
              </w:rPr>
              <w:t xml:space="preserve">would </w:t>
            </w:r>
            <w:r w:rsidRPr="000658D6">
              <w:rPr>
                <w:rFonts w:cs="Arial"/>
                <w:sz w:val="16"/>
                <w:szCs w:val="16"/>
              </w:rPr>
              <w:t>be required to report back to the regulator</w:t>
            </w:r>
            <w:r>
              <w:rPr>
                <w:rFonts w:cs="Arial"/>
                <w:sz w:val="16"/>
                <w:szCs w:val="16"/>
              </w:rPr>
              <w:t xml:space="preserve"> on the outcomes</w:t>
            </w:r>
            <w:r w:rsidRPr="000658D6">
              <w:rPr>
                <w:rFonts w:cs="Arial"/>
                <w:sz w:val="16"/>
                <w:szCs w:val="16"/>
              </w:rPr>
              <w:t>)</w:t>
            </w:r>
            <w:r w:rsidR="003D52B1" w:rsidRPr="000658D6">
              <w:rPr>
                <w:rFonts w:cs="Arial"/>
                <w:sz w:val="16"/>
                <w:szCs w:val="16"/>
              </w:rPr>
              <w:t>.</w:t>
            </w:r>
          </w:p>
        </w:tc>
        <w:tc>
          <w:tcPr>
            <w:tcW w:w="1642" w:type="dxa"/>
            <w:tcBorders>
              <w:bottom w:val="single" w:sz="4" w:space="0" w:color="auto"/>
            </w:tcBorders>
          </w:tcPr>
          <w:p w14:paraId="04592E99" w14:textId="77777777" w:rsidR="00B210F6" w:rsidRPr="006B4639" w:rsidRDefault="00B210F6" w:rsidP="004D334D">
            <w:pPr>
              <w:pStyle w:val="BodyText"/>
              <w:keepNext/>
              <w:spacing w:before="20" w:after="20"/>
              <w:rPr>
                <w:sz w:val="16"/>
                <w:szCs w:val="16"/>
              </w:rPr>
            </w:pPr>
            <w:r w:rsidRPr="006B4639">
              <w:rPr>
                <w:sz w:val="16"/>
                <w:szCs w:val="16"/>
              </w:rPr>
              <w:t>Strengthen the credibility of the threat of arbitration for smaller shippers on pipelines subject to the negotiate-arbitrate model by:</w:t>
            </w:r>
          </w:p>
          <w:p w14:paraId="6C5D5987" w14:textId="77777777" w:rsidR="00B210F6" w:rsidRPr="006B4639" w:rsidRDefault="00B210F6" w:rsidP="005316A1">
            <w:pPr>
              <w:pStyle w:val="BodyText"/>
              <w:keepNext/>
              <w:numPr>
                <w:ilvl w:val="0"/>
                <w:numId w:val="58"/>
              </w:numPr>
              <w:spacing w:before="20" w:after="20"/>
              <w:ind w:left="312" w:hanging="227"/>
              <w:rPr>
                <w:sz w:val="16"/>
                <w:szCs w:val="16"/>
              </w:rPr>
            </w:pPr>
            <w:r w:rsidRPr="006B4639">
              <w:rPr>
                <w:sz w:val="16"/>
                <w:szCs w:val="16"/>
              </w:rPr>
              <w:t>changing the dispute related cost provisions</w:t>
            </w:r>
          </w:p>
          <w:p w14:paraId="544087DA" w14:textId="77777777" w:rsidR="00B210F6" w:rsidRDefault="00B210F6" w:rsidP="005316A1">
            <w:pPr>
              <w:pStyle w:val="BodyText"/>
              <w:keepNext/>
              <w:numPr>
                <w:ilvl w:val="0"/>
                <w:numId w:val="58"/>
              </w:numPr>
              <w:spacing w:before="20" w:after="20"/>
              <w:ind w:left="312" w:hanging="227"/>
              <w:rPr>
                <w:sz w:val="16"/>
                <w:szCs w:val="16"/>
              </w:rPr>
            </w:pPr>
            <w:r w:rsidRPr="006B4639">
              <w:rPr>
                <w:sz w:val="16"/>
                <w:szCs w:val="16"/>
              </w:rPr>
              <w:t>allowing user bodies to be joined to arbitral proceedings involving smaller shippers</w:t>
            </w:r>
          </w:p>
          <w:p w14:paraId="4AA8A11E" w14:textId="77777777" w:rsidR="00B210F6" w:rsidRPr="00EC01CE" w:rsidRDefault="00B210F6" w:rsidP="005316A1">
            <w:pPr>
              <w:pStyle w:val="BodyText"/>
              <w:keepNext/>
              <w:numPr>
                <w:ilvl w:val="0"/>
                <w:numId w:val="58"/>
              </w:numPr>
              <w:spacing w:before="20" w:after="20"/>
              <w:ind w:left="312" w:hanging="227"/>
              <w:rPr>
                <w:sz w:val="16"/>
                <w:szCs w:val="16"/>
              </w:rPr>
            </w:pPr>
            <w:r w:rsidRPr="00EC01CE">
              <w:rPr>
                <w:sz w:val="16"/>
                <w:szCs w:val="16"/>
              </w:rPr>
              <w:t>allowing the smaller shipper to elect to have the dispute heard by the relevant regulator rather than a commercial arbitrator.</w:t>
            </w:r>
          </w:p>
        </w:tc>
      </w:tr>
      <w:tr w:rsidR="00753C41" w:rsidRPr="004E18B9" w14:paraId="0A788C58" w14:textId="77777777" w:rsidTr="00534D4A">
        <w:trPr>
          <w:trHeight w:val="263"/>
        </w:trPr>
        <w:tc>
          <w:tcPr>
            <w:tcW w:w="1221" w:type="dxa"/>
            <w:shd w:val="clear" w:color="auto" w:fill="FFFFFF" w:themeFill="background1"/>
          </w:tcPr>
          <w:p w14:paraId="40F19803" w14:textId="77777777" w:rsidR="00753C41" w:rsidRPr="004E18B9" w:rsidRDefault="00753C41" w:rsidP="00753C41">
            <w:pPr>
              <w:pStyle w:val="BodyText"/>
              <w:keepNext/>
              <w:spacing w:before="20" w:after="20"/>
              <w:rPr>
                <w:rFonts w:cs="Arial"/>
                <w:b/>
                <w:sz w:val="16"/>
                <w:szCs w:val="16"/>
              </w:rPr>
            </w:pPr>
            <w:r w:rsidRPr="004E18B9">
              <w:rPr>
                <w:rFonts w:cs="Arial"/>
                <w:b/>
                <w:sz w:val="16"/>
                <w:szCs w:val="16"/>
              </w:rPr>
              <w:t xml:space="preserve">Dispute resolution mechanisms </w:t>
            </w:r>
          </w:p>
        </w:tc>
        <w:tc>
          <w:tcPr>
            <w:tcW w:w="1544" w:type="dxa"/>
            <w:shd w:val="clear" w:color="auto" w:fill="FFFFFF" w:themeFill="background1"/>
          </w:tcPr>
          <w:p w14:paraId="0F618203" w14:textId="77777777" w:rsidR="00753C41" w:rsidRPr="004E18B9" w:rsidRDefault="00753C41" w:rsidP="00753C41">
            <w:pPr>
              <w:pStyle w:val="BodyText"/>
              <w:keepNext/>
              <w:spacing w:before="20" w:after="20"/>
              <w:rPr>
                <w:rFonts w:cs="Arial"/>
                <w:sz w:val="16"/>
                <w:szCs w:val="16"/>
              </w:rPr>
            </w:pPr>
            <w:r w:rsidRPr="004E18B9">
              <w:rPr>
                <w:rFonts w:cs="Arial"/>
                <w:sz w:val="16"/>
                <w:szCs w:val="16"/>
              </w:rPr>
              <w:t>Retain the existing dispute resolution mechanisms.</w:t>
            </w:r>
          </w:p>
        </w:tc>
        <w:tc>
          <w:tcPr>
            <w:tcW w:w="4182" w:type="dxa"/>
            <w:gridSpan w:val="3"/>
            <w:shd w:val="clear" w:color="auto" w:fill="FFFFFF" w:themeFill="background1"/>
          </w:tcPr>
          <w:p w14:paraId="2AC5552E" w14:textId="77777777" w:rsidR="00753C41" w:rsidRPr="004E18B9" w:rsidRDefault="00753C41" w:rsidP="00753C41">
            <w:pPr>
              <w:pStyle w:val="BodyText"/>
              <w:keepNext/>
              <w:spacing w:before="20" w:after="20"/>
              <w:rPr>
                <w:rFonts w:cs="Arial"/>
                <w:sz w:val="16"/>
                <w:szCs w:val="16"/>
              </w:rPr>
            </w:pPr>
            <w:r w:rsidRPr="004E18B9">
              <w:rPr>
                <w:rFonts w:cs="Arial"/>
                <w:sz w:val="16"/>
                <w:szCs w:val="16"/>
              </w:rPr>
              <w:t xml:space="preserve">Maintain commercially oriented arbitration for </w:t>
            </w:r>
            <w:r>
              <w:rPr>
                <w:rFonts w:cs="Arial"/>
                <w:sz w:val="16"/>
                <w:szCs w:val="16"/>
              </w:rPr>
              <w:t>lighter</w:t>
            </w:r>
            <w:r w:rsidRPr="004E18B9">
              <w:rPr>
                <w:rFonts w:cs="Arial"/>
                <w:sz w:val="16"/>
                <w:szCs w:val="16"/>
              </w:rPr>
              <w:t xml:space="preserve"> regulation and regulatory arbitration for </w:t>
            </w:r>
            <w:r>
              <w:rPr>
                <w:rFonts w:cs="Arial"/>
                <w:sz w:val="16"/>
                <w:szCs w:val="16"/>
              </w:rPr>
              <w:t>stronger</w:t>
            </w:r>
            <w:r w:rsidRPr="004E18B9">
              <w:rPr>
                <w:rFonts w:cs="Arial"/>
                <w:sz w:val="16"/>
                <w:szCs w:val="16"/>
              </w:rPr>
              <w:t xml:space="preserve"> form of regulation</w:t>
            </w:r>
            <w:r>
              <w:rPr>
                <w:rFonts w:cs="Arial"/>
                <w:sz w:val="16"/>
                <w:szCs w:val="16"/>
              </w:rPr>
              <w:t>. F</w:t>
            </w:r>
            <w:r w:rsidRPr="004E18B9">
              <w:rPr>
                <w:rFonts w:cs="Arial"/>
                <w:sz w:val="16"/>
                <w:szCs w:val="16"/>
              </w:rPr>
              <w:t>ull regulation dispute resolution mechanism</w:t>
            </w:r>
            <w:r>
              <w:rPr>
                <w:rFonts w:cs="Arial"/>
                <w:sz w:val="16"/>
                <w:szCs w:val="16"/>
              </w:rPr>
              <w:t xml:space="preserve"> to be strengthened</w:t>
            </w:r>
            <w:r w:rsidR="00F778C1">
              <w:rPr>
                <w:rFonts w:cs="Arial"/>
                <w:sz w:val="16"/>
                <w:szCs w:val="16"/>
              </w:rPr>
              <w:t xml:space="preserve"> in the manner set out in Box 8.3</w:t>
            </w:r>
            <w:r>
              <w:rPr>
                <w:rFonts w:cs="Arial"/>
                <w:sz w:val="16"/>
                <w:szCs w:val="16"/>
              </w:rPr>
              <w:t>.</w:t>
            </w:r>
            <w:r w:rsidRPr="004E18B9">
              <w:rPr>
                <w:rFonts w:cs="Arial"/>
                <w:sz w:val="16"/>
                <w:szCs w:val="16"/>
              </w:rPr>
              <w:t xml:space="preserve"> </w:t>
            </w:r>
          </w:p>
        </w:tc>
        <w:tc>
          <w:tcPr>
            <w:tcW w:w="1642" w:type="dxa"/>
            <w:shd w:val="clear" w:color="auto" w:fill="FFFFFF" w:themeFill="background1"/>
          </w:tcPr>
          <w:p w14:paraId="6F618001" w14:textId="77777777" w:rsidR="00753C41" w:rsidRPr="004E18B9" w:rsidRDefault="00753C41" w:rsidP="00753C41">
            <w:pPr>
              <w:pStyle w:val="BodyText"/>
              <w:keepNext/>
              <w:spacing w:before="20" w:after="20"/>
              <w:rPr>
                <w:rFonts w:cs="Arial"/>
                <w:sz w:val="16"/>
                <w:szCs w:val="16"/>
              </w:rPr>
            </w:pPr>
            <w:r w:rsidRPr="006B4639">
              <w:rPr>
                <w:sz w:val="16"/>
                <w:szCs w:val="16"/>
              </w:rPr>
              <w:t xml:space="preserve">Maintain Part 23 dispute resolution mechanism for </w:t>
            </w:r>
            <w:r>
              <w:rPr>
                <w:sz w:val="16"/>
                <w:szCs w:val="16"/>
              </w:rPr>
              <w:t>lighter</w:t>
            </w:r>
            <w:r w:rsidRPr="006B4639">
              <w:rPr>
                <w:sz w:val="16"/>
                <w:szCs w:val="16"/>
              </w:rPr>
              <w:t xml:space="preserve"> regulation</w:t>
            </w:r>
            <w:r>
              <w:rPr>
                <w:sz w:val="16"/>
                <w:szCs w:val="16"/>
              </w:rPr>
              <w:t>.</w:t>
            </w:r>
          </w:p>
        </w:tc>
      </w:tr>
    </w:tbl>
    <w:p w14:paraId="4DACC7B0" w14:textId="77777777" w:rsidR="00765D6E" w:rsidRPr="003E2A83" w:rsidRDefault="00765D6E" w:rsidP="00765D6E">
      <w:pPr>
        <w:pStyle w:val="BodyText"/>
        <w:rPr>
          <w:szCs w:val="18"/>
          <w:lang w:eastAsia="fr-CA"/>
        </w:rPr>
      </w:pPr>
      <w:r w:rsidRPr="00577FFE">
        <w:t>Further detail on how these potential options could form part of a broader regulatory package is provided in Chapter 8, while Chapter 9 sets out the results of regulatory impact assessment and Chapter 10 sets out the preferred option.</w:t>
      </w:r>
    </w:p>
    <w:p w14:paraId="78757BDB" w14:textId="77777777" w:rsidR="00B77094" w:rsidRPr="006B4639" w:rsidRDefault="00B77094">
      <w:r w:rsidRPr="006B4639">
        <w:rPr>
          <w:b/>
          <w:bCs/>
        </w:rPr>
        <w:br w:type="page"/>
      </w:r>
    </w:p>
    <w:p w14:paraId="4E1D875B" w14:textId="2A0E60B7" w:rsidR="006D7F84" w:rsidRPr="006B4639" w:rsidRDefault="00B551B7" w:rsidP="00731CCF">
      <w:pPr>
        <w:pStyle w:val="Heading1"/>
        <w:spacing w:after="120"/>
      </w:pPr>
      <w:bookmarkStart w:id="176" w:name="_Toc62219423"/>
      <w:r>
        <w:lastRenderedPageBreak/>
        <w:t>P</w:t>
      </w:r>
      <w:r w:rsidR="006B5038" w:rsidRPr="006B4639">
        <w:t>olicy options</w:t>
      </w:r>
      <w:bookmarkEnd w:id="162"/>
      <w:bookmarkEnd w:id="163"/>
      <w:bookmarkEnd w:id="164"/>
      <w:bookmarkEnd w:id="165"/>
      <w:bookmarkEnd w:id="166"/>
      <w:bookmarkEnd w:id="167"/>
      <w:bookmarkEnd w:id="168"/>
      <w:bookmarkEnd w:id="169"/>
      <w:bookmarkEnd w:id="170"/>
      <w:bookmarkEnd w:id="171"/>
      <w:r>
        <w:t xml:space="preserve"> considered as part of the RIS</w:t>
      </w:r>
      <w:bookmarkEnd w:id="176"/>
    </w:p>
    <w:p w14:paraId="5DDE7F34" w14:textId="77777777" w:rsidR="00611FCC" w:rsidRPr="006B4639" w:rsidRDefault="00A349DD" w:rsidP="00C81B57">
      <w:pPr>
        <w:pStyle w:val="BodyText"/>
        <w:spacing w:before="120" w:line="252" w:lineRule="auto"/>
      </w:pPr>
      <w:bookmarkStart w:id="177" w:name="_Hlk18250880"/>
      <w:r>
        <w:t xml:space="preserve">Five policy </w:t>
      </w:r>
      <w:r w:rsidR="00742033" w:rsidRPr="006B4639">
        <w:t xml:space="preserve">options </w:t>
      </w:r>
      <w:r w:rsidR="009B6B14">
        <w:t xml:space="preserve">have been identified </w:t>
      </w:r>
      <w:r>
        <w:t xml:space="preserve">in response to the </w:t>
      </w:r>
      <w:r w:rsidR="003A5203" w:rsidRPr="006B4639">
        <w:t xml:space="preserve">problems </w:t>
      </w:r>
      <w:r w:rsidR="00742033" w:rsidRPr="006B4639">
        <w:t xml:space="preserve">outlined in </w:t>
      </w:r>
      <w:r w:rsidR="007A5FC2">
        <w:t>c</w:t>
      </w:r>
      <w:r w:rsidR="00742033" w:rsidRPr="00134254">
        <w:t xml:space="preserve">hapters </w:t>
      </w:r>
      <w:r w:rsidR="00765D6E" w:rsidRPr="00134254">
        <w:t>4</w:t>
      </w:r>
      <w:r w:rsidR="00742033" w:rsidRPr="00134254">
        <w:t>-</w:t>
      </w:r>
      <w:r w:rsidR="00765D6E" w:rsidRPr="00134254">
        <w:t>7</w:t>
      </w:r>
      <w:r w:rsidR="00BF5BB0" w:rsidRPr="00134254">
        <w:t xml:space="preserve"> (reform</w:t>
      </w:r>
      <w:r w:rsidR="00BF5BB0" w:rsidRPr="006B4639">
        <w:t xml:space="preserve"> focus 1-4)</w:t>
      </w:r>
      <w:r w:rsidR="008608F8">
        <w:t xml:space="preserve">. </w:t>
      </w:r>
      <w:r w:rsidR="00DA5D11" w:rsidRPr="006B4639">
        <w:t xml:space="preserve">One option is to maintain the status quo. The other options differ in a number of respects, but for ease of reference </w:t>
      </w:r>
      <w:r w:rsidR="00731CCF">
        <w:t>are</w:t>
      </w:r>
      <w:r w:rsidR="00DA5D11" w:rsidRPr="006B4639">
        <w:t xml:space="preserve"> named on the basis </w:t>
      </w:r>
      <w:r w:rsidR="0092757D" w:rsidRPr="006B4639">
        <w:t xml:space="preserve">of the pipelines that would be subject to regulation </w:t>
      </w:r>
      <w:r w:rsidR="00193D9C">
        <w:t xml:space="preserve">and the forms of regulation </w:t>
      </w:r>
      <w:r w:rsidR="00950FCE">
        <w:t xml:space="preserve">under </w:t>
      </w:r>
      <w:r w:rsidR="00CB11E4">
        <w:t>each</w:t>
      </w:r>
      <w:r w:rsidR="00950FCE">
        <w:t xml:space="preserve"> option</w:t>
      </w:r>
      <w:r w:rsidR="00DA5D11" w:rsidRPr="006B4639">
        <w:t xml:space="preserve">. The </w:t>
      </w:r>
      <w:r w:rsidR="00D91667">
        <w:t xml:space="preserve">five </w:t>
      </w:r>
      <w:r w:rsidR="00DA5D11" w:rsidRPr="006B4639">
        <w:t>policy options are:</w:t>
      </w:r>
    </w:p>
    <w:p w14:paraId="3BC2E33B" w14:textId="77777777" w:rsidR="0094642C" w:rsidRPr="006B4639" w:rsidRDefault="0094642C" w:rsidP="00AD36B8">
      <w:pPr>
        <w:pStyle w:val="ListBullet"/>
      </w:pPr>
      <w:bookmarkStart w:id="178" w:name="PasteHere"/>
      <w:bookmarkStart w:id="179" w:name="SectionBreakEndHere"/>
      <w:bookmarkEnd w:id="178"/>
      <w:bookmarkEnd w:id="179"/>
      <w:r w:rsidRPr="0094642C">
        <w:t>Option 1</w:t>
      </w:r>
      <w:r w:rsidRPr="006B4639">
        <w:t xml:space="preserve">: Maintain the </w:t>
      </w:r>
      <w:r w:rsidRPr="00963555">
        <w:t>status quo</w:t>
      </w:r>
      <w:r w:rsidRPr="006B4639">
        <w:t>.</w:t>
      </w:r>
    </w:p>
    <w:p w14:paraId="3E941325" w14:textId="77777777" w:rsidR="0094642C" w:rsidRDefault="0094642C" w:rsidP="00AD36B8">
      <w:pPr>
        <w:pStyle w:val="ListBullet"/>
      </w:pPr>
      <w:r w:rsidRPr="0094642C">
        <w:rPr>
          <w:b/>
          <w:bCs/>
        </w:rPr>
        <w:t>Option 2:</w:t>
      </w:r>
      <w:r w:rsidRPr="006B4639">
        <w:t xml:space="preserve"> </w:t>
      </w:r>
      <w:r>
        <w:t xml:space="preserve">Regulation of </w:t>
      </w:r>
      <w:r w:rsidRPr="00963555">
        <w:rPr>
          <w:b/>
          <w:bCs/>
        </w:rPr>
        <w:t>pipelines with substantial market power</w:t>
      </w:r>
      <w:r>
        <w:t xml:space="preserve">, with </w:t>
      </w:r>
      <w:r w:rsidR="00B5568A">
        <w:t xml:space="preserve">regulated </w:t>
      </w:r>
      <w:r>
        <w:t xml:space="preserve">pipelines subject to either: </w:t>
      </w:r>
    </w:p>
    <w:p w14:paraId="51AF3B92" w14:textId="77777777" w:rsidR="0094642C" w:rsidRDefault="0094642C" w:rsidP="00AD36B8">
      <w:pPr>
        <w:pStyle w:val="ListBullet2"/>
      </w:pPr>
      <w:r>
        <w:t xml:space="preserve">a stronger form of regulation based on full regulation; or </w:t>
      </w:r>
    </w:p>
    <w:p w14:paraId="4A8D34AB" w14:textId="77777777" w:rsidR="0094642C" w:rsidRPr="006B4639" w:rsidRDefault="0094642C" w:rsidP="00AD36B8">
      <w:pPr>
        <w:pStyle w:val="ListBullet2"/>
      </w:pPr>
      <w:r>
        <w:t xml:space="preserve">a lighter form of regulation based on a strengthened Part 23. </w:t>
      </w:r>
    </w:p>
    <w:p w14:paraId="262A5BCA" w14:textId="77777777" w:rsidR="0094642C" w:rsidRDefault="0094642C" w:rsidP="00AD36B8">
      <w:pPr>
        <w:pStyle w:val="ListBullet"/>
      </w:pPr>
      <w:r w:rsidRPr="0094642C">
        <w:rPr>
          <w:b/>
          <w:bCs/>
        </w:rPr>
        <w:t>Option 3A:</w:t>
      </w:r>
      <w:r w:rsidRPr="006B4639">
        <w:t xml:space="preserve"> </w:t>
      </w:r>
      <w:r>
        <w:t xml:space="preserve">Regulation of all </w:t>
      </w:r>
      <w:r w:rsidRPr="00963555">
        <w:rPr>
          <w:b/>
          <w:bCs/>
        </w:rPr>
        <w:t>pipelines providing third party access</w:t>
      </w:r>
      <w:r>
        <w:t xml:space="preserve"> </w:t>
      </w:r>
      <w:r w:rsidRPr="006B4639">
        <w:t xml:space="preserve">plus </w:t>
      </w:r>
      <w:r>
        <w:t xml:space="preserve">those not voluntarily providing third party access if they satisfy a third party access test, with </w:t>
      </w:r>
      <w:r w:rsidR="00B5568A">
        <w:t xml:space="preserve">regulated </w:t>
      </w:r>
      <w:r>
        <w:t xml:space="preserve">pipelines subject to either: </w:t>
      </w:r>
    </w:p>
    <w:p w14:paraId="42101BCA" w14:textId="77777777" w:rsidR="0094642C" w:rsidRDefault="0094642C" w:rsidP="00AD36B8">
      <w:pPr>
        <w:pStyle w:val="ListBullet2"/>
      </w:pPr>
      <w:r>
        <w:t xml:space="preserve">a stronger form of regulation based on full regulation; or </w:t>
      </w:r>
    </w:p>
    <w:p w14:paraId="7F06F231" w14:textId="77777777" w:rsidR="0094642C" w:rsidRDefault="0094642C" w:rsidP="00AD36B8">
      <w:pPr>
        <w:pStyle w:val="ListBullet2"/>
      </w:pPr>
      <w:r>
        <w:t>a lighter form of regulation based on a strengthened Part 23.</w:t>
      </w:r>
    </w:p>
    <w:p w14:paraId="48862B86" w14:textId="77777777" w:rsidR="0094642C" w:rsidRDefault="0094642C" w:rsidP="00AD36B8">
      <w:pPr>
        <w:pStyle w:val="ListBullet"/>
      </w:pPr>
      <w:r w:rsidRPr="0094642C">
        <w:rPr>
          <w:b/>
          <w:bCs/>
        </w:rPr>
        <w:t>Option 3B:</w:t>
      </w:r>
      <w:r>
        <w:t xml:space="preserve"> Regulation of </w:t>
      </w:r>
      <w:r w:rsidRPr="00963555">
        <w:rPr>
          <w:b/>
          <w:bCs/>
        </w:rPr>
        <w:t>all pipelines</w:t>
      </w:r>
      <w:r>
        <w:t>, with pipelines subject to either:</w:t>
      </w:r>
    </w:p>
    <w:p w14:paraId="5E4098E8" w14:textId="77777777" w:rsidR="0094642C" w:rsidRDefault="0094642C" w:rsidP="00AD36B8">
      <w:pPr>
        <w:pStyle w:val="ListBullet2"/>
      </w:pPr>
      <w:r>
        <w:t xml:space="preserve">a stronger form of regulation based on full regulation; or </w:t>
      </w:r>
    </w:p>
    <w:p w14:paraId="6F36E554" w14:textId="77777777" w:rsidR="0094642C" w:rsidRDefault="0094642C" w:rsidP="00AD36B8">
      <w:pPr>
        <w:pStyle w:val="ListBullet2"/>
      </w:pPr>
      <w:r>
        <w:t>a lighter form of regulation based on a strengthened Part 23.</w:t>
      </w:r>
    </w:p>
    <w:p w14:paraId="2808BAAF" w14:textId="77777777" w:rsidR="00A23B9A" w:rsidRDefault="009A2096" w:rsidP="00AD36B8">
      <w:pPr>
        <w:pStyle w:val="ListBullet2"/>
        <w:numPr>
          <w:ilvl w:val="0"/>
          <w:numId w:val="0"/>
        </w:numPr>
        <w:ind w:left="357"/>
      </w:pPr>
      <w:r>
        <w:t xml:space="preserve">To reduce the regulatory burden for </w:t>
      </w:r>
      <w:r w:rsidR="00A23B9A">
        <w:t xml:space="preserve">pipelines </w:t>
      </w:r>
      <w:r w:rsidR="00EA424A">
        <w:t xml:space="preserve">with </w:t>
      </w:r>
      <w:r w:rsidR="00A23B9A">
        <w:t xml:space="preserve">no third party </w:t>
      </w:r>
      <w:r w:rsidR="00633382">
        <w:t xml:space="preserve">shippers, the </w:t>
      </w:r>
      <w:r w:rsidR="005A40D4">
        <w:t xml:space="preserve">service provider would be exempt from </w:t>
      </w:r>
      <w:r w:rsidR="00633382">
        <w:t xml:space="preserve">information disclosure obligations </w:t>
      </w:r>
      <w:r w:rsidR="005A40D4">
        <w:t xml:space="preserve">until </w:t>
      </w:r>
      <w:r>
        <w:t xml:space="preserve">such time as </w:t>
      </w:r>
      <w:r w:rsidR="00EA424A">
        <w:t xml:space="preserve">there are </w:t>
      </w:r>
      <w:r>
        <w:t xml:space="preserve">third parties </w:t>
      </w:r>
      <w:r w:rsidR="00EA424A">
        <w:t xml:space="preserve">using the pipeline. </w:t>
      </w:r>
    </w:p>
    <w:p w14:paraId="71EE8617" w14:textId="77777777" w:rsidR="0094642C" w:rsidRDefault="0094642C" w:rsidP="00AD36B8">
      <w:pPr>
        <w:pStyle w:val="ListBullet"/>
      </w:pPr>
      <w:r w:rsidRPr="0094642C">
        <w:rPr>
          <w:b/>
          <w:bCs/>
        </w:rPr>
        <w:t>Option 4:</w:t>
      </w:r>
      <w:r w:rsidRPr="006B4639">
        <w:t xml:space="preserve"> </w:t>
      </w:r>
      <w:r>
        <w:t xml:space="preserve">Regulation of </w:t>
      </w:r>
      <w:r w:rsidRPr="00963555">
        <w:rPr>
          <w:b/>
          <w:bCs/>
        </w:rPr>
        <w:t>all pipelines</w:t>
      </w:r>
      <w:r>
        <w:t>, with pipelines subject to either:</w:t>
      </w:r>
    </w:p>
    <w:p w14:paraId="669B1B3C" w14:textId="77777777" w:rsidR="0094642C" w:rsidRDefault="0094642C" w:rsidP="00AD36B8">
      <w:pPr>
        <w:pStyle w:val="ListBullet2"/>
      </w:pPr>
      <w:r>
        <w:t xml:space="preserve">a stronger form based on </w:t>
      </w:r>
      <w:r w:rsidRPr="00963555">
        <w:rPr>
          <w:b/>
          <w:bCs/>
        </w:rPr>
        <w:t>direct price control</w:t>
      </w:r>
      <w:r>
        <w:t xml:space="preserve">; or </w:t>
      </w:r>
    </w:p>
    <w:p w14:paraId="6770C8CD" w14:textId="77777777" w:rsidR="0094642C" w:rsidRDefault="0094642C" w:rsidP="00AD36B8">
      <w:pPr>
        <w:pStyle w:val="ListBullet2"/>
      </w:pPr>
      <w:r>
        <w:t>a lighter form of regulation based on a strengthened Part 23.</w:t>
      </w:r>
      <w:r w:rsidRPr="006B4639">
        <w:t xml:space="preserve"> </w:t>
      </w:r>
    </w:p>
    <w:p w14:paraId="6CD451E9" w14:textId="77777777" w:rsidR="009A2096" w:rsidRDefault="009A2096" w:rsidP="00AD36B8">
      <w:pPr>
        <w:pStyle w:val="ListBullet2"/>
        <w:numPr>
          <w:ilvl w:val="0"/>
          <w:numId w:val="0"/>
        </w:numPr>
        <w:ind w:left="357"/>
      </w:pPr>
      <w:r>
        <w:t xml:space="preserve">To reduce the regulatory burden for pipelines with no third party shippers, the service provider would be exempt from information disclosure obligations until such time as there are third parties using the pipeline. </w:t>
      </w:r>
    </w:p>
    <w:p w14:paraId="28575800" w14:textId="77777777" w:rsidR="00936C00" w:rsidRDefault="00997689" w:rsidP="00C81B57">
      <w:pPr>
        <w:pStyle w:val="BodyText"/>
        <w:spacing w:line="252" w:lineRule="auto"/>
      </w:pPr>
      <w:r>
        <w:rPr>
          <w:bCs/>
        </w:rPr>
        <w:t xml:space="preserve">It is worth noting that options 1, 2 and 4 are </w:t>
      </w:r>
      <w:r w:rsidR="006635E8">
        <w:rPr>
          <w:bCs/>
        </w:rPr>
        <w:t xml:space="preserve">largely </w:t>
      </w:r>
      <w:r>
        <w:rPr>
          <w:bCs/>
        </w:rPr>
        <w:t xml:space="preserve">unchanged from the Consultation RIS. </w:t>
      </w:r>
      <w:r w:rsidR="00CB11E4">
        <w:rPr>
          <w:bCs/>
        </w:rPr>
        <w:t xml:space="preserve">Options 3A and 3B, on the other hand, are variants of Option 3 </w:t>
      </w:r>
      <w:r w:rsidR="00364B80">
        <w:rPr>
          <w:bCs/>
        </w:rPr>
        <w:t xml:space="preserve">from the Consultation RIS, and reflect the feedback that stakeholders provided </w:t>
      </w:r>
      <w:r w:rsidR="00F84A61">
        <w:rPr>
          <w:bCs/>
        </w:rPr>
        <w:t xml:space="preserve">through the consultation process and additional </w:t>
      </w:r>
      <w:r w:rsidR="006635E8">
        <w:rPr>
          <w:bCs/>
        </w:rPr>
        <w:t>advice that has been obtained in response to the stakeholder feedback</w:t>
      </w:r>
      <w:r w:rsidR="00364B80">
        <w:rPr>
          <w:bCs/>
        </w:rPr>
        <w:t xml:space="preserve">. </w:t>
      </w:r>
      <w:r w:rsidR="00936C00" w:rsidRPr="006B4639">
        <w:t xml:space="preserve">Further detail on </w:t>
      </w:r>
      <w:r w:rsidR="00936C00">
        <w:t xml:space="preserve">the </w:t>
      </w:r>
      <w:r w:rsidR="00936C00" w:rsidRPr="006B4639">
        <w:t xml:space="preserve">policy </w:t>
      </w:r>
      <w:r w:rsidR="00936C00">
        <w:t xml:space="preserve">options </w:t>
      </w:r>
      <w:r w:rsidR="00936C00" w:rsidRPr="006B4639">
        <w:t xml:space="preserve">is provided in </w:t>
      </w:r>
      <w:r w:rsidR="00936C00">
        <w:t>the remainder of this chapter</w:t>
      </w:r>
      <w:r w:rsidR="00936C00" w:rsidRPr="006B4639">
        <w:t xml:space="preserve">. </w:t>
      </w:r>
    </w:p>
    <w:p w14:paraId="39D7B152" w14:textId="77777777" w:rsidR="006D7F84" w:rsidRPr="006B4639" w:rsidRDefault="00D95965" w:rsidP="00C81B57">
      <w:pPr>
        <w:pStyle w:val="Heading2"/>
        <w:spacing w:after="120" w:line="252" w:lineRule="auto"/>
      </w:pPr>
      <w:bookmarkStart w:id="180" w:name="_Toc62219424"/>
      <w:bookmarkStart w:id="181" w:name="_Hlk19243539"/>
      <w:bookmarkEnd w:id="177"/>
      <w:r>
        <w:t>P</w:t>
      </w:r>
      <w:r w:rsidR="006D7F84" w:rsidRPr="006B4639">
        <w:t>olicy options</w:t>
      </w:r>
      <w:bookmarkEnd w:id="180"/>
      <w:r w:rsidR="006D7F84" w:rsidRPr="006B4639">
        <w:t xml:space="preserve"> </w:t>
      </w:r>
    </w:p>
    <w:p w14:paraId="22BA6EE8" w14:textId="17A8E184" w:rsidR="006A1EB4" w:rsidRPr="006B4639" w:rsidRDefault="00E807FC" w:rsidP="00C81B57">
      <w:pPr>
        <w:pStyle w:val="BodyText"/>
        <w:spacing w:before="120" w:line="252" w:lineRule="auto"/>
      </w:pPr>
      <w:fldSimple w:instr=" REF _Ref18251107 " w:fldLock="1">
        <w:r w:rsidR="00036405" w:rsidRPr="006B4639">
          <w:t xml:space="preserve">Table </w:t>
        </w:r>
        <w:r w:rsidR="00036405">
          <w:rPr>
            <w:noProof/>
          </w:rPr>
          <w:t>8</w:t>
        </w:r>
        <w:r w:rsidR="00036405">
          <w:t>.</w:t>
        </w:r>
        <w:r w:rsidR="00036405">
          <w:rPr>
            <w:noProof/>
          </w:rPr>
          <w:t>1</w:t>
        </w:r>
      </w:fldSimple>
      <w:r w:rsidR="00E258DE" w:rsidRPr="006B4639">
        <w:t xml:space="preserve"> </w:t>
      </w:r>
      <w:r w:rsidR="00A651D1" w:rsidRPr="006B4639">
        <w:t xml:space="preserve">and </w:t>
      </w:r>
      <w:r w:rsidR="009158A9" w:rsidRPr="006B4639">
        <w:t>box</w:t>
      </w:r>
      <w:r w:rsidR="00AA21AD" w:rsidRPr="006B4639">
        <w:t>es</w:t>
      </w:r>
      <w:r w:rsidR="009158A9" w:rsidRPr="006B4639">
        <w:t xml:space="preserve"> </w:t>
      </w:r>
      <w:r w:rsidR="0061294C">
        <w:t>8</w:t>
      </w:r>
      <w:r w:rsidR="00AA21AD" w:rsidRPr="006B4639">
        <w:t>.1-</w:t>
      </w:r>
      <w:r w:rsidR="0061294C">
        <w:t>8</w:t>
      </w:r>
      <w:r w:rsidR="00AA21AD" w:rsidRPr="006B4639">
        <w:t>.</w:t>
      </w:r>
      <w:r w:rsidR="00A92B63">
        <w:t>3</w:t>
      </w:r>
      <w:r w:rsidR="00AA21AD" w:rsidRPr="006B4639">
        <w:t xml:space="preserve"> </w:t>
      </w:r>
      <w:r w:rsidR="00E258DE" w:rsidRPr="006B4639">
        <w:t xml:space="preserve">provide </w:t>
      </w:r>
      <w:r w:rsidR="009158A9" w:rsidRPr="006B4639">
        <w:t xml:space="preserve">an overview </w:t>
      </w:r>
      <w:r w:rsidR="00E258DE" w:rsidRPr="006B4639">
        <w:t xml:space="preserve">of the key elements of </w:t>
      </w:r>
      <w:r w:rsidR="00240FE0" w:rsidRPr="006B4639">
        <w:t>O</w:t>
      </w:r>
      <w:r w:rsidR="00E258DE" w:rsidRPr="006B4639">
        <w:t xml:space="preserve">ptions </w:t>
      </w:r>
      <w:r w:rsidR="00240FE0" w:rsidRPr="006B4639">
        <w:t>1-</w:t>
      </w:r>
      <w:r w:rsidR="001B48BD">
        <w:t>4</w:t>
      </w:r>
      <w:r w:rsidR="008671C5" w:rsidRPr="006B4639">
        <w:t>.</w:t>
      </w:r>
      <w:r w:rsidR="00E258DE" w:rsidRPr="006B4639">
        <w:t xml:space="preserve"> </w:t>
      </w:r>
      <w:r w:rsidR="008671C5" w:rsidRPr="006B4639">
        <w:t xml:space="preserve"> </w:t>
      </w:r>
    </w:p>
    <w:p w14:paraId="653D8522" w14:textId="77777777" w:rsidR="006A1EB4" w:rsidRPr="006B4639" w:rsidRDefault="006A1EB4" w:rsidP="006B5038">
      <w:pPr>
        <w:pStyle w:val="BodyText"/>
        <w:sectPr w:rsidR="006A1EB4" w:rsidRPr="006B4639" w:rsidSect="00855DD0">
          <w:headerReference w:type="default" r:id="rId72"/>
          <w:footerReference w:type="default" r:id="rId73"/>
          <w:pgSz w:w="11907" w:h="16839" w:code="9"/>
          <w:pgMar w:top="1361" w:right="1418" w:bottom="992" w:left="1701" w:header="567" w:footer="397" w:gutter="0"/>
          <w:cols w:space="708"/>
          <w:docGrid w:linePitch="360"/>
        </w:sectPr>
      </w:pPr>
    </w:p>
    <w:p w14:paraId="042954CD" w14:textId="11C1142B" w:rsidR="0062334E" w:rsidRDefault="006A1EB4" w:rsidP="0062334E">
      <w:pPr>
        <w:pStyle w:val="Caption"/>
        <w:spacing w:before="0" w:after="0"/>
        <w:ind w:left="-567"/>
      </w:pPr>
      <w:bookmarkStart w:id="182" w:name="_Ref18251107"/>
      <w:bookmarkStart w:id="183" w:name="_Hlk19185851"/>
      <w:r w:rsidRPr="006B4639">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8</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1</w:t>
      </w:r>
      <w:r w:rsidR="00F323B2">
        <w:rPr>
          <w:noProof/>
        </w:rPr>
        <w:fldChar w:fldCharType="end"/>
      </w:r>
      <w:bookmarkEnd w:id="182"/>
      <w:r w:rsidRPr="006B4639">
        <w:t xml:space="preserve">: </w:t>
      </w:r>
      <w:r w:rsidR="0062334E">
        <w:t xml:space="preserve">Policy options </w:t>
      </w:r>
      <w:r w:rsidR="00CF0E4B">
        <w:t>identified</w:t>
      </w:r>
      <w:r w:rsidR="0062334E">
        <w:t xml:space="preserve"> for </w:t>
      </w:r>
      <w:r w:rsidR="00CF0E4B">
        <w:t xml:space="preserve">the </w:t>
      </w:r>
      <w:r w:rsidR="0062334E">
        <w:t>Decision RIS</w:t>
      </w:r>
    </w:p>
    <w:tbl>
      <w:tblPr>
        <w:tblStyle w:val="TableGrid"/>
        <w:tblW w:w="5150" w:type="pct"/>
        <w:tblInd w:w="-426" w:type="dxa"/>
        <w:tblLook w:val="04A0" w:firstRow="1" w:lastRow="0" w:firstColumn="1" w:lastColumn="0" w:noHBand="0" w:noVBand="1"/>
      </w:tblPr>
      <w:tblGrid>
        <w:gridCol w:w="1399"/>
        <w:gridCol w:w="1266"/>
        <w:gridCol w:w="2182"/>
        <w:gridCol w:w="2421"/>
        <w:gridCol w:w="34"/>
        <w:gridCol w:w="2445"/>
        <w:gridCol w:w="1917"/>
        <w:gridCol w:w="2468"/>
      </w:tblGrid>
      <w:tr w:rsidR="00A5724A" w:rsidRPr="009708B7" w14:paraId="45F28C5B" w14:textId="77777777" w:rsidTr="004B153A">
        <w:trPr>
          <w:cnfStyle w:val="100000000000" w:firstRow="1" w:lastRow="0" w:firstColumn="0" w:lastColumn="0" w:oddVBand="0" w:evenVBand="0" w:oddHBand="0" w:evenHBand="0" w:firstRowFirstColumn="0" w:firstRowLastColumn="0" w:lastRowFirstColumn="0" w:lastRowLastColumn="0"/>
          <w:tblHeader/>
        </w:trPr>
        <w:tc>
          <w:tcPr>
            <w:tcW w:w="2691" w:type="dxa"/>
            <w:gridSpan w:val="2"/>
            <w:shd w:val="clear" w:color="auto" w:fill="002060"/>
          </w:tcPr>
          <w:p w14:paraId="40A70215" w14:textId="77777777" w:rsidR="00A5724A" w:rsidRPr="009708B7" w:rsidRDefault="00A5724A" w:rsidP="004B153A">
            <w:pPr>
              <w:spacing w:before="40" w:after="40" w:line="240" w:lineRule="auto"/>
              <w:rPr>
                <w:rFonts w:cs="Arial"/>
                <w:b w:val="0"/>
                <w:bCs/>
                <w:sz w:val="16"/>
                <w:szCs w:val="16"/>
              </w:rPr>
            </w:pPr>
            <w:r>
              <w:rPr>
                <w:rFonts w:cs="Arial"/>
                <w:bCs/>
                <w:sz w:val="16"/>
                <w:szCs w:val="16"/>
              </w:rPr>
              <w:t>Element</w:t>
            </w:r>
          </w:p>
        </w:tc>
        <w:tc>
          <w:tcPr>
            <w:tcW w:w="2270" w:type="dxa"/>
            <w:tcBorders>
              <w:right w:val="single" w:sz="4" w:space="0" w:color="FFFFFF" w:themeColor="background1"/>
            </w:tcBorders>
            <w:shd w:val="clear" w:color="auto" w:fill="002060"/>
          </w:tcPr>
          <w:p w14:paraId="6207AFA7" w14:textId="77777777" w:rsidR="00A5724A" w:rsidRPr="009708B7" w:rsidRDefault="00A5724A" w:rsidP="004B153A">
            <w:pPr>
              <w:pStyle w:val="BodyText"/>
              <w:spacing w:before="40" w:after="40" w:line="240" w:lineRule="auto"/>
              <w:jc w:val="center"/>
              <w:rPr>
                <w:rFonts w:cs="Arial"/>
                <w:b w:val="0"/>
                <w:bCs/>
                <w:sz w:val="16"/>
                <w:szCs w:val="16"/>
              </w:rPr>
            </w:pPr>
            <w:r w:rsidRPr="009708B7">
              <w:rPr>
                <w:rFonts w:cs="Arial"/>
                <w:bCs/>
                <w:sz w:val="16"/>
                <w:szCs w:val="16"/>
              </w:rPr>
              <w:t>Option 1 (Status quo)</w:t>
            </w:r>
          </w:p>
        </w:tc>
        <w:tc>
          <w:tcPr>
            <w:tcW w:w="2517" w:type="dxa"/>
            <w:tcBorders>
              <w:left w:val="single" w:sz="4" w:space="0" w:color="FFFFFF" w:themeColor="background1"/>
              <w:right w:val="single" w:sz="4" w:space="0" w:color="FFFFFF" w:themeColor="background1"/>
            </w:tcBorders>
            <w:shd w:val="clear" w:color="auto" w:fill="002060"/>
          </w:tcPr>
          <w:p w14:paraId="5BEA7335" w14:textId="77777777" w:rsidR="00A5724A" w:rsidRPr="009708B7" w:rsidRDefault="00A5724A" w:rsidP="004B153A">
            <w:pPr>
              <w:pStyle w:val="BodyText"/>
              <w:spacing w:before="40" w:after="40" w:line="240" w:lineRule="auto"/>
              <w:jc w:val="center"/>
              <w:rPr>
                <w:rFonts w:cs="Arial"/>
                <w:b w:val="0"/>
                <w:bCs/>
                <w:sz w:val="16"/>
                <w:szCs w:val="16"/>
              </w:rPr>
            </w:pPr>
            <w:r w:rsidRPr="009708B7">
              <w:rPr>
                <w:rFonts w:cs="Arial"/>
                <w:bCs/>
                <w:sz w:val="16"/>
                <w:szCs w:val="16"/>
              </w:rPr>
              <w:t>Option 2</w:t>
            </w:r>
          </w:p>
        </w:tc>
        <w:tc>
          <w:tcPr>
            <w:tcW w:w="2590" w:type="dxa"/>
            <w:gridSpan w:val="2"/>
            <w:tcBorders>
              <w:left w:val="single" w:sz="4" w:space="0" w:color="FFFFFF" w:themeColor="background1"/>
              <w:right w:val="single" w:sz="4" w:space="0" w:color="FFFFFF" w:themeColor="background1"/>
            </w:tcBorders>
            <w:shd w:val="clear" w:color="auto" w:fill="002060"/>
          </w:tcPr>
          <w:p w14:paraId="4C52946A" w14:textId="77777777" w:rsidR="00A5724A" w:rsidRPr="009708B7" w:rsidRDefault="00A5724A" w:rsidP="004B153A">
            <w:pPr>
              <w:pStyle w:val="BodyText"/>
              <w:spacing w:before="40" w:after="40" w:line="240" w:lineRule="auto"/>
              <w:jc w:val="center"/>
              <w:rPr>
                <w:rFonts w:cs="Arial"/>
                <w:b w:val="0"/>
                <w:bCs/>
                <w:sz w:val="16"/>
                <w:szCs w:val="16"/>
              </w:rPr>
            </w:pPr>
            <w:r w:rsidRPr="009708B7">
              <w:rPr>
                <w:rFonts w:cs="Arial"/>
                <w:bCs/>
                <w:sz w:val="16"/>
                <w:szCs w:val="16"/>
              </w:rPr>
              <w:t xml:space="preserve">Option </w:t>
            </w:r>
            <w:r>
              <w:rPr>
                <w:rFonts w:cs="Arial"/>
                <w:bCs/>
                <w:sz w:val="16"/>
                <w:szCs w:val="16"/>
              </w:rPr>
              <w:t>3</w:t>
            </w:r>
            <w:r w:rsidRPr="009708B7">
              <w:rPr>
                <w:rFonts w:cs="Arial"/>
                <w:bCs/>
                <w:sz w:val="16"/>
                <w:szCs w:val="16"/>
              </w:rPr>
              <w:t>A</w:t>
            </w:r>
          </w:p>
        </w:tc>
        <w:tc>
          <w:tcPr>
            <w:tcW w:w="1978" w:type="dxa"/>
            <w:tcBorders>
              <w:left w:val="single" w:sz="4" w:space="0" w:color="FFFFFF" w:themeColor="background1"/>
              <w:right w:val="single" w:sz="4" w:space="0" w:color="FFFFFF" w:themeColor="background1"/>
            </w:tcBorders>
            <w:shd w:val="clear" w:color="auto" w:fill="002060"/>
          </w:tcPr>
          <w:p w14:paraId="17149062" w14:textId="77777777" w:rsidR="00A5724A" w:rsidRPr="0048187C" w:rsidRDefault="00A5724A" w:rsidP="004B153A">
            <w:pPr>
              <w:pStyle w:val="BodyText"/>
              <w:spacing w:before="40" w:after="40" w:line="240" w:lineRule="auto"/>
              <w:jc w:val="center"/>
              <w:rPr>
                <w:rFonts w:cs="Arial"/>
                <w:bCs/>
                <w:sz w:val="16"/>
                <w:szCs w:val="16"/>
              </w:rPr>
            </w:pPr>
            <w:r w:rsidRPr="0048187C">
              <w:rPr>
                <w:rFonts w:cs="Arial"/>
                <w:bCs/>
                <w:sz w:val="16"/>
                <w:szCs w:val="16"/>
              </w:rPr>
              <w:t>Option 3B</w:t>
            </w:r>
          </w:p>
        </w:tc>
        <w:tc>
          <w:tcPr>
            <w:tcW w:w="2555" w:type="dxa"/>
            <w:tcBorders>
              <w:left w:val="single" w:sz="4" w:space="0" w:color="FFFFFF" w:themeColor="background1"/>
            </w:tcBorders>
            <w:shd w:val="clear" w:color="auto" w:fill="002060"/>
          </w:tcPr>
          <w:p w14:paraId="0AF3CC55" w14:textId="77777777" w:rsidR="00A5724A" w:rsidRPr="0048187C" w:rsidRDefault="00A5724A" w:rsidP="004B153A">
            <w:pPr>
              <w:pStyle w:val="BodyText"/>
              <w:spacing w:before="40" w:after="40" w:line="240" w:lineRule="auto"/>
              <w:jc w:val="center"/>
              <w:rPr>
                <w:rFonts w:cs="Arial"/>
                <w:bCs/>
                <w:sz w:val="16"/>
                <w:szCs w:val="16"/>
              </w:rPr>
            </w:pPr>
            <w:r w:rsidRPr="0048187C">
              <w:rPr>
                <w:rFonts w:cs="Arial"/>
                <w:bCs/>
                <w:sz w:val="16"/>
                <w:szCs w:val="16"/>
              </w:rPr>
              <w:t>Option 4</w:t>
            </w:r>
          </w:p>
        </w:tc>
      </w:tr>
      <w:tr w:rsidR="00A5724A" w:rsidRPr="004E18B9" w14:paraId="62A4D1A8" w14:textId="77777777" w:rsidTr="004B153A">
        <w:trPr>
          <w:trHeight w:val="525"/>
        </w:trPr>
        <w:tc>
          <w:tcPr>
            <w:tcW w:w="1419" w:type="dxa"/>
            <w:vMerge w:val="restart"/>
          </w:tcPr>
          <w:p w14:paraId="04FF50BC" w14:textId="77777777" w:rsidR="00A5724A" w:rsidRPr="004E18B9" w:rsidRDefault="00A5724A" w:rsidP="004B153A">
            <w:pPr>
              <w:pStyle w:val="BodyText"/>
              <w:spacing w:before="20" w:after="20" w:line="240" w:lineRule="auto"/>
              <w:rPr>
                <w:rFonts w:cs="Arial"/>
                <w:b/>
                <w:sz w:val="16"/>
                <w:szCs w:val="16"/>
              </w:rPr>
            </w:pPr>
            <w:r w:rsidRPr="004E18B9">
              <w:rPr>
                <w:rFonts w:cs="Arial"/>
                <w:b/>
                <w:sz w:val="16"/>
                <w:szCs w:val="16"/>
              </w:rPr>
              <w:t xml:space="preserve">When should pipelines be regulated </w:t>
            </w:r>
          </w:p>
        </w:tc>
        <w:tc>
          <w:tcPr>
            <w:tcW w:w="1272" w:type="dxa"/>
            <w:shd w:val="clear" w:color="auto" w:fill="FFFFFF" w:themeFill="background1"/>
          </w:tcPr>
          <w:p w14:paraId="51C8EF53" w14:textId="77777777" w:rsidR="00A5724A" w:rsidRPr="004E18B9" w:rsidRDefault="00A5724A" w:rsidP="004B153A">
            <w:pPr>
              <w:pStyle w:val="BodyText"/>
              <w:spacing w:before="20" w:after="20" w:line="240" w:lineRule="auto"/>
              <w:rPr>
                <w:rFonts w:cs="Arial"/>
                <w:b/>
                <w:sz w:val="16"/>
                <w:szCs w:val="16"/>
              </w:rPr>
            </w:pPr>
            <w:r w:rsidRPr="004E18B9">
              <w:rPr>
                <w:rFonts w:cs="Arial"/>
                <w:b/>
                <w:sz w:val="16"/>
                <w:szCs w:val="16"/>
              </w:rPr>
              <w:t>Access to pipelines providing 3rd party access</w:t>
            </w:r>
          </w:p>
        </w:tc>
        <w:tc>
          <w:tcPr>
            <w:tcW w:w="2270" w:type="dxa"/>
            <w:shd w:val="clear" w:color="auto" w:fill="FFFFFF" w:themeFill="background1"/>
          </w:tcPr>
          <w:p w14:paraId="24921161" w14:textId="77777777" w:rsidR="00A5724A" w:rsidRPr="004E18B9" w:rsidRDefault="00A5724A" w:rsidP="004B153A">
            <w:pPr>
              <w:pStyle w:val="TableBullet10"/>
              <w:numPr>
                <w:ilvl w:val="0"/>
                <w:numId w:val="0"/>
              </w:numPr>
              <w:spacing w:before="20" w:after="20" w:line="240" w:lineRule="auto"/>
              <w:ind w:left="85"/>
              <w:rPr>
                <w:sz w:val="16"/>
                <w:szCs w:val="16"/>
              </w:rPr>
            </w:pPr>
            <w:r w:rsidRPr="004E18B9">
              <w:rPr>
                <w:sz w:val="16"/>
                <w:szCs w:val="16"/>
              </w:rPr>
              <w:t>Maintain current approach, with all pipelines providing 3</w:t>
            </w:r>
            <w:r w:rsidRPr="004E18B9">
              <w:rPr>
                <w:sz w:val="16"/>
                <w:szCs w:val="16"/>
                <w:vertAlign w:val="superscript"/>
              </w:rPr>
              <w:t>rd</w:t>
            </w:r>
            <w:r w:rsidRPr="004E18B9">
              <w:rPr>
                <w:sz w:val="16"/>
                <w:szCs w:val="16"/>
              </w:rPr>
              <w:t xml:space="preserve"> party access subject to some form of regulation. </w:t>
            </w:r>
          </w:p>
        </w:tc>
        <w:tc>
          <w:tcPr>
            <w:tcW w:w="2553" w:type="dxa"/>
            <w:gridSpan w:val="2"/>
            <w:shd w:val="clear" w:color="auto" w:fill="FFFFFF" w:themeFill="background1"/>
          </w:tcPr>
          <w:p w14:paraId="12B181FE" w14:textId="77777777" w:rsidR="00A5724A" w:rsidRDefault="00A5724A" w:rsidP="004B153A">
            <w:pPr>
              <w:pStyle w:val="TableBullet10"/>
              <w:numPr>
                <w:ilvl w:val="0"/>
                <w:numId w:val="0"/>
              </w:numPr>
              <w:spacing w:before="20" w:after="20" w:line="240" w:lineRule="auto"/>
              <w:ind w:left="85"/>
              <w:rPr>
                <w:sz w:val="16"/>
                <w:szCs w:val="16"/>
              </w:rPr>
            </w:pPr>
            <w:r w:rsidRPr="004E18B9">
              <w:rPr>
                <w:sz w:val="16"/>
                <w:szCs w:val="16"/>
              </w:rPr>
              <w:t>Allow 3</w:t>
            </w:r>
            <w:r w:rsidRPr="004E18B9">
              <w:rPr>
                <w:sz w:val="16"/>
                <w:szCs w:val="16"/>
                <w:vertAlign w:val="superscript"/>
              </w:rPr>
              <w:t>rd</w:t>
            </w:r>
            <w:r w:rsidRPr="004E18B9">
              <w:rPr>
                <w:sz w:val="16"/>
                <w:szCs w:val="16"/>
              </w:rPr>
              <w:t xml:space="preserve"> party access </w:t>
            </w:r>
            <w:r>
              <w:rPr>
                <w:sz w:val="16"/>
                <w:szCs w:val="16"/>
              </w:rPr>
              <w:t xml:space="preserve">pipelines </w:t>
            </w:r>
            <w:r w:rsidRPr="004E18B9">
              <w:rPr>
                <w:sz w:val="16"/>
                <w:szCs w:val="16"/>
              </w:rPr>
              <w:t xml:space="preserve">to obtain </w:t>
            </w:r>
            <w:r>
              <w:rPr>
                <w:sz w:val="16"/>
                <w:szCs w:val="16"/>
              </w:rPr>
              <w:t xml:space="preserve">an </w:t>
            </w:r>
            <w:r w:rsidRPr="004E18B9">
              <w:rPr>
                <w:sz w:val="16"/>
                <w:szCs w:val="16"/>
              </w:rPr>
              <w:t xml:space="preserve">exemption from regulation if </w:t>
            </w:r>
            <w:r>
              <w:rPr>
                <w:sz w:val="16"/>
                <w:szCs w:val="16"/>
              </w:rPr>
              <w:t>they</w:t>
            </w:r>
            <w:r w:rsidRPr="004E18B9">
              <w:rPr>
                <w:sz w:val="16"/>
                <w:szCs w:val="16"/>
              </w:rPr>
              <w:t xml:space="preserve"> can </w:t>
            </w:r>
            <w:r>
              <w:rPr>
                <w:sz w:val="16"/>
                <w:szCs w:val="16"/>
              </w:rPr>
              <w:t>demonstrate</w:t>
            </w:r>
            <w:r w:rsidRPr="004E18B9">
              <w:rPr>
                <w:sz w:val="16"/>
                <w:szCs w:val="16"/>
              </w:rPr>
              <w:t xml:space="preserve"> </w:t>
            </w:r>
            <w:r>
              <w:rPr>
                <w:sz w:val="16"/>
                <w:szCs w:val="16"/>
              </w:rPr>
              <w:t xml:space="preserve">they do </w:t>
            </w:r>
            <w:r w:rsidRPr="004E18B9">
              <w:rPr>
                <w:sz w:val="16"/>
                <w:szCs w:val="16"/>
              </w:rPr>
              <w:t>not have substantial market power</w:t>
            </w:r>
            <w:r>
              <w:rPr>
                <w:sz w:val="16"/>
                <w:szCs w:val="16"/>
              </w:rPr>
              <w:t>.</w:t>
            </w:r>
            <w:r w:rsidRPr="004E18B9">
              <w:rPr>
                <w:sz w:val="16"/>
                <w:szCs w:val="16"/>
              </w:rPr>
              <w:t xml:space="preserve"> </w:t>
            </w:r>
          </w:p>
        </w:tc>
        <w:tc>
          <w:tcPr>
            <w:tcW w:w="2554" w:type="dxa"/>
            <w:shd w:val="clear" w:color="auto" w:fill="FFFFFF" w:themeFill="background1"/>
          </w:tcPr>
          <w:p w14:paraId="3ED4B940" w14:textId="77777777" w:rsidR="00A5724A" w:rsidRPr="001B5C8A" w:rsidRDefault="00A5724A" w:rsidP="004B153A">
            <w:pPr>
              <w:pStyle w:val="TableBullet10"/>
              <w:numPr>
                <w:ilvl w:val="0"/>
                <w:numId w:val="0"/>
              </w:numPr>
              <w:spacing w:before="20" w:after="20" w:line="240" w:lineRule="auto"/>
              <w:ind w:left="85"/>
              <w:rPr>
                <w:sz w:val="16"/>
                <w:szCs w:val="16"/>
              </w:rPr>
            </w:pPr>
            <w:r w:rsidRPr="001B5C8A">
              <w:rPr>
                <w:sz w:val="16"/>
                <w:szCs w:val="16"/>
              </w:rPr>
              <w:t>Maintain the current approach, with all pipelines providing 3</w:t>
            </w:r>
            <w:r w:rsidRPr="001B5C8A">
              <w:rPr>
                <w:sz w:val="16"/>
                <w:szCs w:val="16"/>
                <w:vertAlign w:val="superscript"/>
              </w:rPr>
              <w:t>rd</w:t>
            </w:r>
            <w:r w:rsidRPr="001B5C8A">
              <w:rPr>
                <w:sz w:val="16"/>
                <w:szCs w:val="16"/>
              </w:rPr>
              <w:t xml:space="preserve"> party access subject to some form of regulation  </w:t>
            </w:r>
          </w:p>
        </w:tc>
        <w:tc>
          <w:tcPr>
            <w:tcW w:w="4533" w:type="dxa"/>
            <w:gridSpan w:val="2"/>
            <w:vMerge w:val="restart"/>
            <w:shd w:val="clear" w:color="auto" w:fill="FFFFFF" w:themeFill="background1"/>
          </w:tcPr>
          <w:p w14:paraId="01D3AD23" w14:textId="77777777" w:rsidR="00A5724A" w:rsidRPr="001B5C8A" w:rsidRDefault="00A5724A" w:rsidP="004B153A">
            <w:pPr>
              <w:pStyle w:val="BodyText"/>
              <w:spacing w:before="20" w:after="20" w:line="240" w:lineRule="auto"/>
              <w:rPr>
                <w:rFonts w:cs="Arial"/>
                <w:sz w:val="16"/>
                <w:szCs w:val="16"/>
              </w:rPr>
            </w:pPr>
            <w:r w:rsidRPr="001B5C8A">
              <w:rPr>
                <w:rFonts w:cs="Arial"/>
                <w:sz w:val="16"/>
                <w:szCs w:val="16"/>
              </w:rPr>
              <w:t xml:space="preserve">Require </w:t>
            </w:r>
            <w:r w:rsidRPr="001B5C8A">
              <w:rPr>
                <w:rFonts w:cs="Arial"/>
                <w:sz w:val="16"/>
                <w:szCs w:val="16"/>
                <w:u w:val="single"/>
              </w:rPr>
              <w:t>all</w:t>
            </w:r>
            <w:r w:rsidRPr="001B5C8A">
              <w:rPr>
                <w:rFonts w:cs="Arial"/>
                <w:sz w:val="16"/>
                <w:szCs w:val="16"/>
              </w:rPr>
              <w:t xml:space="preserve"> pipelines to provide 3</w:t>
            </w:r>
            <w:r w:rsidRPr="001B5C8A">
              <w:rPr>
                <w:rFonts w:cs="Arial"/>
                <w:sz w:val="16"/>
                <w:szCs w:val="16"/>
                <w:vertAlign w:val="superscript"/>
              </w:rPr>
              <w:t>rd</w:t>
            </w:r>
            <w:r w:rsidRPr="001B5C8A">
              <w:rPr>
                <w:rFonts w:cs="Arial"/>
                <w:sz w:val="16"/>
                <w:szCs w:val="16"/>
              </w:rPr>
              <w:t xml:space="preserve"> party access and to be subject to some form of regulation.</w:t>
            </w:r>
          </w:p>
          <w:p w14:paraId="30A5C5DF" w14:textId="77777777" w:rsidR="00A5724A" w:rsidRPr="001B5C8A" w:rsidRDefault="00A5724A" w:rsidP="004B153A">
            <w:pPr>
              <w:pStyle w:val="BodyText"/>
              <w:spacing w:before="20" w:after="20" w:line="240" w:lineRule="auto"/>
              <w:rPr>
                <w:rFonts w:cs="Arial"/>
                <w:sz w:val="16"/>
                <w:szCs w:val="16"/>
              </w:rPr>
            </w:pPr>
            <w:r w:rsidRPr="001B5C8A">
              <w:rPr>
                <w:sz w:val="16"/>
                <w:szCs w:val="16"/>
              </w:rPr>
              <w:t>For transitional purposes, those pipelines that have already obtained a 15-year no coverage determination and are not providing third party access would be exempt from the obligation to provide third party access for the remaining term of the exemption period</w:t>
            </w:r>
          </w:p>
        </w:tc>
      </w:tr>
      <w:tr w:rsidR="00A5724A" w:rsidRPr="004E18B9" w14:paraId="74073E29" w14:textId="77777777" w:rsidTr="004B153A">
        <w:trPr>
          <w:cnfStyle w:val="000000010000" w:firstRow="0" w:lastRow="0" w:firstColumn="0" w:lastColumn="0" w:oddVBand="0" w:evenVBand="0" w:oddHBand="0" w:evenHBand="1" w:firstRowFirstColumn="0" w:firstRowLastColumn="0" w:lastRowFirstColumn="0" w:lastRowLastColumn="0"/>
          <w:trHeight w:val="1060"/>
        </w:trPr>
        <w:tc>
          <w:tcPr>
            <w:tcW w:w="1419" w:type="dxa"/>
            <w:vMerge/>
          </w:tcPr>
          <w:p w14:paraId="680BFC1C" w14:textId="77777777" w:rsidR="00A5724A" w:rsidRPr="004E18B9" w:rsidRDefault="00A5724A" w:rsidP="004B153A">
            <w:pPr>
              <w:pStyle w:val="BodyText"/>
              <w:spacing w:before="20" w:after="20" w:line="240" w:lineRule="auto"/>
              <w:rPr>
                <w:rFonts w:cs="Arial"/>
                <w:b/>
                <w:sz w:val="16"/>
                <w:szCs w:val="16"/>
              </w:rPr>
            </w:pPr>
          </w:p>
        </w:tc>
        <w:tc>
          <w:tcPr>
            <w:tcW w:w="1272" w:type="dxa"/>
            <w:tcBorders>
              <w:bottom w:val="single" w:sz="4" w:space="0" w:color="auto"/>
            </w:tcBorders>
            <w:shd w:val="clear" w:color="auto" w:fill="F2F2F2" w:themeFill="background1" w:themeFillShade="F2"/>
          </w:tcPr>
          <w:p w14:paraId="2ED3B576" w14:textId="77777777" w:rsidR="00A5724A" w:rsidRPr="004E18B9" w:rsidRDefault="00A5724A" w:rsidP="004B153A">
            <w:pPr>
              <w:pStyle w:val="BodyText"/>
              <w:spacing w:before="20" w:after="20" w:line="240" w:lineRule="auto"/>
              <w:rPr>
                <w:rFonts w:cs="Arial"/>
                <w:b/>
                <w:sz w:val="16"/>
                <w:szCs w:val="16"/>
              </w:rPr>
            </w:pPr>
            <w:r w:rsidRPr="004E18B9">
              <w:rPr>
                <w:rFonts w:cs="Arial"/>
                <w:b/>
                <w:sz w:val="16"/>
                <w:szCs w:val="16"/>
              </w:rPr>
              <w:t>Access to pipelines not voluntarily providing 3</w:t>
            </w:r>
            <w:r w:rsidRPr="004E18B9">
              <w:rPr>
                <w:rFonts w:cs="Arial"/>
                <w:b/>
                <w:sz w:val="16"/>
                <w:szCs w:val="16"/>
                <w:vertAlign w:val="superscript"/>
              </w:rPr>
              <w:t>rd</w:t>
            </w:r>
            <w:r w:rsidRPr="004E18B9">
              <w:rPr>
                <w:rFonts w:cs="Arial"/>
                <w:b/>
                <w:sz w:val="16"/>
                <w:szCs w:val="16"/>
              </w:rPr>
              <w:t xml:space="preserve"> party access</w:t>
            </w:r>
          </w:p>
        </w:tc>
        <w:tc>
          <w:tcPr>
            <w:tcW w:w="2270" w:type="dxa"/>
            <w:tcBorders>
              <w:bottom w:val="single" w:sz="4" w:space="0" w:color="auto"/>
            </w:tcBorders>
            <w:shd w:val="clear" w:color="auto" w:fill="F2F2F2" w:themeFill="background1" w:themeFillShade="F2"/>
          </w:tcPr>
          <w:p w14:paraId="0AE529F1" w14:textId="77777777" w:rsidR="00A5724A" w:rsidRPr="004E18B9" w:rsidRDefault="00A5724A" w:rsidP="004B153A">
            <w:pPr>
              <w:pStyle w:val="TableBullet10"/>
              <w:numPr>
                <w:ilvl w:val="0"/>
                <w:numId w:val="0"/>
              </w:numPr>
              <w:spacing w:before="20" w:after="20" w:line="240" w:lineRule="auto"/>
              <w:ind w:left="85"/>
              <w:rPr>
                <w:sz w:val="16"/>
                <w:szCs w:val="16"/>
              </w:rPr>
            </w:pPr>
            <w:r w:rsidRPr="004E18B9">
              <w:rPr>
                <w:sz w:val="16"/>
                <w:szCs w:val="16"/>
              </w:rPr>
              <w:t xml:space="preserve">Maintain current approach to enabling access to be sought to pipelines not </w:t>
            </w:r>
            <w:r>
              <w:rPr>
                <w:sz w:val="16"/>
                <w:szCs w:val="16"/>
              </w:rPr>
              <w:t xml:space="preserve">voluntarily </w:t>
            </w:r>
            <w:r w:rsidRPr="004E18B9">
              <w:rPr>
                <w:sz w:val="16"/>
                <w:szCs w:val="16"/>
              </w:rPr>
              <w:t>providing 3</w:t>
            </w:r>
            <w:r w:rsidRPr="004E18B9">
              <w:rPr>
                <w:sz w:val="16"/>
                <w:szCs w:val="16"/>
                <w:vertAlign w:val="superscript"/>
              </w:rPr>
              <w:t>rd</w:t>
            </w:r>
            <w:r w:rsidRPr="004E18B9">
              <w:rPr>
                <w:sz w:val="16"/>
                <w:szCs w:val="16"/>
              </w:rPr>
              <w:t xml:space="preserve"> party access</w:t>
            </w:r>
            <w:r>
              <w:rPr>
                <w:sz w:val="16"/>
                <w:szCs w:val="16"/>
              </w:rPr>
              <w:t xml:space="preserve"> if the coverage test is satisfied</w:t>
            </w:r>
            <w:r w:rsidRPr="004E18B9">
              <w:rPr>
                <w:sz w:val="16"/>
                <w:szCs w:val="16"/>
              </w:rPr>
              <w:t>.</w:t>
            </w:r>
          </w:p>
        </w:tc>
        <w:tc>
          <w:tcPr>
            <w:tcW w:w="5107" w:type="dxa"/>
            <w:gridSpan w:val="3"/>
            <w:tcBorders>
              <w:bottom w:val="single" w:sz="4" w:space="0" w:color="auto"/>
            </w:tcBorders>
            <w:shd w:val="clear" w:color="auto" w:fill="F2F2F2" w:themeFill="background1" w:themeFillShade="F2"/>
          </w:tcPr>
          <w:p w14:paraId="1486AD43" w14:textId="77777777" w:rsidR="00A5724A" w:rsidRPr="004E18B9" w:rsidRDefault="00A5724A" w:rsidP="004B153A">
            <w:pPr>
              <w:pStyle w:val="TableBullet10"/>
              <w:numPr>
                <w:ilvl w:val="0"/>
                <w:numId w:val="0"/>
              </w:numPr>
              <w:spacing w:before="20" w:after="20" w:line="240" w:lineRule="auto"/>
              <w:ind w:left="85"/>
              <w:rPr>
                <w:sz w:val="16"/>
                <w:szCs w:val="16"/>
              </w:rPr>
            </w:pPr>
            <w:r>
              <w:rPr>
                <w:sz w:val="16"/>
                <w:szCs w:val="16"/>
              </w:rPr>
              <w:t>Allow</w:t>
            </w:r>
            <w:r w:rsidRPr="004E18B9">
              <w:rPr>
                <w:sz w:val="16"/>
                <w:szCs w:val="16"/>
              </w:rPr>
              <w:t xml:space="preserve"> access to be sought to pipelines not </w:t>
            </w:r>
            <w:r>
              <w:rPr>
                <w:sz w:val="16"/>
                <w:szCs w:val="16"/>
              </w:rPr>
              <w:t xml:space="preserve">voluntarily </w:t>
            </w:r>
            <w:r w:rsidRPr="004E18B9">
              <w:rPr>
                <w:sz w:val="16"/>
                <w:szCs w:val="16"/>
              </w:rPr>
              <w:t>providing 3</w:t>
            </w:r>
            <w:r w:rsidRPr="004E18B9">
              <w:rPr>
                <w:sz w:val="16"/>
                <w:szCs w:val="16"/>
                <w:vertAlign w:val="superscript"/>
              </w:rPr>
              <w:t>rd</w:t>
            </w:r>
            <w:r w:rsidRPr="004E18B9">
              <w:rPr>
                <w:sz w:val="16"/>
                <w:szCs w:val="16"/>
              </w:rPr>
              <w:t xml:space="preserve"> party access</w:t>
            </w:r>
            <w:r>
              <w:rPr>
                <w:sz w:val="16"/>
                <w:szCs w:val="16"/>
              </w:rPr>
              <w:t xml:space="preserve"> if market power-NGO test satisfied</w:t>
            </w:r>
            <w:r w:rsidRPr="004E18B9">
              <w:rPr>
                <w:sz w:val="16"/>
                <w:szCs w:val="16"/>
              </w:rPr>
              <w:t>.</w:t>
            </w:r>
          </w:p>
        </w:tc>
        <w:tc>
          <w:tcPr>
            <w:tcW w:w="4533" w:type="dxa"/>
            <w:gridSpan w:val="2"/>
            <w:vMerge/>
            <w:tcBorders>
              <w:bottom w:val="single" w:sz="4" w:space="0" w:color="auto"/>
            </w:tcBorders>
          </w:tcPr>
          <w:p w14:paraId="0DB1AB59" w14:textId="77777777" w:rsidR="00A5724A" w:rsidRPr="004E18B9" w:rsidRDefault="00A5724A" w:rsidP="004B153A">
            <w:pPr>
              <w:pStyle w:val="BodyText"/>
              <w:spacing w:before="20" w:after="20" w:line="240" w:lineRule="auto"/>
              <w:rPr>
                <w:rFonts w:cs="Arial"/>
                <w:sz w:val="16"/>
                <w:szCs w:val="16"/>
              </w:rPr>
            </w:pPr>
          </w:p>
        </w:tc>
      </w:tr>
      <w:tr w:rsidR="00A5724A" w:rsidRPr="004E18B9" w14:paraId="02168D9A" w14:textId="77777777" w:rsidTr="004B153A">
        <w:trPr>
          <w:trHeight w:val="888"/>
        </w:trPr>
        <w:tc>
          <w:tcPr>
            <w:tcW w:w="1419" w:type="dxa"/>
            <w:vMerge/>
          </w:tcPr>
          <w:p w14:paraId="54E89A03" w14:textId="77777777" w:rsidR="00A5724A" w:rsidRPr="004E18B9" w:rsidRDefault="00A5724A" w:rsidP="004B153A">
            <w:pPr>
              <w:pStyle w:val="BodyText"/>
              <w:spacing w:before="20" w:after="20" w:line="240" w:lineRule="auto"/>
              <w:rPr>
                <w:rFonts w:cs="Arial"/>
                <w:b/>
                <w:sz w:val="16"/>
                <w:szCs w:val="16"/>
              </w:rPr>
            </w:pPr>
          </w:p>
        </w:tc>
        <w:tc>
          <w:tcPr>
            <w:tcW w:w="1272" w:type="dxa"/>
            <w:tcBorders>
              <w:bottom w:val="single" w:sz="4" w:space="0" w:color="auto"/>
            </w:tcBorders>
            <w:shd w:val="clear" w:color="auto" w:fill="E1E2E7" w:themeFill="background2"/>
          </w:tcPr>
          <w:p w14:paraId="7A694D50" w14:textId="77777777" w:rsidR="00A5724A" w:rsidRPr="004E18B9" w:rsidRDefault="00A5724A" w:rsidP="004B153A">
            <w:pPr>
              <w:pStyle w:val="BodyText"/>
              <w:spacing w:before="20" w:after="20" w:line="240" w:lineRule="auto"/>
              <w:rPr>
                <w:rFonts w:cs="Arial"/>
                <w:b/>
                <w:sz w:val="16"/>
                <w:szCs w:val="16"/>
              </w:rPr>
            </w:pPr>
            <w:r w:rsidRPr="004E18B9">
              <w:rPr>
                <w:rFonts w:cs="Arial"/>
                <w:b/>
                <w:sz w:val="16"/>
                <w:szCs w:val="16"/>
              </w:rPr>
              <w:t xml:space="preserve">Greenfield </w:t>
            </w:r>
            <w:r>
              <w:rPr>
                <w:rFonts w:cs="Arial"/>
                <w:b/>
                <w:sz w:val="16"/>
                <w:szCs w:val="16"/>
              </w:rPr>
              <w:t>exemption</w:t>
            </w:r>
          </w:p>
        </w:tc>
        <w:tc>
          <w:tcPr>
            <w:tcW w:w="2270" w:type="dxa"/>
            <w:tcBorders>
              <w:bottom w:val="single" w:sz="4" w:space="0" w:color="auto"/>
            </w:tcBorders>
            <w:shd w:val="clear" w:color="auto" w:fill="E1E2E7" w:themeFill="background2"/>
          </w:tcPr>
          <w:p w14:paraId="34C7E94E" w14:textId="77777777" w:rsidR="00A5724A" w:rsidRPr="004E18B9" w:rsidRDefault="00A5724A" w:rsidP="004B153A">
            <w:pPr>
              <w:pStyle w:val="TableBullet10"/>
              <w:numPr>
                <w:ilvl w:val="0"/>
                <w:numId w:val="0"/>
              </w:numPr>
              <w:spacing w:before="20" w:after="20" w:line="240" w:lineRule="auto"/>
              <w:ind w:left="85"/>
              <w:rPr>
                <w:sz w:val="16"/>
                <w:szCs w:val="16"/>
              </w:rPr>
            </w:pPr>
            <w:r w:rsidRPr="004E18B9">
              <w:rPr>
                <w:sz w:val="16"/>
                <w:szCs w:val="16"/>
              </w:rPr>
              <w:t>Maintain current approach</w:t>
            </w:r>
            <w:r>
              <w:rPr>
                <w:sz w:val="16"/>
                <w:szCs w:val="16"/>
              </w:rPr>
              <w:t>, with new pipelines able to obtain a 15-year no coverage determination if the coverage test is not satisfied and the terms and conditions of access for pipelines developed through a competitive tender process able to be locked in for up to 15 years.</w:t>
            </w:r>
          </w:p>
        </w:tc>
        <w:tc>
          <w:tcPr>
            <w:tcW w:w="2517" w:type="dxa"/>
            <w:tcBorders>
              <w:bottom w:val="single" w:sz="4" w:space="0" w:color="auto"/>
            </w:tcBorders>
            <w:shd w:val="clear" w:color="auto" w:fill="E1E2E7" w:themeFill="background2"/>
          </w:tcPr>
          <w:p w14:paraId="744E16E5" w14:textId="77777777" w:rsidR="00A5724A" w:rsidRPr="004E18B9" w:rsidRDefault="00A5724A" w:rsidP="004B153A">
            <w:pPr>
              <w:pStyle w:val="TableBullet10"/>
              <w:numPr>
                <w:ilvl w:val="0"/>
                <w:numId w:val="0"/>
              </w:numPr>
              <w:spacing w:before="20" w:after="20" w:line="240" w:lineRule="auto"/>
              <w:ind w:left="85"/>
              <w:rPr>
                <w:sz w:val="16"/>
                <w:szCs w:val="16"/>
              </w:rPr>
            </w:pPr>
            <w:r w:rsidRPr="004E18B9">
              <w:rPr>
                <w:sz w:val="16"/>
                <w:szCs w:val="16"/>
              </w:rPr>
              <w:t xml:space="preserve">Single greenfield </w:t>
            </w:r>
            <w:r>
              <w:rPr>
                <w:sz w:val="16"/>
                <w:szCs w:val="16"/>
              </w:rPr>
              <w:t>exemption</w:t>
            </w:r>
            <w:r w:rsidRPr="004E18B9">
              <w:rPr>
                <w:sz w:val="16"/>
                <w:szCs w:val="16"/>
              </w:rPr>
              <w:t xml:space="preserve"> to </w:t>
            </w:r>
            <w:r>
              <w:rPr>
                <w:sz w:val="16"/>
                <w:szCs w:val="16"/>
              </w:rPr>
              <w:t>enable</w:t>
            </w:r>
            <w:r w:rsidRPr="004E18B9">
              <w:rPr>
                <w:sz w:val="16"/>
                <w:szCs w:val="16"/>
              </w:rPr>
              <w:t xml:space="preserve"> new pipelines with a full exemption from regulation if the pipeline </w:t>
            </w:r>
            <w:r>
              <w:rPr>
                <w:sz w:val="16"/>
                <w:szCs w:val="16"/>
              </w:rPr>
              <w:t>can demonstrate it will not have substantial market power over the exemption period</w:t>
            </w:r>
            <w:r w:rsidRPr="004E18B9">
              <w:rPr>
                <w:sz w:val="16"/>
                <w:szCs w:val="16"/>
              </w:rPr>
              <w:t xml:space="preserve">. </w:t>
            </w:r>
          </w:p>
        </w:tc>
        <w:tc>
          <w:tcPr>
            <w:tcW w:w="4568" w:type="dxa"/>
            <w:gridSpan w:val="3"/>
            <w:tcBorders>
              <w:bottom w:val="single" w:sz="4" w:space="0" w:color="auto"/>
            </w:tcBorders>
            <w:shd w:val="clear" w:color="auto" w:fill="E1E2E7" w:themeFill="background2"/>
          </w:tcPr>
          <w:p w14:paraId="72D14CEB" w14:textId="77777777" w:rsidR="00A5724A" w:rsidRPr="004E18B9" w:rsidRDefault="00A5724A" w:rsidP="004B153A">
            <w:pPr>
              <w:pStyle w:val="TableBullet10"/>
              <w:numPr>
                <w:ilvl w:val="0"/>
                <w:numId w:val="0"/>
              </w:numPr>
              <w:spacing w:before="20" w:after="20" w:line="240" w:lineRule="auto"/>
              <w:ind w:left="85"/>
              <w:rPr>
                <w:sz w:val="16"/>
                <w:szCs w:val="16"/>
              </w:rPr>
            </w:pPr>
            <w:r w:rsidRPr="004E18B9">
              <w:rPr>
                <w:sz w:val="16"/>
                <w:szCs w:val="16"/>
              </w:rPr>
              <w:t xml:space="preserve">Single greenfield </w:t>
            </w:r>
            <w:r>
              <w:rPr>
                <w:sz w:val="16"/>
                <w:szCs w:val="16"/>
              </w:rPr>
              <w:t>exemption</w:t>
            </w:r>
            <w:r w:rsidRPr="004E18B9">
              <w:rPr>
                <w:sz w:val="16"/>
                <w:szCs w:val="16"/>
              </w:rPr>
              <w:t xml:space="preserve"> to </w:t>
            </w:r>
            <w:r>
              <w:rPr>
                <w:sz w:val="16"/>
                <w:szCs w:val="16"/>
              </w:rPr>
              <w:t xml:space="preserve">enable </w:t>
            </w:r>
            <w:r w:rsidRPr="004E18B9">
              <w:rPr>
                <w:sz w:val="16"/>
                <w:szCs w:val="16"/>
              </w:rPr>
              <w:t xml:space="preserve">new pipelines </w:t>
            </w:r>
            <w:r>
              <w:rPr>
                <w:sz w:val="16"/>
                <w:szCs w:val="16"/>
              </w:rPr>
              <w:t xml:space="preserve">to obtain an </w:t>
            </w:r>
            <w:r w:rsidRPr="004E18B9">
              <w:rPr>
                <w:sz w:val="16"/>
                <w:szCs w:val="16"/>
              </w:rPr>
              <w:t xml:space="preserve">exemption from </w:t>
            </w:r>
            <w:r>
              <w:rPr>
                <w:sz w:val="16"/>
                <w:szCs w:val="16"/>
              </w:rPr>
              <w:t xml:space="preserve">the stronger </w:t>
            </w:r>
            <w:r w:rsidRPr="004E18B9">
              <w:rPr>
                <w:sz w:val="16"/>
                <w:szCs w:val="16"/>
              </w:rPr>
              <w:t>form of regulation</w:t>
            </w:r>
            <w:r>
              <w:rPr>
                <w:sz w:val="16"/>
                <w:szCs w:val="16"/>
              </w:rPr>
              <w:t>, and where relevant,</w:t>
            </w:r>
            <w:r w:rsidRPr="004E18B9">
              <w:rPr>
                <w:sz w:val="16"/>
                <w:szCs w:val="16"/>
              </w:rPr>
              <w:t xml:space="preserve"> </w:t>
            </w:r>
            <w:r>
              <w:rPr>
                <w:sz w:val="16"/>
                <w:szCs w:val="16"/>
              </w:rPr>
              <w:t>lock in the outcomes of competition,</w:t>
            </w:r>
            <w:r w:rsidRPr="004E18B9">
              <w:rPr>
                <w:sz w:val="16"/>
                <w:szCs w:val="16"/>
              </w:rPr>
              <w:t xml:space="preserve"> for up to 15 years</w:t>
            </w:r>
            <w:r>
              <w:rPr>
                <w:sz w:val="16"/>
                <w:szCs w:val="16"/>
              </w:rPr>
              <w:t xml:space="preserve"> where it can be demonstrated that the pipeline is unlikely to have substantial market power over the exemption period</w:t>
            </w:r>
            <w:r w:rsidRPr="004E18B9">
              <w:rPr>
                <w:sz w:val="16"/>
                <w:szCs w:val="16"/>
              </w:rPr>
              <w:t xml:space="preserve">. </w:t>
            </w:r>
          </w:p>
        </w:tc>
        <w:tc>
          <w:tcPr>
            <w:tcW w:w="2555" w:type="dxa"/>
            <w:tcBorders>
              <w:bottom w:val="single" w:sz="4" w:space="0" w:color="auto"/>
            </w:tcBorders>
            <w:shd w:val="clear" w:color="auto" w:fill="E1E2E7" w:themeFill="background2"/>
          </w:tcPr>
          <w:p w14:paraId="6280CBC7" w14:textId="77777777" w:rsidR="00A5724A" w:rsidRPr="004E18B9" w:rsidRDefault="00A5724A" w:rsidP="004B153A">
            <w:pPr>
              <w:pStyle w:val="TableBullet10"/>
              <w:numPr>
                <w:ilvl w:val="0"/>
                <w:numId w:val="0"/>
              </w:numPr>
              <w:spacing w:before="20" w:after="20" w:line="240" w:lineRule="auto"/>
              <w:ind w:left="85"/>
              <w:rPr>
                <w:sz w:val="16"/>
                <w:szCs w:val="16"/>
              </w:rPr>
            </w:pPr>
            <w:r>
              <w:rPr>
                <w:sz w:val="16"/>
                <w:szCs w:val="16"/>
              </w:rPr>
              <w:t>No greenfield exemption</w:t>
            </w:r>
          </w:p>
        </w:tc>
      </w:tr>
      <w:tr w:rsidR="00A5724A" w:rsidRPr="004E18B9" w14:paraId="778CAA0C" w14:textId="77777777" w:rsidTr="004B153A">
        <w:trPr>
          <w:cnfStyle w:val="000000010000" w:firstRow="0" w:lastRow="0" w:firstColumn="0" w:lastColumn="0" w:oddVBand="0" w:evenVBand="0" w:oddHBand="0" w:evenHBand="1" w:firstRowFirstColumn="0" w:firstRowLastColumn="0" w:lastRowFirstColumn="0" w:lastRowLastColumn="0"/>
          <w:trHeight w:val="1230"/>
        </w:trPr>
        <w:tc>
          <w:tcPr>
            <w:tcW w:w="1419" w:type="dxa"/>
            <w:vMerge w:val="restart"/>
            <w:shd w:val="clear" w:color="auto" w:fill="F2F2F2" w:themeFill="background1" w:themeFillShade="F2"/>
          </w:tcPr>
          <w:p w14:paraId="36430D89" w14:textId="77777777" w:rsidR="00A5724A" w:rsidRPr="004E18B9" w:rsidRDefault="00A5724A" w:rsidP="004B153A">
            <w:pPr>
              <w:pStyle w:val="BodyText"/>
              <w:keepNext/>
              <w:spacing w:before="40" w:after="40" w:line="240" w:lineRule="auto"/>
              <w:rPr>
                <w:rFonts w:cs="Arial"/>
                <w:b/>
                <w:sz w:val="16"/>
                <w:szCs w:val="16"/>
              </w:rPr>
            </w:pPr>
            <w:r w:rsidRPr="004E18B9">
              <w:rPr>
                <w:rFonts w:cs="Arial"/>
                <w:b/>
                <w:bCs/>
                <w:sz w:val="16"/>
                <w:szCs w:val="16"/>
              </w:rPr>
              <w:t>Forms of regulation and the movement between the alternative forms</w:t>
            </w:r>
          </w:p>
        </w:tc>
        <w:tc>
          <w:tcPr>
            <w:tcW w:w="1272" w:type="dxa"/>
            <w:tcBorders>
              <w:bottom w:val="single" w:sz="4" w:space="0" w:color="auto"/>
            </w:tcBorders>
            <w:shd w:val="clear" w:color="auto" w:fill="FFFFFF" w:themeFill="background1"/>
          </w:tcPr>
          <w:p w14:paraId="456B0A47" w14:textId="77777777" w:rsidR="00A5724A" w:rsidRPr="004E18B9" w:rsidRDefault="00A5724A" w:rsidP="004B153A">
            <w:pPr>
              <w:pStyle w:val="BodyText"/>
              <w:keepNext/>
              <w:spacing w:before="40" w:after="40" w:line="240" w:lineRule="auto"/>
              <w:rPr>
                <w:rFonts w:cs="Arial"/>
                <w:b/>
                <w:sz w:val="16"/>
                <w:szCs w:val="16"/>
              </w:rPr>
            </w:pPr>
            <w:r w:rsidRPr="004E18B9">
              <w:rPr>
                <w:rFonts w:cs="Arial"/>
                <w:b/>
                <w:bCs/>
                <w:sz w:val="16"/>
                <w:szCs w:val="16"/>
              </w:rPr>
              <w:t>Forms of regulation</w:t>
            </w:r>
          </w:p>
        </w:tc>
        <w:tc>
          <w:tcPr>
            <w:tcW w:w="2270" w:type="dxa"/>
            <w:tcBorders>
              <w:bottom w:val="single" w:sz="4" w:space="0" w:color="auto"/>
            </w:tcBorders>
            <w:shd w:val="clear" w:color="auto" w:fill="FFFFFF" w:themeFill="background1"/>
          </w:tcPr>
          <w:p w14:paraId="3676178A" w14:textId="77777777" w:rsidR="00A5724A" w:rsidRPr="00281575" w:rsidRDefault="00A5724A" w:rsidP="004B153A">
            <w:pPr>
              <w:pStyle w:val="BodyText"/>
              <w:keepNext/>
              <w:spacing w:before="20" w:after="20" w:line="240" w:lineRule="auto"/>
              <w:rPr>
                <w:rFonts w:asciiTheme="majorHAnsi" w:hAnsiTheme="majorHAnsi" w:cstheme="majorHAnsi"/>
                <w:sz w:val="16"/>
                <w:szCs w:val="16"/>
              </w:rPr>
            </w:pPr>
            <w:r w:rsidRPr="00281575">
              <w:rPr>
                <w:rFonts w:asciiTheme="majorHAnsi" w:hAnsiTheme="majorHAnsi" w:cstheme="majorHAnsi"/>
                <w:sz w:val="16"/>
                <w:szCs w:val="16"/>
              </w:rPr>
              <w:t>Maintain the existing forms of regulation (i.e. full, light and Part 23).</w:t>
            </w:r>
          </w:p>
        </w:tc>
        <w:tc>
          <w:tcPr>
            <w:tcW w:w="7085" w:type="dxa"/>
            <w:gridSpan w:val="4"/>
            <w:tcBorders>
              <w:bottom w:val="single" w:sz="4" w:space="0" w:color="auto"/>
            </w:tcBorders>
            <w:shd w:val="clear" w:color="auto" w:fill="FFFFFF" w:themeFill="background1"/>
          </w:tcPr>
          <w:p w14:paraId="6B71E97D" w14:textId="77777777" w:rsidR="00A5724A" w:rsidRPr="00281575" w:rsidRDefault="00A5724A" w:rsidP="004B153A">
            <w:pPr>
              <w:pStyle w:val="BodyText"/>
              <w:keepNext/>
              <w:spacing w:before="20" w:after="20" w:line="240" w:lineRule="auto"/>
              <w:rPr>
                <w:rFonts w:asciiTheme="majorHAnsi" w:hAnsiTheme="majorHAnsi" w:cstheme="majorHAnsi"/>
                <w:sz w:val="16"/>
                <w:szCs w:val="16"/>
              </w:rPr>
            </w:pPr>
            <w:r w:rsidRPr="00281575">
              <w:rPr>
                <w:rFonts w:asciiTheme="majorHAnsi" w:hAnsiTheme="majorHAnsi" w:cstheme="majorHAnsi"/>
                <w:sz w:val="16"/>
                <w:szCs w:val="16"/>
              </w:rPr>
              <w:t>Adopt the following forms of regulation:</w:t>
            </w:r>
          </w:p>
          <w:p w14:paraId="0C1750E2" w14:textId="77777777" w:rsidR="00A5724A" w:rsidRPr="00281575" w:rsidRDefault="00A5724A" w:rsidP="004B153A">
            <w:pPr>
              <w:pStyle w:val="TableBullet10"/>
              <w:keepNext/>
              <w:spacing w:before="20" w:after="0" w:line="240" w:lineRule="auto"/>
              <w:rPr>
                <w:rFonts w:asciiTheme="majorHAnsi" w:hAnsiTheme="majorHAnsi" w:cstheme="majorHAnsi"/>
                <w:sz w:val="16"/>
                <w:szCs w:val="16"/>
              </w:rPr>
            </w:pPr>
            <w:r w:rsidRPr="00281575">
              <w:rPr>
                <w:rFonts w:asciiTheme="majorHAnsi" w:hAnsiTheme="majorHAnsi" w:cstheme="majorHAnsi"/>
                <w:sz w:val="16"/>
                <w:szCs w:val="16"/>
              </w:rPr>
              <w:t>Stronger regulation – based on full regulation (i.e. negotiate-arbitrate with reference tariffs approved by the regulator and a regulatory-oriented dispute resolution mechanism).</w:t>
            </w:r>
          </w:p>
          <w:p w14:paraId="758693F0" w14:textId="77777777" w:rsidR="00A5724A" w:rsidRPr="00281575" w:rsidRDefault="00A5724A" w:rsidP="004B153A">
            <w:pPr>
              <w:pStyle w:val="TableBullet10"/>
              <w:keepNext/>
              <w:spacing w:before="20" w:after="0" w:line="240" w:lineRule="auto"/>
              <w:rPr>
                <w:rFonts w:asciiTheme="majorHAnsi" w:hAnsiTheme="majorHAnsi" w:cstheme="majorHAnsi"/>
                <w:sz w:val="16"/>
                <w:szCs w:val="16"/>
              </w:rPr>
            </w:pPr>
            <w:r w:rsidRPr="00281575">
              <w:rPr>
                <w:rFonts w:asciiTheme="majorHAnsi" w:hAnsiTheme="majorHAnsi" w:cstheme="majorHAnsi"/>
                <w:sz w:val="16"/>
                <w:szCs w:val="16"/>
              </w:rPr>
              <w:t>Lighter regulation – based on the existing Part 23 (i.e. a negotiate-arbitrate model with information disclosure and a commercially-oriented dispute resolution mechanism), which would be strengthened through the inclusion of the safeguards that currently apply to light regulation, but not the prohibition on inefficient price discrimination.</w:t>
            </w:r>
          </w:p>
          <w:p w14:paraId="46E653FA" w14:textId="77777777" w:rsidR="00A5724A" w:rsidRPr="00281575" w:rsidRDefault="00A5724A" w:rsidP="004B153A">
            <w:pPr>
              <w:pStyle w:val="TableBullet10"/>
              <w:keepNext/>
              <w:numPr>
                <w:ilvl w:val="0"/>
                <w:numId w:val="0"/>
              </w:numPr>
              <w:spacing w:before="20" w:after="0" w:line="240" w:lineRule="auto"/>
              <w:ind w:left="85"/>
              <w:rPr>
                <w:rFonts w:asciiTheme="majorHAnsi" w:hAnsiTheme="majorHAnsi" w:cstheme="majorHAnsi"/>
                <w:sz w:val="16"/>
                <w:szCs w:val="16"/>
              </w:rPr>
            </w:pPr>
            <w:r w:rsidRPr="00281575">
              <w:rPr>
                <w:sz w:val="16"/>
                <w:szCs w:val="16"/>
                <w:lang w:eastAsia="en-US"/>
              </w:rPr>
              <w:t>For transitional purposes, the 5.5 pipelines currently subject to light regulation would be transitioned to the new lighter form of regulation unless the service provider elects to be subject to the stronger form of regulation.</w:t>
            </w:r>
          </w:p>
        </w:tc>
        <w:tc>
          <w:tcPr>
            <w:tcW w:w="2555" w:type="dxa"/>
            <w:tcBorders>
              <w:bottom w:val="single" w:sz="4" w:space="0" w:color="auto"/>
            </w:tcBorders>
            <w:shd w:val="clear" w:color="auto" w:fill="FFFFFF" w:themeFill="background1"/>
          </w:tcPr>
          <w:p w14:paraId="0D3065FB" w14:textId="77777777" w:rsidR="00A5724A" w:rsidRPr="00D77AEA" w:rsidRDefault="00A5724A" w:rsidP="004B153A">
            <w:pPr>
              <w:pStyle w:val="BodyText"/>
              <w:keepNext/>
              <w:spacing w:before="20" w:after="20" w:line="240" w:lineRule="auto"/>
              <w:rPr>
                <w:sz w:val="16"/>
                <w:szCs w:val="16"/>
              </w:rPr>
            </w:pPr>
            <w:r w:rsidRPr="00D77AEA">
              <w:rPr>
                <w:sz w:val="16"/>
                <w:szCs w:val="16"/>
              </w:rPr>
              <w:t>Adopt the following forms of regulation:</w:t>
            </w:r>
          </w:p>
          <w:p w14:paraId="14C4FE97" w14:textId="77777777" w:rsidR="00A5724A" w:rsidRDefault="00A5724A" w:rsidP="004B153A">
            <w:pPr>
              <w:pStyle w:val="BodyText"/>
              <w:keepNext/>
              <w:numPr>
                <w:ilvl w:val="0"/>
                <w:numId w:val="55"/>
              </w:numPr>
              <w:spacing w:before="20" w:after="20" w:line="240" w:lineRule="auto"/>
              <w:ind w:left="312" w:hanging="227"/>
              <w:rPr>
                <w:sz w:val="16"/>
                <w:szCs w:val="16"/>
              </w:rPr>
            </w:pPr>
            <w:r>
              <w:rPr>
                <w:sz w:val="16"/>
                <w:szCs w:val="16"/>
              </w:rPr>
              <w:t>Stronger</w:t>
            </w:r>
            <w:r w:rsidRPr="00D77AEA">
              <w:rPr>
                <w:sz w:val="16"/>
                <w:szCs w:val="16"/>
              </w:rPr>
              <w:t xml:space="preserve"> based on direct price</w:t>
            </w:r>
            <w:r>
              <w:rPr>
                <w:sz w:val="16"/>
                <w:szCs w:val="16"/>
              </w:rPr>
              <w:t xml:space="preserve"> or </w:t>
            </w:r>
            <w:r w:rsidRPr="00D77AEA">
              <w:rPr>
                <w:sz w:val="16"/>
                <w:szCs w:val="16"/>
              </w:rPr>
              <w:t>revenue control</w:t>
            </w:r>
          </w:p>
          <w:p w14:paraId="6467A75E" w14:textId="77777777" w:rsidR="00A5724A" w:rsidRPr="00DF1C2B" w:rsidRDefault="00A5724A" w:rsidP="004B153A">
            <w:pPr>
              <w:pStyle w:val="BodyText"/>
              <w:keepNext/>
              <w:numPr>
                <w:ilvl w:val="0"/>
                <w:numId w:val="55"/>
              </w:numPr>
              <w:spacing w:before="20" w:after="20" w:line="240" w:lineRule="auto"/>
              <w:ind w:left="312" w:hanging="227"/>
              <w:rPr>
                <w:sz w:val="16"/>
                <w:szCs w:val="16"/>
              </w:rPr>
            </w:pPr>
            <w:r>
              <w:rPr>
                <w:sz w:val="16"/>
                <w:szCs w:val="16"/>
              </w:rPr>
              <w:t>Lighter</w:t>
            </w:r>
            <w:r w:rsidRPr="00DF1C2B">
              <w:rPr>
                <w:sz w:val="16"/>
                <w:szCs w:val="16"/>
              </w:rPr>
              <w:t xml:space="preserve"> based on strengthened Part 23.</w:t>
            </w:r>
          </w:p>
        </w:tc>
      </w:tr>
      <w:tr w:rsidR="00A5724A" w:rsidRPr="004E18B9" w14:paraId="1D52CBA4" w14:textId="77777777" w:rsidTr="004B153A">
        <w:trPr>
          <w:trHeight w:val="813"/>
        </w:trPr>
        <w:tc>
          <w:tcPr>
            <w:tcW w:w="1419" w:type="dxa"/>
            <w:vMerge/>
            <w:shd w:val="clear" w:color="auto" w:fill="F2F2F2" w:themeFill="background1" w:themeFillShade="F2"/>
          </w:tcPr>
          <w:p w14:paraId="6A647396" w14:textId="77777777" w:rsidR="00A5724A" w:rsidRPr="004E18B9" w:rsidRDefault="00A5724A" w:rsidP="004B153A">
            <w:pPr>
              <w:pStyle w:val="BodyText"/>
              <w:spacing w:before="40" w:after="40" w:line="240" w:lineRule="auto"/>
              <w:rPr>
                <w:rFonts w:cs="Arial"/>
                <w:b/>
                <w:bCs/>
                <w:sz w:val="16"/>
                <w:szCs w:val="16"/>
              </w:rPr>
            </w:pPr>
          </w:p>
        </w:tc>
        <w:tc>
          <w:tcPr>
            <w:tcW w:w="1272" w:type="dxa"/>
            <w:tcBorders>
              <w:bottom w:val="single" w:sz="4" w:space="0" w:color="auto"/>
            </w:tcBorders>
            <w:shd w:val="clear" w:color="auto" w:fill="F2F2F2" w:themeFill="background1" w:themeFillShade="F2"/>
          </w:tcPr>
          <w:p w14:paraId="2AB32A9E" w14:textId="77777777" w:rsidR="00A5724A" w:rsidRPr="004E18B9" w:rsidRDefault="00A5724A" w:rsidP="004B153A">
            <w:pPr>
              <w:pStyle w:val="BodyText"/>
              <w:spacing w:before="40" w:after="40" w:line="240" w:lineRule="auto"/>
              <w:rPr>
                <w:rFonts w:cs="Arial"/>
                <w:b/>
                <w:bCs/>
                <w:sz w:val="16"/>
                <w:szCs w:val="16"/>
              </w:rPr>
            </w:pPr>
            <w:r w:rsidRPr="004E18B9">
              <w:rPr>
                <w:rFonts w:cs="Arial"/>
                <w:b/>
                <w:bCs/>
                <w:sz w:val="16"/>
                <w:szCs w:val="16"/>
              </w:rPr>
              <w:t>Dynamic market power measures</w:t>
            </w:r>
          </w:p>
        </w:tc>
        <w:tc>
          <w:tcPr>
            <w:tcW w:w="4787" w:type="dxa"/>
            <w:gridSpan w:val="2"/>
            <w:tcBorders>
              <w:bottom w:val="single" w:sz="4" w:space="0" w:color="auto"/>
            </w:tcBorders>
            <w:shd w:val="clear" w:color="auto" w:fill="F2F2F2" w:themeFill="background1" w:themeFillShade="F2"/>
          </w:tcPr>
          <w:p w14:paraId="3676C32B" w14:textId="77777777" w:rsidR="00A5724A" w:rsidRPr="0043228A" w:rsidRDefault="00A5724A" w:rsidP="004B153A">
            <w:pPr>
              <w:pStyle w:val="BodyText"/>
              <w:spacing w:before="20" w:after="20" w:line="240" w:lineRule="auto"/>
              <w:rPr>
                <w:rFonts w:cs="Arial"/>
                <w:sz w:val="16"/>
                <w:szCs w:val="16"/>
              </w:rPr>
            </w:pPr>
            <w:r>
              <w:rPr>
                <w:rFonts w:cs="Arial"/>
                <w:sz w:val="16"/>
                <w:szCs w:val="16"/>
              </w:rPr>
              <w:t>Maintain the</w:t>
            </w:r>
            <w:r w:rsidRPr="0043228A">
              <w:rPr>
                <w:rFonts w:cs="Arial"/>
                <w:sz w:val="16"/>
                <w:szCs w:val="16"/>
              </w:rPr>
              <w:t xml:space="preserve"> existing approach, which does not explicitly deal with service providers trying to block new entry.</w:t>
            </w:r>
          </w:p>
        </w:tc>
        <w:tc>
          <w:tcPr>
            <w:tcW w:w="4568" w:type="dxa"/>
            <w:gridSpan w:val="3"/>
            <w:tcBorders>
              <w:bottom w:val="single" w:sz="4" w:space="0" w:color="auto"/>
            </w:tcBorders>
            <w:shd w:val="clear" w:color="auto" w:fill="F2F2F2" w:themeFill="background1" w:themeFillShade="F2"/>
          </w:tcPr>
          <w:p w14:paraId="052A2550" w14:textId="77777777" w:rsidR="00A5724A" w:rsidRPr="0043228A" w:rsidRDefault="00A5724A" w:rsidP="004B153A">
            <w:pPr>
              <w:pStyle w:val="BodyText"/>
              <w:spacing w:before="40" w:after="20" w:line="240" w:lineRule="auto"/>
              <w:rPr>
                <w:rFonts w:cstheme="minorHAnsi"/>
                <w:sz w:val="16"/>
                <w:szCs w:val="16"/>
              </w:rPr>
            </w:pPr>
            <w:r>
              <w:rPr>
                <w:rFonts w:cstheme="minorHAnsi"/>
                <w:sz w:val="16"/>
                <w:szCs w:val="16"/>
              </w:rPr>
              <w:t>S</w:t>
            </w:r>
            <w:r w:rsidRPr="0043228A">
              <w:rPr>
                <w:rFonts w:cstheme="minorHAnsi"/>
                <w:sz w:val="16"/>
                <w:szCs w:val="16"/>
              </w:rPr>
              <w:t xml:space="preserve">ervice providers would be: </w:t>
            </w:r>
          </w:p>
          <w:p w14:paraId="3CE615A0" w14:textId="77777777" w:rsidR="00A5724A" w:rsidRPr="0043228A" w:rsidRDefault="00A5724A" w:rsidP="004B153A">
            <w:pPr>
              <w:pStyle w:val="BodyText"/>
              <w:numPr>
                <w:ilvl w:val="0"/>
                <w:numId w:val="135"/>
              </w:numPr>
              <w:tabs>
                <w:tab w:val="clear" w:pos="2268"/>
                <w:tab w:val="clear" w:pos="4536"/>
                <w:tab w:val="clear" w:pos="6804"/>
                <w:tab w:val="clear" w:pos="9638"/>
              </w:tabs>
              <w:spacing w:before="40" w:after="20" w:line="240" w:lineRule="auto"/>
              <w:ind w:left="312" w:hanging="227"/>
              <w:rPr>
                <w:rFonts w:cstheme="minorHAnsi"/>
                <w:sz w:val="16"/>
                <w:szCs w:val="16"/>
              </w:rPr>
            </w:pPr>
            <w:r w:rsidRPr="0043228A">
              <w:rPr>
                <w:rFonts w:cstheme="minorHAnsi"/>
                <w:sz w:val="16"/>
                <w:szCs w:val="16"/>
              </w:rPr>
              <w:t>required to comply with pipeline interconnection principles set out in the NGR</w:t>
            </w:r>
          </w:p>
          <w:p w14:paraId="61D8715E" w14:textId="77777777" w:rsidR="00A5724A" w:rsidRPr="0043228A" w:rsidRDefault="00A5724A" w:rsidP="004B153A">
            <w:pPr>
              <w:pStyle w:val="BodyText"/>
              <w:numPr>
                <w:ilvl w:val="0"/>
                <w:numId w:val="135"/>
              </w:numPr>
              <w:tabs>
                <w:tab w:val="clear" w:pos="2268"/>
                <w:tab w:val="clear" w:pos="4536"/>
                <w:tab w:val="clear" w:pos="6804"/>
                <w:tab w:val="clear" w:pos="9638"/>
              </w:tabs>
              <w:spacing w:before="40" w:after="20" w:line="240" w:lineRule="auto"/>
              <w:ind w:left="312" w:hanging="227"/>
              <w:rPr>
                <w:rFonts w:cstheme="minorHAnsi"/>
                <w:sz w:val="16"/>
                <w:szCs w:val="16"/>
              </w:rPr>
            </w:pPr>
            <w:r w:rsidRPr="0043228A">
              <w:rPr>
                <w:rFonts w:cstheme="minorHAnsi"/>
                <w:sz w:val="16"/>
                <w:szCs w:val="16"/>
              </w:rPr>
              <w:t>prohibited from increasing the charges payable by existing shippers to cross-subsidise the development of new capacity (subject to limited exceptions</w:t>
            </w:r>
            <w:r>
              <w:rPr>
                <w:rFonts w:cstheme="minorHAnsi"/>
                <w:sz w:val="16"/>
                <w:szCs w:val="16"/>
              </w:rPr>
              <w:t xml:space="preserve"> specified in the NGR</w:t>
            </w:r>
            <w:r w:rsidRPr="0043228A">
              <w:rPr>
                <w:rFonts w:cstheme="minorHAnsi"/>
                <w:sz w:val="16"/>
                <w:szCs w:val="16"/>
              </w:rPr>
              <w:t xml:space="preserve">) </w:t>
            </w:r>
            <w:r>
              <w:rPr>
                <w:rFonts w:cstheme="minorHAnsi"/>
                <w:sz w:val="16"/>
                <w:szCs w:val="16"/>
              </w:rPr>
              <w:t>and would be required to disclose more information on the costs of extensions and expansions</w:t>
            </w:r>
            <w:r w:rsidRPr="0043228A">
              <w:rPr>
                <w:rFonts w:cstheme="minorHAnsi"/>
                <w:sz w:val="16"/>
                <w:szCs w:val="16"/>
              </w:rPr>
              <w:t>.</w:t>
            </w:r>
          </w:p>
        </w:tc>
        <w:tc>
          <w:tcPr>
            <w:tcW w:w="2555" w:type="dxa"/>
            <w:tcBorders>
              <w:bottom w:val="single" w:sz="4" w:space="0" w:color="auto"/>
            </w:tcBorders>
            <w:shd w:val="clear" w:color="auto" w:fill="F2F2F2" w:themeFill="background1" w:themeFillShade="F2"/>
          </w:tcPr>
          <w:p w14:paraId="4781FF9C" w14:textId="77777777" w:rsidR="00A5724A" w:rsidRPr="00D77AEA" w:rsidRDefault="00A5724A" w:rsidP="004B153A">
            <w:pPr>
              <w:pStyle w:val="BodyText"/>
              <w:spacing w:before="20" w:after="20" w:line="240" w:lineRule="auto"/>
              <w:rPr>
                <w:sz w:val="16"/>
                <w:szCs w:val="16"/>
              </w:rPr>
            </w:pPr>
            <w:r>
              <w:rPr>
                <w:sz w:val="16"/>
                <w:szCs w:val="16"/>
              </w:rPr>
              <w:t>Service providers</w:t>
            </w:r>
            <w:r w:rsidRPr="00D77AEA">
              <w:rPr>
                <w:sz w:val="16"/>
                <w:szCs w:val="16"/>
              </w:rPr>
              <w:t xml:space="preserve"> would be</w:t>
            </w:r>
            <w:r>
              <w:rPr>
                <w:sz w:val="16"/>
                <w:szCs w:val="16"/>
              </w:rPr>
              <w:t xml:space="preserve"> required to</w:t>
            </w:r>
            <w:r w:rsidRPr="00D77AEA">
              <w:rPr>
                <w:sz w:val="16"/>
                <w:szCs w:val="16"/>
              </w:rPr>
              <w:t xml:space="preserve">: </w:t>
            </w:r>
          </w:p>
          <w:p w14:paraId="6137E30E" w14:textId="77777777" w:rsidR="00A5724A" w:rsidRDefault="00A5724A" w:rsidP="004B153A">
            <w:pPr>
              <w:pStyle w:val="BodyText"/>
              <w:numPr>
                <w:ilvl w:val="0"/>
                <w:numId w:val="75"/>
              </w:numPr>
              <w:spacing w:before="20" w:after="20" w:line="240" w:lineRule="auto"/>
              <w:ind w:left="312" w:hanging="227"/>
              <w:rPr>
                <w:sz w:val="16"/>
                <w:szCs w:val="16"/>
              </w:rPr>
            </w:pPr>
            <w:r w:rsidRPr="00D77AEA">
              <w:rPr>
                <w:sz w:val="16"/>
                <w:szCs w:val="16"/>
              </w:rPr>
              <w:t xml:space="preserve">comply with interconnection principles in the NGR </w:t>
            </w:r>
          </w:p>
          <w:p w14:paraId="380E72B1" w14:textId="77777777" w:rsidR="00A5724A" w:rsidRPr="00032969" w:rsidRDefault="00A5724A" w:rsidP="004B153A">
            <w:pPr>
              <w:pStyle w:val="BodyText"/>
              <w:numPr>
                <w:ilvl w:val="0"/>
                <w:numId w:val="75"/>
              </w:numPr>
              <w:spacing w:before="20" w:after="20" w:line="240" w:lineRule="auto"/>
              <w:ind w:left="312" w:hanging="227"/>
              <w:rPr>
                <w:sz w:val="16"/>
                <w:szCs w:val="16"/>
              </w:rPr>
            </w:pPr>
            <w:r w:rsidRPr="00032969">
              <w:rPr>
                <w:sz w:val="16"/>
                <w:szCs w:val="16"/>
              </w:rPr>
              <w:t xml:space="preserve">use incremental pricing </w:t>
            </w:r>
            <w:r>
              <w:rPr>
                <w:sz w:val="16"/>
                <w:szCs w:val="16"/>
              </w:rPr>
              <w:t>if the</w:t>
            </w:r>
            <w:r w:rsidRPr="00032969">
              <w:rPr>
                <w:sz w:val="16"/>
                <w:szCs w:val="16"/>
              </w:rPr>
              <w:t xml:space="preserve"> cost of new capacity would result in the price of existing capacity </w:t>
            </w:r>
            <w:r>
              <w:rPr>
                <w:sz w:val="16"/>
                <w:szCs w:val="16"/>
              </w:rPr>
              <w:t>rising</w:t>
            </w:r>
            <w:r w:rsidRPr="00032969">
              <w:rPr>
                <w:sz w:val="16"/>
                <w:szCs w:val="16"/>
              </w:rPr>
              <w:t>.</w:t>
            </w:r>
          </w:p>
        </w:tc>
      </w:tr>
      <w:tr w:rsidR="00A5724A" w:rsidRPr="004E18B9" w14:paraId="7FE8C275" w14:textId="77777777" w:rsidTr="004B153A">
        <w:trPr>
          <w:cnfStyle w:val="000000010000" w:firstRow="0" w:lastRow="0" w:firstColumn="0" w:lastColumn="0" w:oddVBand="0" w:evenVBand="0" w:oddHBand="0" w:evenHBand="1" w:firstRowFirstColumn="0" w:firstRowLastColumn="0" w:lastRowFirstColumn="0" w:lastRowLastColumn="0"/>
          <w:trHeight w:val="275"/>
        </w:trPr>
        <w:tc>
          <w:tcPr>
            <w:tcW w:w="1419" w:type="dxa"/>
            <w:vMerge/>
            <w:shd w:val="clear" w:color="auto" w:fill="F2F2F2" w:themeFill="background1" w:themeFillShade="F2"/>
          </w:tcPr>
          <w:p w14:paraId="0C5B162B" w14:textId="77777777" w:rsidR="00A5724A" w:rsidRPr="004E18B9" w:rsidRDefault="00A5724A" w:rsidP="004B153A">
            <w:pPr>
              <w:pStyle w:val="BodyText"/>
              <w:spacing w:before="40" w:after="40" w:line="240" w:lineRule="auto"/>
              <w:rPr>
                <w:rFonts w:cs="Arial"/>
                <w:b/>
                <w:bCs/>
                <w:sz w:val="16"/>
                <w:szCs w:val="16"/>
              </w:rPr>
            </w:pPr>
          </w:p>
        </w:tc>
        <w:tc>
          <w:tcPr>
            <w:tcW w:w="1272" w:type="dxa"/>
            <w:tcBorders>
              <w:bottom w:val="single" w:sz="4" w:space="0" w:color="auto"/>
            </w:tcBorders>
            <w:shd w:val="clear" w:color="auto" w:fill="FFFFFF" w:themeFill="background1"/>
          </w:tcPr>
          <w:p w14:paraId="1D6E1CF5" w14:textId="77777777" w:rsidR="00A5724A" w:rsidRPr="004E18B9" w:rsidRDefault="00A5724A" w:rsidP="004B153A">
            <w:pPr>
              <w:pStyle w:val="BodyText"/>
              <w:spacing w:before="40" w:after="40" w:line="240" w:lineRule="auto"/>
              <w:rPr>
                <w:rFonts w:cs="Arial"/>
                <w:b/>
                <w:bCs/>
                <w:sz w:val="16"/>
                <w:szCs w:val="16"/>
              </w:rPr>
            </w:pPr>
            <w:r w:rsidRPr="004E18B9">
              <w:rPr>
                <w:rFonts w:cs="Arial"/>
                <w:b/>
                <w:bCs/>
                <w:sz w:val="16"/>
                <w:szCs w:val="16"/>
              </w:rPr>
              <w:t xml:space="preserve">Monitoring and referral </w:t>
            </w:r>
          </w:p>
        </w:tc>
        <w:tc>
          <w:tcPr>
            <w:tcW w:w="4787" w:type="dxa"/>
            <w:gridSpan w:val="2"/>
            <w:tcBorders>
              <w:bottom w:val="single" w:sz="4" w:space="0" w:color="auto"/>
            </w:tcBorders>
            <w:shd w:val="clear" w:color="auto" w:fill="FFFFFF" w:themeFill="background1"/>
          </w:tcPr>
          <w:p w14:paraId="2459925C" w14:textId="77777777" w:rsidR="00A5724A" w:rsidRPr="004E18B9" w:rsidRDefault="00A5724A" w:rsidP="004B153A">
            <w:pPr>
              <w:pStyle w:val="BodyText"/>
              <w:spacing w:before="40" w:after="40" w:line="240" w:lineRule="auto"/>
              <w:rPr>
                <w:rFonts w:cs="Arial"/>
                <w:sz w:val="16"/>
                <w:szCs w:val="16"/>
              </w:rPr>
            </w:pPr>
            <w:r>
              <w:rPr>
                <w:rFonts w:cs="Arial"/>
                <w:sz w:val="16"/>
                <w:szCs w:val="16"/>
              </w:rPr>
              <w:t>Maintain</w:t>
            </w:r>
            <w:r w:rsidRPr="004E18B9">
              <w:rPr>
                <w:rFonts w:cs="Arial"/>
                <w:sz w:val="16"/>
                <w:szCs w:val="16"/>
              </w:rPr>
              <w:t xml:space="preserve"> existing approach</w:t>
            </w:r>
            <w:r>
              <w:rPr>
                <w:rFonts w:cs="Arial"/>
                <w:sz w:val="16"/>
                <w:szCs w:val="16"/>
              </w:rPr>
              <w:t>, which provides for limited monitoring by the relevant regulator and no referral function</w:t>
            </w:r>
            <w:r w:rsidRPr="004E18B9">
              <w:rPr>
                <w:rFonts w:cs="Arial"/>
                <w:sz w:val="16"/>
                <w:szCs w:val="16"/>
              </w:rPr>
              <w:t>.</w:t>
            </w:r>
          </w:p>
        </w:tc>
        <w:tc>
          <w:tcPr>
            <w:tcW w:w="7123" w:type="dxa"/>
            <w:gridSpan w:val="4"/>
            <w:tcBorders>
              <w:bottom w:val="single" w:sz="4" w:space="0" w:color="auto"/>
            </w:tcBorders>
            <w:shd w:val="clear" w:color="auto" w:fill="FFFFFF" w:themeFill="background1"/>
          </w:tcPr>
          <w:p w14:paraId="1B50A579" w14:textId="77777777" w:rsidR="00A5724A" w:rsidRDefault="00A5724A" w:rsidP="004B153A">
            <w:pPr>
              <w:pStyle w:val="BodyText"/>
              <w:spacing w:before="40" w:after="40" w:line="240" w:lineRule="auto"/>
              <w:rPr>
                <w:rFonts w:cs="Arial"/>
                <w:sz w:val="16"/>
                <w:szCs w:val="16"/>
              </w:rPr>
            </w:pPr>
            <w:r>
              <w:rPr>
                <w:rFonts w:cs="Arial"/>
                <w:sz w:val="16"/>
                <w:szCs w:val="16"/>
              </w:rPr>
              <w:t>R</w:t>
            </w:r>
            <w:r w:rsidRPr="004E18B9">
              <w:rPr>
                <w:rFonts w:cs="Arial"/>
                <w:sz w:val="16"/>
                <w:szCs w:val="16"/>
              </w:rPr>
              <w:t xml:space="preserve">elevant regulator to </w:t>
            </w:r>
            <w:r>
              <w:rPr>
                <w:rFonts w:cs="Arial"/>
                <w:sz w:val="16"/>
                <w:szCs w:val="16"/>
              </w:rPr>
              <w:t xml:space="preserve">more actively </w:t>
            </w:r>
            <w:r w:rsidRPr="004E18B9">
              <w:rPr>
                <w:rFonts w:cs="Arial"/>
                <w:sz w:val="16"/>
                <w:szCs w:val="16"/>
              </w:rPr>
              <w:t xml:space="preserve">monitor </w:t>
            </w:r>
            <w:r>
              <w:rPr>
                <w:rFonts w:cs="Arial"/>
                <w:sz w:val="16"/>
                <w:szCs w:val="16"/>
              </w:rPr>
              <w:t xml:space="preserve">the </w:t>
            </w:r>
            <w:r w:rsidRPr="004E18B9">
              <w:rPr>
                <w:rFonts w:cs="Arial"/>
                <w:sz w:val="16"/>
                <w:szCs w:val="16"/>
              </w:rPr>
              <w:t xml:space="preserve">behaviour of service providers and </w:t>
            </w:r>
            <w:r>
              <w:rPr>
                <w:rFonts w:cs="Arial"/>
                <w:sz w:val="16"/>
                <w:szCs w:val="16"/>
              </w:rPr>
              <w:t xml:space="preserve">to </w:t>
            </w:r>
            <w:r w:rsidRPr="004E18B9">
              <w:rPr>
                <w:rFonts w:cs="Arial"/>
                <w:sz w:val="16"/>
                <w:szCs w:val="16"/>
              </w:rPr>
              <w:t>refer pipelines for a form of regulation assessment if it suspects market power is being exercised.</w:t>
            </w:r>
          </w:p>
        </w:tc>
      </w:tr>
      <w:tr w:rsidR="00A5724A" w:rsidRPr="004E18B9" w14:paraId="4E27AF64" w14:textId="77777777" w:rsidTr="004B153A">
        <w:trPr>
          <w:trHeight w:val="70"/>
        </w:trPr>
        <w:tc>
          <w:tcPr>
            <w:tcW w:w="1419" w:type="dxa"/>
            <w:vMerge/>
            <w:tcBorders>
              <w:bottom w:val="single" w:sz="4" w:space="0" w:color="auto"/>
            </w:tcBorders>
            <w:shd w:val="clear" w:color="auto" w:fill="F2F2F2" w:themeFill="background1" w:themeFillShade="F2"/>
          </w:tcPr>
          <w:p w14:paraId="1F7908DA" w14:textId="77777777" w:rsidR="00A5724A" w:rsidRPr="004E18B9" w:rsidRDefault="00A5724A" w:rsidP="004B153A">
            <w:pPr>
              <w:pStyle w:val="BodyText"/>
              <w:spacing w:before="40" w:after="40" w:line="240" w:lineRule="auto"/>
              <w:rPr>
                <w:rFonts w:cs="Arial"/>
                <w:b/>
                <w:sz w:val="16"/>
                <w:szCs w:val="16"/>
              </w:rPr>
            </w:pPr>
          </w:p>
        </w:tc>
        <w:tc>
          <w:tcPr>
            <w:tcW w:w="1272" w:type="dxa"/>
            <w:tcBorders>
              <w:bottom w:val="single" w:sz="4" w:space="0" w:color="auto"/>
            </w:tcBorders>
            <w:shd w:val="clear" w:color="auto" w:fill="F2F2F2" w:themeFill="background1" w:themeFillShade="F2"/>
          </w:tcPr>
          <w:p w14:paraId="015560E6" w14:textId="77777777" w:rsidR="00A5724A" w:rsidRPr="004E18B9" w:rsidRDefault="00A5724A" w:rsidP="004B153A">
            <w:pPr>
              <w:pStyle w:val="BodyText"/>
              <w:spacing w:before="40" w:after="40" w:line="240" w:lineRule="auto"/>
              <w:rPr>
                <w:rFonts w:cs="Arial"/>
                <w:b/>
                <w:sz w:val="16"/>
                <w:szCs w:val="16"/>
              </w:rPr>
            </w:pPr>
            <w:r w:rsidRPr="004E18B9">
              <w:rPr>
                <w:rFonts w:cs="Arial"/>
                <w:b/>
                <w:bCs/>
                <w:sz w:val="16"/>
                <w:szCs w:val="16"/>
              </w:rPr>
              <w:t>Form of regulation test</w:t>
            </w:r>
          </w:p>
        </w:tc>
        <w:tc>
          <w:tcPr>
            <w:tcW w:w="2270" w:type="dxa"/>
            <w:tcBorders>
              <w:bottom w:val="single" w:sz="4" w:space="0" w:color="auto"/>
            </w:tcBorders>
            <w:shd w:val="clear" w:color="auto" w:fill="F2F2F2" w:themeFill="background1" w:themeFillShade="F2"/>
          </w:tcPr>
          <w:p w14:paraId="437318E4" w14:textId="77777777" w:rsidR="00A5724A" w:rsidRPr="002E45FA" w:rsidRDefault="00A5724A" w:rsidP="004B153A">
            <w:pPr>
              <w:pStyle w:val="BodyText"/>
              <w:spacing w:before="40" w:after="40" w:line="240" w:lineRule="auto"/>
              <w:rPr>
                <w:rFonts w:cs="Arial"/>
                <w:sz w:val="16"/>
                <w:szCs w:val="16"/>
              </w:rPr>
            </w:pPr>
            <w:r w:rsidRPr="002E45FA">
              <w:rPr>
                <w:rFonts w:cs="Arial"/>
                <w:sz w:val="16"/>
                <w:szCs w:val="16"/>
              </w:rPr>
              <w:t xml:space="preserve">Retain </w:t>
            </w:r>
            <w:r>
              <w:rPr>
                <w:rFonts w:cs="Arial"/>
                <w:sz w:val="16"/>
                <w:szCs w:val="16"/>
              </w:rPr>
              <w:t>existing tests with coverage test continuing to act as a gateway.</w:t>
            </w:r>
          </w:p>
        </w:tc>
        <w:tc>
          <w:tcPr>
            <w:tcW w:w="9640" w:type="dxa"/>
            <w:gridSpan w:val="5"/>
            <w:tcBorders>
              <w:bottom w:val="single" w:sz="4" w:space="0" w:color="auto"/>
            </w:tcBorders>
            <w:shd w:val="clear" w:color="auto" w:fill="F2F2F2" w:themeFill="background1" w:themeFillShade="F2"/>
          </w:tcPr>
          <w:p w14:paraId="318ECBA8" w14:textId="77777777" w:rsidR="00A5724A" w:rsidRPr="002E45FA" w:rsidRDefault="00A5724A" w:rsidP="004B153A">
            <w:pPr>
              <w:pStyle w:val="BodyText"/>
              <w:spacing w:before="40" w:after="40" w:line="240" w:lineRule="auto"/>
              <w:rPr>
                <w:rFonts w:cs="Arial"/>
                <w:sz w:val="16"/>
                <w:szCs w:val="16"/>
              </w:rPr>
            </w:pPr>
            <w:r w:rsidRPr="002E45FA">
              <w:rPr>
                <w:rFonts w:cstheme="minorHAnsi"/>
                <w:sz w:val="16"/>
                <w:szCs w:val="16"/>
              </w:rPr>
              <w:t xml:space="preserve">Remove coverage test and use existing form of regulation test to determine whether the stronger </w:t>
            </w:r>
            <w:r>
              <w:rPr>
                <w:rFonts w:cstheme="minorHAnsi"/>
                <w:sz w:val="16"/>
                <w:szCs w:val="16"/>
              </w:rPr>
              <w:t xml:space="preserve">or lighter </w:t>
            </w:r>
            <w:r w:rsidRPr="002E45FA">
              <w:rPr>
                <w:rFonts w:cstheme="minorHAnsi"/>
                <w:sz w:val="16"/>
                <w:szCs w:val="16"/>
              </w:rPr>
              <w:t>form of regulation should apply (</w:t>
            </w:r>
            <w:r>
              <w:rPr>
                <w:rFonts w:cstheme="minorHAnsi"/>
                <w:sz w:val="16"/>
                <w:szCs w:val="16"/>
              </w:rPr>
              <w:t xml:space="preserve">note the form of regulation test and/or decision-maker’s information gathering powers would be modified to address concerns raised about the </w:t>
            </w:r>
            <w:r w:rsidRPr="002E45FA">
              <w:rPr>
                <w:rFonts w:cstheme="minorHAnsi"/>
                <w:sz w:val="16"/>
                <w:szCs w:val="16"/>
              </w:rPr>
              <w:t>information asymmetries</w:t>
            </w:r>
            <w:r>
              <w:rPr>
                <w:rFonts w:cstheme="minorHAnsi"/>
                <w:sz w:val="16"/>
                <w:szCs w:val="16"/>
              </w:rPr>
              <w:t xml:space="preserve"> faced by the decision-maker and to align it with other elements of the reform options</w:t>
            </w:r>
            <w:r w:rsidRPr="002E45FA">
              <w:rPr>
                <w:rFonts w:cstheme="minorHAnsi"/>
                <w:sz w:val="16"/>
                <w:szCs w:val="16"/>
              </w:rPr>
              <w:t>).</w:t>
            </w:r>
          </w:p>
        </w:tc>
      </w:tr>
      <w:tr w:rsidR="00A5724A" w:rsidRPr="004E18B9" w14:paraId="5B48526B" w14:textId="77777777" w:rsidTr="004B153A">
        <w:trPr>
          <w:cnfStyle w:val="000000010000" w:firstRow="0" w:lastRow="0" w:firstColumn="0" w:lastColumn="0" w:oddVBand="0" w:evenVBand="0" w:oddHBand="0" w:evenHBand="1" w:firstRowFirstColumn="0" w:firstRowLastColumn="0" w:lastRowFirstColumn="0" w:lastRowLastColumn="0"/>
          <w:trHeight w:val="831"/>
        </w:trPr>
        <w:tc>
          <w:tcPr>
            <w:tcW w:w="1419" w:type="dxa"/>
            <w:vMerge w:val="restart"/>
            <w:shd w:val="clear" w:color="auto" w:fill="FFFFFF" w:themeFill="background1"/>
          </w:tcPr>
          <w:p w14:paraId="6380747B" w14:textId="77777777" w:rsidR="00A5724A" w:rsidRPr="004E18B9" w:rsidRDefault="00A5724A" w:rsidP="004B153A">
            <w:pPr>
              <w:pStyle w:val="BodyText"/>
              <w:spacing w:before="20" w:after="20" w:line="240" w:lineRule="auto"/>
              <w:rPr>
                <w:rFonts w:cs="Arial"/>
                <w:b/>
                <w:sz w:val="16"/>
                <w:szCs w:val="16"/>
              </w:rPr>
            </w:pPr>
            <w:r>
              <w:rPr>
                <w:rFonts w:cs="Arial"/>
                <w:b/>
                <w:sz w:val="16"/>
                <w:szCs w:val="16"/>
              </w:rPr>
              <w:lastRenderedPageBreak/>
              <w:t xml:space="preserve">Governance for </w:t>
            </w:r>
            <w:r w:rsidRPr="004E18B9">
              <w:rPr>
                <w:rFonts w:cs="Arial"/>
                <w:b/>
                <w:sz w:val="16"/>
                <w:szCs w:val="16"/>
              </w:rPr>
              <w:t xml:space="preserve">when </w:t>
            </w:r>
            <w:r>
              <w:rPr>
                <w:rFonts w:cs="Arial"/>
                <w:b/>
                <w:sz w:val="16"/>
                <w:szCs w:val="16"/>
              </w:rPr>
              <w:t xml:space="preserve">and how to </w:t>
            </w:r>
            <w:r w:rsidRPr="004E18B9">
              <w:rPr>
                <w:rFonts w:cs="Arial"/>
                <w:b/>
                <w:sz w:val="16"/>
                <w:szCs w:val="16"/>
              </w:rPr>
              <w:t xml:space="preserve">regulate </w:t>
            </w:r>
            <w:r>
              <w:rPr>
                <w:rFonts w:cs="Arial"/>
                <w:b/>
                <w:sz w:val="16"/>
                <w:szCs w:val="16"/>
              </w:rPr>
              <w:t>decisions</w:t>
            </w:r>
          </w:p>
        </w:tc>
        <w:tc>
          <w:tcPr>
            <w:tcW w:w="1272" w:type="dxa"/>
            <w:tcBorders>
              <w:bottom w:val="single" w:sz="4" w:space="0" w:color="auto"/>
            </w:tcBorders>
            <w:shd w:val="clear" w:color="auto" w:fill="FFFFFF" w:themeFill="background1"/>
          </w:tcPr>
          <w:p w14:paraId="520174C4" w14:textId="77777777" w:rsidR="00A5724A" w:rsidRPr="004E18B9" w:rsidRDefault="00A5724A" w:rsidP="004B153A">
            <w:pPr>
              <w:pStyle w:val="BodyText"/>
              <w:spacing w:before="20" w:after="20" w:line="240" w:lineRule="auto"/>
              <w:rPr>
                <w:rFonts w:cs="Arial"/>
                <w:b/>
                <w:sz w:val="16"/>
                <w:szCs w:val="16"/>
              </w:rPr>
            </w:pPr>
            <w:r>
              <w:rPr>
                <w:rFonts w:cs="Arial"/>
                <w:b/>
                <w:sz w:val="16"/>
                <w:szCs w:val="16"/>
              </w:rPr>
              <w:t>Decisions to be made</w:t>
            </w:r>
          </w:p>
        </w:tc>
        <w:tc>
          <w:tcPr>
            <w:tcW w:w="2270" w:type="dxa"/>
            <w:vMerge w:val="restart"/>
            <w:shd w:val="clear" w:color="auto" w:fill="FFFFFF" w:themeFill="background1"/>
          </w:tcPr>
          <w:p w14:paraId="1CE95421" w14:textId="77777777" w:rsidR="00A5724A" w:rsidRPr="004E18B9" w:rsidRDefault="00A5724A" w:rsidP="004B153A">
            <w:pPr>
              <w:pStyle w:val="TableBullet10"/>
              <w:numPr>
                <w:ilvl w:val="0"/>
                <w:numId w:val="0"/>
              </w:numPr>
              <w:spacing w:before="20" w:after="0" w:line="240" w:lineRule="auto"/>
              <w:ind w:left="85"/>
              <w:rPr>
                <w:sz w:val="16"/>
                <w:szCs w:val="16"/>
              </w:rPr>
            </w:pPr>
            <w:r w:rsidRPr="006B4639">
              <w:rPr>
                <w:rFonts w:asciiTheme="majorHAnsi" w:hAnsiTheme="majorHAnsi" w:cstheme="majorHAnsi"/>
                <w:sz w:val="16"/>
                <w:szCs w:val="16"/>
              </w:rPr>
              <w:t>Retain the exiting governance arrangements (NCC</w:t>
            </w:r>
            <w:r>
              <w:rPr>
                <w:rFonts w:asciiTheme="majorHAnsi" w:hAnsiTheme="majorHAnsi" w:cstheme="majorHAnsi"/>
                <w:sz w:val="16"/>
                <w:szCs w:val="16"/>
              </w:rPr>
              <w:t>/Minister for when to regulate decisions and NCC for form of regulation decisions</w:t>
            </w:r>
            <w:r w:rsidRPr="006B4639">
              <w:rPr>
                <w:rFonts w:asciiTheme="majorHAnsi" w:hAnsiTheme="majorHAnsi" w:cstheme="majorHAnsi"/>
                <w:sz w:val="16"/>
                <w:szCs w:val="16"/>
              </w:rPr>
              <w:t>)</w:t>
            </w:r>
            <w:r>
              <w:rPr>
                <w:rFonts w:asciiTheme="majorHAnsi" w:hAnsiTheme="majorHAnsi" w:cstheme="majorHAnsi"/>
                <w:sz w:val="16"/>
                <w:szCs w:val="16"/>
              </w:rPr>
              <w:t>.</w:t>
            </w:r>
          </w:p>
        </w:tc>
        <w:tc>
          <w:tcPr>
            <w:tcW w:w="2517" w:type="dxa"/>
            <w:tcBorders>
              <w:bottom w:val="single" w:sz="4" w:space="0" w:color="auto"/>
            </w:tcBorders>
            <w:shd w:val="clear" w:color="auto" w:fill="FFFFFF" w:themeFill="background1"/>
          </w:tcPr>
          <w:p w14:paraId="3E4D300F" w14:textId="77777777" w:rsidR="00A5724A" w:rsidRPr="004E18B9" w:rsidRDefault="00A5724A" w:rsidP="004B153A">
            <w:pPr>
              <w:pStyle w:val="BodyText"/>
              <w:spacing w:before="0" w:after="0" w:line="240" w:lineRule="auto"/>
              <w:rPr>
                <w:rFonts w:cs="Arial"/>
                <w:sz w:val="16"/>
                <w:szCs w:val="16"/>
              </w:rPr>
            </w:pPr>
            <w:r>
              <w:rPr>
                <w:rFonts w:cs="Arial"/>
                <w:sz w:val="16"/>
                <w:szCs w:val="16"/>
              </w:rPr>
              <w:t>Decisions on</w:t>
            </w:r>
            <w:r w:rsidRPr="004E18B9">
              <w:rPr>
                <w:rFonts w:cs="Arial"/>
                <w:sz w:val="16"/>
                <w:szCs w:val="16"/>
              </w:rPr>
              <w:t xml:space="preserve">: </w:t>
            </w:r>
          </w:p>
          <w:p w14:paraId="32398086" w14:textId="77777777" w:rsidR="00A5724A" w:rsidRPr="004E18B9" w:rsidRDefault="00A5724A" w:rsidP="004B153A">
            <w:pPr>
              <w:pStyle w:val="TableBullet10"/>
              <w:spacing w:before="0" w:after="0" w:line="240" w:lineRule="auto"/>
              <w:rPr>
                <w:sz w:val="16"/>
                <w:szCs w:val="16"/>
              </w:rPr>
            </w:pPr>
            <w:r w:rsidRPr="004E18B9">
              <w:rPr>
                <w:sz w:val="16"/>
                <w:szCs w:val="16"/>
              </w:rPr>
              <w:t>regulatory exemption</w:t>
            </w:r>
            <w:r>
              <w:rPr>
                <w:sz w:val="16"/>
                <w:szCs w:val="16"/>
              </w:rPr>
              <w:t>s</w:t>
            </w:r>
          </w:p>
          <w:p w14:paraId="63045CAF" w14:textId="77777777" w:rsidR="00A5724A" w:rsidRPr="004E18B9" w:rsidRDefault="00A5724A" w:rsidP="004B153A">
            <w:pPr>
              <w:pStyle w:val="TableBullet10"/>
              <w:spacing w:before="0" w:after="0" w:line="240" w:lineRule="auto"/>
              <w:rPr>
                <w:sz w:val="16"/>
                <w:szCs w:val="16"/>
              </w:rPr>
            </w:pPr>
            <w:r w:rsidRPr="004E18B9">
              <w:rPr>
                <w:sz w:val="16"/>
                <w:szCs w:val="16"/>
              </w:rPr>
              <w:t xml:space="preserve">third party access </w:t>
            </w:r>
          </w:p>
          <w:p w14:paraId="396494C5" w14:textId="77777777" w:rsidR="00A5724A" w:rsidRPr="004E18B9" w:rsidRDefault="00A5724A" w:rsidP="004B153A">
            <w:pPr>
              <w:pStyle w:val="TableBullet10"/>
              <w:spacing w:before="0" w:after="0" w:line="240" w:lineRule="auto"/>
              <w:rPr>
                <w:sz w:val="16"/>
                <w:szCs w:val="16"/>
              </w:rPr>
            </w:pPr>
            <w:r w:rsidRPr="004E18B9">
              <w:rPr>
                <w:sz w:val="16"/>
                <w:szCs w:val="16"/>
              </w:rPr>
              <w:t xml:space="preserve">greenfield </w:t>
            </w:r>
            <w:r>
              <w:rPr>
                <w:sz w:val="16"/>
                <w:szCs w:val="16"/>
              </w:rPr>
              <w:t>exemptions</w:t>
            </w:r>
            <w:r w:rsidRPr="004E18B9">
              <w:rPr>
                <w:sz w:val="16"/>
                <w:szCs w:val="16"/>
              </w:rPr>
              <w:t xml:space="preserve"> </w:t>
            </w:r>
          </w:p>
          <w:p w14:paraId="62AC1252" w14:textId="77777777" w:rsidR="00A5724A" w:rsidRPr="004E18B9" w:rsidRDefault="00A5724A" w:rsidP="004B153A">
            <w:pPr>
              <w:pStyle w:val="TableBullet10"/>
              <w:spacing w:before="0" w:after="0" w:line="240" w:lineRule="auto"/>
              <w:rPr>
                <w:sz w:val="16"/>
                <w:szCs w:val="16"/>
              </w:rPr>
            </w:pPr>
            <w:r w:rsidRPr="004E18B9">
              <w:rPr>
                <w:sz w:val="16"/>
                <w:szCs w:val="16"/>
              </w:rPr>
              <w:t>form of regulation.</w:t>
            </w:r>
          </w:p>
        </w:tc>
        <w:tc>
          <w:tcPr>
            <w:tcW w:w="2590" w:type="dxa"/>
            <w:gridSpan w:val="2"/>
            <w:tcBorders>
              <w:bottom w:val="single" w:sz="4" w:space="0" w:color="auto"/>
            </w:tcBorders>
            <w:shd w:val="clear" w:color="auto" w:fill="FFFFFF" w:themeFill="background1"/>
          </w:tcPr>
          <w:p w14:paraId="7E47BBF0" w14:textId="77777777" w:rsidR="00A5724A" w:rsidRPr="004E18B9" w:rsidRDefault="00A5724A" w:rsidP="004B153A">
            <w:pPr>
              <w:pStyle w:val="BodyText"/>
              <w:spacing w:before="0" w:after="0" w:line="240" w:lineRule="auto"/>
              <w:rPr>
                <w:rFonts w:cs="Arial"/>
                <w:sz w:val="16"/>
                <w:szCs w:val="16"/>
              </w:rPr>
            </w:pPr>
            <w:r>
              <w:rPr>
                <w:rFonts w:cs="Arial"/>
                <w:sz w:val="16"/>
                <w:szCs w:val="16"/>
              </w:rPr>
              <w:t>Decisions on</w:t>
            </w:r>
            <w:r w:rsidRPr="004E18B9">
              <w:rPr>
                <w:rFonts w:cs="Arial"/>
                <w:sz w:val="16"/>
                <w:szCs w:val="16"/>
              </w:rPr>
              <w:t xml:space="preserve">: </w:t>
            </w:r>
          </w:p>
          <w:p w14:paraId="2101D276" w14:textId="77777777" w:rsidR="00A5724A" w:rsidRPr="004E18B9" w:rsidRDefault="00A5724A" w:rsidP="004B153A">
            <w:pPr>
              <w:pStyle w:val="TableBullet10"/>
              <w:spacing w:before="0" w:after="0" w:line="240" w:lineRule="auto"/>
              <w:rPr>
                <w:sz w:val="16"/>
                <w:szCs w:val="16"/>
              </w:rPr>
            </w:pPr>
            <w:r w:rsidRPr="004E18B9">
              <w:rPr>
                <w:sz w:val="16"/>
                <w:szCs w:val="16"/>
              </w:rPr>
              <w:t xml:space="preserve">third party access </w:t>
            </w:r>
          </w:p>
          <w:p w14:paraId="5DF3BE79" w14:textId="77777777" w:rsidR="00A5724A" w:rsidRPr="004E18B9" w:rsidRDefault="00A5724A" w:rsidP="004B153A">
            <w:pPr>
              <w:pStyle w:val="TableBullet10"/>
              <w:spacing w:before="0" w:after="0" w:line="240" w:lineRule="auto"/>
              <w:rPr>
                <w:sz w:val="16"/>
                <w:szCs w:val="16"/>
              </w:rPr>
            </w:pPr>
            <w:r w:rsidRPr="004E18B9">
              <w:rPr>
                <w:sz w:val="16"/>
                <w:szCs w:val="16"/>
              </w:rPr>
              <w:t xml:space="preserve">greenfield </w:t>
            </w:r>
            <w:r>
              <w:rPr>
                <w:sz w:val="16"/>
                <w:szCs w:val="16"/>
              </w:rPr>
              <w:t>exemptions</w:t>
            </w:r>
          </w:p>
          <w:p w14:paraId="6ADF1E57" w14:textId="77777777" w:rsidR="00A5724A" w:rsidRPr="004E18B9" w:rsidRDefault="00A5724A" w:rsidP="004B153A">
            <w:pPr>
              <w:pStyle w:val="TableBullet10"/>
              <w:spacing w:before="0" w:after="0" w:line="240" w:lineRule="auto"/>
              <w:rPr>
                <w:sz w:val="16"/>
                <w:szCs w:val="16"/>
              </w:rPr>
            </w:pPr>
            <w:r w:rsidRPr="004E18B9">
              <w:rPr>
                <w:sz w:val="16"/>
                <w:szCs w:val="16"/>
              </w:rPr>
              <w:t>form of regulation.</w:t>
            </w:r>
          </w:p>
        </w:tc>
        <w:tc>
          <w:tcPr>
            <w:tcW w:w="1978" w:type="dxa"/>
            <w:tcBorders>
              <w:bottom w:val="single" w:sz="4" w:space="0" w:color="auto"/>
            </w:tcBorders>
            <w:shd w:val="clear" w:color="auto" w:fill="FFFFFF" w:themeFill="background1"/>
          </w:tcPr>
          <w:p w14:paraId="0C9BEF83" w14:textId="77777777" w:rsidR="00A5724A" w:rsidRPr="004E18B9" w:rsidRDefault="00A5724A" w:rsidP="004B153A">
            <w:pPr>
              <w:pStyle w:val="BodyText"/>
              <w:spacing w:before="0" w:after="0" w:line="240" w:lineRule="auto"/>
              <w:rPr>
                <w:rFonts w:cs="Arial"/>
                <w:sz w:val="16"/>
                <w:szCs w:val="16"/>
              </w:rPr>
            </w:pPr>
            <w:r>
              <w:rPr>
                <w:rFonts w:cs="Arial"/>
                <w:sz w:val="16"/>
                <w:szCs w:val="16"/>
              </w:rPr>
              <w:t>Decisions on</w:t>
            </w:r>
            <w:r w:rsidRPr="004E18B9">
              <w:rPr>
                <w:rFonts w:cs="Arial"/>
                <w:sz w:val="16"/>
                <w:szCs w:val="16"/>
              </w:rPr>
              <w:t xml:space="preserve">: </w:t>
            </w:r>
          </w:p>
          <w:p w14:paraId="55402A76" w14:textId="77777777" w:rsidR="00A5724A" w:rsidRDefault="00A5724A" w:rsidP="004B153A">
            <w:pPr>
              <w:pStyle w:val="TableBullet10"/>
              <w:spacing w:before="0" w:after="0" w:line="240" w:lineRule="auto"/>
              <w:rPr>
                <w:sz w:val="16"/>
                <w:szCs w:val="16"/>
              </w:rPr>
            </w:pPr>
            <w:r w:rsidRPr="004E18B9">
              <w:rPr>
                <w:sz w:val="16"/>
                <w:szCs w:val="16"/>
              </w:rPr>
              <w:t xml:space="preserve">greenfield </w:t>
            </w:r>
            <w:r>
              <w:rPr>
                <w:sz w:val="16"/>
                <w:szCs w:val="16"/>
              </w:rPr>
              <w:t>exemptions</w:t>
            </w:r>
          </w:p>
          <w:p w14:paraId="19A9E1B6" w14:textId="77777777" w:rsidR="00A5724A" w:rsidRDefault="00A5724A" w:rsidP="004B153A">
            <w:pPr>
              <w:pStyle w:val="TableBullet10"/>
              <w:spacing w:before="0" w:after="0" w:line="240" w:lineRule="auto"/>
              <w:rPr>
                <w:sz w:val="16"/>
                <w:szCs w:val="16"/>
              </w:rPr>
            </w:pPr>
            <w:r w:rsidRPr="007F752A">
              <w:rPr>
                <w:sz w:val="16"/>
                <w:szCs w:val="16"/>
              </w:rPr>
              <w:t>form of regulation.</w:t>
            </w:r>
          </w:p>
        </w:tc>
        <w:tc>
          <w:tcPr>
            <w:tcW w:w="2555" w:type="dxa"/>
            <w:tcBorders>
              <w:bottom w:val="single" w:sz="4" w:space="0" w:color="auto"/>
            </w:tcBorders>
            <w:shd w:val="clear" w:color="auto" w:fill="FFFFFF" w:themeFill="background1"/>
          </w:tcPr>
          <w:p w14:paraId="2544CBBA" w14:textId="77777777" w:rsidR="00A5724A" w:rsidRPr="00E84197" w:rsidRDefault="00A5724A" w:rsidP="004B153A">
            <w:pPr>
              <w:pStyle w:val="BodyText"/>
              <w:spacing w:before="0" w:after="0" w:line="240" w:lineRule="auto"/>
              <w:rPr>
                <w:rFonts w:cs="Arial"/>
                <w:sz w:val="16"/>
                <w:szCs w:val="16"/>
              </w:rPr>
            </w:pPr>
            <w:r>
              <w:rPr>
                <w:rFonts w:cs="Arial"/>
                <w:sz w:val="16"/>
                <w:szCs w:val="16"/>
              </w:rPr>
              <w:t>Decisions on form of regulation.</w:t>
            </w:r>
          </w:p>
        </w:tc>
      </w:tr>
      <w:tr w:rsidR="00A5724A" w:rsidRPr="004E18B9" w14:paraId="37712DD4" w14:textId="77777777" w:rsidTr="004B153A">
        <w:trPr>
          <w:trHeight w:val="117"/>
        </w:trPr>
        <w:tc>
          <w:tcPr>
            <w:tcW w:w="1419" w:type="dxa"/>
            <w:vMerge/>
            <w:tcBorders>
              <w:bottom w:val="single" w:sz="4" w:space="0" w:color="auto"/>
            </w:tcBorders>
            <w:shd w:val="clear" w:color="auto" w:fill="FFFFFF" w:themeFill="background1"/>
          </w:tcPr>
          <w:p w14:paraId="008EC764" w14:textId="77777777" w:rsidR="00A5724A" w:rsidRPr="004E18B9" w:rsidRDefault="00A5724A" w:rsidP="004B153A">
            <w:pPr>
              <w:pStyle w:val="BodyText"/>
              <w:spacing w:before="20" w:after="20" w:line="240" w:lineRule="auto"/>
              <w:rPr>
                <w:rFonts w:cs="Arial"/>
                <w:b/>
                <w:sz w:val="16"/>
                <w:szCs w:val="16"/>
              </w:rPr>
            </w:pPr>
          </w:p>
        </w:tc>
        <w:tc>
          <w:tcPr>
            <w:tcW w:w="1272" w:type="dxa"/>
            <w:tcBorders>
              <w:bottom w:val="single" w:sz="4" w:space="0" w:color="auto"/>
            </w:tcBorders>
            <w:shd w:val="clear" w:color="auto" w:fill="FFFFFF" w:themeFill="background1"/>
          </w:tcPr>
          <w:p w14:paraId="0083E5C1" w14:textId="77777777" w:rsidR="00A5724A" w:rsidRPr="004E18B9" w:rsidRDefault="00A5724A" w:rsidP="004B153A">
            <w:pPr>
              <w:pStyle w:val="BodyText"/>
              <w:spacing w:before="20" w:after="20" w:line="240" w:lineRule="auto"/>
              <w:rPr>
                <w:rFonts w:cs="Arial"/>
                <w:b/>
                <w:sz w:val="16"/>
                <w:szCs w:val="16"/>
              </w:rPr>
            </w:pPr>
            <w:r>
              <w:rPr>
                <w:rFonts w:cs="Arial"/>
                <w:b/>
                <w:sz w:val="16"/>
                <w:szCs w:val="16"/>
              </w:rPr>
              <w:t>Decision-maker</w:t>
            </w:r>
          </w:p>
        </w:tc>
        <w:tc>
          <w:tcPr>
            <w:tcW w:w="2270" w:type="dxa"/>
            <w:vMerge/>
            <w:tcBorders>
              <w:bottom w:val="single" w:sz="4" w:space="0" w:color="auto"/>
            </w:tcBorders>
            <w:shd w:val="clear" w:color="auto" w:fill="FFFFFF" w:themeFill="background1"/>
          </w:tcPr>
          <w:p w14:paraId="5F11C6D9" w14:textId="77777777" w:rsidR="00A5724A" w:rsidRPr="004E18B9" w:rsidRDefault="00A5724A" w:rsidP="004B153A">
            <w:pPr>
              <w:pStyle w:val="BodyText"/>
              <w:spacing w:before="20" w:after="20" w:line="240" w:lineRule="auto"/>
              <w:rPr>
                <w:rFonts w:cs="Arial"/>
                <w:sz w:val="16"/>
                <w:szCs w:val="16"/>
              </w:rPr>
            </w:pPr>
          </w:p>
        </w:tc>
        <w:tc>
          <w:tcPr>
            <w:tcW w:w="9640" w:type="dxa"/>
            <w:gridSpan w:val="5"/>
            <w:tcBorders>
              <w:bottom w:val="single" w:sz="4" w:space="0" w:color="auto"/>
            </w:tcBorders>
            <w:shd w:val="clear" w:color="auto" w:fill="FFFFFF" w:themeFill="background1"/>
          </w:tcPr>
          <w:p w14:paraId="48065ED7" w14:textId="77777777" w:rsidR="00A5724A" w:rsidRPr="004E18B9" w:rsidRDefault="00A5724A" w:rsidP="004B153A">
            <w:pPr>
              <w:pStyle w:val="BodyText"/>
              <w:spacing w:before="20" w:after="20" w:line="240" w:lineRule="auto"/>
              <w:jc w:val="center"/>
              <w:rPr>
                <w:rFonts w:cs="Arial"/>
                <w:b/>
                <w:bCs/>
                <w:sz w:val="16"/>
                <w:szCs w:val="16"/>
              </w:rPr>
            </w:pPr>
            <w:r w:rsidRPr="00BF7DE1">
              <w:rPr>
                <w:rFonts w:cs="Arial"/>
                <w:sz w:val="16"/>
                <w:szCs w:val="16"/>
              </w:rPr>
              <w:t>Relevant regulator (AER/ERA)</w:t>
            </w:r>
          </w:p>
        </w:tc>
      </w:tr>
      <w:tr w:rsidR="00A5724A" w:rsidRPr="004E18B9" w14:paraId="7C3941A3" w14:textId="77777777" w:rsidTr="004B153A">
        <w:trPr>
          <w:cnfStyle w:val="000000010000" w:firstRow="0" w:lastRow="0" w:firstColumn="0" w:lastColumn="0" w:oddVBand="0" w:evenVBand="0" w:oddHBand="0" w:evenHBand="1" w:firstRowFirstColumn="0" w:firstRowLastColumn="0" w:lastRowFirstColumn="0" w:lastRowLastColumn="0"/>
          <w:trHeight w:val="636"/>
        </w:trPr>
        <w:tc>
          <w:tcPr>
            <w:tcW w:w="1419" w:type="dxa"/>
            <w:vMerge w:val="restart"/>
            <w:shd w:val="clear" w:color="auto" w:fill="F2F2F2" w:themeFill="background1" w:themeFillShade="F2"/>
          </w:tcPr>
          <w:p w14:paraId="0BF8020C" w14:textId="77777777" w:rsidR="00A5724A" w:rsidRPr="004E18B9" w:rsidRDefault="00A5724A" w:rsidP="004B153A">
            <w:pPr>
              <w:pStyle w:val="BodyText"/>
              <w:spacing w:before="20" w:after="20" w:line="240" w:lineRule="auto"/>
              <w:rPr>
                <w:rFonts w:cs="Arial"/>
                <w:b/>
                <w:sz w:val="16"/>
                <w:szCs w:val="16"/>
              </w:rPr>
            </w:pPr>
            <w:r w:rsidRPr="004E18B9">
              <w:rPr>
                <w:rFonts w:cs="Arial"/>
                <w:b/>
                <w:sz w:val="16"/>
                <w:szCs w:val="16"/>
              </w:rPr>
              <w:t>Information disclosure requirements</w:t>
            </w:r>
          </w:p>
        </w:tc>
        <w:tc>
          <w:tcPr>
            <w:tcW w:w="1272" w:type="dxa"/>
            <w:vMerge w:val="restart"/>
            <w:shd w:val="clear" w:color="auto" w:fill="F2F2F2" w:themeFill="background1" w:themeFillShade="F2"/>
          </w:tcPr>
          <w:p w14:paraId="44734CA4" w14:textId="77777777" w:rsidR="00A5724A" w:rsidRPr="004E18B9" w:rsidRDefault="00A5724A" w:rsidP="004B153A">
            <w:pPr>
              <w:pStyle w:val="BodyText"/>
              <w:spacing w:before="20" w:after="20" w:line="240" w:lineRule="auto"/>
              <w:rPr>
                <w:rFonts w:cs="Arial"/>
                <w:b/>
                <w:sz w:val="16"/>
                <w:szCs w:val="16"/>
              </w:rPr>
            </w:pPr>
            <w:r w:rsidRPr="004E18B9">
              <w:rPr>
                <w:rFonts w:cs="Arial"/>
                <w:b/>
                <w:sz w:val="16"/>
                <w:szCs w:val="16"/>
              </w:rPr>
              <w:t xml:space="preserve">Information to be disclosed </w:t>
            </w:r>
          </w:p>
        </w:tc>
        <w:tc>
          <w:tcPr>
            <w:tcW w:w="2270" w:type="dxa"/>
            <w:vMerge w:val="restart"/>
            <w:shd w:val="clear" w:color="auto" w:fill="F2F2F2" w:themeFill="background1" w:themeFillShade="F2"/>
          </w:tcPr>
          <w:p w14:paraId="165017F5" w14:textId="77777777" w:rsidR="00A5724A" w:rsidRPr="004E18B9" w:rsidRDefault="00A5724A" w:rsidP="004B153A">
            <w:pPr>
              <w:pStyle w:val="BodyText"/>
              <w:spacing w:before="20" w:after="20" w:line="240" w:lineRule="auto"/>
              <w:rPr>
                <w:rFonts w:cs="Arial"/>
                <w:sz w:val="16"/>
                <w:szCs w:val="16"/>
              </w:rPr>
            </w:pPr>
            <w:r w:rsidRPr="004E18B9">
              <w:rPr>
                <w:rFonts w:cs="Arial"/>
                <w:sz w:val="16"/>
                <w:szCs w:val="16"/>
              </w:rPr>
              <w:t>Retain the existing information disclosure requirements across the forms of regulation.</w:t>
            </w:r>
          </w:p>
        </w:tc>
        <w:tc>
          <w:tcPr>
            <w:tcW w:w="9640" w:type="dxa"/>
            <w:gridSpan w:val="5"/>
            <w:tcBorders>
              <w:bottom w:val="single" w:sz="4" w:space="0" w:color="auto"/>
            </w:tcBorders>
            <w:shd w:val="clear" w:color="auto" w:fill="F2F2F2" w:themeFill="background1" w:themeFillShade="F2"/>
          </w:tcPr>
          <w:p w14:paraId="19B3C675" w14:textId="77777777" w:rsidR="00A5724A" w:rsidRPr="004E18B9" w:rsidRDefault="00A5724A" w:rsidP="004B153A">
            <w:pPr>
              <w:pStyle w:val="BodyText"/>
              <w:spacing w:before="20" w:after="0" w:line="240" w:lineRule="auto"/>
              <w:rPr>
                <w:rFonts w:cs="Arial"/>
                <w:sz w:val="16"/>
                <w:szCs w:val="16"/>
              </w:rPr>
            </w:pPr>
            <w:r w:rsidRPr="004E18B9">
              <w:rPr>
                <w:rFonts w:cs="Arial"/>
                <w:sz w:val="16"/>
                <w:szCs w:val="16"/>
              </w:rPr>
              <w:t>All service providers to publish</w:t>
            </w:r>
            <w:r>
              <w:rPr>
                <w:rFonts w:cs="Arial"/>
                <w:sz w:val="16"/>
                <w:szCs w:val="16"/>
              </w:rPr>
              <w:t xml:space="preserve"> the following unless they obtain an exemption</w:t>
            </w:r>
            <w:r w:rsidRPr="004E18B9">
              <w:rPr>
                <w:rFonts w:cs="Arial"/>
                <w:sz w:val="16"/>
                <w:szCs w:val="16"/>
              </w:rPr>
              <w:t xml:space="preserve">: </w:t>
            </w:r>
          </w:p>
          <w:p w14:paraId="20D12FAD" w14:textId="77777777" w:rsidR="00A5724A" w:rsidRDefault="00A5724A" w:rsidP="004B153A">
            <w:pPr>
              <w:pStyle w:val="BodyText"/>
              <w:numPr>
                <w:ilvl w:val="0"/>
                <w:numId w:val="69"/>
              </w:numPr>
              <w:spacing w:before="20" w:after="0" w:line="240" w:lineRule="auto"/>
              <w:ind w:left="312" w:hanging="227"/>
              <w:rPr>
                <w:rFonts w:cs="Arial"/>
                <w:sz w:val="16"/>
                <w:szCs w:val="16"/>
              </w:rPr>
            </w:pPr>
            <w:r w:rsidRPr="004E18B9">
              <w:rPr>
                <w:rFonts w:cs="Arial"/>
                <w:sz w:val="16"/>
                <w:szCs w:val="16"/>
              </w:rPr>
              <w:t>Basic Information</w:t>
            </w:r>
            <w:r>
              <w:rPr>
                <w:rFonts w:cs="Arial"/>
                <w:sz w:val="16"/>
                <w:szCs w:val="16"/>
              </w:rPr>
              <w:t xml:space="preserve"> (see Box 8.1)</w:t>
            </w:r>
            <w:r w:rsidRPr="004E18B9">
              <w:rPr>
                <w:rFonts w:cs="Arial"/>
                <w:sz w:val="16"/>
                <w:szCs w:val="16"/>
              </w:rPr>
              <w:t xml:space="preserve">, which includes </w:t>
            </w:r>
            <w:r>
              <w:rPr>
                <w:rFonts w:cs="Arial"/>
                <w:sz w:val="16"/>
                <w:szCs w:val="16"/>
              </w:rPr>
              <w:t xml:space="preserve">pipeline </w:t>
            </w:r>
            <w:r w:rsidRPr="004E18B9">
              <w:rPr>
                <w:rFonts w:cs="Arial"/>
                <w:sz w:val="16"/>
                <w:szCs w:val="16"/>
              </w:rPr>
              <w:t>information</w:t>
            </w:r>
            <w:r>
              <w:rPr>
                <w:rFonts w:cs="Arial"/>
                <w:sz w:val="16"/>
                <w:szCs w:val="16"/>
              </w:rPr>
              <w:t xml:space="preserve">, service information, </w:t>
            </w:r>
            <w:r w:rsidRPr="004E18B9">
              <w:rPr>
                <w:rFonts w:cs="Arial"/>
                <w:sz w:val="16"/>
                <w:szCs w:val="16"/>
              </w:rPr>
              <w:t>service availability</w:t>
            </w:r>
            <w:r>
              <w:rPr>
                <w:rFonts w:cs="Arial"/>
                <w:sz w:val="16"/>
                <w:szCs w:val="16"/>
              </w:rPr>
              <w:t xml:space="preserve"> information</w:t>
            </w:r>
            <w:r w:rsidRPr="004E18B9">
              <w:rPr>
                <w:rFonts w:cs="Arial"/>
                <w:sz w:val="16"/>
                <w:szCs w:val="16"/>
              </w:rPr>
              <w:t xml:space="preserve">, </w:t>
            </w:r>
            <w:r>
              <w:rPr>
                <w:rFonts w:cs="Arial"/>
                <w:sz w:val="16"/>
                <w:szCs w:val="16"/>
              </w:rPr>
              <w:t xml:space="preserve">service usage information, </w:t>
            </w:r>
            <w:r w:rsidRPr="004E18B9">
              <w:rPr>
                <w:rFonts w:cs="Arial"/>
                <w:sz w:val="16"/>
                <w:szCs w:val="16"/>
              </w:rPr>
              <w:t>standing terms</w:t>
            </w:r>
            <w:r>
              <w:rPr>
                <w:rFonts w:cs="Arial"/>
                <w:sz w:val="16"/>
                <w:szCs w:val="16"/>
              </w:rPr>
              <w:t xml:space="preserve"> for each service offered by the pipeline </w:t>
            </w:r>
            <w:r w:rsidRPr="004E18B9">
              <w:rPr>
                <w:rFonts w:cs="Arial"/>
                <w:sz w:val="16"/>
                <w:szCs w:val="16"/>
              </w:rPr>
              <w:t xml:space="preserve">and </w:t>
            </w:r>
            <w:r>
              <w:rPr>
                <w:rFonts w:cs="Arial"/>
                <w:sz w:val="16"/>
                <w:szCs w:val="16"/>
              </w:rPr>
              <w:t xml:space="preserve">information on the </w:t>
            </w:r>
            <w:r w:rsidRPr="004E18B9">
              <w:rPr>
                <w:rFonts w:cs="Arial"/>
                <w:sz w:val="16"/>
                <w:szCs w:val="16"/>
              </w:rPr>
              <w:t xml:space="preserve">prices </w:t>
            </w:r>
            <w:r>
              <w:rPr>
                <w:rFonts w:cs="Arial"/>
                <w:sz w:val="16"/>
                <w:szCs w:val="16"/>
              </w:rPr>
              <w:t xml:space="preserve">actually </w:t>
            </w:r>
            <w:r w:rsidRPr="004E18B9">
              <w:rPr>
                <w:rFonts w:cs="Arial"/>
                <w:sz w:val="16"/>
                <w:szCs w:val="16"/>
              </w:rPr>
              <w:t xml:space="preserve">paid by shippers. </w:t>
            </w:r>
          </w:p>
          <w:p w14:paraId="141ECA08" w14:textId="77777777" w:rsidR="00A5724A" w:rsidRPr="0027527D" w:rsidRDefault="00517663" w:rsidP="004B153A">
            <w:pPr>
              <w:pStyle w:val="BodyText"/>
              <w:numPr>
                <w:ilvl w:val="0"/>
                <w:numId w:val="69"/>
              </w:numPr>
              <w:spacing w:before="20" w:after="0" w:line="240" w:lineRule="auto"/>
              <w:ind w:left="312" w:hanging="227"/>
              <w:rPr>
                <w:rFonts w:cs="Arial"/>
                <w:sz w:val="16"/>
                <w:szCs w:val="16"/>
              </w:rPr>
            </w:pPr>
            <w:r>
              <w:rPr>
                <w:rFonts w:cs="Arial"/>
                <w:sz w:val="16"/>
                <w:szCs w:val="16"/>
              </w:rPr>
              <w:t>Historical financial</w:t>
            </w:r>
            <w:r w:rsidR="00A5724A" w:rsidRPr="007F752A">
              <w:rPr>
                <w:rFonts w:cs="Arial"/>
                <w:sz w:val="16"/>
                <w:szCs w:val="16"/>
              </w:rPr>
              <w:t xml:space="preserve"> </w:t>
            </w:r>
            <w:r w:rsidR="00A5724A">
              <w:rPr>
                <w:rFonts w:cs="Arial"/>
                <w:sz w:val="16"/>
                <w:szCs w:val="16"/>
              </w:rPr>
              <w:t>and demand information</w:t>
            </w:r>
            <w:r w:rsidR="00A5724A" w:rsidRPr="007F752A">
              <w:rPr>
                <w:rFonts w:cs="Arial"/>
                <w:sz w:val="16"/>
                <w:szCs w:val="16"/>
              </w:rPr>
              <w:t xml:space="preserve">. </w:t>
            </w:r>
          </w:p>
        </w:tc>
      </w:tr>
      <w:tr w:rsidR="00A5724A" w:rsidRPr="004E18B9" w14:paraId="3776905E" w14:textId="77777777" w:rsidTr="004B153A">
        <w:trPr>
          <w:trHeight w:val="731"/>
        </w:trPr>
        <w:tc>
          <w:tcPr>
            <w:tcW w:w="1419" w:type="dxa"/>
            <w:vMerge/>
            <w:shd w:val="clear" w:color="auto" w:fill="F2F2F2" w:themeFill="background1" w:themeFillShade="F2"/>
          </w:tcPr>
          <w:p w14:paraId="3B97F4EA" w14:textId="77777777" w:rsidR="00A5724A" w:rsidRPr="004E18B9" w:rsidRDefault="00A5724A" w:rsidP="004B153A">
            <w:pPr>
              <w:pStyle w:val="BodyText"/>
              <w:spacing w:before="20" w:after="20" w:line="240" w:lineRule="auto"/>
              <w:rPr>
                <w:rFonts w:cs="Arial"/>
                <w:b/>
                <w:sz w:val="16"/>
                <w:szCs w:val="16"/>
              </w:rPr>
            </w:pPr>
          </w:p>
        </w:tc>
        <w:tc>
          <w:tcPr>
            <w:tcW w:w="1272" w:type="dxa"/>
            <w:vMerge/>
            <w:shd w:val="clear" w:color="auto" w:fill="F2F2F2" w:themeFill="background1" w:themeFillShade="F2"/>
          </w:tcPr>
          <w:p w14:paraId="4F9B81A9" w14:textId="77777777" w:rsidR="00A5724A" w:rsidRPr="004E18B9" w:rsidRDefault="00A5724A" w:rsidP="004B153A">
            <w:pPr>
              <w:pStyle w:val="BodyText"/>
              <w:spacing w:before="20" w:after="20" w:line="240" w:lineRule="auto"/>
              <w:rPr>
                <w:rFonts w:cs="Arial"/>
                <w:b/>
                <w:sz w:val="16"/>
                <w:szCs w:val="16"/>
              </w:rPr>
            </w:pPr>
          </w:p>
        </w:tc>
        <w:tc>
          <w:tcPr>
            <w:tcW w:w="2270" w:type="dxa"/>
            <w:vMerge/>
            <w:shd w:val="clear" w:color="auto" w:fill="F2F2F2" w:themeFill="background1" w:themeFillShade="F2"/>
          </w:tcPr>
          <w:p w14:paraId="1BCA0345" w14:textId="77777777" w:rsidR="00A5724A" w:rsidRPr="004E18B9" w:rsidRDefault="00A5724A" w:rsidP="004B153A">
            <w:pPr>
              <w:pStyle w:val="BodyText"/>
              <w:spacing w:before="20" w:after="20" w:line="240" w:lineRule="auto"/>
              <w:rPr>
                <w:rFonts w:cs="Arial"/>
                <w:sz w:val="16"/>
                <w:szCs w:val="16"/>
              </w:rPr>
            </w:pPr>
          </w:p>
        </w:tc>
        <w:tc>
          <w:tcPr>
            <w:tcW w:w="2517" w:type="dxa"/>
            <w:shd w:val="clear" w:color="auto" w:fill="F2F2F2" w:themeFill="background1" w:themeFillShade="F2"/>
          </w:tcPr>
          <w:p w14:paraId="2FEC1D7F" w14:textId="77777777" w:rsidR="00A5724A" w:rsidRPr="004E18B9" w:rsidRDefault="00A5724A" w:rsidP="004B153A">
            <w:pPr>
              <w:pStyle w:val="BodyText"/>
              <w:spacing w:before="20" w:after="20" w:line="240" w:lineRule="auto"/>
              <w:rPr>
                <w:rFonts w:cs="Arial"/>
                <w:sz w:val="16"/>
                <w:szCs w:val="16"/>
              </w:rPr>
            </w:pPr>
            <w:r w:rsidRPr="004E18B9">
              <w:rPr>
                <w:rFonts w:cs="Arial"/>
                <w:sz w:val="16"/>
                <w:szCs w:val="16"/>
              </w:rPr>
              <w:t>Information on prices paid by other shippers based on weighted average price plus minimum and maximum prices for each service.</w:t>
            </w:r>
          </w:p>
        </w:tc>
        <w:tc>
          <w:tcPr>
            <w:tcW w:w="7123" w:type="dxa"/>
            <w:gridSpan w:val="4"/>
            <w:shd w:val="clear" w:color="auto" w:fill="F2F2F2" w:themeFill="background1" w:themeFillShade="F2"/>
          </w:tcPr>
          <w:p w14:paraId="10346A28" w14:textId="77777777" w:rsidR="00A5724A" w:rsidRDefault="00A5724A" w:rsidP="004B153A">
            <w:pPr>
              <w:pStyle w:val="BodyText"/>
              <w:spacing w:before="20" w:after="20" w:line="240" w:lineRule="auto"/>
              <w:rPr>
                <w:rFonts w:asciiTheme="majorHAnsi" w:hAnsiTheme="majorHAnsi" w:cstheme="majorHAnsi"/>
                <w:sz w:val="16"/>
                <w:szCs w:val="16"/>
              </w:rPr>
            </w:pPr>
            <w:r w:rsidRPr="006B4639">
              <w:rPr>
                <w:rFonts w:asciiTheme="majorHAnsi" w:hAnsiTheme="majorHAnsi" w:cstheme="majorHAnsi"/>
                <w:sz w:val="16"/>
                <w:szCs w:val="16"/>
              </w:rPr>
              <w:t>Information on the prices paid by other shippers to be based on the individual prices (including key terms and conditions) paid by shippers</w:t>
            </w:r>
            <w:r>
              <w:rPr>
                <w:rFonts w:asciiTheme="majorHAnsi" w:hAnsiTheme="majorHAnsi" w:cstheme="majorHAnsi"/>
                <w:sz w:val="16"/>
                <w:szCs w:val="16"/>
              </w:rPr>
              <w:t>.</w:t>
            </w:r>
          </w:p>
          <w:p w14:paraId="45D92BEA" w14:textId="77777777" w:rsidR="00A5724A" w:rsidRPr="00F17B70" w:rsidRDefault="00A5724A" w:rsidP="004B153A">
            <w:pPr>
              <w:pStyle w:val="BodyText"/>
              <w:spacing w:before="20" w:after="20" w:line="240" w:lineRule="auto"/>
              <w:rPr>
                <w:rFonts w:cs="Arial"/>
                <w:sz w:val="16"/>
                <w:szCs w:val="16"/>
              </w:rPr>
            </w:pPr>
          </w:p>
        </w:tc>
      </w:tr>
      <w:tr w:rsidR="00A5724A" w:rsidRPr="004E18B9" w14:paraId="327A65A3" w14:textId="77777777" w:rsidTr="004B153A">
        <w:trPr>
          <w:cnfStyle w:val="000000010000" w:firstRow="0" w:lastRow="0" w:firstColumn="0" w:lastColumn="0" w:oddVBand="0" w:evenVBand="0" w:oddHBand="0" w:evenHBand="1" w:firstRowFirstColumn="0" w:firstRowLastColumn="0" w:lastRowFirstColumn="0" w:lastRowLastColumn="0"/>
          <w:trHeight w:val="84"/>
        </w:trPr>
        <w:tc>
          <w:tcPr>
            <w:tcW w:w="1419" w:type="dxa"/>
            <w:vMerge/>
            <w:shd w:val="clear" w:color="auto" w:fill="F2F2F2" w:themeFill="background1" w:themeFillShade="F2"/>
          </w:tcPr>
          <w:p w14:paraId="5A8D3040" w14:textId="77777777" w:rsidR="00A5724A" w:rsidRPr="004E18B9" w:rsidRDefault="00A5724A" w:rsidP="004B153A">
            <w:pPr>
              <w:pStyle w:val="BodyText"/>
              <w:spacing w:before="20" w:after="20" w:line="240" w:lineRule="auto"/>
              <w:rPr>
                <w:rFonts w:cs="Arial"/>
                <w:b/>
                <w:sz w:val="16"/>
                <w:szCs w:val="16"/>
              </w:rPr>
            </w:pPr>
          </w:p>
        </w:tc>
        <w:tc>
          <w:tcPr>
            <w:tcW w:w="1272" w:type="dxa"/>
            <w:vMerge/>
            <w:tcBorders>
              <w:bottom w:val="single" w:sz="4" w:space="0" w:color="auto"/>
            </w:tcBorders>
            <w:shd w:val="clear" w:color="auto" w:fill="F2F2F2" w:themeFill="background1" w:themeFillShade="F2"/>
          </w:tcPr>
          <w:p w14:paraId="7580F9BD" w14:textId="77777777" w:rsidR="00A5724A" w:rsidRPr="004E18B9" w:rsidRDefault="00A5724A" w:rsidP="004B153A">
            <w:pPr>
              <w:pStyle w:val="BodyText"/>
              <w:spacing w:before="20" w:after="20" w:line="240" w:lineRule="auto"/>
              <w:rPr>
                <w:rFonts w:cs="Arial"/>
                <w:b/>
                <w:sz w:val="16"/>
                <w:szCs w:val="16"/>
              </w:rPr>
            </w:pPr>
          </w:p>
        </w:tc>
        <w:tc>
          <w:tcPr>
            <w:tcW w:w="2270" w:type="dxa"/>
            <w:vMerge/>
            <w:tcBorders>
              <w:bottom w:val="single" w:sz="4" w:space="0" w:color="auto"/>
            </w:tcBorders>
            <w:shd w:val="clear" w:color="auto" w:fill="F2F2F2" w:themeFill="background1" w:themeFillShade="F2"/>
          </w:tcPr>
          <w:p w14:paraId="6FF9B67A" w14:textId="77777777" w:rsidR="00A5724A" w:rsidRPr="004E18B9" w:rsidRDefault="00A5724A" w:rsidP="004B153A">
            <w:pPr>
              <w:pStyle w:val="BodyText"/>
              <w:spacing w:before="20" w:after="20" w:line="240" w:lineRule="auto"/>
              <w:rPr>
                <w:rFonts w:cs="Arial"/>
                <w:sz w:val="16"/>
                <w:szCs w:val="16"/>
              </w:rPr>
            </w:pPr>
          </w:p>
        </w:tc>
        <w:tc>
          <w:tcPr>
            <w:tcW w:w="2517" w:type="dxa"/>
            <w:tcBorders>
              <w:bottom w:val="single" w:sz="4" w:space="0" w:color="auto"/>
            </w:tcBorders>
            <w:shd w:val="clear" w:color="auto" w:fill="F2F2F2" w:themeFill="background1" w:themeFillShade="F2"/>
          </w:tcPr>
          <w:p w14:paraId="59DA5909" w14:textId="77777777" w:rsidR="00A5724A" w:rsidRPr="004E18B9" w:rsidRDefault="00A5724A" w:rsidP="004B153A">
            <w:pPr>
              <w:pStyle w:val="BodyText"/>
              <w:spacing w:before="20" w:after="20" w:line="240" w:lineRule="auto"/>
              <w:rPr>
                <w:rFonts w:cs="Arial"/>
                <w:sz w:val="16"/>
                <w:szCs w:val="16"/>
              </w:rPr>
            </w:pPr>
            <w:r w:rsidRPr="004E18B9">
              <w:rPr>
                <w:rFonts w:cs="Arial"/>
                <w:sz w:val="16"/>
                <w:szCs w:val="16"/>
              </w:rPr>
              <w:t>n.a.</w:t>
            </w:r>
          </w:p>
        </w:tc>
        <w:tc>
          <w:tcPr>
            <w:tcW w:w="7123" w:type="dxa"/>
            <w:gridSpan w:val="4"/>
            <w:tcBorders>
              <w:bottom w:val="single" w:sz="4" w:space="0" w:color="auto"/>
            </w:tcBorders>
            <w:shd w:val="clear" w:color="auto" w:fill="F2F2F2" w:themeFill="background1" w:themeFillShade="F2"/>
          </w:tcPr>
          <w:p w14:paraId="28968BB5" w14:textId="77777777" w:rsidR="00A5724A" w:rsidRPr="004E18B9" w:rsidRDefault="00A5724A" w:rsidP="004B153A">
            <w:pPr>
              <w:pStyle w:val="BodyText"/>
              <w:spacing w:before="20" w:after="20" w:line="240" w:lineRule="auto"/>
              <w:rPr>
                <w:rFonts w:cs="Arial"/>
                <w:sz w:val="16"/>
                <w:szCs w:val="16"/>
              </w:rPr>
            </w:pPr>
            <w:r w:rsidRPr="004E18B9">
              <w:rPr>
                <w:rFonts w:cs="Arial"/>
                <w:sz w:val="16"/>
                <w:szCs w:val="16"/>
              </w:rPr>
              <w:t>Disclosure requirements amended to address the identified information deficiencies and improve the quality, reliability, accessibility and usability of the information</w:t>
            </w:r>
            <w:r>
              <w:rPr>
                <w:rFonts w:cs="Arial"/>
                <w:sz w:val="16"/>
                <w:szCs w:val="16"/>
              </w:rPr>
              <w:t xml:space="preserve"> (see Box 8.1)</w:t>
            </w:r>
            <w:r w:rsidRPr="004E18B9">
              <w:rPr>
                <w:rFonts w:cs="Arial"/>
                <w:sz w:val="16"/>
                <w:szCs w:val="16"/>
              </w:rPr>
              <w:t>.</w:t>
            </w:r>
          </w:p>
        </w:tc>
      </w:tr>
      <w:tr w:rsidR="00A5724A" w:rsidRPr="004E18B9" w14:paraId="55D812A0" w14:textId="77777777" w:rsidTr="004B153A">
        <w:trPr>
          <w:trHeight w:val="1692"/>
        </w:trPr>
        <w:tc>
          <w:tcPr>
            <w:tcW w:w="1419" w:type="dxa"/>
            <w:vMerge/>
            <w:shd w:val="clear" w:color="auto" w:fill="F2F2F2" w:themeFill="background1" w:themeFillShade="F2"/>
          </w:tcPr>
          <w:p w14:paraId="1C99F19D" w14:textId="77777777" w:rsidR="00A5724A" w:rsidRPr="004E18B9" w:rsidRDefault="00A5724A" w:rsidP="004B153A">
            <w:pPr>
              <w:pStyle w:val="BodyText"/>
              <w:spacing w:before="20" w:after="20" w:line="240" w:lineRule="auto"/>
              <w:rPr>
                <w:rFonts w:cs="Arial"/>
                <w:b/>
                <w:sz w:val="16"/>
                <w:szCs w:val="16"/>
              </w:rPr>
            </w:pPr>
          </w:p>
        </w:tc>
        <w:tc>
          <w:tcPr>
            <w:tcW w:w="1272" w:type="dxa"/>
            <w:shd w:val="clear" w:color="auto" w:fill="FFFFFF" w:themeFill="background1"/>
          </w:tcPr>
          <w:p w14:paraId="58D6CDE1" w14:textId="77777777" w:rsidR="00A5724A" w:rsidRPr="004E18B9" w:rsidRDefault="00A5724A" w:rsidP="004B153A">
            <w:pPr>
              <w:pStyle w:val="BodyText"/>
              <w:keepNext/>
              <w:spacing w:before="20" w:after="20" w:line="240" w:lineRule="auto"/>
              <w:rPr>
                <w:rFonts w:cs="Arial"/>
                <w:b/>
                <w:sz w:val="16"/>
                <w:szCs w:val="16"/>
              </w:rPr>
            </w:pPr>
            <w:r w:rsidRPr="004E18B9">
              <w:rPr>
                <w:rFonts w:cs="Arial"/>
                <w:b/>
                <w:sz w:val="16"/>
                <w:szCs w:val="16"/>
              </w:rPr>
              <w:t xml:space="preserve">Exemptions from disclosure requirements </w:t>
            </w:r>
          </w:p>
        </w:tc>
        <w:tc>
          <w:tcPr>
            <w:tcW w:w="2270" w:type="dxa"/>
            <w:shd w:val="clear" w:color="auto" w:fill="FFFFFF" w:themeFill="background1"/>
          </w:tcPr>
          <w:p w14:paraId="43A51345" w14:textId="77777777" w:rsidR="00A5724A" w:rsidRPr="001E289E" w:rsidRDefault="00A5724A" w:rsidP="004B153A">
            <w:pPr>
              <w:pStyle w:val="BodyText"/>
              <w:keepNext/>
              <w:spacing w:before="20" w:after="20" w:line="240" w:lineRule="auto"/>
              <w:rPr>
                <w:rFonts w:cs="Arial"/>
                <w:sz w:val="16"/>
                <w:szCs w:val="16"/>
              </w:rPr>
            </w:pPr>
            <w:r w:rsidRPr="001E289E">
              <w:rPr>
                <w:rFonts w:cs="Arial"/>
                <w:sz w:val="16"/>
                <w:szCs w:val="16"/>
              </w:rPr>
              <w:t>Retain the existing exemptions from disclosure under Part 23 and light regulation.</w:t>
            </w:r>
          </w:p>
        </w:tc>
        <w:tc>
          <w:tcPr>
            <w:tcW w:w="2517" w:type="dxa"/>
            <w:shd w:val="clear" w:color="auto" w:fill="FFFFFF" w:themeFill="background1"/>
          </w:tcPr>
          <w:p w14:paraId="2EE11270" w14:textId="77777777" w:rsidR="00A5724A" w:rsidRPr="001B1A36" w:rsidRDefault="00A5724A" w:rsidP="004B153A">
            <w:pPr>
              <w:pStyle w:val="BodyText"/>
              <w:keepNext/>
              <w:numPr>
                <w:ilvl w:val="0"/>
                <w:numId w:val="76"/>
              </w:numPr>
              <w:spacing w:before="20" w:after="20" w:line="240" w:lineRule="auto"/>
              <w:ind w:left="312" w:hanging="227"/>
              <w:rPr>
                <w:rFonts w:cs="Arial"/>
                <w:sz w:val="16"/>
                <w:szCs w:val="16"/>
              </w:rPr>
            </w:pPr>
            <w:r w:rsidRPr="001B1A36">
              <w:rPr>
                <w:rFonts w:cs="Arial"/>
                <w:sz w:val="16"/>
                <w:szCs w:val="16"/>
              </w:rPr>
              <w:t xml:space="preserve">No exemptions from disclosure requirements for regulated pipelines. </w:t>
            </w:r>
          </w:p>
          <w:p w14:paraId="0B8D1A66" w14:textId="39C82D75" w:rsidR="00A5724A" w:rsidRPr="001B1A36" w:rsidRDefault="00A5724A" w:rsidP="004B153A">
            <w:pPr>
              <w:pStyle w:val="BodyText"/>
              <w:keepNext/>
              <w:numPr>
                <w:ilvl w:val="0"/>
                <w:numId w:val="76"/>
              </w:numPr>
              <w:spacing w:before="20" w:after="20" w:line="240" w:lineRule="auto"/>
              <w:ind w:left="312" w:hanging="227"/>
              <w:rPr>
                <w:rFonts w:cs="Arial"/>
                <w:sz w:val="16"/>
                <w:szCs w:val="16"/>
              </w:rPr>
            </w:pPr>
            <w:r w:rsidRPr="001B1A36">
              <w:rPr>
                <w:rFonts w:cs="Arial"/>
                <w:sz w:val="16"/>
                <w:szCs w:val="16"/>
              </w:rPr>
              <w:t>Pipelines with an exemption from regulation (see above) that provide 3</w:t>
            </w:r>
            <w:r w:rsidRPr="001B1A36">
              <w:rPr>
                <w:rFonts w:cs="Arial"/>
                <w:sz w:val="16"/>
                <w:szCs w:val="16"/>
                <w:vertAlign w:val="superscript"/>
              </w:rPr>
              <w:t>rd</w:t>
            </w:r>
            <w:r w:rsidRPr="001B1A36">
              <w:rPr>
                <w:rFonts w:cs="Arial"/>
                <w:sz w:val="16"/>
                <w:szCs w:val="16"/>
              </w:rPr>
              <w:t xml:space="preserve"> party access can obtain an exemption from </w:t>
            </w:r>
            <w:r w:rsidR="00517663">
              <w:rPr>
                <w:rFonts w:cs="Arial"/>
                <w:sz w:val="16"/>
                <w:szCs w:val="16"/>
              </w:rPr>
              <w:t>historical financial</w:t>
            </w:r>
            <w:r w:rsidRPr="001B1A36">
              <w:rPr>
                <w:rFonts w:cs="Arial"/>
                <w:sz w:val="16"/>
                <w:szCs w:val="16"/>
              </w:rPr>
              <w:t xml:space="preserve"> and </w:t>
            </w:r>
            <w:r w:rsidR="004B153A">
              <w:rPr>
                <w:rFonts w:cs="Arial"/>
                <w:sz w:val="16"/>
                <w:szCs w:val="16"/>
              </w:rPr>
              <w:t xml:space="preserve">demand </w:t>
            </w:r>
            <w:r w:rsidRPr="001B1A36">
              <w:rPr>
                <w:rFonts w:cs="Arial"/>
                <w:sz w:val="16"/>
                <w:szCs w:val="16"/>
              </w:rPr>
              <w:t>information, but must disclose Basic Information.</w:t>
            </w:r>
          </w:p>
        </w:tc>
        <w:tc>
          <w:tcPr>
            <w:tcW w:w="7123" w:type="dxa"/>
            <w:gridSpan w:val="4"/>
            <w:shd w:val="clear" w:color="auto" w:fill="FFFFFF" w:themeFill="background1"/>
          </w:tcPr>
          <w:p w14:paraId="3F3A6803" w14:textId="77777777" w:rsidR="00A5724A" w:rsidRPr="001B1A36" w:rsidRDefault="00A5724A" w:rsidP="004B153A">
            <w:pPr>
              <w:pStyle w:val="TableBullet10"/>
              <w:numPr>
                <w:ilvl w:val="0"/>
                <w:numId w:val="0"/>
              </w:numPr>
              <w:spacing w:line="240" w:lineRule="auto"/>
              <w:ind w:left="85"/>
              <w:rPr>
                <w:sz w:val="16"/>
                <w:szCs w:val="16"/>
              </w:rPr>
            </w:pPr>
            <w:r w:rsidRPr="001B1A36">
              <w:rPr>
                <w:sz w:val="16"/>
                <w:szCs w:val="16"/>
              </w:rPr>
              <w:t>The following exemptions from the information disclosure obligations would be available:</w:t>
            </w:r>
          </w:p>
          <w:p w14:paraId="3EB51454" w14:textId="77777777" w:rsidR="00A5724A" w:rsidRPr="001B1A36" w:rsidRDefault="00A5724A" w:rsidP="004B153A">
            <w:pPr>
              <w:pStyle w:val="TableBullet10"/>
              <w:spacing w:line="240" w:lineRule="auto"/>
              <w:rPr>
                <w:sz w:val="16"/>
                <w:szCs w:val="16"/>
              </w:rPr>
            </w:pPr>
            <w:r w:rsidRPr="001B1A36">
              <w:rPr>
                <w:sz w:val="16"/>
                <w:szCs w:val="16"/>
              </w:rPr>
              <w:t xml:space="preserve">Pipelines that are not providing third party access would be able to obtain an exemption from publishing the Basic Information and the </w:t>
            </w:r>
            <w:r w:rsidR="00517663">
              <w:rPr>
                <w:sz w:val="16"/>
                <w:szCs w:val="16"/>
              </w:rPr>
              <w:t>historical financial</w:t>
            </w:r>
            <w:r w:rsidRPr="001B1A36">
              <w:rPr>
                <w:sz w:val="16"/>
                <w:szCs w:val="16"/>
              </w:rPr>
              <w:t xml:space="preserve"> and demand information. </w:t>
            </w:r>
          </w:p>
          <w:p w14:paraId="43D9C12B" w14:textId="77777777" w:rsidR="00A5724A" w:rsidRPr="001B1A36" w:rsidRDefault="00A5724A" w:rsidP="004B153A">
            <w:pPr>
              <w:pStyle w:val="TableBullet10"/>
              <w:spacing w:line="240" w:lineRule="auto"/>
              <w:rPr>
                <w:sz w:val="16"/>
                <w:szCs w:val="16"/>
              </w:rPr>
            </w:pPr>
            <w:r w:rsidRPr="001B1A36">
              <w:rPr>
                <w:sz w:val="16"/>
                <w:szCs w:val="16"/>
              </w:rPr>
              <w:t xml:space="preserve">Pipelines that are providing third party access, but have a single user or have a nameplate capacity less than 10 TJ/day would be able to obtain an exemption from the obligation to publish </w:t>
            </w:r>
            <w:r w:rsidR="00517663">
              <w:rPr>
                <w:sz w:val="16"/>
                <w:szCs w:val="16"/>
              </w:rPr>
              <w:t>historical financial</w:t>
            </w:r>
            <w:r w:rsidRPr="001B1A36">
              <w:rPr>
                <w:sz w:val="16"/>
                <w:szCs w:val="16"/>
              </w:rPr>
              <w:t xml:space="preserve"> and service usage information. </w:t>
            </w:r>
          </w:p>
          <w:p w14:paraId="13D4629E" w14:textId="77777777" w:rsidR="00A5724A" w:rsidRPr="001B1A36" w:rsidRDefault="00A5724A" w:rsidP="004B153A">
            <w:pPr>
              <w:pStyle w:val="TableBullet2"/>
              <w:numPr>
                <w:ilvl w:val="0"/>
                <w:numId w:val="0"/>
              </w:numPr>
              <w:spacing w:line="240" w:lineRule="auto"/>
              <w:ind w:left="85"/>
              <w:rPr>
                <w:sz w:val="16"/>
                <w:szCs w:val="16"/>
              </w:rPr>
            </w:pPr>
            <w:r w:rsidRPr="001B1A36">
              <w:rPr>
                <w:sz w:val="16"/>
                <w:szCs w:val="16"/>
              </w:rPr>
              <w:t xml:space="preserve">If a pipeline no longer satisfies the exemption criteria, the exemption would be revoked. </w:t>
            </w:r>
          </w:p>
        </w:tc>
      </w:tr>
      <w:tr w:rsidR="00A5724A" w:rsidRPr="004E18B9" w14:paraId="7D6C8FB8" w14:textId="77777777" w:rsidTr="004B153A">
        <w:trPr>
          <w:cnfStyle w:val="000000010000" w:firstRow="0" w:lastRow="0" w:firstColumn="0" w:lastColumn="0" w:oddVBand="0" w:evenVBand="0" w:oddHBand="0" w:evenHBand="1" w:firstRowFirstColumn="0" w:firstRowLastColumn="0" w:lastRowFirstColumn="0" w:lastRowLastColumn="0"/>
          <w:trHeight w:val="213"/>
        </w:trPr>
        <w:tc>
          <w:tcPr>
            <w:tcW w:w="1419" w:type="dxa"/>
            <w:vMerge w:val="restart"/>
            <w:shd w:val="clear" w:color="auto" w:fill="FFFFFF" w:themeFill="background1"/>
          </w:tcPr>
          <w:p w14:paraId="5D4F6C0D" w14:textId="77777777" w:rsidR="00A5724A" w:rsidRPr="004E18B9" w:rsidRDefault="00A5724A" w:rsidP="004B153A">
            <w:pPr>
              <w:pStyle w:val="BodyText"/>
              <w:spacing w:before="20" w:after="20" w:line="240" w:lineRule="auto"/>
              <w:rPr>
                <w:rFonts w:cs="Arial"/>
                <w:b/>
                <w:sz w:val="16"/>
                <w:szCs w:val="16"/>
              </w:rPr>
            </w:pPr>
            <w:r w:rsidRPr="004E18B9">
              <w:rPr>
                <w:rFonts w:cs="Arial"/>
                <w:b/>
                <w:sz w:val="16"/>
                <w:szCs w:val="16"/>
              </w:rPr>
              <w:t xml:space="preserve">Negotiation frameworks and dispute resolution mechanism* </w:t>
            </w:r>
          </w:p>
        </w:tc>
        <w:tc>
          <w:tcPr>
            <w:tcW w:w="1272" w:type="dxa"/>
            <w:tcBorders>
              <w:bottom w:val="single" w:sz="4" w:space="0" w:color="auto"/>
            </w:tcBorders>
            <w:shd w:val="clear" w:color="auto" w:fill="F2F2F2" w:themeFill="background1" w:themeFillShade="F2"/>
          </w:tcPr>
          <w:p w14:paraId="4AF10617" w14:textId="77777777" w:rsidR="00A5724A" w:rsidRPr="004E18B9" w:rsidRDefault="00A5724A" w:rsidP="004B153A">
            <w:pPr>
              <w:pStyle w:val="BodyText"/>
              <w:spacing w:before="20" w:after="20" w:line="240" w:lineRule="auto"/>
              <w:rPr>
                <w:rFonts w:cs="Arial"/>
                <w:b/>
                <w:bCs/>
                <w:sz w:val="16"/>
                <w:szCs w:val="16"/>
              </w:rPr>
            </w:pPr>
            <w:r w:rsidRPr="004E18B9">
              <w:rPr>
                <w:rFonts w:cs="Arial"/>
                <w:b/>
                <w:sz w:val="16"/>
                <w:szCs w:val="16"/>
              </w:rPr>
              <w:t>Negotiation framework</w:t>
            </w:r>
          </w:p>
        </w:tc>
        <w:tc>
          <w:tcPr>
            <w:tcW w:w="2270" w:type="dxa"/>
            <w:tcBorders>
              <w:bottom w:val="single" w:sz="4" w:space="0" w:color="auto"/>
            </w:tcBorders>
            <w:shd w:val="clear" w:color="auto" w:fill="F2F2F2" w:themeFill="background1" w:themeFillShade="F2"/>
          </w:tcPr>
          <w:p w14:paraId="1B837241" w14:textId="77777777" w:rsidR="00A5724A" w:rsidRPr="004E18B9" w:rsidRDefault="00A5724A" w:rsidP="004B153A">
            <w:pPr>
              <w:pStyle w:val="BodyText"/>
              <w:spacing w:before="20" w:after="20" w:line="240" w:lineRule="auto"/>
              <w:rPr>
                <w:rFonts w:cs="Arial"/>
                <w:sz w:val="16"/>
                <w:szCs w:val="16"/>
              </w:rPr>
            </w:pPr>
            <w:r w:rsidRPr="004E18B9">
              <w:rPr>
                <w:rFonts w:cs="Arial"/>
                <w:sz w:val="16"/>
                <w:szCs w:val="16"/>
              </w:rPr>
              <w:t>Retain existing negotiation frameworks</w:t>
            </w:r>
            <w:r>
              <w:rPr>
                <w:rFonts w:cs="Arial"/>
                <w:sz w:val="16"/>
                <w:szCs w:val="16"/>
              </w:rPr>
              <w:t xml:space="preserve"> for full/light regulation and Part 23</w:t>
            </w:r>
            <w:r w:rsidRPr="004E18B9">
              <w:rPr>
                <w:rFonts w:cs="Arial"/>
                <w:sz w:val="16"/>
                <w:szCs w:val="16"/>
              </w:rPr>
              <w:t xml:space="preserve">. </w:t>
            </w:r>
          </w:p>
        </w:tc>
        <w:tc>
          <w:tcPr>
            <w:tcW w:w="9640" w:type="dxa"/>
            <w:gridSpan w:val="5"/>
            <w:tcBorders>
              <w:bottom w:val="single" w:sz="4" w:space="0" w:color="auto"/>
            </w:tcBorders>
            <w:shd w:val="clear" w:color="auto" w:fill="F2F2F2" w:themeFill="background1" w:themeFillShade="F2"/>
          </w:tcPr>
          <w:p w14:paraId="1CC2EF8C" w14:textId="77777777" w:rsidR="00A5724A" w:rsidRPr="004E18B9" w:rsidRDefault="00A5724A" w:rsidP="004B153A">
            <w:pPr>
              <w:pStyle w:val="BodyText"/>
              <w:spacing w:before="20" w:after="20" w:line="240" w:lineRule="auto"/>
              <w:rPr>
                <w:rFonts w:cs="Arial"/>
                <w:sz w:val="16"/>
                <w:szCs w:val="16"/>
              </w:rPr>
            </w:pPr>
            <w:r w:rsidRPr="004E18B9">
              <w:rPr>
                <w:rFonts w:cs="Arial"/>
                <w:sz w:val="16"/>
                <w:szCs w:val="16"/>
              </w:rPr>
              <w:t xml:space="preserve">Single negotiation framework to apply under </w:t>
            </w:r>
            <w:r>
              <w:rPr>
                <w:rFonts w:cs="Arial"/>
                <w:sz w:val="16"/>
                <w:szCs w:val="16"/>
              </w:rPr>
              <w:t xml:space="preserve">all </w:t>
            </w:r>
            <w:r w:rsidRPr="004E18B9">
              <w:rPr>
                <w:rFonts w:cs="Arial"/>
                <w:sz w:val="16"/>
                <w:szCs w:val="16"/>
              </w:rPr>
              <w:t>forms of regulation</w:t>
            </w:r>
            <w:r>
              <w:rPr>
                <w:rFonts w:cs="Arial"/>
                <w:sz w:val="16"/>
                <w:szCs w:val="16"/>
              </w:rPr>
              <w:t xml:space="preserve"> (see Box 8.2)</w:t>
            </w:r>
            <w:r w:rsidRPr="004E18B9">
              <w:rPr>
                <w:rFonts w:cs="Arial"/>
                <w:sz w:val="16"/>
                <w:szCs w:val="16"/>
              </w:rPr>
              <w:t xml:space="preserve">. </w:t>
            </w:r>
          </w:p>
        </w:tc>
      </w:tr>
      <w:tr w:rsidR="00A5724A" w:rsidRPr="004E18B9" w14:paraId="2E566FFD" w14:textId="77777777" w:rsidTr="004B153A">
        <w:trPr>
          <w:trHeight w:val="537"/>
        </w:trPr>
        <w:tc>
          <w:tcPr>
            <w:tcW w:w="1419" w:type="dxa"/>
            <w:vMerge/>
            <w:shd w:val="clear" w:color="auto" w:fill="FFFFFF" w:themeFill="background1"/>
          </w:tcPr>
          <w:p w14:paraId="48D27915" w14:textId="77777777" w:rsidR="00A5724A" w:rsidRPr="004E18B9" w:rsidRDefault="00A5724A" w:rsidP="004B153A">
            <w:pPr>
              <w:pStyle w:val="BodyText"/>
              <w:spacing w:before="40" w:after="40" w:line="240" w:lineRule="auto"/>
              <w:rPr>
                <w:rFonts w:cs="Arial"/>
                <w:b/>
                <w:sz w:val="16"/>
                <w:szCs w:val="16"/>
              </w:rPr>
            </w:pPr>
          </w:p>
        </w:tc>
        <w:tc>
          <w:tcPr>
            <w:tcW w:w="1272" w:type="dxa"/>
            <w:tcBorders>
              <w:bottom w:val="single" w:sz="4" w:space="0" w:color="auto"/>
            </w:tcBorders>
            <w:shd w:val="clear" w:color="auto" w:fill="FFFFFF" w:themeFill="background1"/>
          </w:tcPr>
          <w:p w14:paraId="4D7C028E" w14:textId="77777777" w:rsidR="00A5724A" w:rsidRPr="004E18B9" w:rsidRDefault="00A5724A" w:rsidP="004B153A">
            <w:pPr>
              <w:pStyle w:val="BodyText"/>
              <w:spacing w:before="20" w:after="20" w:line="240" w:lineRule="auto"/>
              <w:rPr>
                <w:rFonts w:cs="Arial"/>
                <w:b/>
                <w:sz w:val="16"/>
                <w:szCs w:val="16"/>
              </w:rPr>
            </w:pPr>
            <w:r w:rsidRPr="004E18B9">
              <w:rPr>
                <w:rFonts w:cs="Arial"/>
                <w:b/>
                <w:sz w:val="16"/>
                <w:szCs w:val="16"/>
              </w:rPr>
              <w:t xml:space="preserve">Threat of </w:t>
            </w:r>
            <w:r>
              <w:rPr>
                <w:rFonts w:cs="Arial"/>
                <w:b/>
                <w:sz w:val="16"/>
                <w:szCs w:val="16"/>
              </w:rPr>
              <w:t>dispute</w:t>
            </w:r>
            <w:r w:rsidRPr="004E18B9">
              <w:rPr>
                <w:rFonts w:cs="Arial"/>
                <w:b/>
                <w:sz w:val="16"/>
                <w:szCs w:val="16"/>
              </w:rPr>
              <w:t xml:space="preserve"> </w:t>
            </w:r>
            <w:r>
              <w:rPr>
                <w:rFonts w:cs="Arial"/>
                <w:b/>
                <w:sz w:val="16"/>
                <w:szCs w:val="16"/>
              </w:rPr>
              <w:t xml:space="preserve">by </w:t>
            </w:r>
            <w:r w:rsidRPr="004E18B9">
              <w:rPr>
                <w:rFonts w:cs="Arial"/>
                <w:b/>
                <w:sz w:val="16"/>
                <w:szCs w:val="16"/>
              </w:rPr>
              <w:t>small</w:t>
            </w:r>
            <w:r>
              <w:rPr>
                <w:rFonts w:cs="Arial"/>
                <w:b/>
                <w:sz w:val="16"/>
                <w:szCs w:val="16"/>
              </w:rPr>
              <w:t>er</w:t>
            </w:r>
            <w:r w:rsidRPr="004E18B9">
              <w:rPr>
                <w:rFonts w:cs="Arial"/>
                <w:b/>
                <w:sz w:val="16"/>
                <w:szCs w:val="16"/>
              </w:rPr>
              <w:t xml:space="preserve"> shippers</w:t>
            </w:r>
          </w:p>
        </w:tc>
        <w:tc>
          <w:tcPr>
            <w:tcW w:w="2270" w:type="dxa"/>
            <w:tcBorders>
              <w:bottom w:val="single" w:sz="4" w:space="0" w:color="auto"/>
            </w:tcBorders>
            <w:shd w:val="clear" w:color="auto" w:fill="FFFFFF" w:themeFill="background1"/>
          </w:tcPr>
          <w:p w14:paraId="297AD8F4" w14:textId="77777777" w:rsidR="00A5724A" w:rsidRPr="004E18B9" w:rsidRDefault="00A5724A" w:rsidP="004B153A">
            <w:pPr>
              <w:pStyle w:val="BodyText"/>
              <w:spacing w:before="20" w:after="20" w:line="240" w:lineRule="auto"/>
              <w:rPr>
                <w:rFonts w:cs="Arial"/>
                <w:sz w:val="16"/>
                <w:szCs w:val="16"/>
              </w:rPr>
            </w:pPr>
            <w:r w:rsidRPr="004E18B9">
              <w:rPr>
                <w:rFonts w:cs="Arial"/>
                <w:sz w:val="16"/>
                <w:szCs w:val="16"/>
              </w:rPr>
              <w:t>Retain the existing arrangements (i.e. no specific measures to strengthen the threat for smaller shippers).</w:t>
            </w:r>
          </w:p>
        </w:tc>
        <w:tc>
          <w:tcPr>
            <w:tcW w:w="2517" w:type="dxa"/>
            <w:tcBorders>
              <w:bottom w:val="single" w:sz="4" w:space="0" w:color="auto"/>
            </w:tcBorders>
            <w:shd w:val="clear" w:color="auto" w:fill="FFFFFF" w:themeFill="background1"/>
          </w:tcPr>
          <w:p w14:paraId="68E1DA89" w14:textId="77777777" w:rsidR="00A5724A" w:rsidRPr="0088629E" w:rsidRDefault="00A5724A" w:rsidP="004B153A">
            <w:pPr>
              <w:pStyle w:val="BodyText"/>
              <w:spacing w:before="20" w:after="20" w:line="240" w:lineRule="auto"/>
              <w:rPr>
                <w:rFonts w:cs="Arial"/>
                <w:sz w:val="16"/>
                <w:szCs w:val="16"/>
              </w:rPr>
            </w:pPr>
            <w:r w:rsidRPr="0088629E">
              <w:rPr>
                <w:rFonts w:cs="Arial"/>
                <w:sz w:val="16"/>
                <w:szCs w:val="16"/>
              </w:rPr>
              <w:t xml:space="preserve">Strengthen credibility of the threat of arbitration for small shippers by changing the dispute related cost provisions. </w:t>
            </w:r>
          </w:p>
        </w:tc>
        <w:tc>
          <w:tcPr>
            <w:tcW w:w="4568" w:type="dxa"/>
            <w:gridSpan w:val="3"/>
            <w:tcBorders>
              <w:bottom w:val="single" w:sz="4" w:space="0" w:color="auto"/>
            </w:tcBorders>
            <w:shd w:val="clear" w:color="auto" w:fill="FFFFFF" w:themeFill="background1"/>
          </w:tcPr>
          <w:p w14:paraId="3B89A811" w14:textId="77777777" w:rsidR="00A5724A" w:rsidRPr="0088629E" w:rsidRDefault="00A5724A" w:rsidP="004B153A">
            <w:pPr>
              <w:pStyle w:val="BodyText"/>
              <w:spacing w:before="60" w:after="60" w:line="240" w:lineRule="auto"/>
              <w:rPr>
                <w:rFonts w:cs="Arial"/>
                <w:sz w:val="16"/>
                <w:szCs w:val="16"/>
              </w:rPr>
            </w:pPr>
            <w:r w:rsidRPr="0088629E">
              <w:rPr>
                <w:rFonts w:cs="Arial"/>
                <w:sz w:val="16"/>
                <w:szCs w:val="16"/>
              </w:rPr>
              <w:t>The credibility of the threat of smaller shippers triggering a dispute would be strengthened by:</w:t>
            </w:r>
          </w:p>
          <w:p w14:paraId="2B01560A" w14:textId="77777777" w:rsidR="00A5724A" w:rsidRPr="0088629E" w:rsidRDefault="00A5724A" w:rsidP="004B153A">
            <w:pPr>
              <w:pStyle w:val="BodyText"/>
              <w:numPr>
                <w:ilvl w:val="0"/>
                <w:numId w:val="58"/>
              </w:numPr>
              <w:spacing w:before="20" w:after="20" w:line="240" w:lineRule="auto"/>
              <w:ind w:left="312" w:hanging="227"/>
              <w:rPr>
                <w:rFonts w:cs="Arial"/>
                <w:sz w:val="16"/>
                <w:szCs w:val="16"/>
              </w:rPr>
            </w:pPr>
            <w:r w:rsidRPr="0088629E">
              <w:rPr>
                <w:rFonts w:cs="Arial"/>
                <w:sz w:val="16"/>
                <w:szCs w:val="16"/>
              </w:rPr>
              <w:t>changing the dispute related cost provisions</w:t>
            </w:r>
          </w:p>
          <w:p w14:paraId="6D4E8A82" w14:textId="77777777" w:rsidR="00A5724A" w:rsidRPr="0088629E" w:rsidRDefault="00A5724A" w:rsidP="004B153A">
            <w:pPr>
              <w:pStyle w:val="BodyText"/>
              <w:numPr>
                <w:ilvl w:val="0"/>
                <w:numId w:val="58"/>
              </w:numPr>
              <w:spacing w:before="20" w:after="20" w:line="240" w:lineRule="auto"/>
              <w:ind w:left="312" w:hanging="227"/>
              <w:rPr>
                <w:rFonts w:cs="Arial"/>
                <w:sz w:val="16"/>
                <w:szCs w:val="16"/>
              </w:rPr>
            </w:pPr>
            <w:r w:rsidRPr="0088629E">
              <w:rPr>
                <w:rFonts w:cs="Arial"/>
                <w:sz w:val="16"/>
                <w:szCs w:val="16"/>
              </w:rPr>
              <w:t>allowing user bodies to be joined to proceedings involving smaller shippers</w:t>
            </w:r>
          </w:p>
          <w:p w14:paraId="79248500" w14:textId="77777777" w:rsidR="00A5724A" w:rsidRPr="0088629E" w:rsidRDefault="00A5724A" w:rsidP="004B153A">
            <w:pPr>
              <w:pStyle w:val="BodyText"/>
              <w:numPr>
                <w:ilvl w:val="0"/>
                <w:numId w:val="58"/>
              </w:numPr>
              <w:spacing w:before="20" w:after="20" w:line="240" w:lineRule="auto"/>
              <w:ind w:left="312" w:hanging="227"/>
              <w:rPr>
                <w:rFonts w:cs="Arial"/>
                <w:sz w:val="16"/>
                <w:szCs w:val="16"/>
              </w:rPr>
            </w:pPr>
            <w:r w:rsidRPr="0088629E">
              <w:rPr>
                <w:rFonts w:cs="Arial"/>
                <w:sz w:val="16"/>
                <w:szCs w:val="16"/>
              </w:rPr>
              <w:t>allowing smaller shippers to elect to have a dispute involving a pipeline subject to the lighter form of regulation mediated by a regulator appointed party (who would be required to report back to the regulator on the outcomes of the mediation).</w:t>
            </w:r>
          </w:p>
        </w:tc>
        <w:tc>
          <w:tcPr>
            <w:tcW w:w="2555" w:type="dxa"/>
            <w:tcBorders>
              <w:bottom w:val="single" w:sz="4" w:space="0" w:color="auto"/>
            </w:tcBorders>
            <w:shd w:val="clear" w:color="auto" w:fill="FFFFFF" w:themeFill="background1"/>
          </w:tcPr>
          <w:p w14:paraId="090F40DF" w14:textId="77777777" w:rsidR="00A5724A" w:rsidRPr="006B4639" w:rsidRDefault="00A5724A" w:rsidP="004B153A">
            <w:pPr>
              <w:pStyle w:val="BodyText"/>
              <w:spacing w:before="20" w:after="20" w:line="240" w:lineRule="auto"/>
              <w:rPr>
                <w:sz w:val="16"/>
                <w:szCs w:val="16"/>
              </w:rPr>
            </w:pPr>
            <w:r w:rsidRPr="006B4639">
              <w:rPr>
                <w:sz w:val="16"/>
                <w:szCs w:val="16"/>
              </w:rPr>
              <w:t xml:space="preserve">Strengthen the credibility of the threat of arbitration for smaller shippers on </w:t>
            </w:r>
            <w:r>
              <w:rPr>
                <w:sz w:val="16"/>
                <w:szCs w:val="16"/>
              </w:rPr>
              <w:t xml:space="preserve">lighter regulation pipelines </w:t>
            </w:r>
            <w:r w:rsidRPr="006B4639">
              <w:rPr>
                <w:sz w:val="16"/>
                <w:szCs w:val="16"/>
              </w:rPr>
              <w:t>by:</w:t>
            </w:r>
          </w:p>
          <w:p w14:paraId="293865D5" w14:textId="77777777" w:rsidR="00A5724A" w:rsidRPr="006B4639" w:rsidRDefault="00A5724A" w:rsidP="004B153A">
            <w:pPr>
              <w:pStyle w:val="BodyText"/>
              <w:numPr>
                <w:ilvl w:val="0"/>
                <w:numId w:val="58"/>
              </w:numPr>
              <w:spacing w:before="20" w:after="20" w:line="240" w:lineRule="auto"/>
              <w:ind w:left="312" w:hanging="227"/>
              <w:rPr>
                <w:sz w:val="16"/>
                <w:szCs w:val="16"/>
              </w:rPr>
            </w:pPr>
            <w:r w:rsidRPr="006B4639">
              <w:rPr>
                <w:sz w:val="16"/>
                <w:szCs w:val="16"/>
              </w:rPr>
              <w:t>changing the dispute related cost provisions</w:t>
            </w:r>
          </w:p>
          <w:p w14:paraId="73A76668" w14:textId="77777777" w:rsidR="00A5724A" w:rsidRDefault="00A5724A" w:rsidP="004B153A">
            <w:pPr>
              <w:pStyle w:val="BodyText"/>
              <w:numPr>
                <w:ilvl w:val="0"/>
                <w:numId w:val="58"/>
              </w:numPr>
              <w:spacing w:before="20" w:after="20" w:line="240" w:lineRule="auto"/>
              <w:ind w:left="312" w:hanging="227"/>
              <w:rPr>
                <w:sz w:val="16"/>
                <w:szCs w:val="16"/>
              </w:rPr>
            </w:pPr>
            <w:r w:rsidRPr="006B4639">
              <w:rPr>
                <w:sz w:val="16"/>
                <w:szCs w:val="16"/>
              </w:rPr>
              <w:t xml:space="preserve">allowing user bodies to be joined to arbitral proceedings </w:t>
            </w:r>
          </w:p>
          <w:p w14:paraId="78108F4D" w14:textId="77777777" w:rsidR="00A5724A" w:rsidRPr="00EC01CE" w:rsidRDefault="00A5724A" w:rsidP="004B153A">
            <w:pPr>
              <w:pStyle w:val="BodyText"/>
              <w:numPr>
                <w:ilvl w:val="0"/>
                <w:numId w:val="58"/>
              </w:numPr>
              <w:spacing w:before="20" w:after="20" w:line="240" w:lineRule="auto"/>
              <w:ind w:left="312" w:hanging="227"/>
              <w:rPr>
                <w:sz w:val="16"/>
                <w:szCs w:val="16"/>
              </w:rPr>
            </w:pPr>
            <w:r w:rsidRPr="00EC01CE">
              <w:rPr>
                <w:sz w:val="16"/>
                <w:szCs w:val="16"/>
              </w:rPr>
              <w:t xml:space="preserve">allowing smaller shipper to elect to have dispute heard by the relevant regulator </w:t>
            </w:r>
          </w:p>
        </w:tc>
      </w:tr>
      <w:tr w:rsidR="00A5724A" w:rsidRPr="004E18B9" w14:paraId="067CF95E" w14:textId="77777777" w:rsidTr="004B153A">
        <w:trPr>
          <w:cnfStyle w:val="000000010000" w:firstRow="0" w:lastRow="0" w:firstColumn="0" w:lastColumn="0" w:oddVBand="0" w:evenVBand="0" w:oddHBand="0" w:evenHBand="1" w:firstRowFirstColumn="0" w:firstRowLastColumn="0" w:lastRowFirstColumn="0" w:lastRowLastColumn="0"/>
          <w:trHeight w:val="263"/>
        </w:trPr>
        <w:tc>
          <w:tcPr>
            <w:tcW w:w="1419" w:type="dxa"/>
            <w:vMerge/>
            <w:shd w:val="clear" w:color="auto" w:fill="FFFFFF" w:themeFill="background1"/>
          </w:tcPr>
          <w:p w14:paraId="45130FDB" w14:textId="77777777" w:rsidR="00A5724A" w:rsidRPr="004E18B9" w:rsidRDefault="00A5724A" w:rsidP="004B153A">
            <w:pPr>
              <w:pStyle w:val="BodyText"/>
              <w:spacing w:before="40" w:after="40" w:line="240" w:lineRule="auto"/>
              <w:rPr>
                <w:rFonts w:cs="Arial"/>
                <w:b/>
                <w:sz w:val="16"/>
                <w:szCs w:val="16"/>
              </w:rPr>
            </w:pPr>
          </w:p>
        </w:tc>
        <w:tc>
          <w:tcPr>
            <w:tcW w:w="1272" w:type="dxa"/>
            <w:shd w:val="clear" w:color="auto" w:fill="F2F2F2" w:themeFill="background1" w:themeFillShade="F2"/>
          </w:tcPr>
          <w:p w14:paraId="07542153" w14:textId="77777777" w:rsidR="00A5724A" w:rsidRPr="004E18B9" w:rsidRDefault="00A5724A" w:rsidP="004B153A">
            <w:pPr>
              <w:pStyle w:val="BodyText"/>
              <w:spacing w:before="20" w:after="20" w:line="240" w:lineRule="auto"/>
              <w:rPr>
                <w:rFonts w:cs="Arial"/>
                <w:b/>
                <w:sz w:val="16"/>
                <w:szCs w:val="16"/>
              </w:rPr>
            </w:pPr>
            <w:r w:rsidRPr="004E18B9">
              <w:rPr>
                <w:rFonts w:cs="Arial"/>
                <w:b/>
                <w:sz w:val="16"/>
                <w:szCs w:val="16"/>
              </w:rPr>
              <w:t xml:space="preserve">Dispute resolution mechanisms </w:t>
            </w:r>
          </w:p>
        </w:tc>
        <w:tc>
          <w:tcPr>
            <w:tcW w:w="2270" w:type="dxa"/>
            <w:shd w:val="clear" w:color="auto" w:fill="F2F2F2" w:themeFill="background1" w:themeFillShade="F2"/>
          </w:tcPr>
          <w:p w14:paraId="418F1BAF" w14:textId="77777777" w:rsidR="00A5724A" w:rsidRPr="004E18B9" w:rsidRDefault="00A5724A" w:rsidP="004B153A">
            <w:pPr>
              <w:pStyle w:val="BodyText"/>
              <w:spacing w:before="20" w:after="20" w:line="240" w:lineRule="auto"/>
              <w:rPr>
                <w:rFonts w:cs="Arial"/>
                <w:sz w:val="16"/>
                <w:szCs w:val="16"/>
              </w:rPr>
            </w:pPr>
            <w:r w:rsidRPr="004E18B9">
              <w:rPr>
                <w:rFonts w:cs="Arial"/>
                <w:sz w:val="16"/>
                <w:szCs w:val="16"/>
              </w:rPr>
              <w:t>Retain the existing dispute resolution mechanisms.</w:t>
            </w:r>
          </w:p>
        </w:tc>
        <w:tc>
          <w:tcPr>
            <w:tcW w:w="7085" w:type="dxa"/>
            <w:gridSpan w:val="4"/>
            <w:shd w:val="clear" w:color="auto" w:fill="F2F2F2" w:themeFill="background1" w:themeFillShade="F2"/>
          </w:tcPr>
          <w:p w14:paraId="2A25DAB3" w14:textId="77777777" w:rsidR="00A5724A" w:rsidRPr="004E18B9" w:rsidRDefault="00A5724A" w:rsidP="004B153A">
            <w:pPr>
              <w:pStyle w:val="BodyText"/>
              <w:spacing w:before="20" w:after="20" w:line="240" w:lineRule="auto"/>
              <w:rPr>
                <w:rFonts w:cs="Arial"/>
                <w:sz w:val="16"/>
                <w:szCs w:val="16"/>
              </w:rPr>
            </w:pPr>
            <w:r w:rsidRPr="004E18B9">
              <w:rPr>
                <w:rFonts w:cs="Arial"/>
                <w:sz w:val="16"/>
                <w:szCs w:val="16"/>
              </w:rPr>
              <w:t xml:space="preserve">Maintain </w:t>
            </w:r>
            <w:r>
              <w:rPr>
                <w:rFonts w:cs="Arial"/>
                <w:sz w:val="16"/>
                <w:szCs w:val="16"/>
              </w:rPr>
              <w:t xml:space="preserve">the Part 23 </w:t>
            </w:r>
            <w:r w:rsidRPr="004E18B9">
              <w:rPr>
                <w:rFonts w:cs="Arial"/>
                <w:sz w:val="16"/>
                <w:szCs w:val="16"/>
              </w:rPr>
              <w:t>commercially</w:t>
            </w:r>
            <w:r>
              <w:rPr>
                <w:rFonts w:cs="Arial"/>
                <w:sz w:val="16"/>
                <w:szCs w:val="16"/>
              </w:rPr>
              <w:t>-</w:t>
            </w:r>
            <w:r w:rsidRPr="004E18B9">
              <w:rPr>
                <w:rFonts w:cs="Arial"/>
                <w:sz w:val="16"/>
                <w:szCs w:val="16"/>
              </w:rPr>
              <w:t xml:space="preserve">oriented </w:t>
            </w:r>
            <w:r>
              <w:rPr>
                <w:rFonts w:cs="Arial"/>
                <w:sz w:val="16"/>
                <w:szCs w:val="16"/>
              </w:rPr>
              <w:t>mechanism</w:t>
            </w:r>
            <w:r w:rsidRPr="004E18B9">
              <w:rPr>
                <w:rFonts w:cs="Arial"/>
                <w:sz w:val="16"/>
                <w:szCs w:val="16"/>
              </w:rPr>
              <w:t xml:space="preserve"> for </w:t>
            </w:r>
            <w:r>
              <w:rPr>
                <w:rFonts w:cs="Arial"/>
                <w:sz w:val="16"/>
                <w:szCs w:val="16"/>
              </w:rPr>
              <w:t>lighter</w:t>
            </w:r>
            <w:r w:rsidRPr="004E18B9">
              <w:rPr>
                <w:rFonts w:cs="Arial"/>
                <w:sz w:val="16"/>
                <w:szCs w:val="16"/>
              </w:rPr>
              <w:t xml:space="preserve"> regulation and </w:t>
            </w:r>
            <w:r>
              <w:rPr>
                <w:rFonts w:cs="Arial"/>
                <w:sz w:val="16"/>
                <w:szCs w:val="16"/>
              </w:rPr>
              <w:t xml:space="preserve">the scheme pipeline </w:t>
            </w:r>
            <w:r w:rsidRPr="004E18B9">
              <w:rPr>
                <w:rFonts w:cs="Arial"/>
                <w:sz w:val="16"/>
                <w:szCs w:val="16"/>
              </w:rPr>
              <w:t>regulatory</w:t>
            </w:r>
            <w:r>
              <w:rPr>
                <w:rFonts w:cs="Arial"/>
                <w:sz w:val="16"/>
                <w:szCs w:val="16"/>
              </w:rPr>
              <w:t xml:space="preserve">-oriented mechanism </w:t>
            </w:r>
            <w:r w:rsidRPr="004E18B9">
              <w:rPr>
                <w:rFonts w:cs="Arial"/>
                <w:sz w:val="16"/>
                <w:szCs w:val="16"/>
              </w:rPr>
              <w:t xml:space="preserve">for </w:t>
            </w:r>
            <w:r>
              <w:rPr>
                <w:rFonts w:cs="Arial"/>
                <w:sz w:val="16"/>
                <w:szCs w:val="16"/>
              </w:rPr>
              <w:t>stronger</w:t>
            </w:r>
            <w:r w:rsidRPr="004E18B9">
              <w:rPr>
                <w:rFonts w:cs="Arial"/>
                <w:sz w:val="16"/>
                <w:szCs w:val="16"/>
              </w:rPr>
              <w:t xml:space="preserve"> regulation</w:t>
            </w:r>
            <w:r>
              <w:rPr>
                <w:rFonts w:cs="Arial"/>
                <w:sz w:val="16"/>
                <w:szCs w:val="16"/>
              </w:rPr>
              <w:t xml:space="preserve">. The scheme pipeline </w:t>
            </w:r>
            <w:r w:rsidRPr="004E18B9">
              <w:rPr>
                <w:rFonts w:cs="Arial"/>
                <w:sz w:val="16"/>
                <w:szCs w:val="16"/>
              </w:rPr>
              <w:t>dispute resolution mechanism</w:t>
            </w:r>
            <w:r>
              <w:rPr>
                <w:rFonts w:cs="Arial"/>
                <w:sz w:val="16"/>
                <w:szCs w:val="16"/>
              </w:rPr>
              <w:t xml:space="preserve"> would be strengthened in the manner set out in Box 8.3.</w:t>
            </w:r>
          </w:p>
        </w:tc>
        <w:tc>
          <w:tcPr>
            <w:tcW w:w="2555" w:type="dxa"/>
            <w:shd w:val="clear" w:color="auto" w:fill="F2F2F2" w:themeFill="background1" w:themeFillShade="F2"/>
          </w:tcPr>
          <w:p w14:paraId="0943BB81" w14:textId="77777777" w:rsidR="00A5724A" w:rsidRPr="004E18B9" w:rsidRDefault="00A5724A" w:rsidP="004B153A">
            <w:pPr>
              <w:pStyle w:val="BodyText"/>
              <w:spacing w:before="20" w:after="20" w:line="240" w:lineRule="auto"/>
              <w:rPr>
                <w:rFonts w:cs="Arial"/>
                <w:sz w:val="16"/>
                <w:szCs w:val="16"/>
              </w:rPr>
            </w:pPr>
            <w:r w:rsidRPr="006B4639">
              <w:rPr>
                <w:sz w:val="16"/>
                <w:szCs w:val="16"/>
              </w:rPr>
              <w:t xml:space="preserve">Maintain Part 23 dispute resolution mechanism for </w:t>
            </w:r>
            <w:r>
              <w:rPr>
                <w:sz w:val="16"/>
                <w:szCs w:val="16"/>
              </w:rPr>
              <w:t>lighter</w:t>
            </w:r>
            <w:r w:rsidRPr="006B4639">
              <w:rPr>
                <w:sz w:val="16"/>
                <w:szCs w:val="16"/>
              </w:rPr>
              <w:t xml:space="preserve"> regulation</w:t>
            </w:r>
            <w:r>
              <w:rPr>
                <w:sz w:val="16"/>
                <w:szCs w:val="16"/>
              </w:rPr>
              <w:t>.</w:t>
            </w:r>
          </w:p>
        </w:tc>
      </w:tr>
    </w:tbl>
    <w:p w14:paraId="037732CA" w14:textId="77777777" w:rsidR="008261D9" w:rsidRPr="008261D9" w:rsidRDefault="008261D9" w:rsidP="00D377FB">
      <w:pPr>
        <w:pStyle w:val="BodyText"/>
        <w:spacing w:before="0" w:after="0" w:line="240" w:lineRule="auto"/>
        <w:rPr>
          <w:sz w:val="2"/>
          <w:szCs w:val="2"/>
          <w:lang w:eastAsia="fr-CA"/>
        </w:rPr>
      </w:pPr>
    </w:p>
    <w:bookmarkEnd w:id="183"/>
    <w:p w14:paraId="0EE4263C" w14:textId="77777777" w:rsidR="008671C5" w:rsidRPr="008261D9" w:rsidRDefault="008671C5" w:rsidP="00D377FB">
      <w:pPr>
        <w:pStyle w:val="BodyText"/>
        <w:spacing w:before="0" w:after="0" w:line="240" w:lineRule="auto"/>
        <w:rPr>
          <w:rFonts w:asciiTheme="majorHAnsi" w:hAnsiTheme="majorHAnsi" w:cstheme="majorHAnsi"/>
          <w:sz w:val="2"/>
          <w:szCs w:val="2"/>
        </w:rPr>
        <w:sectPr w:rsidR="008671C5" w:rsidRPr="008261D9" w:rsidSect="00795317">
          <w:pgSz w:w="16839" w:h="11907" w:orient="landscape" w:code="9"/>
          <w:pgMar w:top="993" w:right="1418" w:bottom="709" w:left="1701" w:header="567" w:footer="397" w:gutter="0"/>
          <w:cols w:space="708"/>
          <w:docGrid w:linePitch="360"/>
        </w:sectPr>
      </w:pPr>
    </w:p>
    <w:p w14:paraId="619B7DC6" w14:textId="0C6EA069" w:rsidR="00C355A3" w:rsidRPr="006B4639" w:rsidRDefault="00C355A3" w:rsidP="00C57D1C">
      <w:pPr>
        <w:pStyle w:val="Caption"/>
        <w:spacing w:before="0" w:after="0"/>
      </w:pPr>
      <w:bookmarkStart w:id="184" w:name="_Ref18567901"/>
      <w:r w:rsidRPr="00C57D1C">
        <w:lastRenderedPageBreak/>
        <w:t xml:space="preserve">Box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8</w:t>
      </w:r>
      <w:r w:rsidR="00F323B2">
        <w:rPr>
          <w:noProof/>
        </w:rPr>
        <w:fldChar w:fldCharType="end"/>
      </w:r>
      <w:r w:rsidR="00B80405">
        <w:t>.</w:t>
      </w:r>
      <w:r w:rsidR="00F323B2">
        <w:rPr>
          <w:noProof/>
        </w:rPr>
        <w:fldChar w:fldCharType="begin"/>
      </w:r>
      <w:r w:rsidR="00F323B2">
        <w:rPr>
          <w:noProof/>
        </w:rPr>
        <w:instrText xml:space="preserve"> SEQ Box \* ARABIC \s 1 </w:instrText>
      </w:r>
      <w:r w:rsidR="00F323B2">
        <w:rPr>
          <w:noProof/>
        </w:rPr>
        <w:fldChar w:fldCharType="separate"/>
      </w:r>
      <w:r w:rsidR="004031E8">
        <w:rPr>
          <w:noProof/>
        </w:rPr>
        <w:t>1</w:t>
      </w:r>
      <w:r w:rsidR="00F323B2">
        <w:rPr>
          <w:noProof/>
        </w:rPr>
        <w:fldChar w:fldCharType="end"/>
      </w:r>
      <w:bookmarkEnd w:id="184"/>
      <w:r w:rsidRPr="00C57D1C">
        <w:t xml:space="preserve">: </w:t>
      </w:r>
      <w:r w:rsidR="00CB64E0" w:rsidRPr="00C57D1C">
        <w:t>Information disclosure requirements</w:t>
      </w:r>
    </w:p>
    <w:tbl>
      <w:tblPr>
        <w:tblStyle w:val="PullOutBoxTable"/>
        <w:tblW w:w="5000" w:type="pct"/>
        <w:tblLook w:val="0600" w:firstRow="0" w:lastRow="0" w:firstColumn="0" w:lastColumn="0" w:noHBand="1" w:noVBand="1"/>
      </w:tblPr>
      <w:tblGrid>
        <w:gridCol w:w="8788"/>
      </w:tblGrid>
      <w:tr w:rsidR="00C355A3" w:rsidRPr="00AA5447" w14:paraId="68400B1B" w14:textId="77777777" w:rsidTr="009158A9">
        <w:tc>
          <w:tcPr>
            <w:tcW w:w="5000" w:type="pct"/>
          </w:tcPr>
          <w:p w14:paraId="2534F4B1" w14:textId="77777777" w:rsidR="005F7CDF" w:rsidRPr="00AA5447" w:rsidRDefault="005F7CDF" w:rsidP="00AA5447">
            <w:pPr>
              <w:pStyle w:val="ListBullet"/>
              <w:numPr>
                <w:ilvl w:val="0"/>
                <w:numId w:val="0"/>
              </w:numPr>
              <w:ind w:left="360" w:hanging="360"/>
              <w:rPr>
                <w:b/>
                <w:bCs/>
                <w:sz w:val="20"/>
                <w:szCs w:val="20"/>
              </w:rPr>
            </w:pPr>
            <w:r w:rsidRPr="00AA5447">
              <w:rPr>
                <w:b/>
                <w:bCs/>
                <w:sz w:val="20"/>
                <w:szCs w:val="20"/>
              </w:rPr>
              <w:t xml:space="preserve">Basic information to be published </w:t>
            </w:r>
            <w:r w:rsidR="00D023EA" w:rsidRPr="00AA5447">
              <w:rPr>
                <w:b/>
                <w:bCs/>
                <w:sz w:val="20"/>
                <w:szCs w:val="20"/>
              </w:rPr>
              <w:t xml:space="preserve">by </w:t>
            </w:r>
            <w:r w:rsidR="00CB64E0" w:rsidRPr="00AA5447">
              <w:rPr>
                <w:b/>
                <w:bCs/>
                <w:sz w:val="20"/>
                <w:szCs w:val="20"/>
              </w:rPr>
              <w:t>exempt pipelines providing 3</w:t>
            </w:r>
            <w:r w:rsidR="00CB64E0" w:rsidRPr="00AA5447">
              <w:rPr>
                <w:b/>
                <w:bCs/>
                <w:sz w:val="20"/>
                <w:szCs w:val="20"/>
                <w:vertAlign w:val="superscript"/>
              </w:rPr>
              <w:t>rd</w:t>
            </w:r>
            <w:r w:rsidR="00CB64E0" w:rsidRPr="00AA5447">
              <w:rPr>
                <w:b/>
                <w:bCs/>
                <w:sz w:val="20"/>
                <w:szCs w:val="20"/>
              </w:rPr>
              <w:t xml:space="preserve"> party access</w:t>
            </w:r>
          </w:p>
          <w:p w14:paraId="7B9BE305" w14:textId="77777777" w:rsidR="005F7CDF" w:rsidRPr="00AA5447" w:rsidRDefault="00CB64E0" w:rsidP="00AD36B8">
            <w:pPr>
              <w:pStyle w:val="ListBullet"/>
              <w:numPr>
                <w:ilvl w:val="0"/>
                <w:numId w:val="0"/>
              </w:numPr>
              <w:rPr>
                <w:sz w:val="20"/>
                <w:szCs w:val="20"/>
              </w:rPr>
            </w:pPr>
            <w:r w:rsidRPr="00AA5447">
              <w:rPr>
                <w:sz w:val="20"/>
                <w:szCs w:val="20"/>
              </w:rPr>
              <w:t xml:space="preserve">Service providers of pipelines that are providing third party access </w:t>
            </w:r>
            <w:r w:rsidR="005F7CDF" w:rsidRPr="00AA5447">
              <w:rPr>
                <w:sz w:val="20"/>
                <w:szCs w:val="20"/>
              </w:rPr>
              <w:t>would be required to publish</w:t>
            </w:r>
            <w:r w:rsidRPr="00AA5447">
              <w:rPr>
                <w:sz w:val="20"/>
                <w:szCs w:val="20"/>
              </w:rPr>
              <w:t xml:space="preserve"> the following </w:t>
            </w:r>
            <w:r w:rsidR="00933619" w:rsidRPr="00AA5447">
              <w:rPr>
                <w:sz w:val="20"/>
                <w:szCs w:val="20"/>
              </w:rPr>
              <w:t>Basic I</w:t>
            </w:r>
            <w:r w:rsidRPr="00AA5447">
              <w:rPr>
                <w:sz w:val="20"/>
                <w:szCs w:val="20"/>
              </w:rPr>
              <w:t>nformation</w:t>
            </w:r>
            <w:r w:rsidR="001B0C16" w:rsidRPr="00AA5447">
              <w:rPr>
                <w:sz w:val="20"/>
                <w:szCs w:val="20"/>
              </w:rPr>
              <w:t>:</w:t>
            </w:r>
          </w:p>
          <w:p w14:paraId="266123EA" w14:textId="53B441E9" w:rsidR="00933619" w:rsidRPr="00AA5447" w:rsidRDefault="00B167D2" w:rsidP="00AA5447">
            <w:pPr>
              <w:pStyle w:val="ListBullet"/>
              <w:numPr>
                <w:ilvl w:val="0"/>
                <w:numId w:val="60"/>
              </w:numPr>
              <w:ind w:left="357" w:hanging="357"/>
              <w:rPr>
                <w:rFonts w:asciiTheme="majorHAnsi" w:hAnsiTheme="majorHAnsi" w:cstheme="majorHAnsi"/>
                <w:sz w:val="20"/>
                <w:szCs w:val="20"/>
              </w:rPr>
            </w:pPr>
            <w:r w:rsidRPr="00AA5447">
              <w:rPr>
                <w:sz w:val="20"/>
                <w:szCs w:val="20"/>
              </w:rPr>
              <w:t xml:space="preserve">the </w:t>
            </w:r>
            <w:r w:rsidR="005672E9" w:rsidRPr="00AA5447">
              <w:rPr>
                <w:sz w:val="20"/>
                <w:szCs w:val="20"/>
              </w:rPr>
              <w:t xml:space="preserve">pipeline information; </w:t>
            </w:r>
            <w:r w:rsidR="005F7CDF" w:rsidRPr="00AA5447">
              <w:rPr>
                <w:sz w:val="20"/>
                <w:szCs w:val="20"/>
              </w:rPr>
              <w:t>pipeline service information</w:t>
            </w:r>
            <w:r w:rsidR="005F7CDF" w:rsidRPr="00AA5447">
              <w:rPr>
                <w:rFonts w:asciiTheme="majorHAnsi" w:hAnsiTheme="majorHAnsi" w:cstheme="majorHAnsi"/>
                <w:sz w:val="20"/>
                <w:szCs w:val="20"/>
              </w:rPr>
              <w:t xml:space="preserve">; </w:t>
            </w:r>
            <w:r w:rsidR="005F7CDF" w:rsidRPr="00AA5447">
              <w:rPr>
                <w:sz w:val="20"/>
                <w:szCs w:val="20"/>
              </w:rPr>
              <w:t>standing terms for each service offered by the pipeline</w:t>
            </w:r>
            <w:r w:rsidRPr="00AA5447">
              <w:rPr>
                <w:sz w:val="20"/>
                <w:szCs w:val="20"/>
              </w:rPr>
              <w:t xml:space="preserve">, </w:t>
            </w:r>
            <w:r w:rsidR="005672E9" w:rsidRPr="00AA5447">
              <w:rPr>
                <w:sz w:val="20"/>
                <w:szCs w:val="20"/>
              </w:rPr>
              <w:t>service availability information</w:t>
            </w:r>
            <w:r w:rsidR="0043306C" w:rsidRPr="00AA5447">
              <w:rPr>
                <w:sz w:val="20"/>
                <w:szCs w:val="20"/>
              </w:rPr>
              <w:t xml:space="preserve"> and</w:t>
            </w:r>
            <w:r w:rsidRPr="00AA5447">
              <w:rPr>
                <w:sz w:val="20"/>
                <w:szCs w:val="20"/>
              </w:rPr>
              <w:t xml:space="preserve"> </w:t>
            </w:r>
            <w:r w:rsidR="005672E9" w:rsidRPr="00AA5447">
              <w:rPr>
                <w:sz w:val="20"/>
                <w:szCs w:val="20"/>
              </w:rPr>
              <w:t>service usage information</w:t>
            </w:r>
            <w:r w:rsidR="00933619" w:rsidRPr="00AA5447">
              <w:rPr>
                <w:sz w:val="20"/>
                <w:szCs w:val="20"/>
              </w:rPr>
              <w:t xml:space="preserve"> outlined in </w:t>
            </w:r>
            <w:r w:rsidR="005F7CDF" w:rsidRPr="00AA5447">
              <w:rPr>
                <w:rFonts w:asciiTheme="majorHAnsi" w:hAnsiTheme="majorHAnsi" w:cstheme="majorHAnsi"/>
                <w:sz w:val="20"/>
                <w:szCs w:val="20"/>
              </w:rPr>
              <w:fldChar w:fldCharType="begin" w:fldLock="1"/>
            </w:r>
            <w:r w:rsidR="005F7CDF" w:rsidRPr="00AA5447">
              <w:rPr>
                <w:rFonts w:asciiTheme="majorHAnsi" w:hAnsiTheme="majorHAnsi" w:cstheme="majorHAnsi"/>
                <w:sz w:val="20"/>
                <w:szCs w:val="20"/>
              </w:rPr>
              <w:instrText xml:space="preserve"> REF _Ref18123577 \h  \* MERGEFORMAT </w:instrText>
            </w:r>
            <w:r w:rsidR="005F7CDF" w:rsidRPr="00AA5447">
              <w:rPr>
                <w:rFonts w:asciiTheme="majorHAnsi" w:hAnsiTheme="majorHAnsi" w:cstheme="majorHAnsi"/>
                <w:sz w:val="20"/>
                <w:szCs w:val="20"/>
              </w:rPr>
            </w:r>
            <w:r w:rsidR="005F7CDF" w:rsidRPr="00AA5447">
              <w:rPr>
                <w:rFonts w:asciiTheme="majorHAnsi" w:hAnsiTheme="majorHAnsi" w:cstheme="majorHAnsi"/>
                <w:sz w:val="20"/>
                <w:szCs w:val="20"/>
              </w:rPr>
              <w:fldChar w:fldCharType="separate"/>
            </w:r>
            <w:r w:rsidR="00036405" w:rsidRPr="00036405">
              <w:rPr>
                <w:sz w:val="20"/>
                <w:szCs w:val="20"/>
              </w:rPr>
              <w:t>Table 6.1</w:t>
            </w:r>
            <w:r w:rsidR="005F7CDF" w:rsidRPr="00AA5447">
              <w:rPr>
                <w:rFonts w:asciiTheme="majorHAnsi" w:hAnsiTheme="majorHAnsi" w:cstheme="majorHAnsi"/>
                <w:sz w:val="20"/>
                <w:szCs w:val="20"/>
              </w:rPr>
              <w:fldChar w:fldCharType="end"/>
            </w:r>
            <w:r w:rsidR="00933619" w:rsidRPr="00AA5447">
              <w:rPr>
                <w:rFonts w:asciiTheme="majorHAnsi" w:hAnsiTheme="majorHAnsi" w:cstheme="majorHAnsi"/>
                <w:sz w:val="20"/>
                <w:szCs w:val="20"/>
              </w:rPr>
              <w:t>; and</w:t>
            </w:r>
            <w:r w:rsidR="006F618A" w:rsidRPr="00AA5447">
              <w:rPr>
                <w:rFonts w:asciiTheme="majorHAnsi" w:hAnsiTheme="majorHAnsi" w:cstheme="majorHAnsi"/>
                <w:sz w:val="20"/>
                <w:szCs w:val="20"/>
              </w:rPr>
              <w:t xml:space="preserve"> </w:t>
            </w:r>
          </w:p>
          <w:p w14:paraId="77AB8D77" w14:textId="77777777" w:rsidR="0043306C" w:rsidRPr="00AA5447" w:rsidRDefault="0043306C" w:rsidP="00AA5447">
            <w:pPr>
              <w:pStyle w:val="ListBullet"/>
              <w:numPr>
                <w:ilvl w:val="0"/>
                <w:numId w:val="60"/>
              </w:numPr>
              <w:ind w:left="357" w:hanging="357"/>
              <w:rPr>
                <w:rFonts w:asciiTheme="majorHAnsi" w:hAnsiTheme="majorHAnsi" w:cstheme="majorHAnsi"/>
                <w:sz w:val="20"/>
                <w:szCs w:val="20"/>
              </w:rPr>
            </w:pPr>
            <w:r w:rsidRPr="00AA5447">
              <w:rPr>
                <w:rFonts w:asciiTheme="majorHAnsi" w:hAnsiTheme="majorHAnsi" w:cstheme="majorHAnsi"/>
                <w:sz w:val="20"/>
                <w:szCs w:val="20"/>
              </w:rPr>
              <w:t xml:space="preserve">information on the </w:t>
            </w:r>
            <w:r w:rsidRPr="00AA5447">
              <w:rPr>
                <w:sz w:val="20"/>
                <w:szCs w:val="20"/>
              </w:rPr>
              <w:t>prices actually paid by other shippers for pipeline services, the form of which differs under each of the options.</w:t>
            </w:r>
          </w:p>
          <w:p w14:paraId="0B5EF6AF" w14:textId="0AFFB0A0" w:rsidR="00C355A3" w:rsidRPr="00AA5447" w:rsidRDefault="00AA5447" w:rsidP="00AA5447">
            <w:pPr>
              <w:pStyle w:val="ListBullet2"/>
              <w:numPr>
                <w:ilvl w:val="0"/>
                <w:numId w:val="0"/>
              </w:numPr>
              <w:rPr>
                <w:b/>
                <w:bCs/>
                <w:sz w:val="20"/>
                <w:szCs w:val="20"/>
                <w:lang w:eastAsia="en-US"/>
              </w:rPr>
            </w:pPr>
            <w:r>
              <w:rPr>
                <w:b/>
                <w:bCs/>
                <w:sz w:val="20"/>
                <w:szCs w:val="20"/>
                <w:lang w:eastAsia="en-US"/>
              </w:rPr>
              <w:t>Measures to address d</w:t>
            </w:r>
            <w:r w:rsidRPr="00AA5447">
              <w:rPr>
                <w:b/>
                <w:bCs/>
                <w:sz w:val="20"/>
                <w:szCs w:val="20"/>
                <w:lang w:eastAsia="en-US"/>
              </w:rPr>
              <w:t xml:space="preserve">eficiencies </w:t>
            </w:r>
            <w:r w:rsidR="00C355A3" w:rsidRPr="00AA5447">
              <w:rPr>
                <w:b/>
                <w:bCs/>
                <w:sz w:val="20"/>
                <w:szCs w:val="20"/>
                <w:lang w:eastAsia="en-US"/>
              </w:rPr>
              <w:t xml:space="preserve">in information to </w:t>
            </w:r>
            <w:r w:rsidR="005F7CDF" w:rsidRPr="00AA5447">
              <w:rPr>
                <w:b/>
                <w:bCs/>
                <w:sz w:val="20"/>
                <w:szCs w:val="20"/>
                <w:lang w:eastAsia="en-US"/>
              </w:rPr>
              <w:t>assess</w:t>
            </w:r>
            <w:r w:rsidR="00C355A3" w:rsidRPr="00AA5447">
              <w:rPr>
                <w:b/>
                <w:bCs/>
                <w:sz w:val="20"/>
                <w:szCs w:val="20"/>
                <w:lang w:eastAsia="en-US"/>
              </w:rPr>
              <w:t xml:space="preserve"> reasonableness of prices</w:t>
            </w:r>
          </w:p>
          <w:p w14:paraId="552A5324" w14:textId="77777777" w:rsidR="00066FA7" w:rsidRPr="00AA5447" w:rsidRDefault="00066FA7" w:rsidP="00AD36B8">
            <w:pPr>
              <w:pStyle w:val="ListBullet2"/>
              <w:numPr>
                <w:ilvl w:val="0"/>
                <w:numId w:val="0"/>
              </w:numPr>
              <w:rPr>
                <w:sz w:val="20"/>
                <w:szCs w:val="20"/>
                <w:lang w:eastAsia="en-US"/>
              </w:rPr>
            </w:pPr>
            <w:r w:rsidRPr="00AA5447">
              <w:rPr>
                <w:sz w:val="20"/>
                <w:szCs w:val="20"/>
                <w:lang w:eastAsia="en-US"/>
              </w:rPr>
              <w:t>To address the deficiencies identified with the pricing methodologies and financial information:</w:t>
            </w:r>
          </w:p>
          <w:p w14:paraId="53C4756D" w14:textId="77777777" w:rsidR="00841CFA" w:rsidRPr="00AA5447" w:rsidRDefault="00841CFA" w:rsidP="00AA5447">
            <w:pPr>
              <w:pStyle w:val="ListBullet"/>
              <w:numPr>
                <w:ilvl w:val="0"/>
                <w:numId w:val="131"/>
              </w:numPr>
              <w:ind w:left="357" w:hanging="357"/>
              <w:rPr>
                <w:sz w:val="20"/>
                <w:szCs w:val="20"/>
              </w:rPr>
            </w:pPr>
            <w:r w:rsidRPr="00AA5447">
              <w:rPr>
                <w:sz w:val="20"/>
                <w:szCs w:val="20"/>
                <w:lang w:eastAsia="en-US"/>
              </w:rPr>
              <w:t>service providers would be required to publish</w:t>
            </w:r>
            <w:r w:rsidRPr="00AA5447">
              <w:rPr>
                <w:sz w:val="20"/>
                <w:szCs w:val="20"/>
              </w:rPr>
              <w:t xml:space="preserve"> </w:t>
            </w:r>
            <w:r w:rsidR="00066FA7" w:rsidRPr="00AA5447">
              <w:rPr>
                <w:sz w:val="20"/>
                <w:szCs w:val="20"/>
              </w:rPr>
              <w:t xml:space="preserve">the inputs used to calculate the </w:t>
            </w:r>
            <w:r w:rsidR="00F421DB" w:rsidRPr="00AA5447">
              <w:rPr>
                <w:sz w:val="20"/>
                <w:szCs w:val="20"/>
              </w:rPr>
              <w:t xml:space="preserve">pipeline’s </w:t>
            </w:r>
            <w:r w:rsidR="00066FA7" w:rsidRPr="00AA5447">
              <w:rPr>
                <w:sz w:val="20"/>
                <w:szCs w:val="20"/>
              </w:rPr>
              <w:t>standing prices</w:t>
            </w:r>
            <w:r w:rsidRPr="00AA5447">
              <w:rPr>
                <w:sz w:val="20"/>
                <w:szCs w:val="20"/>
              </w:rPr>
              <w:t>;</w:t>
            </w:r>
          </w:p>
          <w:p w14:paraId="32D9BF46" w14:textId="77777777" w:rsidR="00066FA7" w:rsidRPr="00AA5447" w:rsidRDefault="00066FA7" w:rsidP="00AA5447">
            <w:pPr>
              <w:pStyle w:val="ListBullet"/>
              <w:numPr>
                <w:ilvl w:val="0"/>
                <w:numId w:val="131"/>
              </w:numPr>
              <w:ind w:left="357" w:hanging="357"/>
              <w:rPr>
                <w:sz w:val="20"/>
                <w:szCs w:val="20"/>
              </w:rPr>
            </w:pPr>
            <w:r w:rsidRPr="00AA5447">
              <w:rPr>
                <w:sz w:val="20"/>
                <w:szCs w:val="20"/>
              </w:rPr>
              <w:t xml:space="preserve">the relevant regulator would be required to publish a </w:t>
            </w:r>
            <w:r w:rsidR="00841CFA" w:rsidRPr="00AA5447">
              <w:rPr>
                <w:sz w:val="20"/>
                <w:szCs w:val="20"/>
              </w:rPr>
              <w:t>guide</w:t>
            </w:r>
            <w:r w:rsidRPr="00AA5447">
              <w:rPr>
                <w:sz w:val="20"/>
                <w:szCs w:val="20"/>
              </w:rPr>
              <w:t xml:space="preserve"> on what information</w:t>
            </w:r>
            <w:r w:rsidR="008805D6" w:rsidRPr="00AA5447">
              <w:rPr>
                <w:sz w:val="20"/>
                <w:szCs w:val="20"/>
              </w:rPr>
              <w:t xml:space="preserve"> </w:t>
            </w:r>
            <w:r w:rsidRPr="00AA5447">
              <w:rPr>
                <w:sz w:val="20"/>
                <w:szCs w:val="20"/>
              </w:rPr>
              <w:t xml:space="preserve">the pricing methodology should include; </w:t>
            </w:r>
          </w:p>
          <w:p w14:paraId="668BB0C0" w14:textId="77777777" w:rsidR="003F52A8" w:rsidRPr="00AA5447" w:rsidRDefault="00841CFA" w:rsidP="00AA5447">
            <w:pPr>
              <w:pStyle w:val="ListBullet"/>
              <w:numPr>
                <w:ilvl w:val="0"/>
                <w:numId w:val="131"/>
              </w:numPr>
              <w:ind w:left="357" w:hanging="357"/>
              <w:rPr>
                <w:sz w:val="20"/>
                <w:szCs w:val="20"/>
              </w:rPr>
            </w:pPr>
            <w:r w:rsidRPr="00AA5447">
              <w:rPr>
                <w:sz w:val="20"/>
                <w:szCs w:val="20"/>
                <w:lang w:eastAsia="en-US"/>
              </w:rPr>
              <w:t>service providers would be required to publish</w:t>
            </w:r>
            <w:r w:rsidRPr="00AA5447">
              <w:rPr>
                <w:sz w:val="20"/>
                <w:szCs w:val="20"/>
              </w:rPr>
              <w:t xml:space="preserve"> </w:t>
            </w:r>
            <w:r w:rsidR="00517663" w:rsidRPr="00AA5447">
              <w:rPr>
                <w:sz w:val="20"/>
                <w:szCs w:val="20"/>
              </w:rPr>
              <w:t>historical demand</w:t>
            </w:r>
            <w:r w:rsidR="00666259" w:rsidRPr="00AA5447">
              <w:rPr>
                <w:sz w:val="20"/>
                <w:szCs w:val="20"/>
              </w:rPr>
              <w:t xml:space="preserve"> </w:t>
            </w:r>
            <w:r w:rsidR="00066FA7" w:rsidRPr="00AA5447">
              <w:rPr>
                <w:sz w:val="20"/>
                <w:szCs w:val="20"/>
              </w:rPr>
              <w:t xml:space="preserve">information </w:t>
            </w:r>
            <w:r w:rsidR="00666259" w:rsidRPr="00AA5447">
              <w:rPr>
                <w:sz w:val="20"/>
                <w:szCs w:val="20"/>
              </w:rPr>
              <w:t xml:space="preserve">(i.e. information </w:t>
            </w:r>
            <w:r w:rsidR="00066FA7" w:rsidRPr="00AA5447">
              <w:rPr>
                <w:sz w:val="20"/>
                <w:szCs w:val="20"/>
              </w:rPr>
              <w:t>on contracted capacity and use of capacity</w:t>
            </w:r>
            <w:r w:rsidR="00666259" w:rsidRPr="00AA5447">
              <w:rPr>
                <w:sz w:val="20"/>
                <w:szCs w:val="20"/>
              </w:rPr>
              <w:t>)</w:t>
            </w:r>
            <w:r w:rsidRPr="00AA5447">
              <w:rPr>
                <w:sz w:val="20"/>
                <w:szCs w:val="20"/>
              </w:rPr>
              <w:t xml:space="preserve"> alongside </w:t>
            </w:r>
            <w:r w:rsidR="00517663" w:rsidRPr="00AA5447">
              <w:rPr>
                <w:sz w:val="20"/>
                <w:szCs w:val="20"/>
              </w:rPr>
              <w:t>historical financial</w:t>
            </w:r>
            <w:r w:rsidRPr="00AA5447">
              <w:rPr>
                <w:sz w:val="20"/>
                <w:szCs w:val="20"/>
              </w:rPr>
              <w:t xml:space="preserve"> information</w:t>
            </w:r>
            <w:r w:rsidR="003F52A8" w:rsidRPr="00AA5447">
              <w:rPr>
                <w:sz w:val="20"/>
                <w:szCs w:val="20"/>
              </w:rPr>
              <w:t>; and</w:t>
            </w:r>
          </w:p>
          <w:p w14:paraId="1808AB2A" w14:textId="77777777" w:rsidR="00066FA7" w:rsidRPr="00AA5447" w:rsidRDefault="00841CFA" w:rsidP="00AA5447">
            <w:pPr>
              <w:pStyle w:val="ListBullet"/>
              <w:numPr>
                <w:ilvl w:val="0"/>
                <w:numId w:val="131"/>
              </w:numPr>
              <w:ind w:left="357" w:hanging="357"/>
              <w:rPr>
                <w:sz w:val="20"/>
                <w:szCs w:val="20"/>
              </w:rPr>
            </w:pPr>
            <w:r w:rsidRPr="00AA5447">
              <w:rPr>
                <w:sz w:val="20"/>
                <w:szCs w:val="20"/>
                <w:lang w:eastAsia="en-US"/>
              </w:rPr>
              <w:t>service providers would be required to publish</w:t>
            </w:r>
            <w:r w:rsidRPr="00AA5447">
              <w:rPr>
                <w:sz w:val="20"/>
                <w:szCs w:val="20"/>
              </w:rPr>
              <w:t xml:space="preserve"> </w:t>
            </w:r>
            <w:r w:rsidR="00066FA7" w:rsidRPr="00AA5447">
              <w:rPr>
                <w:sz w:val="20"/>
                <w:szCs w:val="20"/>
              </w:rPr>
              <w:t xml:space="preserve">their cost allocation methodology, which </w:t>
            </w:r>
            <w:r w:rsidR="00B167D2" w:rsidRPr="00AA5447">
              <w:rPr>
                <w:sz w:val="20"/>
                <w:szCs w:val="20"/>
              </w:rPr>
              <w:t>would need to</w:t>
            </w:r>
            <w:r w:rsidR="00066FA7" w:rsidRPr="00AA5447">
              <w:rPr>
                <w:sz w:val="20"/>
                <w:szCs w:val="20"/>
              </w:rPr>
              <w:t xml:space="preserve"> comply with cost allocation principles in the NGR </w:t>
            </w:r>
            <w:r w:rsidR="00B167D2" w:rsidRPr="00AA5447">
              <w:rPr>
                <w:sz w:val="20"/>
                <w:szCs w:val="20"/>
              </w:rPr>
              <w:t>and/</w:t>
            </w:r>
            <w:r w:rsidR="00066FA7" w:rsidRPr="00AA5447">
              <w:rPr>
                <w:sz w:val="20"/>
                <w:szCs w:val="20"/>
              </w:rPr>
              <w:t xml:space="preserve">or a </w:t>
            </w:r>
            <w:r w:rsidR="00483F25" w:rsidRPr="00AA5447">
              <w:rPr>
                <w:sz w:val="20"/>
                <w:szCs w:val="20"/>
              </w:rPr>
              <w:t>g</w:t>
            </w:r>
            <w:r w:rsidR="00066FA7" w:rsidRPr="00AA5447">
              <w:rPr>
                <w:sz w:val="20"/>
                <w:szCs w:val="20"/>
              </w:rPr>
              <w:t>uideline</w:t>
            </w:r>
            <w:r w:rsidR="004B4568" w:rsidRPr="00AA5447">
              <w:rPr>
                <w:sz w:val="20"/>
                <w:szCs w:val="20"/>
              </w:rPr>
              <w:t xml:space="preserve"> developed by the relevant regulator</w:t>
            </w:r>
            <w:r w:rsidR="00066FA7" w:rsidRPr="00AA5447">
              <w:rPr>
                <w:sz w:val="20"/>
                <w:szCs w:val="20"/>
              </w:rPr>
              <w:t xml:space="preserve">. </w:t>
            </w:r>
          </w:p>
          <w:p w14:paraId="1F9B35F0" w14:textId="0E27AEEA" w:rsidR="00C355A3" w:rsidRPr="00AA5447" w:rsidRDefault="00AA5447" w:rsidP="006F618A">
            <w:pPr>
              <w:pStyle w:val="PullOutBoxBodyText"/>
              <w:spacing w:before="60" w:after="40" w:line="264" w:lineRule="auto"/>
              <w:ind w:left="357" w:hanging="357"/>
              <w:rPr>
                <w:rFonts w:asciiTheme="majorHAnsi" w:hAnsiTheme="majorHAnsi" w:cstheme="majorHAnsi"/>
                <w:b/>
                <w:bCs/>
                <w:sz w:val="20"/>
                <w:szCs w:val="20"/>
              </w:rPr>
            </w:pPr>
            <w:r>
              <w:rPr>
                <w:rFonts w:asciiTheme="majorHAnsi" w:hAnsiTheme="majorHAnsi" w:cstheme="majorHAnsi"/>
                <w:b/>
                <w:bCs/>
                <w:sz w:val="20"/>
                <w:szCs w:val="20"/>
              </w:rPr>
              <w:t>Measures to improve the q</w:t>
            </w:r>
            <w:r w:rsidRPr="00AA5447">
              <w:rPr>
                <w:rFonts w:asciiTheme="majorHAnsi" w:hAnsiTheme="majorHAnsi" w:cstheme="majorHAnsi"/>
                <w:b/>
                <w:bCs/>
                <w:sz w:val="20"/>
                <w:szCs w:val="20"/>
              </w:rPr>
              <w:t xml:space="preserve">uality </w:t>
            </w:r>
            <w:r w:rsidR="00C355A3" w:rsidRPr="00AA5447">
              <w:rPr>
                <w:rFonts w:asciiTheme="majorHAnsi" w:hAnsiTheme="majorHAnsi" w:cstheme="majorHAnsi"/>
                <w:b/>
                <w:bCs/>
                <w:sz w:val="20"/>
                <w:szCs w:val="20"/>
              </w:rPr>
              <w:t>and reliability of information</w:t>
            </w:r>
          </w:p>
          <w:p w14:paraId="2070FD33" w14:textId="77777777" w:rsidR="007B3335" w:rsidRPr="00AA5447" w:rsidRDefault="005D7A18" w:rsidP="007B3335">
            <w:pPr>
              <w:pStyle w:val="BodyText"/>
              <w:keepNext/>
              <w:spacing w:before="80" w:after="80"/>
              <w:rPr>
                <w:rFonts w:cs="Arial"/>
                <w:sz w:val="20"/>
                <w:szCs w:val="20"/>
              </w:rPr>
            </w:pPr>
            <w:r w:rsidRPr="00AA5447">
              <w:rPr>
                <w:rFonts w:cs="Arial"/>
                <w:sz w:val="20"/>
                <w:szCs w:val="20"/>
              </w:rPr>
              <w:t>T</w:t>
            </w:r>
            <w:r w:rsidR="007B3335" w:rsidRPr="00AA5447">
              <w:rPr>
                <w:rFonts w:cs="Arial"/>
                <w:sz w:val="20"/>
                <w:szCs w:val="20"/>
              </w:rPr>
              <w:t>he quality and reliability of information reported by service providers</w:t>
            </w:r>
            <w:r w:rsidRPr="00AA5447">
              <w:rPr>
                <w:rFonts w:cs="Arial"/>
                <w:sz w:val="20"/>
                <w:szCs w:val="20"/>
              </w:rPr>
              <w:t xml:space="preserve"> would be improved by</w:t>
            </w:r>
            <w:r w:rsidR="007B3335" w:rsidRPr="00AA5447">
              <w:rPr>
                <w:rFonts w:cs="Arial"/>
                <w:sz w:val="20"/>
                <w:szCs w:val="20"/>
              </w:rPr>
              <w:t>:</w:t>
            </w:r>
          </w:p>
          <w:p w14:paraId="29AE4C2B" w14:textId="77777777" w:rsidR="00996793" w:rsidRPr="00AA5447" w:rsidRDefault="00996793" w:rsidP="00AA5447">
            <w:pPr>
              <w:pStyle w:val="ListBullet2"/>
              <w:numPr>
                <w:ilvl w:val="0"/>
                <w:numId w:val="147"/>
              </w:numPr>
              <w:ind w:left="357" w:hanging="357"/>
              <w:rPr>
                <w:sz w:val="20"/>
                <w:szCs w:val="20"/>
              </w:rPr>
            </w:pPr>
            <w:r w:rsidRPr="00AA5447">
              <w:rPr>
                <w:sz w:val="20"/>
                <w:szCs w:val="20"/>
              </w:rPr>
              <w:t xml:space="preserve">requiring greater regulatory oversight of the </w:t>
            </w:r>
            <w:r w:rsidR="00517663" w:rsidRPr="00AA5447">
              <w:rPr>
                <w:sz w:val="20"/>
                <w:szCs w:val="20"/>
              </w:rPr>
              <w:t>historical financial</w:t>
            </w:r>
            <w:r w:rsidRPr="00AA5447">
              <w:rPr>
                <w:sz w:val="20"/>
                <w:szCs w:val="20"/>
              </w:rPr>
              <w:t xml:space="preserve"> information reported by service providers and information on the prices paid by shippers as part of the relevant regulator’s new monitoring function;</w:t>
            </w:r>
          </w:p>
          <w:p w14:paraId="1EACE1C5" w14:textId="77777777" w:rsidR="00996793" w:rsidRPr="00AA5447" w:rsidRDefault="00996793" w:rsidP="00AA5447">
            <w:pPr>
              <w:pStyle w:val="ListBullet2"/>
              <w:numPr>
                <w:ilvl w:val="0"/>
                <w:numId w:val="147"/>
              </w:numPr>
              <w:ind w:left="357" w:hanging="357"/>
              <w:rPr>
                <w:sz w:val="20"/>
                <w:szCs w:val="20"/>
              </w:rPr>
            </w:pPr>
            <w:r w:rsidRPr="00AA5447">
              <w:rPr>
                <w:sz w:val="20"/>
                <w:szCs w:val="20"/>
              </w:rPr>
              <w:t>amending the access information standard in the NGR to require service providers to update information as soon as practicable if it is found to no longer be accurate;</w:t>
            </w:r>
          </w:p>
          <w:p w14:paraId="695DF55E" w14:textId="77777777" w:rsidR="00996793" w:rsidRPr="00AA5447" w:rsidRDefault="00996793" w:rsidP="00AA5447">
            <w:pPr>
              <w:pStyle w:val="ListBullet2"/>
              <w:numPr>
                <w:ilvl w:val="0"/>
                <w:numId w:val="147"/>
              </w:numPr>
              <w:ind w:left="357" w:hanging="357"/>
              <w:rPr>
                <w:sz w:val="20"/>
                <w:szCs w:val="20"/>
              </w:rPr>
            </w:pPr>
            <w:r w:rsidRPr="00AA5447">
              <w:rPr>
                <w:sz w:val="20"/>
                <w:szCs w:val="20"/>
              </w:rPr>
              <w:t xml:space="preserve">increasing the penalties for breaches of the information disclosure obligations, the access information standard and the regulator’s financial reporting guideline; and </w:t>
            </w:r>
          </w:p>
          <w:p w14:paraId="549AF6D5" w14:textId="77777777" w:rsidR="00996793" w:rsidRPr="00AA5447" w:rsidRDefault="00996793" w:rsidP="00AA5447">
            <w:pPr>
              <w:pStyle w:val="PullOutBoxBodyText"/>
              <w:numPr>
                <w:ilvl w:val="0"/>
                <w:numId w:val="147"/>
              </w:numPr>
              <w:spacing w:after="120"/>
              <w:ind w:left="357" w:hanging="357"/>
              <w:rPr>
                <w:rFonts w:asciiTheme="majorHAnsi" w:hAnsiTheme="majorHAnsi" w:cstheme="majorHAnsi"/>
                <w:sz w:val="20"/>
                <w:szCs w:val="20"/>
              </w:rPr>
            </w:pPr>
            <w:r w:rsidRPr="00AA5447">
              <w:rPr>
                <w:rFonts w:asciiTheme="majorHAnsi" w:hAnsiTheme="majorHAnsi" w:cstheme="majorHAnsi"/>
                <w:sz w:val="20"/>
                <w:szCs w:val="20"/>
              </w:rPr>
              <w:t xml:space="preserve">requiring the relevant regulator to review the financial reporting guideline and </w:t>
            </w:r>
            <w:r w:rsidR="003C2748" w:rsidRPr="00AA5447">
              <w:rPr>
                <w:rFonts w:asciiTheme="majorHAnsi" w:hAnsiTheme="majorHAnsi" w:cstheme="majorHAnsi"/>
                <w:sz w:val="20"/>
                <w:szCs w:val="20"/>
              </w:rPr>
              <w:t xml:space="preserve">consult on amendments to </w:t>
            </w:r>
            <w:r w:rsidR="004D7009" w:rsidRPr="00AA5447">
              <w:rPr>
                <w:rFonts w:asciiTheme="majorHAnsi" w:hAnsiTheme="majorHAnsi" w:cstheme="majorHAnsi"/>
                <w:sz w:val="20"/>
                <w:szCs w:val="20"/>
              </w:rPr>
              <w:t xml:space="preserve">address the </w:t>
            </w:r>
            <w:r w:rsidRPr="00AA5447">
              <w:rPr>
                <w:rFonts w:asciiTheme="majorHAnsi" w:hAnsiTheme="majorHAnsi" w:cstheme="majorHAnsi"/>
                <w:sz w:val="20"/>
                <w:szCs w:val="20"/>
              </w:rPr>
              <w:t>issues identified by the ACCC and Brattle (see Appendix B).</w:t>
            </w:r>
          </w:p>
          <w:p w14:paraId="57FC217E" w14:textId="236DF0BF" w:rsidR="00C355A3" w:rsidRPr="00AA5447" w:rsidRDefault="00AA5447" w:rsidP="00996793">
            <w:pPr>
              <w:pStyle w:val="PullOutBoxBodyText"/>
              <w:spacing w:before="60" w:after="40" w:line="264" w:lineRule="auto"/>
              <w:ind w:left="357" w:hanging="357"/>
              <w:rPr>
                <w:rFonts w:asciiTheme="majorHAnsi" w:hAnsiTheme="majorHAnsi" w:cstheme="majorHAnsi"/>
                <w:b/>
                <w:bCs/>
                <w:sz w:val="20"/>
                <w:szCs w:val="20"/>
              </w:rPr>
            </w:pPr>
            <w:r>
              <w:rPr>
                <w:rFonts w:asciiTheme="majorHAnsi" w:hAnsiTheme="majorHAnsi" w:cstheme="majorHAnsi"/>
                <w:b/>
                <w:bCs/>
                <w:sz w:val="20"/>
                <w:szCs w:val="20"/>
              </w:rPr>
              <w:t>Measures to improve the a</w:t>
            </w:r>
            <w:r w:rsidRPr="00AA5447">
              <w:rPr>
                <w:rFonts w:asciiTheme="majorHAnsi" w:hAnsiTheme="majorHAnsi" w:cstheme="majorHAnsi"/>
                <w:b/>
                <w:bCs/>
                <w:sz w:val="20"/>
                <w:szCs w:val="20"/>
              </w:rPr>
              <w:t xml:space="preserve">ccessibility </w:t>
            </w:r>
            <w:r w:rsidR="00C355A3" w:rsidRPr="00AA5447">
              <w:rPr>
                <w:rFonts w:asciiTheme="majorHAnsi" w:hAnsiTheme="majorHAnsi" w:cstheme="majorHAnsi"/>
                <w:b/>
                <w:bCs/>
                <w:sz w:val="20"/>
                <w:szCs w:val="20"/>
              </w:rPr>
              <w:t xml:space="preserve">of information </w:t>
            </w:r>
          </w:p>
          <w:p w14:paraId="7E9DCFFD" w14:textId="77777777" w:rsidR="004C4AB5" w:rsidRPr="00AA5447" w:rsidRDefault="004C4AB5" w:rsidP="004C4AB5">
            <w:pPr>
              <w:pStyle w:val="BodyText"/>
              <w:keepNext/>
              <w:spacing w:before="80" w:after="80"/>
              <w:rPr>
                <w:rFonts w:cs="Arial"/>
                <w:sz w:val="20"/>
                <w:szCs w:val="20"/>
              </w:rPr>
            </w:pPr>
            <w:r w:rsidRPr="00AA5447">
              <w:rPr>
                <w:rFonts w:cs="Arial"/>
                <w:sz w:val="20"/>
                <w:szCs w:val="20"/>
              </w:rPr>
              <w:t xml:space="preserve">To make the information reported by service providers more accessible: </w:t>
            </w:r>
          </w:p>
          <w:p w14:paraId="0741085C" w14:textId="77777777" w:rsidR="00483F25" w:rsidRPr="00AA5447" w:rsidRDefault="004C4AB5" w:rsidP="00AA5447">
            <w:pPr>
              <w:pStyle w:val="ListBullet"/>
              <w:numPr>
                <w:ilvl w:val="0"/>
                <w:numId w:val="132"/>
              </w:numPr>
              <w:ind w:left="357" w:hanging="357"/>
              <w:rPr>
                <w:sz w:val="20"/>
                <w:szCs w:val="20"/>
              </w:rPr>
            </w:pPr>
            <w:r w:rsidRPr="00AA5447">
              <w:rPr>
                <w:sz w:val="20"/>
                <w:szCs w:val="20"/>
              </w:rPr>
              <w:t xml:space="preserve">the relevant regulator would be required to prepare a </w:t>
            </w:r>
            <w:r w:rsidR="00102351" w:rsidRPr="00AA5447">
              <w:rPr>
                <w:sz w:val="20"/>
                <w:szCs w:val="20"/>
              </w:rPr>
              <w:t>guide</w:t>
            </w:r>
            <w:r w:rsidRPr="00AA5447">
              <w:rPr>
                <w:sz w:val="20"/>
                <w:szCs w:val="20"/>
              </w:rPr>
              <w:t xml:space="preserve"> that sets out where and how the information is to be reported on a service provider’s website; </w:t>
            </w:r>
            <w:r w:rsidR="00102351" w:rsidRPr="00AA5447">
              <w:rPr>
                <w:sz w:val="20"/>
                <w:szCs w:val="20"/>
              </w:rPr>
              <w:t>and</w:t>
            </w:r>
          </w:p>
          <w:p w14:paraId="64EA772E" w14:textId="77777777" w:rsidR="00483F25" w:rsidRPr="00AA5447" w:rsidRDefault="00483F25" w:rsidP="00AA5447">
            <w:pPr>
              <w:pStyle w:val="ListBullet"/>
              <w:numPr>
                <w:ilvl w:val="0"/>
                <w:numId w:val="132"/>
              </w:numPr>
              <w:ind w:left="357" w:hanging="357"/>
              <w:rPr>
                <w:sz w:val="20"/>
                <w:szCs w:val="20"/>
              </w:rPr>
            </w:pPr>
            <w:r w:rsidRPr="00AA5447">
              <w:rPr>
                <w:sz w:val="20"/>
                <w:szCs w:val="20"/>
              </w:rPr>
              <w:t>service providers would be required to</w:t>
            </w:r>
            <w:r w:rsidR="003833AB" w:rsidRPr="00AA5447">
              <w:rPr>
                <w:sz w:val="20"/>
                <w:szCs w:val="20"/>
              </w:rPr>
              <w:t xml:space="preserve"> </w:t>
            </w:r>
            <w:r w:rsidRPr="00AA5447">
              <w:rPr>
                <w:sz w:val="20"/>
                <w:szCs w:val="20"/>
              </w:rPr>
              <w:t>advise the AEMC of the location of the information on their respective websites</w:t>
            </w:r>
            <w:r w:rsidR="003833AB" w:rsidRPr="00AA5447">
              <w:rPr>
                <w:sz w:val="20"/>
                <w:szCs w:val="20"/>
              </w:rPr>
              <w:t xml:space="preserve"> (and any changes to the location)</w:t>
            </w:r>
            <w:r w:rsidRPr="00AA5447">
              <w:rPr>
                <w:sz w:val="20"/>
                <w:szCs w:val="20"/>
              </w:rPr>
              <w:t>, which would then be published as a link in the pipeline regis</w:t>
            </w:r>
            <w:r w:rsidR="00F421DB" w:rsidRPr="00AA5447">
              <w:rPr>
                <w:sz w:val="20"/>
                <w:szCs w:val="20"/>
              </w:rPr>
              <w:t xml:space="preserve">ter. </w:t>
            </w:r>
          </w:p>
          <w:p w14:paraId="11EAFDAD" w14:textId="4BB98988" w:rsidR="00C355A3" w:rsidRPr="00AA5447" w:rsidRDefault="00AA5447" w:rsidP="006F618A">
            <w:pPr>
              <w:pStyle w:val="PullOutBoxBodyText"/>
              <w:spacing w:before="60" w:after="40" w:line="264" w:lineRule="auto"/>
              <w:ind w:left="357" w:hanging="357"/>
              <w:rPr>
                <w:rFonts w:asciiTheme="majorHAnsi" w:hAnsiTheme="majorHAnsi" w:cstheme="majorHAnsi"/>
                <w:b/>
                <w:bCs/>
                <w:sz w:val="20"/>
                <w:szCs w:val="20"/>
              </w:rPr>
            </w:pPr>
            <w:r>
              <w:rPr>
                <w:rFonts w:asciiTheme="majorHAnsi" w:hAnsiTheme="majorHAnsi" w:cstheme="majorHAnsi"/>
                <w:b/>
                <w:bCs/>
                <w:sz w:val="20"/>
                <w:szCs w:val="20"/>
              </w:rPr>
              <w:t>Measures to improve the u</w:t>
            </w:r>
            <w:r w:rsidRPr="00AA5447">
              <w:rPr>
                <w:rFonts w:asciiTheme="majorHAnsi" w:hAnsiTheme="majorHAnsi" w:cstheme="majorHAnsi"/>
                <w:b/>
                <w:bCs/>
                <w:sz w:val="20"/>
                <w:szCs w:val="20"/>
              </w:rPr>
              <w:t xml:space="preserve">sability </w:t>
            </w:r>
            <w:r w:rsidR="00C355A3" w:rsidRPr="00AA5447">
              <w:rPr>
                <w:rFonts w:asciiTheme="majorHAnsi" w:hAnsiTheme="majorHAnsi" w:cstheme="majorHAnsi"/>
                <w:b/>
                <w:bCs/>
                <w:sz w:val="20"/>
                <w:szCs w:val="20"/>
              </w:rPr>
              <w:t xml:space="preserve">of information </w:t>
            </w:r>
          </w:p>
          <w:p w14:paraId="7F1280C7" w14:textId="77777777" w:rsidR="00C57D1C" w:rsidRPr="00AA5447" w:rsidRDefault="00C57D1C" w:rsidP="00C57D1C">
            <w:pPr>
              <w:pStyle w:val="BodyText"/>
              <w:keepNext/>
              <w:spacing w:before="80" w:after="80"/>
              <w:rPr>
                <w:rFonts w:cs="Arial"/>
                <w:sz w:val="20"/>
                <w:szCs w:val="20"/>
              </w:rPr>
            </w:pPr>
            <w:r w:rsidRPr="00AA5447">
              <w:rPr>
                <w:rFonts w:cs="Arial"/>
                <w:sz w:val="20"/>
                <w:szCs w:val="20"/>
              </w:rPr>
              <w:t xml:space="preserve">To improve the usability of the financial and pricing information: </w:t>
            </w:r>
          </w:p>
          <w:p w14:paraId="03E35592" w14:textId="77777777" w:rsidR="00C57D1C" w:rsidRPr="00AA5447" w:rsidRDefault="00C57D1C" w:rsidP="00AA5447">
            <w:pPr>
              <w:pStyle w:val="ListBullet"/>
              <w:numPr>
                <w:ilvl w:val="0"/>
                <w:numId w:val="133"/>
              </w:numPr>
              <w:ind w:left="357" w:hanging="357"/>
              <w:rPr>
                <w:sz w:val="20"/>
                <w:szCs w:val="20"/>
              </w:rPr>
            </w:pPr>
            <w:r w:rsidRPr="00AA5447">
              <w:rPr>
                <w:sz w:val="20"/>
                <w:szCs w:val="20"/>
              </w:rPr>
              <w:t>a summary tab would be included in the relevant regulator’s financial reporting template to provide a high level summary of key financial and price information; and</w:t>
            </w:r>
          </w:p>
          <w:p w14:paraId="43567E82" w14:textId="77777777" w:rsidR="00AF55B3" w:rsidRPr="00AA5447" w:rsidRDefault="00C57D1C" w:rsidP="00AA5447">
            <w:pPr>
              <w:pStyle w:val="ListBullet"/>
              <w:numPr>
                <w:ilvl w:val="0"/>
                <w:numId w:val="133"/>
              </w:numPr>
              <w:ind w:left="357" w:hanging="357"/>
              <w:rPr>
                <w:sz w:val="20"/>
                <w:szCs w:val="20"/>
              </w:rPr>
            </w:pPr>
            <w:r w:rsidRPr="00AA5447">
              <w:rPr>
                <w:sz w:val="20"/>
                <w:szCs w:val="20"/>
              </w:rPr>
              <w:t xml:space="preserve">the relevant regulator would </w:t>
            </w:r>
            <w:r w:rsidR="00E94DF5" w:rsidRPr="00AA5447">
              <w:rPr>
                <w:sz w:val="20"/>
                <w:szCs w:val="20"/>
              </w:rPr>
              <w:t xml:space="preserve">be required to </w:t>
            </w:r>
            <w:r w:rsidR="004E5E36" w:rsidRPr="00AA5447">
              <w:rPr>
                <w:sz w:val="20"/>
                <w:szCs w:val="20"/>
              </w:rPr>
              <w:t xml:space="preserve">publish </w:t>
            </w:r>
            <w:r w:rsidRPr="00AA5447">
              <w:rPr>
                <w:sz w:val="20"/>
                <w:szCs w:val="20"/>
              </w:rPr>
              <w:t xml:space="preserve">a pricing template that shippers could use to transform the </w:t>
            </w:r>
            <w:r w:rsidR="00517663" w:rsidRPr="00AA5447">
              <w:rPr>
                <w:sz w:val="20"/>
                <w:szCs w:val="20"/>
              </w:rPr>
              <w:t>historical financial</w:t>
            </w:r>
            <w:r w:rsidRPr="00AA5447">
              <w:rPr>
                <w:sz w:val="20"/>
                <w:szCs w:val="20"/>
              </w:rPr>
              <w:t xml:space="preserve"> </w:t>
            </w:r>
            <w:r w:rsidR="00AF62B3" w:rsidRPr="00AA5447">
              <w:rPr>
                <w:sz w:val="20"/>
                <w:szCs w:val="20"/>
              </w:rPr>
              <w:t xml:space="preserve">and demand </w:t>
            </w:r>
            <w:r w:rsidRPr="00AA5447">
              <w:rPr>
                <w:sz w:val="20"/>
                <w:szCs w:val="20"/>
              </w:rPr>
              <w:t>information into one or more cost-based pricing benchmarks.</w:t>
            </w:r>
          </w:p>
        </w:tc>
      </w:tr>
    </w:tbl>
    <w:p w14:paraId="7BF6E864" w14:textId="77777777" w:rsidR="00933619" w:rsidRDefault="00933619" w:rsidP="00933619">
      <w:pPr>
        <w:pStyle w:val="BodyText"/>
      </w:pPr>
      <w:bookmarkStart w:id="185" w:name="_Ref18583747"/>
    </w:p>
    <w:p w14:paraId="51174FBE" w14:textId="5B0DB96D" w:rsidR="00A651D1" w:rsidRPr="006B4639" w:rsidRDefault="00B80405" w:rsidP="008805D6">
      <w:pPr>
        <w:pStyle w:val="Caption"/>
        <w:spacing w:after="0"/>
      </w:pPr>
      <w:bookmarkStart w:id="186" w:name="_Ref60237538"/>
      <w:r>
        <w:lastRenderedPageBreak/>
        <w:t xml:space="preserve">Box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8</w:t>
      </w:r>
      <w:r w:rsidR="00F323B2">
        <w:rPr>
          <w:noProof/>
        </w:rPr>
        <w:fldChar w:fldCharType="end"/>
      </w:r>
      <w:r>
        <w:t>.</w:t>
      </w:r>
      <w:r w:rsidR="00F323B2">
        <w:rPr>
          <w:noProof/>
        </w:rPr>
        <w:fldChar w:fldCharType="begin"/>
      </w:r>
      <w:r w:rsidR="00F323B2">
        <w:rPr>
          <w:noProof/>
        </w:rPr>
        <w:instrText xml:space="preserve"> SEQ Box \* ARABIC \s 1 </w:instrText>
      </w:r>
      <w:r w:rsidR="00F323B2">
        <w:rPr>
          <w:noProof/>
        </w:rPr>
        <w:fldChar w:fldCharType="separate"/>
      </w:r>
      <w:r w:rsidR="004031E8">
        <w:rPr>
          <w:noProof/>
        </w:rPr>
        <w:t>2</w:t>
      </w:r>
      <w:r w:rsidR="00F323B2">
        <w:rPr>
          <w:noProof/>
        </w:rPr>
        <w:fldChar w:fldCharType="end"/>
      </w:r>
      <w:bookmarkEnd w:id="186"/>
      <w:r>
        <w:t xml:space="preserve">: Single negotiation framework </w:t>
      </w:r>
      <w:bookmarkEnd w:id="185"/>
    </w:p>
    <w:tbl>
      <w:tblPr>
        <w:tblStyle w:val="PullOutBoxTable"/>
        <w:tblW w:w="5000" w:type="pct"/>
        <w:tblLook w:val="0600" w:firstRow="0" w:lastRow="0" w:firstColumn="0" w:lastColumn="0" w:noHBand="1" w:noVBand="1"/>
      </w:tblPr>
      <w:tblGrid>
        <w:gridCol w:w="8788"/>
      </w:tblGrid>
      <w:tr w:rsidR="00A651D1" w:rsidRPr="00AA5447" w14:paraId="4E2245E8" w14:textId="77777777" w:rsidTr="009158A9">
        <w:tc>
          <w:tcPr>
            <w:tcW w:w="5000" w:type="pct"/>
          </w:tcPr>
          <w:p w14:paraId="065B0CFC" w14:textId="77777777" w:rsidR="00E40555" w:rsidRPr="00AA5447" w:rsidRDefault="00475AE7" w:rsidP="00B605FF">
            <w:pPr>
              <w:pStyle w:val="BodyText"/>
              <w:spacing w:before="40" w:line="264" w:lineRule="auto"/>
              <w:rPr>
                <w:sz w:val="20"/>
                <w:szCs w:val="20"/>
              </w:rPr>
            </w:pPr>
            <w:r w:rsidRPr="00AA5447">
              <w:rPr>
                <w:rFonts w:asciiTheme="majorHAnsi" w:hAnsiTheme="majorHAnsi" w:cstheme="majorHAnsi"/>
                <w:sz w:val="20"/>
                <w:szCs w:val="20"/>
              </w:rPr>
              <w:t xml:space="preserve">A </w:t>
            </w:r>
            <w:r w:rsidR="00E40555" w:rsidRPr="00AA5447">
              <w:rPr>
                <w:sz w:val="20"/>
                <w:szCs w:val="20"/>
              </w:rPr>
              <w:t>single negotiation framework</w:t>
            </w:r>
            <w:r w:rsidRPr="00AA5447">
              <w:rPr>
                <w:sz w:val="20"/>
                <w:szCs w:val="20"/>
              </w:rPr>
              <w:t xml:space="preserve"> would </w:t>
            </w:r>
            <w:r w:rsidR="008165B5" w:rsidRPr="00AA5447">
              <w:rPr>
                <w:sz w:val="20"/>
                <w:szCs w:val="20"/>
              </w:rPr>
              <w:t>in the case of options 2, 3A and 3B</w:t>
            </w:r>
            <w:r w:rsidR="008F50FA" w:rsidRPr="00AA5447">
              <w:rPr>
                <w:sz w:val="20"/>
                <w:szCs w:val="20"/>
              </w:rPr>
              <w:t xml:space="preserve"> apply under </w:t>
            </w:r>
            <w:r w:rsidR="008165B5" w:rsidRPr="00AA5447">
              <w:rPr>
                <w:sz w:val="20"/>
                <w:szCs w:val="20"/>
              </w:rPr>
              <w:t xml:space="preserve">both forms of regulation, and </w:t>
            </w:r>
            <w:r w:rsidR="00015A3D" w:rsidRPr="00AA5447">
              <w:rPr>
                <w:sz w:val="20"/>
                <w:szCs w:val="20"/>
              </w:rPr>
              <w:t>f</w:t>
            </w:r>
            <w:r w:rsidR="002F26D9" w:rsidRPr="00AA5447">
              <w:rPr>
                <w:sz w:val="20"/>
                <w:szCs w:val="20"/>
              </w:rPr>
              <w:t>or</w:t>
            </w:r>
            <w:r w:rsidR="008165B5" w:rsidRPr="00AA5447">
              <w:rPr>
                <w:sz w:val="20"/>
                <w:szCs w:val="20"/>
              </w:rPr>
              <w:t xml:space="preserve"> option 4 </w:t>
            </w:r>
            <w:r w:rsidR="002F26D9" w:rsidRPr="00AA5447">
              <w:rPr>
                <w:sz w:val="20"/>
                <w:szCs w:val="20"/>
              </w:rPr>
              <w:t xml:space="preserve">would </w:t>
            </w:r>
            <w:r w:rsidR="008165B5" w:rsidRPr="00AA5447">
              <w:rPr>
                <w:sz w:val="20"/>
                <w:szCs w:val="20"/>
              </w:rPr>
              <w:t>a</w:t>
            </w:r>
            <w:r w:rsidR="00F77E24" w:rsidRPr="00AA5447">
              <w:rPr>
                <w:sz w:val="20"/>
                <w:szCs w:val="20"/>
              </w:rPr>
              <w:t xml:space="preserve">pply under the </w:t>
            </w:r>
            <w:r w:rsidR="00531979" w:rsidRPr="00AA5447">
              <w:rPr>
                <w:sz w:val="20"/>
                <w:szCs w:val="20"/>
              </w:rPr>
              <w:t>lighter</w:t>
            </w:r>
            <w:r w:rsidR="008165B5" w:rsidRPr="00AA5447">
              <w:rPr>
                <w:sz w:val="20"/>
                <w:szCs w:val="20"/>
              </w:rPr>
              <w:t xml:space="preserve"> form of regulation</w:t>
            </w:r>
            <w:r w:rsidRPr="00AA5447">
              <w:rPr>
                <w:sz w:val="20"/>
                <w:szCs w:val="20"/>
              </w:rPr>
              <w:t>. The single negotiation framework</w:t>
            </w:r>
            <w:r w:rsidR="00726835" w:rsidRPr="00AA5447">
              <w:rPr>
                <w:sz w:val="20"/>
                <w:szCs w:val="20"/>
              </w:rPr>
              <w:t>, which represents a hybrid of the two frameworks that currently apply under Part 23 and full regulation,</w:t>
            </w:r>
            <w:r w:rsidRPr="00AA5447">
              <w:rPr>
                <w:sz w:val="20"/>
                <w:szCs w:val="20"/>
              </w:rPr>
              <w:t xml:space="preserve"> is intended to </w:t>
            </w:r>
            <w:r w:rsidR="00743BB0" w:rsidRPr="00AA5447">
              <w:rPr>
                <w:sz w:val="20"/>
                <w:szCs w:val="20"/>
              </w:rPr>
              <w:t>operate as follows</w:t>
            </w:r>
            <w:r w:rsidR="00474924" w:rsidRPr="00AA5447">
              <w:rPr>
                <w:sz w:val="20"/>
                <w:szCs w:val="20"/>
              </w:rPr>
              <w:t>:</w:t>
            </w:r>
          </w:p>
          <w:p w14:paraId="6E0DD4AB" w14:textId="77777777" w:rsidR="00AF55B3" w:rsidRPr="00AA5447" w:rsidRDefault="00743BB0" w:rsidP="00AD36B8">
            <w:pPr>
              <w:pStyle w:val="ListBullet"/>
              <w:rPr>
                <w:sz w:val="20"/>
                <w:szCs w:val="20"/>
              </w:rPr>
            </w:pPr>
            <w:r w:rsidRPr="00AA5447">
              <w:rPr>
                <w:b/>
                <w:bCs/>
                <w:sz w:val="20"/>
                <w:szCs w:val="20"/>
              </w:rPr>
              <w:t>Access guide:</w:t>
            </w:r>
            <w:r w:rsidRPr="00AA5447">
              <w:rPr>
                <w:sz w:val="20"/>
                <w:szCs w:val="20"/>
              </w:rPr>
              <w:t xml:space="preserve"> A</w:t>
            </w:r>
            <w:r w:rsidR="00AF55B3" w:rsidRPr="00AA5447">
              <w:rPr>
                <w:sz w:val="20"/>
                <w:szCs w:val="20"/>
              </w:rPr>
              <w:t xml:space="preserve">ll service providers </w:t>
            </w:r>
            <w:r w:rsidRPr="00AA5447">
              <w:rPr>
                <w:sz w:val="20"/>
                <w:szCs w:val="20"/>
              </w:rPr>
              <w:t xml:space="preserve">would be required </w:t>
            </w:r>
            <w:r w:rsidR="00AF55B3" w:rsidRPr="00AA5447">
              <w:rPr>
                <w:sz w:val="20"/>
                <w:szCs w:val="20"/>
              </w:rPr>
              <w:t>to publish a user access guide (i.e. so that shippers have a better understanding of the process for seeking access);</w:t>
            </w:r>
          </w:p>
          <w:p w14:paraId="23A49C02" w14:textId="77777777" w:rsidR="008D7DE0" w:rsidRPr="00AA5447" w:rsidRDefault="00743BB0" w:rsidP="00AD36B8">
            <w:pPr>
              <w:pStyle w:val="ListBullet"/>
              <w:rPr>
                <w:sz w:val="20"/>
                <w:szCs w:val="20"/>
              </w:rPr>
            </w:pPr>
            <w:r w:rsidRPr="00AA5447">
              <w:rPr>
                <w:b/>
                <w:bCs/>
                <w:sz w:val="20"/>
                <w:szCs w:val="20"/>
              </w:rPr>
              <w:t>Preliminary enquiries:</w:t>
            </w:r>
            <w:r w:rsidRPr="00AA5447">
              <w:rPr>
                <w:sz w:val="20"/>
                <w:szCs w:val="20"/>
              </w:rPr>
              <w:t xml:space="preserve"> A </w:t>
            </w:r>
            <w:r w:rsidR="00BE0587" w:rsidRPr="00AA5447">
              <w:rPr>
                <w:sz w:val="20"/>
                <w:szCs w:val="20"/>
              </w:rPr>
              <w:t>preliminary enquiry process</w:t>
            </w:r>
            <w:r w:rsidRPr="00AA5447">
              <w:rPr>
                <w:sz w:val="20"/>
                <w:szCs w:val="20"/>
              </w:rPr>
              <w:t xml:space="preserve"> would be available, but it would</w:t>
            </w:r>
            <w:r w:rsidR="008D7DE0" w:rsidRPr="00AA5447">
              <w:rPr>
                <w:sz w:val="20"/>
                <w:szCs w:val="20"/>
              </w:rPr>
              <w:t>:</w:t>
            </w:r>
            <w:r w:rsidR="00BE0587" w:rsidRPr="00AA5447">
              <w:rPr>
                <w:sz w:val="20"/>
                <w:szCs w:val="20"/>
              </w:rPr>
              <w:t xml:space="preserve"> </w:t>
            </w:r>
          </w:p>
          <w:p w14:paraId="7D01C42D" w14:textId="77777777" w:rsidR="008D7DE0" w:rsidRPr="00AA5447" w:rsidRDefault="008D7DE0" w:rsidP="00AD36B8">
            <w:pPr>
              <w:pStyle w:val="ListBullet2"/>
              <w:rPr>
                <w:sz w:val="20"/>
                <w:szCs w:val="20"/>
              </w:rPr>
            </w:pPr>
            <w:r w:rsidRPr="00AA5447">
              <w:rPr>
                <w:sz w:val="20"/>
                <w:szCs w:val="20"/>
                <w:lang w:eastAsia="fr-CA"/>
              </w:rPr>
              <w:t xml:space="preserve">require the service provider to provide an initial response within </w:t>
            </w:r>
            <w:r w:rsidR="00576814" w:rsidRPr="00AA5447">
              <w:rPr>
                <w:sz w:val="20"/>
                <w:szCs w:val="20"/>
                <w:lang w:eastAsia="fr-CA"/>
              </w:rPr>
              <w:t xml:space="preserve">10 business days </w:t>
            </w:r>
            <w:r w:rsidR="00FD1E7A" w:rsidRPr="00AA5447">
              <w:rPr>
                <w:sz w:val="20"/>
                <w:szCs w:val="20"/>
                <w:lang w:eastAsia="fr-CA"/>
              </w:rPr>
              <w:t>stating whether it can provide the service or not, or if further investigations are required and</w:t>
            </w:r>
            <w:r w:rsidR="00220376" w:rsidRPr="00AA5447">
              <w:rPr>
                <w:sz w:val="20"/>
                <w:szCs w:val="20"/>
                <w:lang w:eastAsia="fr-CA"/>
              </w:rPr>
              <w:t>, if so,</w:t>
            </w:r>
            <w:r w:rsidR="00FD1E7A" w:rsidRPr="00AA5447">
              <w:rPr>
                <w:sz w:val="20"/>
                <w:szCs w:val="20"/>
                <w:lang w:eastAsia="fr-CA"/>
              </w:rPr>
              <w:t xml:space="preserve"> when it will provide an offer</w:t>
            </w:r>
            <w:r w:rsidRPr="00AA5447">
              <w:rPr>
                <w:sz w:val="20"/>
                <w:szCs w:val="20"/>
                <w:lang w:eastAsia="fr-CA"/>
              </w:rPr>
              <w:t>;</w:t>
            </w:r>
            <w:r w:rsidR="0072490D" w:rsidRPr="00AA5447">
              <w:rPr>
                <w:sz w:val="20"/>
                <w:szCs w:val="20"/>
                <w:lang w:eastAsia="fr-CA"/>
              </w:rPr>
              <w:t xml:space="preserve"> and</w:t>
            </w:r>
          </w:p>
          <w:p w14:paraId="47CFEF2E" w14:textId="77777777" w:rsidR="008D7DE0" w:rsidRPr="00AA5447" w:rsidRDefault="004E02C3" w:rsidP="00AD36B8">
            <w:pPr>
              <w:pStyle w:val="ListBullet2"/>
              <w:rPr>
                <w:sz w:val="20"/>
                <w:szCs w:val="20"/>
              </w:rPr>
            </w:pPr>
            <w:r w:rsidRPr="00AA5447">
              <w:rPr>
                <w:sz w:val="20"/>
                <w:szCs w:val="20"/>
              </w:rPr>
              <w:t xml:space="preserve">allow </w:t>
            </w:r>
            <w:r w:rsidRPr="00AA5447">
              <w:rPr>
                <w:sz w:val="20"/>
                <w:szCs w:val="20"/>
                <w:lang w:eastAsia="fr-CA"/>
              </w:rPr>
              <w:t xml:space="preserve">shippers to </w:t>
            </w:r>
            <w:r w:rsidR="002F065A" w:rsidRPr="00AA5447">
              <w:rPr>
                <w:sz w:val="20"/>
                <w:szCs w:val="20"/>
                <w:lang w:eastAsia="fr-CA"/>
              </w:rPr>
              <w:t>proceed</w:t>
            </w:r>
            <w:r w:rsidRPr="00AA5447">
              <w:rPr>
                <w:sz w:val="20"/>
                <w:szCs w:val="20"/>
                <w:lang w:eastAsia="fr-CA"/>
              </w:rPr>
              <w:t xml:space="preserve"> directly to </w:t>
            </w:r>
            <w:r w:rsidR="00D2722C" w:rsidRPr="00AA5447">
              <w:rPr>
                <w:sz w:val="20"/>
                <w:szCs w:val="20"/>
                <w:lang w:eastAsia="fr-CA"/>
              </w:rPr>
              <w:t xml:space="preserve">the </w:t>
            </w:r>
            <w:r w:rsidRPr="00AA5447">
              <w:rPr>
                <w:sz w:val="20"/>
                <w:szCs w:val="20"/>
                <w:lang w:eastAsia="fr-CA"/>
              </w:rPr>
              <w:t>negotiation</w:t>
            </w:r>
            <w:r w:rsidR="00D2722C" w:rsidRPr="00AA5447">
              <w:rPr>
                <w:sz w:val="20"/>
                <w:szCs w:val="20"/>
                <w:lang w:eastAsia="fr-CA"/>
              </w:rPr>
              <w:t xml:space="preserve"> stage</w:t>
            </w:r>
            <w:r w:rsidRPr="00AA5447">
              <w:rPr>
                <w:sz w:val="20"/>
                <w:szCs w:val="20"/>
                <w:lang w:eastAsia="fr-CA"/>
              </w:rPr>
              <w:t xml:space="preserve"> if an offer is provided by the service provider</w:t>
            </w:r>
            <w:r w:rsidR="0072490D" w:rsidRPr="00AA5447">
              <w:rPr>
                <w:sz w:val="20"/>
                <w:szCs w:val="20"/>
                <w:lang w:eastAsia="fr-CA"/>
              </w:rPr>
              <w:t xml:space="preserve"> in response to the preliminary enquiry.</w:t>
            </w:r>
          </w:p>
          <w:p w14:paraId="0F1782DE" w14:textId="77777777" w:rsidR="00290A5F" w:rsidRPr="00AA5447" w:rsidRDefault="008F1ED8" w:rsidP="00AD36B8">
            <w:pPr>
              <w:pStyle w:val="ListBullet"/>
              <w:rPr>
                <w:sz w:val="20"/>
                <w:szCs w:val="20"/>
              </w:rPr>
            </w:pPr>
            <w:r w:rsidRPr="00AA5447">
              <w:rPr>
                <w:b/>
                <w:bCs/>
                <w:sz w:val="20"/>
                <w:szCs w:val="20"/>
              </w:rPr>
              <w:t>Timeframes</w:t>
            </w:r>
            <w:r w:rsidR="00013AAE" w:rsidRPr="00AA5447">
              <w:rPr>
                <w:b/>
                <w:bCs/>
                <w:sz w:val="20"/>
                <w:szCs w:val="20"/>
              </w:rPr>
              <w:t xml:space="preserve"> for responses and negotiations</w:t>
            </w:r>
            <w:r w:rsidRPr="00AA5447">
              <w:rPr>
                <w:sz w:val="20"/>
                <w:szCs w:val="20"/>
              </w:rPr>
              <w:t xml:space="preserve">: </w:t>
            </w:r>
            <w:r w:rsidR="00290A5F" w:rsidRPr="00AA5447">
              <w:rPr>
                <w:sz w:val="20"/>
                <w:szCs w:val="20"/>
              </w:rPr>
              <w:t>The following timeframes would apply</w:t>
            </w:r>
            <w:r w:rsidR="00E77FB6" w:rsidRPr="00AA5447">
              <w:rPr>
                <w:sz w:val="20"/>
                <w:szCs w:val="20"/>
              </w:rPr>
              <w:t xml:space="preserve"> if an access request is made</w:t>
            </w:r>
            <w:r w:rsidR="00290A5F" w:rsidRPr="00AA5447">
              <w:rPr>
                <w:sz w:val="20"/>
                <w:szCs w:val="20"/>
              </w:rPr>
              <w:t>:</w:t>
            </w:r>
          </w:p>
          <w:p w14:paraId="1404393F" w14:textId="77777777" w:rsidR="007B51C3" w:rsidRPr="00AA5447" w:rsidRDefault="00A86B35" w:rsidP="00AD36B8">
            <w:pPr>
              <w:pStyle w:val="ListBullet2"/>
              <w:rPr>
                <w:sz w:val="20"/>
                <w:szCs w:val="20"/>
              </w:rPr>
            </w:pPr>
            <w:r w:rsidRPr="00AA5447">
              <w:rPr>
                <w:b/>
                <w:bCs/>
                <w:sz w:val="20"/>
                <w:szCs w:val="20"/>
              </w:rPr>
              <w:t>I</w:t>
            </w:r>
            <w:r w:rsidR="00581F11" w:rsidRPr="00AA5447">
              <w:rPr>
                <w:b/>
                <w:bCs/>
                <w:sz w:val="20"/>
                <w:szCs w:val="20"/>
              </w:rPr>
              <w:t>nitial response</w:t>
            </w:r>
            <w:r w:rsidR="007B51C3" w:rsidRPr="00AA5447">
              <w:rPr>
                <w:sz w:val="20"/>
                <w:szCs w:val="20"/>
              </w:rPr>
              <w:t>:</w:t>
            </w:r>
            <w:r w:rsidR="00565E7C" w:rsidRPr="00AA5447">
              <w:rPr>
                <w:sz w:val="20"/>
                <w:szCs w:val="20"/>
              </w:rPr>
              <w:t xml:space="preserve"> </w:t>
            </w:r>
            <w:r w:rsidR="00E77FB6" w:rsidRPr="00AA5447">
              <w:rPr>
                <w:sz w:val="20"/>
                <w:szCs w:val="20"/>
              </w:rPr>
              <w:t xml:space="preserve">The </w:t>
            </w:r>
            <w:r w:rsidR="00565E7C" w:rsidRPr="00AA5447">
              <w:rPr>
                <w:sz w:val="20"/>
                <w:szCs w:val="20"/>
              </w:rPr>
              <w:t xml:space="preserve">service provider </w:t>
            </w:r>
            <w:r w:rsidR="00E77FB6" w:rsidRPr="00AA5447">
              <w:rPr>
                <w:sz w:val="20"/>
                <w:szCs w:val="20"/>
              </w:rPr>
              <w:t xml:space="preserve">would be required to </w:t>
            </w:r>
            <w:r w:rsidR="00926AD5" w:rsidRPr="00AA5447">
              <w:rPr>
                <w:sz w:val="20"/>
                <w:szCs w:val="20"/>
              </w:rPr>
              <w:t xml:space="preserve">acknowledge receipt within </w:t>
            </w:r>
            <w:r w:rsidR="00565E7C" w:rsidRPr="00AA5447">
              <w:rPr>
                <w:sz w:val="20"/>
                <w:szCs w:val="20"/>
              </w:rPr>
              <w:t xml:space="preserve">5 business days </w:t>
            </w:r>
            <w:r w:rsidR="00926AD5" w:rsidRPr="00AA5447">
              <w:rPr>
                <w:sz w:val="20"/>
                <w:szCs w:val="20"/>
              </w:rPr>
              <w:t xml:space="preserve">and inform the shipper </w:t>
            </w:r>
            <w:r w:rsidR="00565E7C" w:rsidRPr="00AA5447">
              <w:rPr>
                <w:sz w:val="20"/>
                <w:szCs w:val="20"/>
              </w:rPr>
              <w:t xml:space="preserve">if the request is incomplete </w:t>
            </w:r>
            <w:r w:rsidR="00926AD5" w:rsidRPr="00AA5447">
              <w:rPr>
                <w:sz w:val="20"/>
                <w:szCs w:val="20"/>
              </w:rPr>
              <w:t>and, if so, what additional information is required</w:t>
            </w:r>
            <w:r w:rsidR="007B51C3" w:rsidRPr="00AA5447">
              <w:rPr>
                <w:sz w:val="20"/>
                <w:szCs w:val="20"/>
              </w:rPr>
              <w:t xml:space="preserve">. It must also inform the shipper within 10 business days </w:t>
            </w:r>
            <w:r w:rsidRPr="00AA5447">
              <w:rPr>
                <w:sz w:val="20"/>
                <w:szCs w:val="20"/>
              </w:rPr>
              <w:t xml:space="preserve">whether </w:t>
            </w:r>
            <w:r w:rsidR="007B51C3" w:rsidRPr="00AA5447">
              <w:rPr>
                <w:sz w:val="20"/>
                <w:szCs w:val="20"/>
              </w:rPr>
              <w:t>the service can be provided, or if further investigations are required.</w:t>
            </w:r>
          </w:p>
          <w:p w14:paraId="0114DB04" w14:textId="77777777" w:rsidR="007B51C3" w:rsidRPr="00AA5447" w:rsidRDefault="001D0AE2" w:rsidP="00AD36B8">
            <w:pPr>
              <w:pStyle w:val="ListBullet2"/>
              <w:rPr>
                <w:sz w:val="20"/>
                <w:szCs w:val="20"/>
              </w:rPr>
            </w:pPr>
            <w:r w:rsidRPr="00AA5447">
              <w:rPr>
                <w:b/>
                <w:bCs/>
                <w:sz w:val="20"/>
                <w:szCs w:val="20"/>
              </w:rPr>
              <w:t>Access offer</w:t>
            </w:r>
            <w:r w:rsidRPr="00AA5447">
              <w:rPr>
                <w:sz w:val="20"/>
                <w:szCs w:val="20"/>
              </w:rPr>
              <w:t>: The service provider would be required to provide an access offer within the time agreed b</w:t>
            </w:r>
            <w:r w:rsidR="00D03A6F" w:rsidRPr="00AA5447">
              <w:rPr>
                <w:sz w:val="20"/>
                <w:szCs w:val="20"/>
              </w:rPr>
              <w:t>y</w:t>
            </w:r>
            <w:r w:rsidRPr="00AA5447">
              <w:rPr>
                <w:sz w:val="20"/>
                <w:szCs w:val="20"/>
              </w:rPr>
              <w:t xml:space="preserve"> the parties, but if no time is agreed, within 20 business days of receiving the request if no further investigations are required, or within 60 business days of receiving the request if further investigations are </w:t>
            </w:r>
            <w:r w:rsidR="00A86B35" w:rsidRPr="00AA5447">
              <w:rPr>
                <w:sz w:val="20"/>
                <w:szCs w:val="20"/>
              </w:rPr>
              <w:t>required;</w:t>
            </w:r>
          </w:p>
          <w:p w14:paraId="1822D39D" w14:textId="77777777" w:rsidR="00A86B35" w:rsidRPr="00AA5447" w:rsidRDefault="00A86B35" w:rsidP="00AD36B8">
            <w:pPr>
              <w:pStyle w:val="ListBullet2"/>
              <w:rPr>
                <w:sz w:val="20"/>
                <w:szCs w:val="20"/>
              </w:rPr>
            </w:pPr>
            <w:r w:rsidRPr="00AA5447">
              <w:rPr>
                <w:b/>
                <w:bCs/>
                <w:sz w:val="20"/>
                <w:szCs w:val="20"/>
              </w:rPr>
              <w:t>Negotiations</w:t>
            </w:r>
            <w:r w:rsidRPr="00AA5447">
              <w:rPr>
                <w:sz w:val="20"/>
                <w:szCs w:val="20"/>
              </w:rPr>
              <w:t>: The parties would be required to agree on a negotiation timetable.</w:t>
            </w:r>
          </w:p>
          <w:p w14:paraId="0B1CF97E" w14:textId="6D5A9307" w:rsidR="00013AAE" w:rsidRPr="00AA5447" w:rsidRDefault="00013AAE" w:rsidP="00AD36B8">
            <w:pPr>
              <w:pStyle w:val="ListBullet"/>
              <w:rPr>
                <w:b/>
                <w:bCs/>
                <w:sz w:val="20"/>
                <w:szCs w:val="20"/>
              </w:rPr>
            </w:pPr>
            <w:r w:rsidRPr="00AA5447">
              <w:rPr>
                <w:b/>
                <w:bCs/>
                <w:sz w:val="20"/>
                <w:szCs w:val="20"/>
              </w:rPr>
              <w:t xml:space="preserve">Circumstances in which an offer would not be required to be made: </w:t>
            </w:r>
            <w:r w:rsidRPr="00AA5447">
              <w:rPr>
                <w:sz w:val="20"/>
                <w:szCs w:val="20"/>
              </w:rPr>
              <w:t>Consistent with the rules currently applying under Part 23, the only circumstance in which a service provider will not be required to make an offer is if it is not technically feasible or consistent with the safe and reliable operation to provide the service</w:t>
            </w:r>
            <w:r w:rsidR="009F0191" w:rsidRPr="00AA5447">
              <w:rPr>
                <w:sz w:val="20"/>
                <w:szCs w:val="20"/>
              </w:rPr>
              <w:t>.</w:t>
            </w:r>
            <w:r w:rsidR="00370905">
              <w:rPr>
                <w:rFonts w:ascii="ZWAdobeF" w:hAnsi="ZWAdobeF" w:cs="ZWAdobeF"/>
                <w:sz w:val="2"/>
                <w:szCs w:val="2"/>
              </w:rPr>
              <w:t>175F</w:t>
            </w:r>
            <w:r w:rsidRPr="00AA5447">
              <w:rPr>
                <w:rStyle w:val="FootnoteReference"/>
                <w:sz w:val="20"/>
                <w:szCs w:val="20"/>
              </w:rPr>
              <w:footnoteReference w:id="177"/>
            </w:r>
            <w:r w:rsidR="009F0191" w:rsidRPr="00AA5447">
              <w:rPr>
                <w:sz w:val="20"/>
                <w:szCs w:val="20"/>
              </w:rPr>
              <w:t xml:space="preserve"> If a service provider misrepresents its ability to provide a service, enforcement action could be taken. </w:t>
            </w:r>
          </w:p>
          <w:p w14:paraId="719C1260" w14:textId="77777777" w:rsidR="009F0191" w:rsidRPr="00AA5447" w:rsidRDefault="00A752A2" w:rsidP="00AD36B8">
            <w:pPr>
              <w:pStyle w:val="ListBullet"/>
              <w:rPr>
                <w:sz w:val="20"/>
                <w:szCs w:val="20"/>
              </w:rPr>
            </w:pPr>
            <w:r w:rsidRPr="00AA5447">
              <w:rPr>
                <w:b/>
                <w:bCs/>
                <w:sz w:val="20"/>
                <w:szCs w:val="20"/>
              </w:rPr>
              <w:t>I</w:t>
            </w:r>
            <w:r w:rsidR="00132956" w:rsidRPr="00AA5447">
              <w:rPr>
                <w:b/>
                <w:bCs/>
                <w:sz w:val="20"/>
                <w:szCs w:val="20"/>
              </w:rPr>
              <w:t>nformation</w:t>
            </w:r>
            <w:r w:rsidR="009F0191" w:rsidRPr="00AA5447">
              <w:rPr>
                <w:b/>
                <w:bCs/>
                <w:sz w:val="20"/>
                <w:szCs w:val="20"/>
              </w:rPr>
              <w:t xml:space="preserve"> disclosure</w:t>
            </w:r>
            <w:r w:rsidR="00132956" w:rsidRPr="00AA5447">
              <w:rPr>
                <w:b/>
                <w:bCs/>
                <w:sz w:val="20"/>
                <w:szCs w:val="20"/>
              </w:rPr>
              <w:t>:</w:t>
            </w:r>
            <w:r w:rsidR="00132956" w:rsidRPr="00AA5447">
              <w:rPr>
                <w:sz w:val="20"/>
                <w:szCs w:val="20"/>
              </w:rPr>
              <w:t xml:space="preserve"> </w:t>
            </w:r>
            <w:r w:rsidRPr="00AA5447">
              <w:rPr>
                <w:sz w:val="20"/>
                <w:szCs w:val="20"/>
              </w:rPr>
              <w:t xml:space="preserve">Shippers would be able to obtain additional information during negotiations in the same manner as that currently provided for under Part 23. </w:t>
            </w:r>
          </w:p>
          <w:p w14:paraId="0B79ECE5" w14:textId="77777777" w:rsidR="00F66636" w:rsidRPr="00AA5447" w:rsidRDefault="009F0191" w:rsidP="00AD36B8">
            <w:pPr>
              <w:pStyle w:val="ListBullet"/>
              <w:rPr>
                <w:sz w:val="20"/>
                <w:szCs w:val="20"/>
              </w:rPr>
            </w:pPr>
            <w:r w:rsidRPr="00AA5447">
              <w:rPr>
                <w:b/>
                <w:bCs/>
                <w:sz w:val="20"/>
                <w:szCs w:val="20"/>
              </w:rPr>
              <w:t>Standards to apply to information disclosures:</w:t>
            </w:r>
            <w:r w:rsidRPr="00AA5447">
              <w:rPr>
                <w:sz w:val="20"/>
                <w:szCs w:val="20"/>
              </w:rPr>
              <w:t xml:space="preserve"> </w:t>
            </w:r>
            <w:r w:rsidR="00132956" w:rsidRPr="00AA5447">
              <w:rPr>
                <w:sz w:val="20"/>
                <w:szCs w:val="20"/>
              </w:rPr>
              <w:t xml:space="preserve">The </w:t>
            </w:r>
            <w:r w:rsidR="00F66636" w:rsidRPr="00AA5447">
              <w:rPr>
                <w:sz w:val="20"/>
                <w:szCs w:val="20"/>
              </w:rPr>
              <w:t xml:space="preserve">access information standard </w:t>
            </w:r>
            <w:r w:rsidR="00132956" w:rsidRPr="00AA5447">
              <w:rPr>
                <w:sz w:val="20"/>
                <w:szCs w:val="20"/>
              </w:rPr>
              <w:t xml:space="preserve">would apply </w:t>
            </w:r>
            <w:r w:rsidR="00F66636" w:rsidRPr="00AA5447">
              <w:rPr>
                <w:sz w:val="20"/>
                <w:szCs w:val="20"/>
              </w:rPr>
              <w:t>to any information exchanged during the preliminary enquiry, access offer and negotiation stages.</w:t>
            </w:r>
          </w:p>
          <w:p w14:paraId="5F81BA5F" w14:textId="77777777" w:rsidR="00880CFE" w:rsidRPr="00AA5447" w:rsidRDefault="008F1ED8" w:rsidP="00AD36B8">
            <w:pPr>
              <w:pStyle w:val="ListBullet"/>
              <w:rPr>
                <w:sz w:val="20"/>
                <w:szCs w:val="20"/>
              </w:rPr>
            </w:pPr>
            <w:r w:rsidRPr="00AA5447">
              <w:rPr>
                <w:b/>
                <w:bCs/>
                <w:sz w:val="20"/>
                <w:szCs w:val="20"/>
              </w:rPr>
              <w:t>Access dispute trigger:</w:t>
            </w:r>
            <w:r w:rsidRPr="00AA5447">
              <w:rPr>
                <w:sz w:val="20"/>
                <w:szCs w:val="20"/>
              </w:rPr>
              <w:t xml:space="preserve"> </w:t>
            </w:r>
            <w:r w:rsidR="00FF53B6" w:rsidRPr="00AA5447">
              <w:rPr>
                <w:sz w:val="20"/>
                <w:szCs w:val="20"/>
              </w:rPr>
              <w:t xml:space="preserve">A dispute could be triggered by either party </w:t>
            </w:r>
            <w:r w:rsidR="00880CFE" w:rsidRPr="00AA5447">
              <w:rPr>
                <w:sz w:val="20"/>
                <w:szCs w:val="20"/>
              </w:rPr>
              <w:t>if:</w:t>
            </w:r>
          </w:p>
          <w:p w14:paraId="0ED7BCA9" w14:textId="77777777" w:rsidR="00880CFE" w:rsidRPr="00AA5447" w:rsidRDefault="00880CFE" w:rsidP="00AD36B8">
            <w:pPr>
              <w:pStyle w:val="ListBullet2"/>
              <w:rPr>
                <w:sz w:val="20"/>
                <w:szCs w:val="20"/>
              </w:rPr>
            </w:pPr>
            <w:r w:rsidRPr="00AA5447">
              <w:rPr>
                <w:sz w:val="20"/>
                <w:szCs w:val="20"/>
              </w:rPr>
              <w:t>the shipper disagrees with any of the responses provided by the service provider in response to its request (including a refusal to provide the service</w:t>
            </w:r>
            <w:r w:rsidR="006B71B9" w:rsidRPr="00AA5447">
              <w:rPr>
                <w:sz w:val="20"/>
                <w:szCs w:val="20"/>
              </w:rPr>
              <w:t xml:space="preserve"> because it is not technically feasible, or consistent with the safe and reliable operation of the pipeline</w:t>
            </w:r>
            <w:r w:rsidRPr="00AA5447">
              <w:rPr>
                <w:sz w:val="20"/>
                <w:szCs w:val="20"/>
              </w:rPr>
              <w:t>); or</w:t>
            </w:r>
          </w:p>
          <w:p w14:paraId="056D5353" w14:textId="77777777" w:rsidR="00A651D1" w:rsidRPr="00AA5447" w:rsidRDefault="00F66636" w:rsidP="00AD36B8">
            <w:pPr>
              <w:pStyle w:val="ListBullet2"/>
              <w:rPr>
                <w:sz w:val="20"/>
                <w:szCs w:val="20"/>
              </w:rPr>
            </w:pPr>
            <w:r w:rsidRPr="00AA5447">
              <w:rPr>
                <w:sz w:val="20"/>
                <w:szCs w:val="20"/>
                <w:lang w:eastAsia="fr-CA"/>
              </w:rPr>
              <w:t xml:space="preserve">an agreement is not reached within </w:t>
            </w:r>
            <w:r w:rsidR="00D540AA" w:rsidRPr="00AA5447">
              <w:rPr>
                <w:sz w:val="20"/>
                <w:szCs w:val="20"/>
                <w:lang w:eastAsia="fr-CA"/>
              </w:rPr>
              <w:t xml:space="preserve">the timeframe </w:t>
            </w:r>
            <w:r w:rsidR="006B71B9" w:rsidRPr="00AA5447">
              <w:rPr>
                <w:sz w:val="20"/>
                <w:szCs w:val="20"/>
                <w:lang w:eastAsia="fr-CA"/>
              </w:rPr>
              <w:t>agreed to in the negotiation timetable</w:t>
            </w:r>
            <w:r w:rsidRPr="00AA5447">
              <w:rPr>
                <w:sz w:val="20"/>
                <w:szCs w:val="20"/>
                <w:lang w:eastAsia="fr-CA"/>
              </w:rPr>
              <w:t xml:space="preserve"> (note the parties can agree to extend the day count).</w:t>
            </w:r>
          </w:p>
        </w:tc>
      </w:tr>
    </w:tbl>
    <w:p w14:paraId="13E0BC50" w14:textId="77777777" w:rsidR="00B605FF" w:rsidRDefault="00B605FF" w:rsidP="00B605FF">
      <w:pPr>
        <w:pStyle w:val="BodyText"/>
      </w:pPr>
      <w:bookmarkStart w:id="187" w:name="_Ref50453589"/>
    </w:p>
    <w:p w14:paraId="2FA4F32C" w14:textId="62A11D16" w:rsidR="00A54604" w:rsidRPr="006B4639" w:rsidRDefault="00A54604" w:rsidP="00A54604">
      <w:pPr>
        <w:pStyle w:val="Caption"/>
        <w:spacing w:after="0"/>
      </w:pPr>
      <w:bookmarkStart w:id="188" w:name="_Ref59434235"/>
      <w:r w:rsidRPr="00A92B63">
        <w:lastRenderedPageBreak/>
        <w:t xml:space="preserve">Box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8</w:t>
      </w:r>
      <w:r w:rsidR="00F323B2">
        <w:rPr>
          <w:noProof/>
        </w:rPr>
        <w:fldChar w:fldCharType="end"/>
      </w:r>
      <w:r w:rsidR="00B80405">
        <w:t>.</w:t>
      </w:r>
      <w:r w:rsidR="00F323B2">
        <w:rPr>
          <w:noProof/>
        </w:rPr>
        <w:fldChar w:fldCharType="begin"/>
      </w:r>
      <w:r w:rsidR="00F323B2">
        <w:rPr>
          <w:noProof/>
        </w:rPr>
        <w:instrText xml:space="preserve"> SEQ Box \* ARABIC \s 1 </w:instrText>
      </w:r>
      <w:r w:rsidR="00F323B2">
        <w:rPr>
          <w:noProof/>
        </w:rPr>
        <w:fldChar w:fldCharType="separate"/>
      </w:r>
      <w:r w:rsidR="004031E8">
        <w:rPr>
          <w:noProof/>
        </w:rPr>
        <w:t>3</w:t>
      </w:r>
      <w:r w:rsidR="00F323B2">
        <w:rPr>
          <w:noProof/>
        </w:rPr>
        <w:fldChar w:fldCharType="end"/>
      </w:r>
      <w:bookmarkEnd w:id="187"/>
      <w:bookmarkEnd w:id="188"/>
      <w:r w:rsidRPr="00A92B63">
        <w:t xml:space="preserve">: Improvements to the </w:t>
      </w:r>
      <w:r w:rsidR="00A92B63" w:rsidRPr="00A92B63">
        <w:t xml:space="preserve">full regulation </w:t>
      </w:r>
      <w:r w:rsidRPr="00A92B63">
        <w:t xml:space="preserve">dispute resolution mechanism </w:t>
      </w:r>
    </w:p>
    <w:tbl>
      <w:tblPr>
        <w:tblStyle w:val="PullOutBoxTable"/>
        <w:tblW w:w="5000" w:type="pct"/>
        <w:tblLook w:val="0600" w:firstRow="0" w:lastRow="0" w:firstColumn="0" w:lastColumn="0" w:noHBand="1" w:noVBand="1"/>
      </w:tblPr>
      <w:tblGrid>
        <w:gridCol w:w="8788"/>
      </w:tblGrid>
      <w:tr w:rsidR="00A54604" w:rsidRPr="00611CCA" w14:paraId="6F16F921" w14:textId="77777777" w:rsidTr="00CF688C">
        <w:tc>
          <w:tcPr>
            <w:tcW w:w="5000" w:type="pct"/>
          </w:tcPr>
          <w:p w14:paraId="6611BBF8" w14:textId="77777777" w:rsidR="00A54604" w:rsidRPr="00611CCA" w:rsidRDefault="00A54604" w:rsidP="00B605FF">
            <w:pPr>
              <w:pStyle w:val="BodyText"/>
              <w:keepNext/>
              <w:widowControl w:val="0"/>
              <w:spacing w:before="40" w:line="264" w:lineRule="auto"/>
              <w:ind w:left="85"/>
              <w:rPr>
                <w:rFonts w:asciiTheme="majorHAnsi" w:hAnsiTheme="majorHAnsi" w:cstheme="majorHAnsi"/>
                <w:sz w:val="20"/>
                <w:szCs w:val="20"/>
              </w:rPr>
            </w:pPr>
            <w:r w:rsidRPr="00611CCA">
              <w:rPr>
                <w:rFonts w:asciiTheme="majorHAnsi" w:hAnsiTheme="majorHAnsi" w:cstheme="majorHAnsi"/>
                <w:sz w:val="20"/>
                <w:szCs w:val="20"/>
              </w:rPr>
              <w:t xml:space="preserve">To address the deficiencies that have been identified with the dispute resolution mechanism applying under full regulation, this mechanism would be amended to: </w:t>
            </w:r>
          </w:p>
          <w:p w14:paraId="516502E4" w14:textId="77777777" w:rsidR="00A54604" w:rsidRPr="00611CCA" w:rsidRDefault="00A54604" w:rsidP="00B605FF">
            <w:pPr>
              <w:pStyle w:val="TableBullet10"/>
              <w:keepNext/>
              <w:widowControl w:val="0"/>
              <w:spacing w:before="40" w:after="120" w:line="264" w:lineRule="auto"/>
              <w:rPr>
                <w:sz w:val="20"/>
                <w:szCs w:val="20"/>
                <w:lang w:eastAsia="fr-CA"/>
              </w:rPr>
            </w:pPr>
            <w:r w:rsidRPr="00611CCA">
              <w:rPr>
                <w:sz w:val="20"/>
                <w:szCs w:val="20"/>
                <w:lang w:eastAsia="fr-CA"/>
              </w:rPr>
              <w:t>require the dispute resolution body to have regard to the NGO, the revenue and pricing principles, the applicable AA, previous AAs/determinations, pre-existing contractual rights, the operational and technical requirements necessary for the safe and reliable operation of the pipeline and applicable provisions in Part 9 of the NGR when making a determination;</w:t>
            </w:r>
          </w:p>
          <w:p w14:paraId="2B2CD0F4" w14:textId="77777777" w:rsidR="00A54604" w:rsidRPr="00611CCA" w:rsidRDefault="00A54604" w:rsidP="00B605FF">
            <w:pPr>
              <w:pStyle w:val="TableBullet10"/>
              <w:keepNext/>
              <w:widowControl w:val="0"/>
              <w:spacing w:before="40" w:after="120" w:line="264" w:lineRule="auto"/>
              <w:rPr>
                <w:rFonts w:asciiTheme="majorHAnsi" w:hAnsiTheme="majorHAnsi" w:cstheme="majorHAnsi"/>
                <w:sz w:val="20"/>
                <w:szCs w:val="20"/>
              </w:rPr>
            </w:pPr>
            <w:r w:rsidRPr="00611CCA">
              <w:rPr>
                <w:sz w:val="20"/>
                <w:szCs w:val="20"/>
                <w:lang w:eastAsia="fr-CA"/>
              </w:rPr>
              <w:t xml:space="preserve">provide additional guidance on the role of the dispute resolution expert and the process for appointing and using the evidence of such an expert; </w:t>
            </w:r>
          </w:p>
          <w:p w14:paraId="7158D83C" w14:textId="77777777" w:rsidR="00A54604" w:rsidRPr="00611CCA" w:rsidRDefault="00A54604" w:rsidP="00B605FF">
            <w:pPr>
              <w:pStyle w:val="bulleta"/>
              <w:keepNext/>
              <w:widowControl w:val="0"/>
              <w:spacing w:after="120" w:line="264" w:lineRule="auto"/>
              <w:rPr>
                <w:rFonts w:ascii="Arial" w:hAnsi="Arial" w:cs="Arial"/>
                <w:sz w:val="20"/>
                <w:szCs w:val="20"/>
              </w:rPr>
            </w:pPr>
            <w:r w:rsidRPr="00611CCA">
              <w:rPr>
                <w:rFonts w:ascii="Arial" w:hAnsi="Arial" w:cs="Arial"/>
                <w:sz w:val="20"/>
                <w:szCs w:val="20"/>
              </w:rPr>
              <w:t>better facilitate joint dispute hearings</w:t>
            </w:r>
            <w:r w:rsidR="008805D6" w:rsidRPr="00611CCA">
              <w:rPr>
                <w:rFonts w:ascii="Arial" w:hAnsi="Arial" w:cs="Arial"/>
                <w:sz w:val="20"/>
                <w:szCs w:val="20"/>
              </w:rPr>
              <w:t xml:space="preserve"> </w:t>
            </w:r>
            <w:r w:rsidR="008805D6" w:rsidRPr="00611CCA">
              <w:rPr>
                <w:sz w:val="20"/>
                <w:szCs w:val="20"/>
              </w:rPr>
              <w:t>by requiring the existence of a dispute to be made public and setting out the process for joining parties</w:t>
            </w:r>
            <w:r w:rsidRPr="00611CCA">
              <w:rPr>
                <w:rFonts w:ascii="Arial" w:hAnsi="Arial" w:cs="Arial"/>
                <w:sz w:val="20"/>
                <w:szCs w:val="20"/>
              </w:rPr>
              <w:t>;</w:t>
            </w:r>
          </w:p>
          <w:p w14:paraId="786C6D74" w14:textId="77777777" w:rsidR="00A54604" w:rsidRPr="00611CCA" w:rsidRDefault="00A54604" w:rsidP="00B605FF">
            <w:pPr>
              <w:pStyle w:val="bulleta"/>
              <w:keepNext/>
              <w:spacing w:after="120" w:line="264" w:lineRule="auto"/>
              <w:rPr>
                <w:rFonts w:ascii="Arial" w:hAnsi="Arial" w:cs="Arial"/>
                <w:sz w:val="20"/>
                <w:szCs w:val="20"/>
              </w:rPr>
            </w:pPr>
            <w:r w:rsidRPr="00611CCA">
              <w:rPr>
                <w:rFonts w:ascii="Arial" w:hAnsi="Arial" w:cs="Arial"/>
                <w:sz w:val="20"/>
                <w:szCs w:val="20"/>
              </w:rPr>
              <w:t xml:space="preserve">introduce a </w:t>
            </w:r>
            <w:r w:rsidR="008805D6" w:rsidRPr="00611CCA">
              <w:rPr>
                <w:rFonts w:ascii="Arial" w:hAnsi="Arial" w:cs="Arial"/>
                <w:sz w:val="20"/>
                <w:szCs w:val="20"/>
              </w:rPr>
              <w:t xml:space="preserve">50-day </w:t>
            </w:r>
            <w:r w:rsidRPr="00611CCA">
              <w:rPr>
                <w:rFonts w:ascii="Arial" w:hAnsi="Arial" w:cs="Arial"/>
                <w:sz w:val="20"/>
                <w:szCs w:val="20"/>
              </w:rPr>
              <w:t>fast track option for the regulatory-oriented negotiate-arbitrate model and specify the maximum period of time the dispute resolution body has to make a decision under this model</w:t>
            </w:r>
            <w:r w:rsidR="00B13F69" w:rsidRPr="00611CCA">
              <w:rPr>
                <w:rFonts w:ascii="Arial" w:hAnsi="Arial" w:cs="Arial"/>
                <w:sz w:val="20"/>
                <w:szCs w:val="20"/>
              </w:rPr>
              <w:t xml:space="preserve">, which would be aligned with the time the relevant regulator has to </w:t>
            </w:r>
            <w:r w:rsidR="00FA371D" w:rsidRPr="00611CCA">
              <w:rPr>
                <w:rFonts w:ascii="Arial" w:hAnsi="Arial" w:cs="Arial"/>
                <w:sz w:val="20"/>
                <w:szCs w:val="20"/>
              </w:rPr>
              <w:t>review an AA</w:t>
            </w:r>
            <w:r w:rsidRPr="00611CCA">
              <w:rPr>
                <w:rFonts w:ascii="Arial" w:hAnsi="Arial" w:cs="Arial"/>
                <w:sz w:val="20"/>
                <w:szCs w:val="20"/>
              </w:rPr>
              <w:t xml:space="preserve"> (i.e. </w:t>
            </w:r>
            <w:r w:rsidR="008805D6" w:rsidRPr="00611CCA">
              <w:rPr>
                <w:rFonts w:ascii="Arial" w:hAnsi="Arial" w:cs="Arial"/>
                <w:sz w:val="20"/>
                <w:szCs w:val="20"/>
              </w:rPr>
              <w:t>eight</w:t>
            </w:r>
            <w:r w:rsidRPr="00611CCA">
              <w:rPr>
                <w:rFonts w:ascii="Arial" w:hAnsi="Arial" w:cs="Arial"/>
                <w:sz w:val="20"/>
                <w:szCs w:val="20"/>
              </w:rPr>
              <w:t xml:space="preserve"> months);</w:t>
            </w:r>
          </w:p>
          <w:p w14:paraId="72AFFE7D" w14:textId="77777777" w:rsidR="00A54604" w:rsidRPr="00611CCA" w:rsidRDefault="00A54604" w:rsidP="00B605FF">
            <w:pPr>
              <w:pStyle w:val="bulleta"/>
              <w:keepNext/>
              <w:spacing w:after="120" w:line="264" w:lineRule="auto"/>
              <w:rPr>
                <w:sz w:val="20"/>
                <w:szCs w:val="20"/>
              </w:rPr>
            </w:pPr>
            <w:r w:rsidRPr="00611CCA">
              <w:rPr>
                <w:rFonts w:ascii="Arial" w:hAnsi="Arial" w:cs="Arial"/>
                <w:sz w:val="20"/>
                <w:szCs w:val="20"/>
              </w:rPr>
              <w:t xml:space="preserve">amend the dispute resolution mechanism so that: </w:t>
            </w:r>
          </w:p>
          <w:p w14:paraId="64C2EB48" w14:textId="77777777" w:rsidR="00A54604" w:rsidRPr="00611CCA" w:rsidRDefault="00A54604" w:rsidP="000A3668">
            <w:pPr>
              <w:pStyle w:val="bulleta"/>
              <w:keepNext/>
              <w:numPr>
                <w:ilvl w:val="0"/>
                <w:numId w:val="68"/>
              </w:numPr>
              <w:spacing w:after="120" w:line="264" w:lineRule="auto"/>
              <w:ind w:left="714" w:hanging="357"/>
              <w:rPr>
                <w:sz w:val="20"/>
                <w:szCs w:val="20"/>
              </w:rPr>
            </w:pPr>
            <w:r w:rsidRPr="00611CCA">
              <w:rPr>
                <w:rFonts w:ascii="Arial" w:hAnsi="Arial" w:cs="Arial"/>
                <w:sz w:val="20"/>
                <w:szCs w:val="20"/>
              </w:rPr>
              <w:t>an access determination is only binding on the parties if the shipper decides to enter into a contract that reflects the access determination; and</w:t>
            </w:r>
          </w:p>
          <w:p w14:paraId="24C91C53" w14:textId="77777777" w:rsidR="00A54604" w:rsidRPr="00611CCA" w:rsidRDefault="00A54604" w:rsidP="000A3668">
            <w:pPr>
              <w:pStyle w:val="bulleta"/>
              <w:keepNext/>
              <w:numPr>
                <w:ilvl w:val="0"/>
                <w:numId w:val="68"/>
              </w:numPr>
              <w:spacing w:after="120" w:line="264" w:lineRule="auto"/>
              <w:ind w:left="714" w:hanging="357"/>
              <w:rPr>
                <w:sz w:val="20"/>
                <w:szCs w:val="20"/>
              </w:rPr>
            </w:pPr>
            <w:r w:rsidRPr="00611CCA">
              <w:rPr>
                <w:sz w:val="20"/>
                <w:szCs w:val="20"/>
              </w:rPr>
              <w:t>if a shipper decides not to enter into such a contract, it is prohibited from seeking arbitration for the same or a substantially similar service for 12 months.</w:t>
            </w:r>
          </w:p>
          <w:p w14:paraId="52505698" w14:textId="77777777" w:rsidR="00A54604" w:rsidRPr="00611CCA" w:rsidRDefault="00A54604" w:rsidP="00B605FF">
            <w:pPr>
              <w:pStyle w:val="bulleta"/>
              <w:keepNext/>
              <w:spacing w:after="120" w:line="264" w:lineRule="auto"/>
              <w:rPr>
                <w:sz w:val="20"/>
                <w:szCs w:val="20"/>
              </w:rPr>
            </w:pPr>
            <w:r w:rsidRPr="00611CCA">
              <w:rPr>
                <w:rFonts w:cs="Arial"/>
                <w:sz w:val="20"/>
                <w:szCs w:val="20"/>
              </w:rPr>
              <w:t xml:space="preserve">require the dispute resolution body to </w:t>
            </w:r>
            <w:r w:rsidRPr="00611CCA">
              <w:rPr>
                <w:sz w:val="20"/>
                <w:szCs w:val="20"/>
                <w:lang w:eastAsia="fr-CA"/>
              </w:rPr>
              <w:t xml:space="preserve">publish the </w:t>
            </w:r>
            <w:r w:rsidRPr="00611CCA">
              <w:rPr>
                <w:sz w:val="20"/>
                <w:szCs w:val="20"/>
              </w:rPr>
              <w:t>access determination, statement of reasons, relevant financial calculations and, where appropriate, information provided in the course of the dispute (subject to the confidentiality provisions in the NGL).</w:t>
            </w:r>
          </w:p>
        </w:tc>
      </w:tr>
    </w:tbl>
    <w:p w14:paraId="5F60671D" w14:textId="77777777" w:rsidR="00EE1097" w:rsidRPr="002C239E" w:rsidRDefault="00EE1097" w:rsidP="002C239E">
      <w:pPr>
        <w:pStyle w:val="Caption"/>
        <w:spacing w:before="0" w:after="0"/>
        <w:rPr>
          <w:sz w:val="2"/>
          <w:szCs w:val="2"/>
        </w:rPr>
      </w:pPr>
    </w:p>
    <w:p w14:paraId="1060B4C1" w14:textId="77777777" w:rsidR="00742033" w:rsidRDefault="00857981" w:rsidP="00AF6DC3">
      <w:pPr>
        <w:pStyle w:val="Heading2"/>
        <w:spacing w:before="240"/>
      </w:pPr>
      <w:bookmarkStart w:id="189" w:name="_Toc62219425"/>
      <w:bookmarkStart w:id="190" w:name="_Hlk60672683"/>
      <w:bookmarkEnd w:id="181"/>
      <w:r>
        <w:t>Key differences between the reform options</w:t>
      </w:r>
      <w:bookmarkEnd w:id="189"/>
      <w:r>
        <w:t xml:space="preserve"> </w:t>
      </w:r>
    </w:p>
    <w:p w14:paraId="69031532" w14:textId="77777777" w:rsidR="00857981" w:rsidRDefault="00857981" w:rsidP="00857981">
      <w:pPr>
        <w:pStyle w:val="BodyText"/>
        <w:spacing w:line="252" w:lineRule="auto"/>
      </w:pPr>
      <w:r>
        <w:rPr>
          <w:bCs/>
        </w:rPr>
        <w:t xml:space="preserve">As the names of the options indicate, Option 2 provides for a </w:t>
      </w:r>
      <w:r>
        <w:rPr>
          <w:i/>
          <w:iCs/>
        </w:rPr>
        <w:t>winding back</w:t>
      </w:r>
      <w:r>
        <w:t xml:space="preserve"> of regulation from the position reached in 2017 when all pipelines providing third party access became subject to some form of regulation. Options 3B and 4, on the other hand, provide for an expansion of the scope of regulation to include </w:t>
      </w:r>
      <w:r w:rsidRPr="0094642C">
        <w:rPr>
          <w:u w:val="single"/>
        </w:rPr>
        <w:t>all</w:t>
      </w:r>
      <w:r>
        <w:t xml:space="preserve"> pipelines, with the key difference between the two being the form that the stronger form of regulation would take under the two options (i.e. full regulation under Option 3B versus direct price control under Option 4). Further detail on the key differences between these reform options and the current regulatory framework, as reflected in Option 1, is provided below.</w:t>
      </w:r>
    </w:p>
    <w:p w14:paraId="36510B23" w14:textId="77777777" w:rsidR="00742033" w:rsidRPr="006B4639" w:rsidRDefault="00742033" w:rsidP="002F1C85">
      <w:pPr>
        <w:pStyle w:val="Heading3"/>
        <w:spacing w:before="120" w:after="120"/>
      </w:pPr>
      <w:r w:rsidRPr="006B4639">
        <w:t xml:space="preserve">Option 2: Regulation of pipelines with substantial market power </w:t>
      </w:r>
    </w:p>
    <w:p w14:paraId="5E250DBD" w14:textId="77777777" w:rsidR="00E674B5" w:rsidRPr="006B4639" w:rsidRDefault="00097999" w:rsidP="00E674B5">
      <w:pPr>
        <w:pStyle w:val="BodyText"/>
      </w:pPr>
      <w:r>
        <w:t xml:space="preserve">The key point of difference between Option 2 and the </w:t>
      </w:r>
      <w:r w:rsidR="00857981">
        <w:t>current regulatory framework</w:t>
      </w:r>
      <w:r>
        <w:t xml:space="preserve"> is that </w:t>
      </w:r>
      <w:r w:rsidR="000306D2" w:rsidRPr="006B4639">
        <w:t>O</w:t>
      </w:r>
      <w:r w:rsidR="00BD0146" w:rsidRPr="006B4639">
        <w:t xml:space="preserve">ption </w:t>
      </w:r>
      <w:r>
        <w:t xml:space="preserve">2 provides for </w:t>
      </w:r>
      <w:r w:rsidR="00BA359F">
        <w:t xml:space="preserve">a full </w:t>
      </w:r>
      <w:r w:rsidR="00E674B5" w:rsidRPr="006B4639">
        <w:t xml:space="preserve">exemption from regulation to be obtained </w:t>
      </w:r>
      <w:r w:rsidR="00A418D3">
        <w:t xml:space="preserve">by pipelines </w:t>
      </w:r>
      <w:r w:rsidR="00857981">
        <w:t xml:space="preserve">where </w:t>
      </w:r>
      <w:r w:rsidR="00E674B5" w:rsidRPr="006B4639">
        <w:t xml:space="preserve">it can be demonstrated that </w:t>
      </w:r>
      <w:r w:rsidR="00882509">
        <w:t>the</w:t>
      </w:r>
      <w:r w:rsidR="00E674B5" w:rsidRPr="006B4639">
        <w:t xml:space="preserve"> pipeline does </w:t>
      </w:r>
      <w:r w:rsidR="00E674B5" w:rsidRPr="00097999">
        <w:rPr>
          <w:b/>
          <w:bCs/>
        </w:rPr>
        <w:t>not</w:t>
      </w:r>
      <w:r w:rsidR="00E674B5" w:rsidRPr="006B4639">
        <w:t xml:space="preserve"> have substantial market power, or</w:t>
      </w:r>
      <w:r w:rsidR="00882509">
        <w:t>, in the case of new pipelines,</w:t>
      </w:r>
      <w:r w:rsidR="00E674B5" w:rsidRPr="006B4639">
        <w:t xml:space="preserve"> </w:t>
      </w:r>
      <w:r w:rsidR="00B22BC3">
        <w:t xml:space="preserve">if a </w:t>
      </w:r>
      <w:r w:rsidR="00E674B5" w:rsidRPr="006B4639">
        <w:t>greenfield exemption</w:t>
      </w:r>
      <w:r w:rsidR="00B22BC3">
        <w:t xml:space="preserve"> is granted</w:t>
      </w:r>
      <w:r w:rsidR="00E674B5" w:rsidRPr="006B4639">
        <w:t xml:space="preserve">. The threshold for regulation under this option is therefore </w:t>
      </w:r>
      <w:r w:rsidR="003E7AC1" w:rsidRPr="006B4639">
        <w:t xml:space="preserve">higher than it is under </w:t>
      </w:r>
      <w:r w:rsidR="00E674B5" w:rsidRPr="006B4639">
        <w:t>Option 1</w:t>
      </w:r>
      <w:r w:rsidR="00857981">
        <w:t xml:space="preserve"> and would </w:t>
      </w:r>
      <w:r w:rsidR="00B8118F">
        <w:t>result in regulation being wound back from the status quo</w:t>
      </w:r>
      <w:r w:rsidR="00E674B5" w:rsidRPr="006B4639">
        <w:t xml:space="preserve">. </w:t>
      </w:r>
    </w:p>
    <w:p w14:paraId="4E8CE533" w14:textId="77777777" w:rsidR="00AE5457" w:rsidRDefault="00AE5457" w:rsidP="00E74081">
      <w:pPr>
        <w:pStyle w:val="BodyText"/>
        <w:spacing w:before="60"/>
      </w:pPr>
      <w:r>
        <w:t xml:space="preserve">The other </w:t>
      </w:r>
      <w:r w:rsidR="00E674B5" w:rsidRPr="006B4639">
        <w:t>key difference</w:t>
      </w:r>
      <w:r>
        <w:t>s</w:t>
      </w:r>
      <w:r w:rsidR="00E674B5" w:rsidRPr="006B4639">
        <w:t xml:space="preserve"> between </w:t>
      </w:r>
      <w:r w:rsidR="007500A9">
        <w:t xml:space="preserve">the when and how to regulate elements of </w:t>
      </w:r>
      <w:r w:rsidR="00857981">
        <w:t xml:space="preserve">Option 2 and the </w:t>
      </w:r>
      <w:r w:rsidR="00F93204">
        <w:t xml:space="preserve">current framework </w:t>
      </w:r>
      <w:r>
        <w:t xml:space="preserve">are </w:t>
      </w:r>
      <w:r w:rsidR="00E674B5" w:rsidRPr="006B4639">
        <w:t>that</w:t>
      </w:r>
      <w:r>
        <w:t>:</w:t>
      </w:r>
      <w:r w:rsidR="00E674B5" w:rsidRPr="006B4639">
        <w:t xml:space="preserve"> </w:t>
      </w:r>
    </w:p>
    <w:p w14:paraId="0E41B1B1" w14:textId="3DDF698B" w:rsidR="00AE5457" w:rsidRDefault="00CF674B" w:rsidP="00AD36B8">
      <w:pPr>
        <w:pStyle w:val="ListBullet"/>
      </w:pPr>
      <w:r>
        <w:rPr>
          <w:lang w:eastAsia="en-US"/>
        </w:rPr>
        <w:t xml:space="preserve">the coverage test would be removed from the regulatory framework and </w:t>
      </w:r>
      <w:r w:rsidR="00A418D3">
        <w:rPr>
          <w:lang w:eastAsia="en-US"/>
        </w:rPr>
        <w:t xml:space="preserve">the </w:t>
      </w:r>
      <w:r w:rsidR="00E674B5" w:rsidRPr="006B4639">
        <w:t>market power-NGO test</w:t>
      </w:r>
      <w:r w:rsidR="00A418D3">
        <w:t xml:space="preserve"> would be used to determine whether </w:t>
      </w:r>
      <w:r w:rsidR="00F2177A">
        <w:t>any exemptions from regulation should be granted</w:t>
      </w:r>
      <w:r>
        <w:t>, or if third party access should be provided</w:t>
      </w:r>
      <w:r w:rsidR="00AE5457">
        <w:t>;</w:t>
      </w:r>
      <w:r w:rsidR="00E674B5" w:rsidRPr="006B4639">
        <w:t xml:space="preserve"> </w:t>
      </w:r>
    </w:p>
    <w:p w14:paraId="7A4ACDD8" w14:textId="77777777" w:rsidR="008F0FE8" w:rsidRDefault="008F0FE8" w:rsidP="008F0FE8">
      <w:pPr>
        <w:pStyle w:val="ListBullet"/>
        <w:rPr>
          <w:lang w:eastAsia="en-US"/>
        </w:rPr>
      </w:pPr>
      <w:r>
        <w:rPr>
          <w:lang w:eastAsia="en-US"/>
        </w:rPr>
        <w:lastRenderedPageBreak/>
        <w:t xml:space="preserve">the CTP </w:t>
      </w:r>
      <w:r w:rsidRPr="005A54CF">
        <w:rPr>
          <w:lang w:eastAsia="en-US"/>
        </w:rPr>
        <w:t xml:space="preserve">and 15-year no coverage </w:t>
      </w:r>
      <w:r>
        <w:rPr>
          <w:lang w:eastAsia="en-US"/>
        </w:rPr>
        <w:t xml:space="preserve">determination provisions </w:t>
      </w:r>
      <w:r w:rsidRPr="005A54CF">
        <w:rPr>
          <w:lang w:eastAsia="en-US"/>
        </w:rPr>
        <w:t xml:space="preserve">would be replaced with a single greenfield </w:t>
      </w:r>
      <w:r>
        <w:rPr>
          <w:lang w:eastAsia="en-US"/>
        </w:rPr>
        <w:t>exemption</w:t>
      </w:r>
      <w:r w:rsidRPr="005A54CF">
        <w:rPr>
          <w:lang w:eastAsia="en-US"/>
        </w:rPr>
        <w:t xml:space="preserve"> </w:t>
      </w:r>
      <w:r>
        <w:rPr>
          <w:lang w:eastAsia="en-US"/>
        </w:rPr>
        <w:t xml:space="preserve">that would enable new pipelines to obtain an exemption from the stronger form of regulation for up to 15 years, </w:t>
      </w:r>
      <w:r w:rsidRPr="005A54CF">
        <w:t>where it can be demonstrated the pipeline is unlikely to have substantial market power over the exemption period</w:t>
      </w:r>
      <w:r>
        <w:rPr>
          <w:lang w:eastAsia="en-US"/>
        </w:rPr>
        <w:t xml:space="preserve">; </w:t>
      </w:r>
    </w:p>
    <w:p w14:paraId="094A96D1" w14:textId="77777777" w:rsidR="00277211" w:rsidRDefault="00277211" w:rsidP="00AD36B8">
      <w:pPr>
        <w:pStyle w:val="ListBullet"/>
      </w:pPr>
      <w:r>
        <w:t xml:space="preserve">there would be </w:t>
      </w:r>
      <w:r w:rsidR="00AA535D">
        <w:t>just</w:t>
      </w:r>
      <w:r>
        <w:t xml:space="preserve"> two forms of regulation, with the </w:t>
      </w:r>
      <w:r w:rsidR="008A613C">
        <w:t>stronger</w:t>
      </w:r>
      <w:r>
        <w:t xml:space="preserve"> form based on full regulation and the lighter form based on a strengthened Part 23</w:t>
      </w:r>
      <w:r w:rsidR="00E231F2">
        <w:t>;</w:t>
      </w:r>
    </w:p>
    <w:p w14:paraId="485C0CCA" w14:textId="46C75540" w:rsidR="00CA38BA" w:rsidRDefault="00CF674B" w:rsidP="00AD36B8">
      <w:pPr>
        <w:pStyle w:val="ListBullet"/>
      </w:pPr>
      <w:r>
        <w:t xml:space="preserve">decisions about </w:t>
      </w:r>
      <w:r w:rsidR="00DC1B20">
        <w:t xml:space="preserve">the </w:t>
      </w:r>
      <w:r>
        <w:t xml:space="preserve">form </w:t>
      </w:r>
      <w:r w:rsidRPr="00132299">
        <w:t xml:space="preserve">of regulation </w:t>
      </w:r>
      <w:r w:rsidR="00DC1B20" w:rsidRPr="00132299">
        <w:t xml:space="preserve">to </w:t>
      </w:r>
      <w:r w:rsidR="00277211" w:rsidRPr="00132299">
        <w:t xml:space="preserve">apply to a pipeline </w:t>
      </w:r>
      <w:r w:rsidRPr="00132299">
        <w:t xml:space="preserve">would be made on the basis </w:t>
      </w:r>
      <w:r w:rsidR="00277211" w:rsidRPr="00132299">
        <w:t xml:space="preserve">of the existing </w:t>
      </w:r>
      <w:r w:rsidR="000F0D73" w:rsidRPr="00132299">
        <w:t>form of regulation test,</w:t>
      </w:r>
      <w:r w:rsidR="00370905">
        <w:rPr>
          <w:rFonts w:ascii="ZWAdobeF" w:hAnsi="ZWAdobeF" w:cs="ZWAdobeF"/>
          <w:sz w:val="2"/>
          <w:szCs w:val="2"/>
        </w:rPr>
        <w:t>176F</w:t>
      </w:r>
      <w:r w:rsidR="00132299">
        <w:rPr>
          <w:rStyle w:val="FootnoteReference"/>
        </w:rPr>
        <w:footnoteReference w:id="178"/>
      </w:r>
      <w:r w:rsidR="000F0D73" w:rsidRPr="00132299">
        <w:t xml:space="preserve"> so it would</w:t>
      </w:r>
      <w:r w:rsidR="000F0D73">
        <w:t xml:space="preserve"> be easier to move between the forms of regulation</w:t>
      </w:r>
      <w:r w:rsidR="00A83CDC">
        <w:t xml:space="preserve"> </w:t>
      </w:r>
      <w:r w:rsidR="008E7747">
        <w:t xml:space="preserve">and </w:t>
      </w:r>
      <w:r w:rsidR="00A83CDC">
        <w:t xml:space="preserve">the </w:t>
      </w:r>
      <w:r w:rsidR="00DC1B20">
        <w:t xml:space="preserve">application of the </w:t>
      </w:r>
      <w:r w:rsidR="008A613C">
        <w:t>stronger</w:t>
      </w:r>
      <w:r w:rsidR="00A83CDC">
        <w:t xml:space="preserve"> form </w:t>
      </w:r>
      <w:r w:rsidR="008E7747">
        <w:t xml:space="preserve">would pose </w:t>
      </w:r>
      <w:r w:rsidR="00A83CDC">
        <w:t xml:space="preserve">a </w:t>
      </w:r>
      <w:r w:rsidR="00DC1B20">
        <w:t xml:space="preserve">more credible </w:t>
      </w:r>
      <w:r w:rsidR="00A83CDC">
        <w:t xml:space="preserve">threat to </w:t>
      </w:r>
      <w:r w:rsidR="008E7747">
        <w:t>service providers</w:t>
      </w:r>
      <w:r w:rsidR="000F0D73">
        <w:t xml:space="preserve">; </w:t>
      </w:r>
    </w:p>
    <w:p w14:paraId="472ECEB9" w14:textId="77777777" w:rsidR="000F0D73" w:rsidRDefault="000F0D73" w:rsidP="00AD36B8">
      <w:pPr>
        <w:pStyle w:val="ListBullet"/>
      </w:pPr>
      <w:r>
        <w:t xml:space="preserve">a single decision making body </w:t>
      </w:r>
      <w:r w:rsidRPr="006B4639">
        <w:t xml:space="preserve">would </w:t>
      </w:r>
      <w:r>
        <w:t xml:space="preserve">be responsible </w:t>
      </w:r>
      <w:r w:rsidRPr="006B4639">
        <w:t xml:space="preserve">for </w:t>
      </w:r>
      <w:r w:rsidR="00C3541D">
        <w:t xml:space="preserve">deciding whether a pipeline should be exempt from regulation and for making third party access, greenfield exemption and </w:t>
      </w:r>
      <w:r w:rsidRPr="006B4639">
        <w:t>form of regulation decisions</w:t>
      </w:r>
      <w:r w:rsidR="00BC1AEA">
        <w:t>.</w:t>
      </w:r>
    </w:p>
    <w:p w14:paraId="69BD60E0" w14:textId="77777777" w:rsidR="007500A9" w:rsidRDefault="00963049" w:rsidP="00E674B5">
      <w:pPr>
        <w:pStyle w:val="BodyText"/>
        <w:rPr>
          <w:lang w:eastAsia="en-US"/>
        </w:rPr>
      </w:pPr>
      <w:r>
        <w:rPr>
          <w:lang w:eastAsia="en-US"/>
        </w:rPr>
        <w:t xml:space="preserve">Option 2 </w:t>
      </w:r>
      <w:r w:rsidR="00E674B5" w:rsidRPr="006B4639">
        <w:rPr>
          <w:lang w:eastAsia="en-US"/>
        </w:rPr>
        <w:t>also provides for</w:t>
      </w:r>
      <w:r w:rsidR="007500A9">
        <w:rPr>
          <w:lang w:eastAsia="en-US"/>
        </w:rPr>
        <w:t>:</w:t>
      </w:r>
      <w:r w:rsidR="00E674B5" w:rsidRPr="006B4639">
        <w:rPr>
          <w:lang w:eastAsia="en-US"/>
        </w:rPr>
        <w:t xml:space="preserve"> </w:t>
      </w:r>
    </w:p>
    <w:p w14:paraId="213A7121" w14:textId="77777777" w:rsidR="007500A9" w:rsidRDefault="003E7AC1" w:rsidP="00AD36B8">
      <w:pPr>
        <w:pStyle w:val="ListBullet"/>
        <w:rPr>
          <w:lang w:eastAsia="en-US"/>
        </w:rPr>
      </w:pPr>
      <w:r w:rsidRPr="006B4639">
        <w:rPr>
          <w:lang w:eastAsia="en-US"/>
        </w:rPr>
        <w:t xml:space="preserve">some improvements to the </w:t>
      </w:r>
      <w:r w:rsidR="00E674B5" w:rsidRPr="006B4639">
        <w:rPr>
          <w:lang w:eastAsia="en-US"/>
        </w:rPr>
        <w:t xml:space="preserve">information disclosure obligations applying under the </w:t>
      </w:r>
      <w:r w:rsidR="008A613C">
        <w:rPr>
          <w:lang w:eastAsia="en-US"/>
        </w:rPr>
        <w:t>stronger</w:t>
      </w:r>
      <w:r w:rsidRPr="006B4639">
        <w:rPr>
          <w:lang w:eastAsia="en-US"/>
        </w:rPr>
        <w:t xml:space="preserve"> </w:t>
      </w:r>
      <w:r w:rsidR="00E674B5" w:rsidRPr="006B4639">
        <w:rPr>
          <w:lang w:eastAsia="en-US"/>
        </w:rPr>
        <w:t>form of regulation</w:t>
      </w:r>
      <w:r w:rsidR="007500A9">
        <w:rPr>
          <w:lang w:eastAsia="en-US"/>
        </w:rPr>
        <w:t xml:space="preserve"> but not to the lighter form of regulation;</w:t>
      </w:r>
      <w:r w:rsidR="001A10C7">
        <w:rPr>
          <w:lang w:eastAsia="en-US"/>
        </w:rPr>
        <w:t xml:space="preserve"> </w:t>
      </w:r>
    </w:p>
    <w:p w14:paraId="5A12CD36" w14:textId="77777777" w:rsidR="007500A9" w:rsidRDefault="007500A9" w:rsidP="00AD36B8">
      <w:pPr>
        <w:pStyle w:val="ListBullet"/>
        <w:rPr>
          <w:lang w:eastAsia="en-US"/>
        </w:rPr>
      </w:pPr>
      <w:r>
        <w:rPr>
          <w:lang w:eastAsia="en-US"/>
        </w:rPr>
        <w:t>the adoption of a single negotiation framework</w:t>
      </w:r>
      <w:r w:rsidR="000B0497">
        <w:rPr>
          <w:lang w:eastAsia="en-US"/>
        </w:rPr>
        <w:t xml:space="preserve"> that would apply under both forms of regulation</w:t>
      </w:r>
      <w:r>
        <w:rPr>
          <w:lang w:eastAsia="en-US"/>
        </w:rPr>
        <w:t xml:space="preserve">; </w:t>
      </w:r>
    </w:p>
    <w:p w14:paraId="1E5782BC" w14:textId="77777777" w:rsidR="00E74081" w:rsidRDefault="007500A9" w:rsidP="00AD36B8">
      <w:pPr>
        <w:pStyle w:val="ListBullet"/>
        <w:rPr>
          <w:lang w:eastAsia="en-US"/>
        </w:rPr>
      </w:pPr>
      <w:r>
        <w:rPr>
          <w:lang w:eastAsia="en-US"/>
        </w:rPr>
        <w:t>a number of changes to the dispute resolution mechanism that would apply under the stronger form of regulation</w:t>
      </w:r>
      <w:r w:rsidR="00E74081">
        <w:rPr>
          <w:lang w:eastAsia="en-US"/>
        </w:rPr>
        <w:t>;</w:t>
      </w:r>
      <w:r w:rsidR="000B0497">
        <w:rPr>
          <w:lang w:eastAsia="en-US"/>
        </w:rPr>
        <w:t xml:space="preserve"> and</w:t>
      </w:r>
    </w:p>
    <w:p w14:paraId="1E3F3247" w14:textId="77777777" w:rsidR="00E74081" w:rsidRDefault="00E74081" w:rsidP="00AD36B8">
      <w:pPr>
        <w:pStyle w:val="ListBullet"/>
        <w:rPr>
          <w:lang w:eastAsia="en-US"/>
        </w:rPr>
      </w:pPr>
      <w:r>
        <w:rPr>
          <w:lang w:eastAsia="en-US"/>
        </w:rPr>
        <w:t xml:space="preserve">changes </w:t>
      </w:r>
      <w:r w:rsidR="00CE0783">
        <w:rPr>
          <w:lang w:eastAsia="en-US"/>
        </w:rPr>
        <w:t xml:space="preserve">to the </w:t>
      </w:r>
      <w:r w:rsidR="00A70D12">
        <w:rPr>
          <w:lang w:eastAsia="en-US"/>
        </w:rPr>
        <w:t xml:space="preserve">cost provisions </w:t>
      </w:r>
      <w:r w:rsidR="001217DF">
        <w:rPr>
          <w:lang w:eastAsia="en-US"/>
        </w:rPr>
        <w:t xml:space="preserve">in </w:t>
      </w:r>
      <w:r w:rsidR="00CE0783">
        <w:rPr>
          <w:lang w:eastAsia="en-US"/>
        </w:rPr>
        <w:t xml:space="preserve">the </w:t>
      </w:r>
      <w:r w:rsidR="00531979">
        <w:rPr>
          <w:lang w:eastAsia="en-US"/>
        </w:rPr>
        <w:t xml:space="preserve">stronger </w:t>
      </w:r>
      <w:r w:rsidR="00CE0783">
        <w:rPr>
          <w:lang w:eastAsia="en-US"/>
        </w:rPr>
        <w:t xml:space="preserve">and </w:t>
      </w:r>
      <w:r w:rsidR="00531979">
        <w:rPr>
          <w:lang w:eastAsia="en-US"/>
        </w:rPr>
        <w:t>lighter</w:t>
      </w:r>
      <w:r w:rsidR="00CE0783">
        <w:rPr>
          <w:lang w:eastAsia="en-US"/>
        </w:rPr>
        <w:t xml:space="preserve"> </w:t>
      </w:r>
      <w:r w:rsidR="001217DF">
        <w:rPr>
          <w:lang w:eastAsia="en-US"/>
        </w:rPr>
        <w:t xml:space="preserve">dispute resolution mechanisms to </w:t>
      </w:r>
      <w:r w:rsidR="00E674B5" w:rsidRPr="006B4639">
        <w:rPr>
          <w:lang w:eastAsia="en-US"/>
        </w:rPr>
        <w:t>strengthen the bargaining position of smaller shippers.</w:t>
      </w:r>
      <w:r w:rsidR="00963049">
        <w:rPr>
          <w:lang w:eastAsia="en-US"/>
        </w:rPr>
        <w:t xml:space="preserve"> </w:t>
      </w:r>
    </w:p>
    <w:p w14:paraId="7978884F" w14:textId="77777777" w:rsidR="00E674B5" w:rsidRPr="006B4639" w:rsidRDefault="00E74081" w:rsidP="00E74081">
      <w:pPr>
        <w:pStyle w:val="BodyText"/>
        <w:spacing w:before="120"/>
        <w:rPr>
          <w:lang w:eastAsia="en-US"/>
        </w:rPr>
      </w:pPr>
      <w:r>
        <w:rPr>
          <w:lang w:eastAsia="en-US"/>
        </w:rPr>
        <w:t xml:space="preserve">Option 2 </w:t>
      </w:r>
      <w:r w:rsidR="00963049">
        <w:rPr>
          <w:lang w:eastAsia="en-US"/>
        </w:rPr>
        <w:t xml:space="preserve">does </w:t>
      </w:r>
      <w:r w:rsidR="00963049" w:rsidRPr="00F93204">
        <w:rPr>
          <w:b/>
          <w:bCs/>
          <w:lang w:eastAsia="en-US"/>
        </w:rPr>
        <w:t>not</w:t>
      </w:r>
      <w:r w:rsidR="00963049">
        <w:rPr>
          <w:lang w:eastAsia="en-US"/>
        </w:rPr>
        <w:t>, however, include any specific measures to deal with dynamic market power</w:t>
      </w:r>
      <w:r w:rsidR="00F93204">
        <w:rPr>
          <w:lang w:eastAsia="en-US"/>
        </w:rPr>
        <w:t>,</w:t>
      </w:r>
      <w:r w:rsidR="00963049">
        <w:rPr>
          <w:lang w:eastAsia="en-US"/>
        </w:rPr>
        <w:t xml:space="preserve"> or to address the deficiencies that have been identified in the information reported by pipelines subject to light regulation and Part 23. </w:t>
      </w:r>
      <w:r w:rsidR="004C013E">
        <w:rPr>
          <w:lang w:eastAsia="en-US"/>
        </w:rPr>
        <w:t xml:space="preserve">It also does not go as far as options 3A, 3B and 4 in terms of </w:t>
      </w:r>
      <w:r w:rsidR="002F1C85">
        <w:rPr>
          <w:lang w:eastAsia="en-US"/>
        </w:rPr>
        <w:t>strengthening the bargaining position of</w:t>
      </w:r>
      <w:r w:rsidR="004C013E">
        <w:rPr>
          <w:lang w:eastAsia="en-US"/>
        </w:rPr>
        <w:t xml:space="preserve"> smaller shippers. </w:t>
      </w:r>
    </w:p>
    <w:p w14:paraId="20123995" w14:textId="77777777" w:rsidR="00742033" w:rsidRPr="006B4639" w:rsidRDefault="00742033" w:rsidP="004C013E">
      <w:pPr>
        <w:pStyle w:val="Heading3"/>
      </w:pPr>
      <w:r w:rsidRPr="006B4639">
        <w:t>Option 3</w:t>
      </w:r>
      <w:r w:rsidR="007410DB">
        <w:t>A</w:t>
      </w:r>
      <w:r w:rsidRPr="006B4639">
        <w:t xml:space="preserve">: Regulation of </w:t>
      </w:r>
      <w:r w:rsidR="00FC51C8" w:rsidRPr="006B4639">
        <w:t xml:space="preserve">all </w:t>
      </w:r>
      <w:r w:rsidR="00397545" w:rsidRPr="006B4639">
        <w:t>3</w:t>
      </w:r>
      <w:r w:rsidR="00397545" w:rsidRPr="006B4639">
        <w:rPr>
          <w:vertAlign w:val="superscript"/>
        </w:rPr>
        <w:t>rd</w:t>
      </w:r>
      <w:r w:rsidR="00397545" w:rsidRPr="006B4639">
        <w:t xml:space="preserve"> party access </w:t>
      </w:r>
      <w:r w:rsidR="001430CC" w:rsidRPr="006B4639">
        <w:t xml:space="preserve">pipelines </w:t>
      </w:r>
      <w:r w:rsidR="00397545" w:rsidRPr="006B4639">
        <w:t xml:space="preserve">plus </w:t>
      </w:r>
      <w:r w:rsidR="00275877" w:rsidRPr="006B4639">
        <w:t xml:space="preserve">pipelines not providing </w:t>
      </w:r>
      <w:r w:rsidRPr="006B4639">
        <w:t>3</w:t>
      </w:r>
      <w:r w:rsidRPr="006B4639">
        <w:rPr>
          <w:vertAlign w:val="superscript"/>
        </w:rPr>
        <w:t>rd</w:t>
      </w:r>
      <w:r w:rsidRPr="006B4639">
        <w:t xml:space="preserve"> party access </w:t>
      </w:r>
      <w:r w:rsidR="00275877" w:rsidRPr="006B4639">
        <w:t xml:space="preserve">if they </w:t>
      </w:r>
      <w:r w:rsidR="00397545" w:rsidRPr="006B4639">
        <w:t xml:space="preserve">pass </w:t>
      </w:r>
      <w:r w:rsidR="004C013E">
        <w:t xml:space="preserve">third party access </w:t>
      </w:r>
      <w:r w:rsidR="00397545" w:rsidRPr="006B4639">
        <w:t xml:space="preserve">test </w:t>
      </w:r>
    </w:p>
    <w:p w14:paraId="7637DEC5" w14:textId="77777777" w:rsidR="000C6201" w:rsidRPr="006B4639" w:rsidRDefault="00F93204" w:rsidP="00AC1AE7">
      <w:pPr>
        <w:pStyle w:val="BodyText"/>
        <w:rPr>
          <w:lang w:eastAsia="en-US"/>
        </w:rPr>
      </w:pPr>
      <w:r>
        <w:rPr>
          <w:lang w:eastAsia="en-US"/>
        </w:rPr>
        <w:t>In contrast to Option 2, t</w:t>
      </w:r>
      <w:r w:rsidRPr="006B4639">
        <w:rPr>
          <w:lang w:eastAsia="en-US"/>
        </w:rPr>
        <w:t xml:space="preserve">he </w:t>
      </w:r>
      <w:r w:rsidR="00D023EA" w:rsidRPr="006B4639">
        <w:rPr>
          <w:lang w:eastAsia="en-US"/>
        </w:rPr>
        <w:t xml:space="preserve">threshold </w:t>
      </w:r>
      <w:r w:rsidR="00403D82" w:rsidRPr="006B4639">
        <w:rPr>
          <w:lang w:eastAsia="en-US"/>
        </w:rPr>
        <w:t xml:space="preserve">for regulation under </w:t>
      </w:r>
      <w:r w:rsidR="00275877" w:rsidRPr="006B4639">
        <w:rPr>
          <w:lang w:eastAsia="en-US"/>
        </w:rPr>
        <w:t>Option 3</w:t>
      </w:r>
      <w:r w:rsidR="007410DB">
        <w:rPr>
          <w:lang w:eastAsia="en-US"/>
        </w:rPr>
        <w:t>A</w:t>
      </w:r>
      <w:r w:rsidR="00275877" w:rsidRPr="006B4639">
        <w:rPr>
          <w:lang w:eastAsia="en-US"/>
        </w:rPr>
        <w:t xml:space="preserve"> is the same as </w:t>
      </w:r>
      <w:r w:rsidR="00097999">
        <w:rPr>
          <w:lang w:eastAsia="en-US"/>
        </w:rPr>
        <w:t>the current regulatory framework</w:t>
      </w:r>
      <w:r w:rsidR="00A658DF" w:rsidRPr="006B4639">
        <w:rPr>
          <w:lang w:eastAsia="en-US"/>
        </w:rPr>
        <w:t>. T</w:t>
      </w:r>
      <w:r w:rsidR="00FC51C8" w:rsidRPr="006B4639">
        <w:rPr>
          <w:lang w:eastAsia="en-US"/>
        </w:rPr>
        <w:t xml:space="preserve">hat is all pipelines providing third party access </w:t>
      </w:r>
      <w:r w:rsidR="00A658DF" w:rsidRPr="006B4639">
        <w:rPr>
          <w:lang w:eastAsia="en-US"/>
        </w:rPr>
        <w:t xml:space="preserve">would </w:t>
      </w:r>
      <w:r w:rsidR="00FC51C8" w:rsidRPr="006B4639">
        <w:rPr>
          <w:lang w:eastAsia="en-US"/>
        </w:rPr>
        <w:t xml:space="preserve">be subject to some form of regulation and there </w:t>
      </w:r>
      <w:r w:rsidR="00A658DF" w:rsidRPr="006B4639">
        <w:rPr>
          <w:lang w:eastAsia="en-US"/>
        </w:rPr>
        <w:t xml:space="preserve">would </w:t>
      </w:r>
      <w:r w:rsidR="00FC51C8" w:rsidRPr="006B4639">
        <w:rPr>
          <w:lang w:eastAsia="en-US"/>
        </w:rPr>
        <w:t xml:space="preserve">be a mechanism </w:t>
      </w:r>
      <w:r w:rsidR="00A658DF" w:rsidRPr="006B4639">
        <w:rPr>
          <w:lang w:eastAsia="en-US"/>
        </w:rPr>
        <w:t xml:space="preserve">that </w:t>
      </w:r>
      <w:r w:rsidR="00FC51C8" w:rsidRPr="006B4639">
        <w:rPr>
          <w:lang w:eastAsia="en-US"/>
        </w:rPr>
        <w:t xml:space="preserve">shippers </w:t>
      </w:r>
      <w:r w:rsidR="00A658DF" w:rsidRPr="006B4639">
        <w:rPr>
          <w:lang w:eastAsia="en-US"/>
        </w:rPr>
        <w:t xml:space="preserve">could use to </w:t>
      </w:r>
      <w:r w:rsidR="00275877" w:rsidRPr="006B4639">
        <w:rPr>
          <w:lang w:eastAsia="en-US"/>
        </w:rPr>
        <w:t xml:space="preserve">seek </w:t>
      </w:r>
      <w:r w:rsidR="00FC51C8" w:rsidRPr="006B4639">
        <w:rPr>
          <w:lang w:eastAsia="en-US"/>
        </w:rPr>
        <w:t xml:space="preserve">access to pipelines </w:t>
      </w:r>
      <w:r w:rsidR="00A658DF" w:rsidRPr="006B4639">
        <w:rPr>
          <w:lang w:eastAsia="en-US"/>
        </w:rPr>
        <w:t xml:space="preserve">that </w:t>
      </w:r>
      <w:r w:rsidR="00D023EA" w:rsidRPr="006B4639">
        <w:rPr>
          <w:lang w:eastAsia="en-US"/>
        </w:rPr>
        <w:t xml:space="preserve">are </w:t>
      </w:r>
      <w:r w:rsidR="004D7EE1" w:rsidRPr="006B4639">
        <w:rPr>
          <w:lang w:eastAsia="en-US"/>
        </w:rPr>
        <w:t xml:space="preserve">not </w:t>
      </w:r>
      <w:r w:rsidR="003D77EF">
        <w:rPr>
          <w:lang w:eastAsia="en-US"/>
        </w:rPr>
        <w:t xml:space="preserve">voluntarily </w:t>
      </w:r>
      <w:r w:rsidR="004D7EE1" w:rsidRPr="006B4639">
        <w:rPr>
          <w:lang w:eastAsia="en-US"/>
        </w:rPr>
        <w:t xml:space="preserve">providing third party access. </w:t>
      </w:r>
    </w:p>
    <w:p w14:paraId="586A1D02" w14:textId="77777777" w:rsidR="00B40CB1" w:rsidRDefault="002B2AB5" w:rsidP="00653A03">
      <w:pPr>
        <w:pStyle w:val="BodyText"/>
        <w:rPr>
          <w:lang w:eastAsia="en-US"/>
        </w:rPr>
      </w:pPr>
      <w:r w:rsidRPr="006B4639">
        <w:rPr>
          <w:lang w:eastAsia="en-US"/>
        </w:rPr>
        <w:t xml:space="preserve">While the starting point is the same, there are a number of important differences between </w:t>
      </w:r>
      <w:r w:rsidR="006A76E2">
        <w:rPr>
          <w:lang w:eastAsia="en-US"/>
        </w:rPr>
        <w:t xml:space="preserve">the when and how to regulate elements of </w:t>
      </w:r>
      <w:r w:rsidRPr="006B4639">
        <w:rPr>
          <w:lang w:eastAsia="en-US"/>
        </w:rPr>
        <w:t>Option 3</w:t>
      </w:r>
      <w:r w:rsidR="003D77EF">
        <w:rPr>
          <w:lang w:eastAsia="en-US"/>
        </w:rPr>
        <w:t>A</w:t>
      </w:r>
      <w:r w:rsidRPr="006B4639">
        <w:rPr>
          <w:lang w:eastAsia="en-US"/>
        </w:rPr>
        <w:t xml:space="preserve"> and </w:t>
      </w:r>
      <w:r w:rsidR="00C43E86">
        <w:rPr>
          <w:lang w:eastAsia="en-US"/>
        </w:rPr>
        <w:t>the current regulatory framework</w:t>
      </w:r>
      <w:r w:rsidRPr="006B4639">
        <w:rPr>
          <w:lang w:eastAsia="en-US"/>
        </w:rPr>
        <w:t>. For example</w:t>
      </w:r>
      <w:r w:rsidR="00B40CB1">
        <w:rPr>
          <w:lang w:eastAsia="en-US"/>
        </w:rPr>
        <w:t>:</w:t>
      </w:r>
      <w:r w:rsidR="00B40CB1" w:rsidRPr="006B4639">
        <w:rPr>
          <w:lang w:eastAsia="en-US"/>
        </w:rPr>
        <w:t xml:space="preserve"> </w:t>
      </w:r>
    </w:p>
    <w:p w14:paraId="79E7AFDD" w14:textId="77777777" w:rsidR="00C3541D" w:rsidRDefault="002B2AB5" w:rsidP="00AD36B8">
      <w:pPr>
        <w:pStyle w:val="ListBullet"/>
        <w:rPr>
          <w:lang w:eastAsia="en-US"/>
        </w:rPr>
      </w:pPr>
      <w:r w:rsidRPr="006B4639">
        <w:rPr>
          <w:lang w:eastAsia="en-US"/>
        </w:rPr>
        <w:t xml:space="preserve">the coverage test would be replaced with </w:t>
      </w:r>
      <w:r w:rsidR="005B58EC">
        <w:rPr>
          <w:lang w:eastAsia="en-US"/>
        </w:rPr>
        <w:t xml:space="preserve">the market power-NGO test </w:t>
      </w:r>
      <w:r w:rsidR="00C3541D">
        <w:rPr>
          <w:lang w:eastAsia="en-US"/>
        </w:rPr>
        <w:t>for third party access decisions;</w:t>
      </w:r>
    </w:p>
    <w:p w14:paraId="48529ED5" w14:textId="77777777" w:rsidR="00886579" w:rsidRDefault="00886579" w:rsidP="00AD36B8">
      <w:pPr>
        <w:pStyle w:val="ListBullet"/>
        <w:rPr>
          <w:lang w:eastAsia="en-US"/>
        </w:rPr>
      </w:pPr>
      <w:r>
        <w:rPr>
          <w:lang w:eastAsia="en-US"/>
        </w:rPr>
        <w:t xml:space="preserve">the </w:t>
      </w:r>
      <w:r w:rsidR="006A76E2">
        <w:rPr>
          <w:lang w:eastAsia="en-US"/>
        </w:rPr>
        <w:t xml:space="preserve">CTP </w:t>
      </w:r>
      <w:r w:rsidRPr="005A54CF">
        <w:rPr>
          <w:lang w:eastAsia="en-US"/>
        </w:rPr>
        <w:t xml:space="preserve">and 15-year no coverage </w:t>
      </w:r>
      <w:r>
        <w:rPr>
          <w:lang w:eastAsia="en-US"/>
        </w:rPr>
        <w:t>determination</w:t>
      </w:r>
      <w:r w:rsidR="006A76E2">
        <w:rPr>
          <w:lang w:eastAsia="en-US"/>
        </w:rPr>
        <w:t xml:space="preserve"> provisions </w:t>
      </w:r>
      <w:r w:rsidRPr="005A54CF">
        <w:rPr>
          <w:lang w:eastAsia="en-US"/>
        </w:rPr>
        <w:t xml:space="preserve">would be replaced with a single greenfield </w:t>
      </w:r>
      <w:r>
        <w:rPr>
          <w:lang w:eastAsia="en-US"/>
        </w:rPr>
        <w:t>exemption</w:t>
      </w:r>
      <w:r w:rsidRPr="005A54CF">
        <w:rPr>
          <w:lang w:eastAsia="en-US"/>
        </w:rPr>
        <w:t xml:space="preserve"> </w:t>
      </w:r>
      <w:r>
        <w:rPr>
          <w:lang w:eastAsia="en-US"/>
        </w:rPr>
        <w:t xml:space="preserve">that would enable new pipelines to obtain an exemption </w:t>
      </w:r>
      <w:r>
        <w:rPr>
          <w:lang w:eastAsia="en-US"/>
        </w:rPr>
        <w:lastRenderedPageBreak/>
        <w:t xml:space="preserve">from the stronger form of regulation for up to 15 years, </w:t>
      </w:r>
      <w:r w:rsidRPr="005A54CF">
        <w:t>where it can be demonstrated the pipeline is unlikely to have substantial market power over the exemption period</w:t>
      </w:r>
      <w:r w:rsidR="006A76E2">
        <w:rPr>
          <w:lang w:eastAsia="en-US"/>
        </w:rPr>
        <w:t>;</w:t>
      </w:r>
      <w:r>
        <w:rPr>
          <w:lang w:eastAsia="en-US"/>
        </w:rPr>
        <w:t xml:space="preserve"> </w:t>
      </w:r>
    </w:p>
    <w:p w14:paraId="24A41A70" w14:textId="77777777" w:rsidR="009D5ECA" w:rsidRDefault="009D5ECA" w:rsidP="00AD36B8">
      <w:pPr>
        <w:pStyle w:val="ListBullet"/>
      </w:pPr>
      <w:r>
        <w:t>there would be just two forms of regulation, with the stronger form based on full regulation and the lighter form based on a strengthened Part 23;</w:t>
      </w:r>
    </w:p>
    <w:p w14:paraId="4696F1FC" w14:textId="77777777" w:rsidR="009D5ECA" w:rsidRDefault="009D5ECA" w:rsidP="00AD36B8">
      <w:pPr>
        <w:pStyle w:val="ListBullet"/>
      </w:pPr>
      <w:r>
        <w:t xml:space="preserve">exercises of </w:t>
      </w:r>
      <w:r>
        <w:rPr>
          <w:lang w:eastAsia="en-US"/>
        </w:rPr>
        <w:t>dynamic market power would be constrained through the inclusion of new rules in the NGR to facilitate interconnections, and to prohibit cross-subsidisation of new capacity;</w:t>
      </w:r>
    </w:p>
    <w:p w14:paraId="27CE2C56" w14:textId="681E4CB1" w:rsidR="00886579" w:rsidRDefault="00886579" w:rsidP="00AD36B8">
      <w:pPr>
        <w:pStyle w:val="ListBullet"/>
      </w:pPr>
      <w:r>
        <w:t xml:space="preserve">decisions about the form </w:t>
      </w:r>
      <w:r w:rsidRPr="00132299">
        <w:t>of regulation to apply to a pipeline would be made on the basis of the existing form of regulation test,</w:t>
      </w:r>
      <w:r w:rsidR="00370905">
        <w:rPr>
          <w:rFonts w:ascii="ZWAdobeF" w:hAnsi="ZWAdobeF" w:cs="ZWAdobeF"/>
          <w:sz w:val="2"/>
          <w:szCs w:val="2"/>
        </w:rPr>
        <w:t>177F</w:t>
      </w:r>
      <w:r>
        <w:rPr>
          <w:rStyle w:val="FootnoteReference"/>
        </w:rPr>
        <w:footnoteReference w:id="179"/>
      </w:r>
      <w:r w:rsidRPr="00132299">
        <w:t xml:space="preserve"> so it would</w:t>
      </w:r>
      <w:r>
        <w:t xml:space="preserve"> be easier to move between the forms of regulation and the application of the stronger form would pose a more credible threat to service providers; and</w:t>
      </w:r>
    </w:p>
    <w:p w14:paraId="2B87A647" w14:textId="77777777" w:rsidR="00B40CB1" w:rsidRDefault="002B2AB5" w:rsidP="00AD36B8">
      <w:pPr>
        <w:pStyle w:val="ListBullet"/>
        <w:rPr>
          <w:lang w:eastAsia="en-US"/>
        </w:rPr>
      </w:pPr>
      <w:r>
        <w:rPr>
          <w:lang w:eastAsia="en-US"/>
        </w:rPr>
        <w:t xml:space="preserve">a single </w:t>
      </w:r>
      <w:r w:rsidR="00AA6CCA">
        <w:rPr>
          <w:lang w:eastAsia="en-US"/>
        </w:rPr>
        <w:t xml:space="preserve">decision making body </w:t>
      </w:r>
      <w:r w:rsidRPr="006B4639">
        <w:rPr>
          <w:lang w:eastAsia="en-US"/>
        </w:rPr>
        <w:t>would be responsible for making third party access, greenfield exemption and form of regulation decisions</w:t>
      </w:r>
      <w:r w:rsidR="006A76E2">
        <w:rPr>
          <w:lang w:eastAsia="en-US"/>
        </w:rPr>
        <w:t xml:space="preserve">. </w:t>
      </w:r>
    </w:p>
    <w:p w14:paraId="0E02ACC4" w14:textId="77777777" w:rsidR="00C43E86" w:rsidRDefault="00E674B5" w:rsidP="00AC1AE7">
      <w:pPr>
        <w:pStyle w:val="BodyText"/>
        <w:rPr>
          <w:lang w:eastAsia="en-US"/>
        </w:rPr>
      </w:pPr>
      <w:r w:rsidRPr="006B4639">
        <w:rPr>
          <w:lang w:eastAsia="en-US"/>
        </w:rPr>
        <w:t>Option 3</w:t>
      </w:r>
      <w:r w:rsidR="003D77EF">
        <w:rPr>
          <w:lang w:eastAsia="en-US"/>
        </w:rPr>
        <w:t>A</w:t>
      </w:r>
      <w:r w:rsidRPr="006B4639">
        <w:rPr>
          <w:lang w:eastAsia="en-US"/>
        </w:rPr>
        <w:t xml:space="preserve"> also </w:t>
      </w:r>
      <w:r w:rsidR="00AC1AE7" w:rsidRPr="006B4639">
        <w:rPr>
          <w:lang w:eastAsia="en-US"/>
        </w:rPr>
        <w:t>provides for</w:t>
      </w:r>
      <w:r w:rsidR="00C43E86">
        <w:rPr>
          <w:lang w:eastAsia="en-US"/>
        </w:rPr>
        <w:t>:</w:t>
      </w:r>
      <w:r w:rsidR="00AC1AE7" w:rsidRPr="006B4639">
        <w:rPr>
          <w:lang w:eastAsia="en-US"/>
        </w:rPr>
        <w:t xml:space="preserve"> </w:t>
      </w:r>
    </w:p>
    <w:p w14:paraId="17AA8CCF" w14:textId="77777777" w:rsidR="00B40CB1" w:rsidRDefault="00E674B5" w:rsidP="00AD36B8">
      <w:pPr>
        <w:pStyle w:val="ListBullet"/>
        <w:rPr>
          <w:lang w:eastAsia="en-US"/>
        </w:rPr>
      </w:pPr>
      <w:r w:rsidRPr="006B4639">
        <w:rPr>
          <w:lang w:eastAsia="en-US"/>
        </w:rPr>
        <w:t xml:space="preserve">a range of </w:t>
      </w:r>
      <w:r w:rsidR="00AC1AE7" w:rsidRPr="006B4639">
        <w:rPr>
          <w:lang w:eastAsia="en-US"/>
        </w:rPr>
        <w:t>improvements to the information disclosure requirements</w:t>
      </w:r>
      <w:r w:rsidR="00142BA4">
        <w:rPr>
          <w:lang w:eastAsia="en-US"/>
        </w:rPr>
        <w:t xml:space="preserve"> to apply under</w:t>
      </w:r>
      <w:r w:rsidR="00E74081">
        <w:rPr>
          <w:lang w:eastAsia="en-US"/>
        </w:rPr>
        <w:t xml:space="preserve"> both</w:t>
      </w:r>
      <w:r w:rsidR="00142BA4">
        <w:rPr>
          <w:lang w:eastAsia="en-US"/>
        </w:rPr>
        <w:t xml:space="preserve"> the stronger and lighter forms of regulation</w:t>
      </w:r>
      <w:r w:rsidR="00FD1A4E">
        <w:rPr>
          <w:lang w:eastAsia="en-US"/>
        </w:rPr>
        <w:t>, including to improve the quality</w:t>
      </w:r>
      <w:r w:rsidR="000B0497">
        <w:rPr>
          <w:lang w:eastAsia="en-US"/>
        </w:rPr>
        <w:t xml:space="preserve"> and</w:t>
      </w:r>
      <w:r w:rsidR="00FD1A4E">
        <w:rPr>
          <w:lang w:eastAsia="en-US"/>
        </w:rPr>
        <w:t xml:space="preserve"> reliability, accessibility and usability of information</w:t>
      </w:r>
      <w:r w:rsidR="007500A9">
        <w:rPr>
          <w:lang w:eastAsia="en-US"/>
        </w:rPr>
        <w:t xml:space="preserve">; </w:t>
      </w:r>
    </w:p>
    <w:p w14:paraId="04E89E1F" w14:textId="77777777" w:rsidR="000B0497" w:rsidRDefault="000B0497" w:rsidP="00AD36B8">
      <w:pPr>
        <w:pStyle w:val="ListBullet"/>
        <w:rPr>
          <w:lang w:eastAsia="en-US"/>
        </w:rPr>
      </w:pPr>
      <w:r>
        <w:rPr>
          <w:lang w:eastAsia="en-US"/>
        </w:rPr>
        <w:t xml:space="preserve">the adoption of a single negotiation framework that would apply under both forms of regulation; </w:t>
      </w:r>
    </w:p>
    <w:p w14:paraId="6B06B239" w14:textId="77777777" w:rsidR="000B0497" w:rsidRDefault="000B0497" w:rsidP="00AD36B8">
      <w:pPr>
        <w:pStyle w:val="ListBullet"/>
        <w:rPr>
          <w:lang w:eastAsia="en-US"/>
        </w:rPr>
      </w:pPr>
      <w:r>
        <w:rPr>
          <w:lang w:eastAsia="en-US"/>
        </w:rPr>
        <w:t>a number of changes to the dispute resolution mechanism that would apply under the stronger form of regulation; and</w:t>
      </w:r>
    </w:p>
    <w:p w14:paraId="7AF01FED" w14:textId="77777777" w:rsidR="006E1F09" w:rsidRDefault="00CF1D73" w:rsidP="00AD36B8">
      <w:pPr>
        <w:pStyle w:val="ListBullet"/>
        <w:rPr>
          <w:lang w:eastAsia="en-US"/>
        </w:rPr>
      </w:pPr>
      <w:r>
        <w:rPr>
          <w:lang w:eastAsia="en-US"/>
        </w:rPr>
        <w:t xml:space="preserve">a number of measures to </w:t>
      </w:r>
      <w:r w:rsidR="006C0BCB" w:rsidRPr="006B4639">
        <w:rPr>
          <w:lang w:eastAsia="en-US"/>
        </w:rPr>
        <w:t>strengthen the bargaining position of smaller shippers</w:t>
      </w:r>
      <w:r w:rsidR="006E1F09">
        <w:rPr>
          <w:lang w:eastAsia="en-US"/>
        </w:rPr>
        <w:t>, including:</w:t>
      </w:r>
    </w:p>
    <w:p w14:paraId="6905C49A" w14:textId="77777777" w:rsidR="00CF1D73" w:rsidRDefault="00CF1D73" w:rsidP="00AD36B8">
      <w:pPr>
        <w:pStyle w:val="ListBullet2"/>
      </w:pPr>
      <w:r>
        <w:rPr>
          <w:lang w:eastAsia="en-US"/>
        </w:rPr>
        <w:t>changes to the cost provisions in the stronger and lighter dispute resolution mechanisms;</w:t>
      </w:r>
    </w:p>
    <w:p w14:paraId="1D542B61" w14:textId="77777777" w:rsidR="006E1F09" w:rsidRPr="0088629E" w:rsidRDefault="006E1F09" w:rsidP="00AD36B8">
      <w:pPr>
        <w:pStyle w:val="ListBullet2"/>
      </w:pPr>
      <w:r w:rsidRPr="0088629E">
        <w:t>allowing user bodies to be joined to proceedings involving smaller shippers</w:t>
      </w:r>
    </w:p>
    <w:p w14:paraId="4110DD23" w14:textId="77777777" w:rsidR="006E1F09" w:rsidRDefault="006E1F09" w:rsidP="00AD36B8">
      <w:pPr>
        <w:pStyle w:val="ListBullet2"/>
        <w:rPr>
          <w:lang w:eastAsia="en-US"/>
        </w:rPr>
      </w:pPr>
      <w:r w:rsidRPr="0088629E">
        <w:t>allowing smaller shippers to elect to have a dispute involving a pipeline subject to the lighter form of regulation mediated by a regulator appointed party (who would be required to report back to the regulator on the outcomes of the mediation).</w:t>
      </w:r>
    </w:p>
    <w:bookmarkEnd w:id="190"/>
    <w:p w14:paraId="3F006AB2" w14:textId="77777777" w:rsidR="004128C5" w:rsidRPr="006B4639" w:rsidRDefault="004128C5" w:rsidP="004C013E">
      <w:pPr>
        <w:pStyle w:val="Heading3"/>
      </w:pPr>
      <w:r w:rsidRPr="006B4639">
        <w:t xml:space="preserve">Option </w:t>
      </w:r>
      <w:r>
        <w:t>3</w:t>
      </w:r>
      <w:r w:rsidR="008D0861">
        <w:t>B</w:t>
      </w:r>
      <w:r w:rsidRPr="006B4639">
        <w:t xml:space="preserve">: </w:t>
      </w:r>
      <w:r w:rsidR="008D0861">
        <w:t xml:space="preserve">Regulation of all pipelines with </w:t>
      </w:r>
      <w:r w:rsidR="00531979">
        <w:t>stronger</w:t>
      </w:r>
      <w:r w:rsidR="008D0861">
        <w:t xml:space="preserve"> form of regulation based on full regulation</w:t>
      </w:r>
    </w:p>
    <w:p w14:paraId="0E0A067C" w14:textId="6D711756" w:rsidR="00A4778B" w:rsidRDefault="00A4778B" w:rsidP="00755C96">
      <w:pPr>
        <w:pStyle w:val="BodyText"/>
        <w:spacing w:line="259" w:lineRule="auto"/>
        <w:rPr>
          <w:lang w:eastAsia="en-US"/>
        </w:rPr>
      </w:pPr>
      <w:r w:rsidRPr="006B4639">
        <w:rPr>
          <w:lang w:eastAsia="en-US"/>
        </w:rPr>
        <w:t xml:space="preserve">The </w:t>
      </w:r>
      <w:r w:rsidR="00A86038">
        <w:rPr>
          <w:lang w:eastAsia="en-US"/>
        </w:rPr>
        <w:t>ke</w:t>
      </w:r>
      <w:r w:rsidR="00E40895">
        <w:rPr>
          <w:lang w:eastAsia="en-US"/>
        </w:rPr>
        <w:t xml:space="preserve">y </w:t>
      </w:r>
      <w:r w:rsidRPr="006B4639">
        <w:rPr>
          <w:lang w:eastAsia="en-US"/>
        </w:rPr>
        <w:t xml:space="preserve">difference between Option </w:t>
      </w:r>
      <w:r>
        <w:rPr>
          <w:lang w:eastAsia="en-US"/>
        </w:rPr>
        <w:t>3B</w:t>
      </w:r>
      <w:r w:rsidRPr="006B4639">
        <w:rPr>
          <w:lang w:eastAsia="en-US"/>
        </w:rPr>
        <w:t xml:space="preserve"> and </w:t>
      </w:r>
      <w:r w:rsidR="00E40895">
        <w:rPr>
          <w:lang w:eastAsia="en-US"/>
        </w:rPr>
        <w:t xml:space="preserve">the current regulatory framework </w:t>
      </w:r>
      <w:r w:rsidRPr="006B4639">
        <w:rPr>
          <w:lang w:eastAsia="en-US"/>
        </w:rPr>
        <w:t>is that it would be mandatory for all pipelines to provide third party access.</w:t>
      </w:r>
      <w:r w:rsidR="00370905">
        <w:rPr>
          <w:rFonts w:ascii="ZWAdobeF" w:hAnsi="ZWAdobeF" w:cs="ZWAdobeF"/>
          <w:sz w:val="2"/>
          <w:szCs w:val="2"/>
          <w:lang w:eastAsia="en-US"/>
        </w:rPr>
        <w:t>178F</w:t>
      </w:r>
      <w:r w:rsidR="002D143E">
        <w:rPr>
          <w:rStyle w:val="FootnoteReference"/>
          <w:lang w:eastAsia="en-US"/>
        </w:rPr>
        <w:footnoteReference w:id="180"/>
      </w:r>
      <w:r w:rsidRPr="006B4639">
        <w:rPr>
          <w:lang w:eastAsia="en-US"/>
        </w:rPr>
        <w:t xml:space="preserve"> All pipelines would therefore be subject to some form of regulation under this option</w:t>
      </w:r>
      <w:r w:rsidR="00E02A4C">
        <w:rPr>
          <w:lang w:eastAsia="en-US"/>
        </w:rPr>
        <w:t>, although some of the regulatory obligations would not commence until the pipeline has third party shippers</w:t>
      </w:r>
      <w:r w:rsidR="002D143E">
        <w:rPr>
          <w:lang w:eastAsia="en-US"/>
        </w:rPr>
        <w:t xml:space="preserve"> to minimise the regulatory burden on these pipelines</w:t>
      </w:r>
      <w:r>
        <w:rPr>
          <w:lang w:eastAsia="en-US"/>
        </w:rPr>
        <w:t xml:space="preserve">. </w:t>
      </w:r>
    </w:p>
    <w:p w14:paraId="31A77207" w14:textId="77777777" w:rsidR="00F03167" w:rsidRDefault="00F03167" w:rsidP="00F03167">
      <w:pPr>
        <w:pStyle w:val="BodyText"/>
        <w:rPr>
          <w:lang w:eastAsia="en-US"/>
        </w:rPr>
      </w:pPr>
      <w:r>
        <w:rPr>
          <w:lang w:eastAsia="en-US"/>
        </w:rPr>
        <w:lastRenderedPageBreak/>
        <w:t xml:space="preserve">In addition to this difference, </w:t>
      </w:r>
      <w:r w:rsidRPr="006B4639">
        <w:rPr>
          <w:lang w:eastAsia="en-US"/>
        </w:rPr>
        <w:t xml:space="preserve">there are a number of </w:t>
      </w:r>
      <w:r>
        <w:rPr>
          <w:lang w:eastAsia="en-US"/>
        </w:rPr>
        <w:t xml:space="preserve">other </w:t>
      </w:r>
      <w:r w:rsidRPr="006B4639">
        <w:rPr>
          <w:lang w:eastAsia="en-US"/>
        </w:rPr>
        <w:t xml:space="preserve">important differences between </w:t>
      </w:r>
      <w:r>
        <w:rPr>
          <w:lang w:eastAsia="en-US"/>
        </w:rPr>
        <w:t xml:space="preserve">the when and how to regulate elements of </w:t>
      </w:r>
      <w:r w:rsidRPr="006B4639">
        <w:rPr>
          <w:lang w:eastAsia="en-US"/>
        </w:rPr>
        <w:t>Option 3</w:t>
      </w:r>
      <w:r>
        <w:rPr>
          <w:lang w:eastAsia="en-US"/>
        </w:rPr>
        <w:t>B</w:t>
      </w:r>
      <w:r w:rsidRPr="006B4639">
        <w:rPr>
          <w:lang w:eastAsia="en-US"/>
        </w:rPr>
        <w:t xml:space="preserve"> and </w:t>
      </w:r>
      <w:r>
        <w:rPr>
          <w:lang w:eastAsia="en-US"/>
        </w:rPr>
        <w:t>the current regulatory framework</w:t>
      </w:r>
      <w:r w:rsidRPr="006B4639">
        <w:rPr>
          <w:lang w:eastAsia="en-US"/>
        </w:rPr>
        <w:t>. For example</w:t>
      </w:r>
      <w:r>
        <w:rPr>
          <w:lang w:eastAsia="en-US"/>
        </w:rPr>
        <w:t>:</w:t>
      </w:r>
      <w:r w:rsidRPr="006B4639">
        <w:rPr>
          <w:lang w:eastAsia="en-US"/>
        </w:rPr>
        <w:t xml:space="preserve"> </w:t>
      </w:r>
    </w:p>
    <w:p w14:paraId="7FCE4C1C" w14:textId="77777777" w:rsidR="004A6103" w:rsidRDefault="004A6103" w:rsidP="00AD36B8">
      <w:pPr>
        <w:pStyle w:val="ListBullet"/>
        <w:rPr>
          <w:lang w:eastAsia="en-US"/>
        </w:rPr>
      </w:pPr>
      <w:r>
        <w:rPr>
          <w:lang w:eastAsia="en-US"/>
        </w:rPr>
        <w:t xml:space="preserve">the CTP </w:t>
      </w:r>
      <w:r w:rsidRPr="005A54CF">
        <w:rPr>
          <w:lang w:eastAsia="en-US"/>
        </w:rPr>
        <w:t xml:space="preserve">and 15-year no coverage </w:t>
      </w:r>
      <w:r>
        <w:rPr>
          <w:lang w:eastAsia="en-US"/>
        </w:rPr>
        <w:t xml:space="preserve">determination provisions </w:t>
      </w:r>
      <w:r w:rsidRPr="005A54CF">
        <w:rPr>
          <w:lang w:eastAsia="en-US"/>
        </w:rPr>
        <w:t xml:space="preserve">would be replaced with a single greenfield </w:t>
      </w:r>
      <w:r>
        <w:rPr>
          <w:lang w:eastAsia="en-US"/>
        </w:rPr>
        <w:t>exemption</w:t>
      </w:r>
      <w:r w:rsidRPr="005A54CF">
        <w:rPr>
          <w:lang w:eastAsia="en-US"/>
        </w:rPr>
        <w:t xml:space="preserve"> </w:t>
      </w:r>
      <w:r>
        <w:rPr>
          <w:lang w:eastAsia="en-US"/>
        </w:rPr>
        <w:t xml:space="preserve">that would enable new pipelines to obtain an exemption from the stronger form of regulation for up to 15 years, </w:t>
      </w:r>
      <w:r w:rsidRPr="005A54CF">
        <w:t>where it can be demonstrated the pipeline is unlikely to have substantial market power over the exemption period</w:t>
      </w:r>
      <w:r>
        <w:rPr>
          <w:lang w:eastAsia="en-US"/>
        </w:rPr>
        <w:t xml:space="preserve">; </w:t>
      </w:r>
    </w:p>
    <w:p w14:paraId="284AB8A6" w14:textId="77777777" w:rsidR="009D5ECA" w:rsidRDefault="004A6103" w:rsidP="00AD36B8">
      <w:pPr>
        <w:pStyle w:val="ListBullet"/>
      </w:pPr>
      <w:r>
        <w:t>there would be just two forms of regulation, with the stronger form based on full regulation and the lighter form based on a strengthened Part 23</w:t>
      </w:r>
      <w:r w:rsidR="009D5ECA">
        <w:t>;</w:t>
      </w:r>
    </w:p>
    <w:p w14:paraId="559A7020" w14:textId="77777777" w:rsidR="004A6103" w:rsidRDefault="004A6103" w:rsidP="00AD36B8">
      <w:pPr>
        <w:pStyle w:val="ListBullet"/>
      </w:pPr>
      <w:r>
        <w:t xml:space="preserve">exercises of </w:t>
      </w:r>
      <w:r>
        <w:rPr>
          <w:lang w:eastAsia="en-US"/>
        </w:rPr>
        <w:t>dynamic market power would be constrained through the inclusion of new rules in the NGR to facilitate interconnections, and to prohibit cross-subsidisation of new capacity;</w:t>
      </w:r>
    </w:p>
    <w:p w14:paraId="20CC61D4" w14:textId="269933CE" w:rsidR="004A6103" w:rsidRDefault="004A6103" w:rsidP="00AD36B8">
      <w:pPr>
        <w:pStyle w:val="ListBullet"/>
      </w:pPr>
      <w:r>
        <w:t xml:space="preserve">decisions about the form </w:t>
      </w:r>
      <w:r w:rsidRPr="00132299">
        <w:t>of regulation to apply to a pipeline would be made on the basis of the existing form of regulation test,</w:t>
      </w:r>
      <w:r w:rsidR="00370905">
        <w:rPr>
          <w:rFonts w:ascii="ZWAdobeF" w:hAnsi="ZWAdobeF" w:cs="ZWAdobeF"/>
          <w:sz w:val="2"/>
          <w:szCs w:val="2"/>
        </w:rPr>
        <w:t>179F</w:t>
      </w:r>
      <w:r>
        <w:rPr>
          <w:rStyle w:val="FootnoteReference"/>
        </w:rPr>
        <w:footnoteReference w:id="181"/>
      </w:r>
      <w:r w:rsidRPr="00132299">
        <w:t xml:space="preserve"> so it would</w:t>
      </w:r>
      <w:r>
        <w:t xml:space="preserve"> be easier to move between the forms of regulation and the application of the stronger form would pose a more credible threat to service providers; and</w:t>
      </w:r>
    </w:p>
    <w:p w14:paraId="5BD1D290" w14:textId="77777777" w:rsidR="004A6103" w:rsidRDefault="004A6103" w:rsidP="00AD36B8">
      <w:pPr>
        <w:pStyle w:val="ListBullet"/>
        <w:rPr>
          <w:lang w:eastAsia="en-US"/>
        </w:rPr>
      </w:pPr>
      <w:r>
        <w:rPr>
          <w:lang w:eastAsia="en-US"/>
        </w:rPr>
        <w:t xml:space="preserve">a single decision making body </w:t>
      </w:r>
      <w:r w:rsidRPr="006B4639">
        <w:rPr>
          <w:lang w:eastAsia="en-US"/>
        </w:rPr>
        <w:t>would be responsible for making greenfield exemption and form of regulation decisions</w:t>
      </w:r>
      <w:r>
        <w:rPr>
          <w:lang w:eastAsia="en-US"/>
        </w:rPr>
        <w:t xml:space="preserve">. </w:t>
      </w:r>
    </w:p>
    <w:p w14:paraId="1B87C245" w14:textId="77777777" w:rsidR="004A6103" w:rsidRDefault="00461CA0" w:rsidP="004A6103">
      <w:pPr>
        <w:pStyle w:val="BodyText"/>
        <w:rPr>
          <w:lang w:eastAsia="en-US"/>
        </w:rPr>
      </w:pPr>
      <w:r>
        <w:rPr>
          <w:lang w:eastAsia="en-US"/>
        </w:rPr>
        <w:t xml:space="preserve">Like </w:t>
      </w:r>
      <w:r w:rsidR="004A6103" w:rsidRPr="006B4639">
        <w:rPr>
          <w:lang w:eastAsia="en-US"/>
        </w:rPr>
        <w:t>Option 3</w:t>
      </w:r>
      <w:r w:rsidR="004A6103">
        <w:rPr>
          <w:lang w:eastAsia="en-US"/>
        </w:rPr>
        <w:t>A</w:t>
      </w:r>
      <w:r>
        <w:rPr>
          <w:lang w:eastAsia="en-US"/>
        </w:rPr>
        <w:t>, Option 3B</w:t>
      </w:r>
      <w:r w:rsidR="004A6103" w:rsidRPr="006B4639">
        <w:rPr>
          <w:lang w:eastAsia="en-US"/>
        </w:rPr>
        <w:t xml:space="preserve"> also provides for</w:t>
      </w:r>
      <w:r w:rsidR="004A6103">
        <w:rPr>
          <w:lang w:eastAsia="en-US"/>
        </w:rPr>
        <w:t>:</w:t>
      </w:r>
      <w:r w:rsidR="004A6103" w:rsidRPr="006B4639">
        <w:rPr>
          <w:lang w:eastAsia="en-US"/>
        </w:rPr>
        <w:t xml:space="preserve"> </w:t>
      </w:r>
    </w:p>
    <w:p w14:paraId="42349062" w14:textId="77777777" w:rsidR="004A6103" w:rsidRDefault="004A6103" w:rsidP="00AD36B8">
      <w:pPr>
        <w:pStyle w:val="ListBullet"/>
        <w:rPr>
          <w:lang w:eastAsia="en-US"/>
        </w:rPr>
      </w:pPr>
      <w:r w:rsidRPr="006B4639">
        <w:rPr>
          <w:lang w:eastAsia="en-US"/>
        </w:rPr>
        <w:t>a range of improvements to the information disclosure requirements</w:t>
      </w:r>
      <w:r>
        <w:rPr>
          <w:lang w:eastAsia="en-US"/>
        </w:rPr>
        <w:t xml:space="preserve"> to apply under both the stronger and lighter forms of regulation, including to improve the quality and reliability, accessibility and usability of information; </w:t>
      </w:r>
    </w:p>
    <w:p w14:paraId="7593C5BB" w14:textId="77777777" w:rsidR="004A6103" w:rsidRDefault="004A6103" w:rsidP="00AD36B8">
      <w:pPr>
        <w:pStyle w:val="ListBullet"/>
        <w:rPr>
          <w:lang w:eastAsia="en-US"/>
        </w:rPr>
      </w:pPr>
      <w:r>
        <w:rPr>
          <w:lang w:eastAsia="en-US"/>
        </w:rPr>
        <w:t xml:space="preserve">the adoption of a single negotiation framework that would apply under both forms of regulation; </w:t>
      </w:r>
    </w:p>
    <w:p w14:paraId="411597BC" w14:textId="77777777" w:rsidR="00461CA0" w:rsidRDefault="004A6103" w:rsidP="00AD36B8">
      <w:pPr>
        <w:pStyle w:val="ListBullet"/>
        <w:rPr>
          <w:lang w:eastAsia="en-US"/>
        </w:rPr>
      </w:pPr>
      <w:r>
        <w:rPr>
          <w:lang w:eastAsia="en-US"/>
        </w:rPr>
        <w:t>a number of changes to the dispute resolution mechanism that would apply under the stronger form of regulation; and</w:t>
      </w:r>
    </w:p>
    <w:p w14:paraId="746AEA6D" w14:textId="77777777" w:rsidR="00CF1D73" w:rsidRDefault="00CF1D73" w:rsidP="00AD36B8">
      <w:pPr>
        <w:pStyle w:val="ListBullet"/>
        <w:rPr>
          <w:lang w:eastAsia="en-US"/>
        </w:rPr>
      </w:pPr>
      <w:r>
        <w:rPr>
          <w:lang w:eastAsia="en-US"/>
        </w:rPr>
        <w:t xml:space="preserve">a number of measures to </w:t>
      </w:r>
      <w:r w:rsidRPr="006B4639">
        <w:rPr>
          <w:lang w:eastAsia="en-US"/>
        </w:rPr>
        <w:t>strengthen the bargaining position of smaller shippers</w:t>
      </w:r>
      <w:r>
        <w:rPr>
          <w:lang w:eastAsia="en-US"/>
        </w:rPr>
        <w:t>, including:</w:t>
      </w:r>
    </w:p>
    <w:p w14:paraId="44B03D5A" w14:textId="77777777" w:rsidR="00CF1D73" w:rsidRDefault="00CF1D73" w:rsidP="00AD36B8">
      <w:pPr>
        <w:pStyle w:val="ListBullet2"/>
      </w:pPr>
      <w:r>
        <w:rPr>
          <w:lang w:eastAsia="en-US"/>
        </w:rPr>
        <w:t>changes to the cost provisions in the stronger and lighter dispute resolution mechanisms;</w:t>
      </w:r>
    </w:p>
    <w:p w14:paraId="382E72F2" w14:textId="77777777" w:rsidR="00CF1D73" w:rsidRPr="0088629E" w:rsidRDefault="00CF1D73" w:rsidP="00AD36B8">
      <w:pPr>
        <w:pStyle w:val="ListBullet2"/>
      </w:pPr>
      <w:r w:rsidRPr="0088629E">
        <w:t>allowing user bodies to be joined to proceedings involving smaller shippers</w:t>
      </w:r>
    </w:p>
    <w:p w14:paraId="68FC922A" w14:textId="77777777" w:rsidR="00CF1D73" w:rsidRDefault="00CF1D73" w:rsidP="00AD36B8">
      <w:pPr>
        <w:pStyle w:val="ListBullet2"/>
        <w:rPr>
          <w:lang w:eastAsia="en-US"/>
        </w:rPr>
      </w:pPr>
      <w:r w:rsidRPr="0088629E">
        <w:t>allowing smaller shippers to elect to have a dispute involving a pipeline subject to the lighter form of regulation mediated by a regulator appointed party (who would be required to report back to the regulator on the outcomes of the mediation).</w:t>
      </w:r>
    </w:p>
    <w:p w14:paraId="3C8056CF" w14:textId="77777777" w:rsidR="00742033" w:rsidRPr="006B4639" w:rsidRDefault="00742033" w:rsidP="004C013E">
      <w:pPr>
        <w:pStyle w:val="Heading3"/>
      </w:pPr>
      <w:r w:rsidRPr="006B4639">
        <w:lastRenderedPageBreak/>
        <w:t>Option 4: Regulation of all pipelines</w:t>
      </w:r>
      <w:r w:rsidR="003A1410">
        <w:t xml:space="preserve"> with </w:t>
      </w:r>
      <w:r w:rsidR="00531979">
        <w:t>stronger</w:t>
      </w:r>
      <w:r w:rsidR="003A1410">
        <w:t xml:space="preserve"> form of regulation based on direct price control</w:t>
      </w:r>
      <w:r w:rsidRPr="006B4639">
        <w:t xml:space="preserve"> </w:t>
      </w:r>
    </w:p>
    <w:p w14:paraId="228F1F37" w14:textId="5E653F86" w:rsidR="000807E1" w:rsidRDefault="000179D7" w:rsidP="009168A7">
      <w:pPr>
        <w:pStyle w:val="BodyText"/>
        <w:spacing w:line="259" w:lineRule="auto"/>
        <w:rPr>
          <w:lang w:eastAsia="en-US"/>
        </w:rPr>
      </w:pPr>
      <w:r>
        <w:rPr>
          <w:lang w:eastAsia="en-US"/>
        </w:rPr>
        <w:t xml:space="preserve">Like </w:t>
      </w:r>
      <w:r w:rsidR="00B93C26">
        <w:rPr>
          <w:lang w:eastAsia="en-US"/>
        </w:rPr>
        <w:t xml:space="preserve">Option 3B, </w:t>
      </w:r>
      <w:r w:rsidR="001B25FC">
        <w:rPr>
          <w:lang w:eastAsia="en-US"/>
        </w:rPr>
        <w:t xml:space="preserve">the key difference between Option 4 and the current regulatory framework is that </w:t>
      </w:r>
      <w:r w:rsidR="00770C41">
        <w:rPr>
          <w:lang w:eastAsia="en-US"/>
        </w:rPr>
        <w:t xml:space="preserve">it </w:t>
      </w:r>
      <w:r w:rsidRPr="006B4639">
        <w:rPr>
          <w:lang w:eastAsia="en-US"/>
        </w:rPr>
        <w:t>would be mandatory for all pipelines to provide third party access</w:t>
      </w:r>
      <w:r w:rsidR="00D1419A">
        <w:rPr>
          <w:lang w:eastAsia="en-US"/>
        </w:rPr>
        <w:t xml:space="preserve"> </w:t>
      </w:r>
      <w:r w:rsidR="000B7353">
        <w:rPr>
          <w:lang w:eastAsia="en-US"/>
        </w:rPr>
        <w:t>and to be subject to some form of regulation</w:t>
      </w:r>
      <w:r w:rsidR="00D1419A">
        <w:rPr>
          <w:lang w:eastAsia="en-US"/>
        </w:rPr>
        <w:t>.</w:t>
      </w:r>
      <w:r w:rsidR="00370905">
        <w:rPr>
          <w:rFonts w:ascii="ZWAdobeF" w:hAnsi="ZWAdobeF" w:cs="ZWAdobeF"/>
          <w:sz w:val="2"/>
          <w:szCs w:val="2"/>
          <w:lang w:eastAsia="en-US"/>
        </w:rPr>
        <w:t>180F</w:t>
      </w:r>
      <w:r>
        <w:rPr>
          <w:rStyle w:val="FootnoteReference"/>
          <w:lang w:eastAsia="en-US"/>
        </w:rPr>
        <w:footnoteReference w:id="182"/>
      </w:r>
      <w:r w:rsidRPr="006B4639">
        <w:rPr>
          <w:lang w:eastAsia="en-US"/>
        </w:rPr>
        <w:t xml:space="preserve"> </w:t>
      </w:r>
    </w:p>
    <w:p w14:paraId="67AD368D" w14:textId="77777777" w:rsidR="00E14C51" w:rsidRDefault="00E14C51" w:rsidP="00E14C51">
      <w:pPr>
        <w:pStyle w:val="BodyText"/>
        <w:rPr>
          <w:lang w:eastAsia="en-US"/>
        </w:rPr>
      </w:pPr>
      <w:r>
        <w:rPr>
          <w:lang w:eastAsia="en-US"/>
        </w:rPr>
        <w:t xml:space="preserve">In addition to this difference, </w:t>
      </w:r>
      <w:r w:rsidRPr="006B4639">
        <w:rPr>
          <w:lang w:eastAsia="en-US"/>
        </w:rPr>
        <w:t xml:space="preserve">there are a number of </w:t>
      </w:r>
      <w:r>
        <w:rPr>
          <w:lang w:eastAsia="en-US"/>
        </w:rPr>
        <w:t xml:space="preserve">other </w:t>
      </w:r>
      <w:r w:rsidRPr="006B4639">
        <w:rPr>
          <w:lang w:eastAsia="en-US"/>
        </w:rPr>
        <w:t xml:space="preserve">important differences between </w:t>
      </w:r>
      <w:r>
        <w:rPr>
          <w:lang w:eastAsia="en-US"/>
        </w:rPr>
        <w:t xml:space="preserve">the when and how to regulate elements of </w:t>
      </w:r>
      <w:r w:rsidRPr="006B4639">
        <w:rPr>
          <w:lang w:eastAsia="en-US"/>
        </w:rPr>
        <w:t xml:space="preserve">Option </w:t>
      </w:r>
      <w:r>
        <w:rPr>
          <w:lang w:eastAsia="en-US"/>
        </w:rPr>
        <w:t>4</w:t>
      </w:r>
      <w:r w:rsidRPr="006B4639">
        <w:rPr>
          <w:lang w:eastAsia="en-US"/>
        </w:rPr>
        <w:t xml:space="preserve"> and </w:t>
      </w:r>
      <w:r>
        <w:rPr>
          <w:lang w:eastAsia="en-US"/>
        </w:rPr>
        <w:t>the current regulatory framework</w:t>
      </w:r>
      <w:r w:rsidRPr="006B4639">
        <w:rPr>
          <w:lang w:eastAsia="en-US"/>
        </w:rPr>
        <w:t>. For example</w:t>
      </w:r>
      <w:r w:rsidR="0007577A">
        <w:rPr>
          <w:lang w:eastAsia="en-US"/>
        </w:rPr>
        <w:t>, under Option 4</w:t>
      </w:r>
      <w:r>
        <w:rPr>
          <w:lang w:eastAsia="en-US"/>
        </w:rPr>
        <w:t>:</w:t>
      </w:r>
      <w:r w:rsidRPr="006B4639">
        <w:rPr>
          <w:lang w:eastAsia="en-US"/>
        </w:rPr>
        <w:t xml:space="preserve"> </w:t>
      </w:r>
    </w:p>
    <w:p w14:paraId="7B12BA8D" w14:textId="77777777" w:rsidR="00C506AE" w:rsidRDefault="00C506AE" w:rsidP="00AD36B8">
      <w:pPr>
        <w:pStyle w:val="ListBullet"/>
        <w:rPr>
          <w:lang w:eastAsia="en-US"/>
        </w:rPr>
      </w:pPr>
      <w:r>
        <w:rPr>
          <w:lang w:eastAsia="en-US"/>
        </w:rPr>
        <w:t>there would be no greenfield exemption available;</w:t>
      </w:r>
    </w:p>
    <w:p w14:paraId="188BB2AE" w14:textId="77777777" w:rsidR="009D5ECA" w:rsidRDefault="009D5ECA" w:rsidP="00AD36B8">
      <w:pPr>
        <w:pStyle w:val="ListBullet"/>
      </w:pPr>
      <w:r>
        <w:t>there would be just two forms of regulation, with the stronger form based on direct price control and the lighter form based on a strengthened Part 23;</w:t>
      </w:r>
    </w:p>
    <w:p w14:paraId="42526FA3" w14:textId="77777777" w:rsidR="009D5ECA" w:rsidRDefault="009D5ECA" w:rsidP="00AD36B8">
      <w:pPr>
        <w:pStyle w:val="ListBullet"/>
      </w:pPr>
      <w:r>
        <w:t xml:space="preserve">exercises of </w:t>
      </w:r>
      <w:r>
        <w:rPr>
          <w:lang w:eastAsia="en-US"/>
        </w:rPr>
        <w:t>dynamic market power would be constrained through the inclusion of new rules in the NGR to facilitate interconnections, and to prohibit cross-subsidisation of new capacity; and</w:t>
      </w:r>
    </w:p>
    <w:p w14:paraId="6F91A36B" w14:textId="77777777" w:rsidR="009D5ECA" w:rsidRDefault="009D5ECA" w:rsidP="00AD36B8">
      <w:pPr>
        <w:pStyle w:val="ListBullet"/>
        <w:rPr>
          <w:lang w:eastAsia="en-US"/>
        </w:rPr>
      </w:pPr>
      <w:r>
        <w:rPr>
          <w:lang w:eastAsia="en-US"/>
        </w:rPr>
        <w:t xml:space="preserve">a single decision making body </w:t>
      </w:r>
      <w:r w:rsidRPr="006B4639">
        <w:rPr>
          <w:lang w:eastAsia="en-US"/>
        </w:rPr>
        <w:t>would be responsible for making form of regulation decisions</w:t>
      </w:r>
      <w:r>
        <w:rPr>
          <w:lang w:eastAsia="en-US"/>
        </w:rPr>
        <w:t xml:space="preserve">. </w:t>
      </w:r>
    </w:p>
    <w:p w14:paraId="41372C98" w14:textId="77777777" w:rsidR="00462D48" w:rsidRDefault="00462D48" w:rsidP="00462D48">
      <w:pPr>
        <w:pStyle w:val="BodyText"/>
        <w:rPr>
          <w:lang w:eastAsia="en-US"/>
        </w:rPr>
      </w:pPr>
      <w:r>
        <w:rPr>
          <w:lang w:eastAsia="en-US"/>
        </w:rPr>
        <w:t>Like o</w:t>
      </w:r>
      <w:r w:rsidRPr="006B4639">
        <w:rPr>
          <w:lang w:eastAsia="en-US"/>
        </w:rPr>
        <w:t>ption</w:t>
      </w:r>
      <w:r>
        <w:rPr>
          <w:lang w:eastAsia="en-US"/>
        </w:rPr>
        <w:t>s</w:t>
      </w:r>
      <w:r w:rsidRPr="006B4639">
        <w:rPr>
          <w:lang w:eastAsia="en-US"/>
        </w:rPr>
        <w:t xml:space="preserve"> 3</w:t>
      </w:r>
      <w:r>
        <w:rPr>
          <w:lang w:eastAsia="en-US"/>
        </w:rPr>
        <w:t xml:space="preserve">A and 3B, Option 4 </w:t>
      </w:r>
      <w:r w:rsidRPr="006B4639">
        <w:rPr>
          <w:lang w:eastAsia="en-US"/>
        </w:rPr>
        <w:t>also provides for</w:t>
      </w:r>
      <w:r>
        <w:rPr>
          <w:lang w:eastAsia="en-US"/>
        </w:rPr>
        <w:t>:</w:t>
      </w:r>
      <w:r w:rsidRPr="006B4639">
        <w:rPr>
          <w:lang w:eastAsia="en-US"/>
        </w:rPr>
        <w:t xml:space="preserve"> </w:t>
      </w:r>
    </w:p>
    <w:p w14:paraId="7CB68C45" w14:textId="77777777" w:rsidR="00462D48" w:rsidRDefault="00462D48" w:rsidP="00AD36B8">
      <w:pPr>
        <w:pStyle w:val="ListBullet"/>
        <w:rPr>
          <w:lang w:eastAsia="en-US"/>
        </w:rPr>
      </w:pPr>
      <w:r w:rsidRPr="006B4639">
        <w:rPr>
          <w:lang w:eastAsia="en-US"/>
        </w:rPr>
        <w:t>a range of improvements to the information disclosure requirements</w:t>
      </w:r>
      <w:r>
        <w:rPr>
          <w:lang w:eastAsia="en-US"/>
        </w:rPr>
        <w:t xml:space="preserve"> to apply under both the stronger and lighter forms of regulation, including to improve the quality and reliability, accessibility and usability of information; </w:t>
      </w:r>
    </w:p>
    <w:p w14:paraId="02303718" w14:textId="77777777" w:rsidR="00462D48" w:rsidRDefault="00462D48" w:rsidP="00AD36B8">
      <w:pPr>
        <w:pStyle w:val="ListBullet"/>
        <w:rPr>
          <w:lang w:eastAsia="en-US"/>
        </w:rPr>
      </w:pPr>
      <w:r>
        <w:rPr>
          <w:lang w:eastAsia="en-US"/>
        </w:rPr>
        <w:t xml:space="preserve">the adoption of a single negotiation framework that would apply under both forms of regulation; </w:t>
      </w:r>
      <w:r w:rsidR="0007577A">
        <w:rPr>
          <w:lang w:eastAsia="en-US"/>
        </w:rPr>
        <w:t>and</w:t>
      </w:r>
    </w:p>
    <w:p w14:paraId="0EBE494C" w14:textId="77777777" w:rsidR="00462D48" w:rsidRDefault="00462D48" w:rsidP="00AD36B8">
      <w:pPr>
        <w:pStyle w:val="ListBullet"/>
        <w:rPr>
          <w:lang w:eastAsia="en-US"/>
        </w:rPr>
      </w:pPr>
      <w:r>
        <w:rPr>
          <w:lang w:eastAsia="en-US"/>
        </w:rPr>
        <w:t>a number of changes to the dispute resolution mechanism that would apply under the stronger form of regulation</w:t>
      </w:r>
      <w:r w:rsidR="0007577A">
        <w:rPr>
          <w:lang w:eastAsia="en-US"/>
        </w:rPr>
        <w:t>.</w:t>
      </w:r>
    </w:p>
    <w:p w14:paraId="350E9738" w14:textId="77777777" w:rsidR="00CF1D73" w:rsidRDefault="00CF1D73" w:rsidP="00AD36B8">
      <w:pPr>
        <w:pStyle w:val="ListBullet"/>
        <w:rPr>
          <w:lang w:eastAsia="en-US"/>
        </w:rPr>
      </w:pPr>
      <w:r>
        <w:rPr>
          <w:lang w:eastAsia="en-US"/>
        </w:rPr>
        <w:t xml:space="preserve">a number of measures to </w:t>
      </w:r>
      <w:r w:rsidRPr="006B4639">
        <w:rPr>
          <w:lang w:eastAsia="en-US"/>
        </w:rPr>
        <w:t>strengthen the bargaining position of smaller shippers</w:t>
      </w:r>
      <w:r>
        <w:rPr>
          <w:lang w:eastAsia="en-US"/>
        </w:rPr>
        <w:t>, including:</w:t>
      </w:r>
    </w:p>
    <w:p w14:paraId="0BCC0914" w14:textId="77777777" w:rsidR="00CF1D73" w:rsidRDefault="00CF1D73" w:rsidP="00AD36B8">
      <w:pPr>
        <w:pStyle w:val="ListBullet2"/>
      </w:pPr>
      <w:r>
        <w:rPr>
          <w:lang w:eastAsia="en-US"/>
        </w:rPr>
        <w:t>changes to the cost provisions in the stronger and lighter dispute resolution mechanisms;</w:t>
      </w:r>
      <w:r w:rsidR="006C0BCD">
        <w:rPr>
          <w:lang w:eastAsia="en-US"/>
        </w:rPr>
        <w:t xml:space="preserve"> </w:t>
      </w:r>
      <w:r w:rsidR="00F661E0">
        <w:rPr>
          <w:lang w:eastAsia="en-US"/>
        </w:rPr>
        <w:t>and</w:t>
      </w:r>
    </w:p>
    <w:p w14:paraId="2D84ED8D" w14:textId="77777777" w:rsidR="00CF1D73" w:rsidRPr="0088629E" w:rsidRDefault="00CF1D73" w:rsidP="00AD36B8">
      <w:pPr>
        <w:pStyle w:val="ListBullet2"/>
      </w:pPr>
      <w:r w:rsidRPr="0088629E">
        <w:t>allowing user bodies to be joined to proceedings involving smaller shippers</w:t>
      </w:r>
      <w:r w:rsidR="00F661E0">
        <w:t>.</w:t>
      </w:r>
    </w:p>
    <w:p w14:paraId="5F9A1748" w14:textId="77777777" w:rsidR="00CF1D73" w:rsidRDefault="00F661E0" w:rsidP="00F661E0">
      <w:pPr>
        <w:pStyle w:val="BodyText"/>
      </w:pPr>
      <w:r>
        <w:t xml:space="preserve">Under Option 4, </w:t>
      </w:r>
      <w:r w:rsidR="00CF1D73" w:rsidRPr="0088629E">
        <w:t xml:space="preserve">smaller shippers </w:t>
      </w:r>
      <w:r>
        <w:t xml:space="preserve">using pipelines subject to the lighter form of regulation would also have the option to </w:t>
      </w:r>
      <w:r w:rsidR="00CF1D73" w:rsidRPr="0088629E">
        <w:t xml:space="preserve">have </w:t>
      </w:r>
      <w:r>
        <w:t xml:space="preserve">the </w:t>
      </w:r>
      <w:r w:rsidR="00CF1D73" w:rsidRPr="0088629E">
        <w:t xml:space="preserve">dispute </w:t>
      </w:r>
      <w:r>
        <w:t xml:space="preserve">heard by the relevant regulator rather than a commercial arbitrator.  </w:t>
      </w:r>
    </w:p>
    <w:p w14:paraId="357C15ED" w14:textId="77777777" w:rsidR="001C5E7C" w:rsidRDefault="001C5E7C" w:rsidP="001C5E7C">
      <w:pPr>
        <w:pStyle w:val="Heading2"/>
      </w:pPr>
      <w:bookmarkStart w:id="191" w:name="_Toc60675599"/>
      <w:bookmarkStart w:id="192" w:name="_Toc62219426"/>
      <w:r>
        <w:t>Extent to which problems addressed by the policy options</w:t>
      </w:r>
      <w:bookmarkEnd w:id="191"/>
      <w:bookmarkEnd w:id="192"/>
      <w:r>
        <w:t xml:space="preserve"> </w:t>
      </w:r>
    </w:p>
    <w:p w14:paraId="7461E6BB" w14:textId="4C4E70D9" w:rsidR="00AF6DC3" w:rsidRDefault="00EF5218" w:rsidP="00AF6DC3">
      <w:pPr>
        <w:pStyle w:val="BodyText"/>
      </w:pPr>
      <w:r>
        <w:t xml:space="preserve">Table 8.2 </w:t>
      </w:r>
      <w:r w:rsidR="00122209" w:rsidRPr="006B4639">
        <w:t xml:space="preserve">sets out the extent to which the </w:t>
      </w:r>
      <w:r w:rsidR="00122209">
        <w:t xml:space="preserve">identified </w:t>
      </w:r>
      <w:r w:rsidR="00122209" w:rsidRPr="006B4639">
        <w:t xml:space="preserve">problems </w:t>
      </w:r>
      <w:r w:rsidR="00122209" w:rsidRPr="006E2296">
        <w:t>are</w:t>
      </w:r>
      <w:r w:rsidR="00122209" w:rsidRPr="006B4639">
        <w:t xml:space="preserve"> addressed</w:t>
      </w:r>
      <w:r w:rsidR="00122209">
        <w:t xml:space="preserve"> under each of the options. </w:t>
      </w:r>
      <w:r w:rsidR="00AF6DC3">
        <w:t xml:space="preserve">As this table shows, options 3A, 3B and 4 are expected to address all of the problems that have been identified with the current regulatory framework. Option 2, on the other hand, is only expected to partially address the problems that have been </w:t>
      </w:r>
      <w:r w:rsidR="00AF6DC3">
        <w:lastRenderedPageBreak/>
        <w:t xml:space="preserve">identified with the credibility of the threat of </w:t>
      </w:r>
      <w:r w:rsidR="00AF6DC3" w:rsidRPr="006B4639">
        <w:t xml:space="preserve">arbitration by smaller shippers </w:t>
      </w:r>
      <w:r w:rsidR="00AF6DC3">
        <w:t xml:space="preserve">and is </w:t>
      </w:r>
      <w:r w:rsidR="00AF6DC3" w:rsidRPr="00184A66">
        <w:rPr>
          <w:b/>
          <w:bCs/>
        </w:rPr>
        <w:t>not</w:t>
      </w:r>
      <w:r w:rsidR="00AF6DC3">
        <w:t xml:space="preserve"> expected to address the problems that have been identified with:</w:t>
      </w:r>
    </w:p>
    <w:p w14:paraId="6ADD98A1" w14:textId="77777777" w:rsidR="00AF6DC3" w:rsidRDefault="00AF6DC3" w:rsidP="00AD36B8">
      <w:pPr>
        <w:pStyle w:val="ListBullet"/>
      </w:pPr>
      <w:r>
        <w:t>exercises of dynamic market power; and</w:t>
      </w:r>
    </w:p>
    <w:p w14:paraId="52354CB4" w14:textId="77777777" w:rsidR="00AF6DC3" w:rsidRDefault="00AF6DC3" w:rsidP="00AD36B8">
      <w:pPr>
        <w:pStyle w:val="ListBullet"/>
        <w:rPr>
          <w:lang w:eastAsia="fr-CA"/>
        </w:rPr>
      </w:pPr>
      <w:r>
        <w:t xml:space="preserve">the information </w:t>
      </w:r>
      <w:r w:rsidRPr="006B4639">
        <w:t xml:space="preserve">reported by </w:t>
      </w:r>
      <w:r>
        <w:t xml:space="preserve">Part 23 and light regulation </w:t>
      </w:r>
      <w:r w:rsidRPr="006B4639">
        <w:t>pipelines</w:t>
      </w:r>
      <w:r>
        <w:t xml:space="preserve">. </w:t>
      </w:r>
    </w:p>
    <w:p w14:paraId="61CC64BD" w14:textId="77777777" w:rsidR="00122209" w:rsidRPr="00B605FF" w:rsidRDefault="00122209" w:rsidP="00122209">
      <w:pPr>
        <w:pStyle w:val="BodyText"/>
        <w:rPr>
          <w:lang w:eastAsia="fr-CA"/>
        </w:rPr>
      </w:pPr>
    </w:p>
    <w:p w14:paraId="79418E35" w14:textId="77777777" w:rsidR="00122209" w:rsidRPr="002C239E" w:rsidRDefault="00122209" w:rsidP="00122209">
      <w:pPr>
        <w:pStyle w:val="Caption"/>
        <w:spacing w:before="0" w:after="0"/>
        <w:rPr>
          <w:sz w:val="2"/>
          <w:szCs w:val="2"/>
        </w:rPr>
        <w:sectPr w:rsidR="00122209" w:rsidRPr="002C239E" w:rsidSect="00795317">
          <w:pgSz w:w="11907" w:h="16839" w:code="9"/>
          <w:pgMar w:top="1361" w:right="1418" w:bottom="992" w:left="1701" w:header="567" w:footer="397" w:gutter="0"/>
          <w:cols w:space="708"/>
          <w:docGrid w:linePitch="360"/>
        </w:sectPr>
      </w:pPr>
    </w:p>
    <w:p w14:paraId="62F98881" w14:textId="525DD7CD" w:rsidR="00122209" w:rsidRPr="006B4639" w:rsidRDefault="00122209" w:rsidP="00122209">
      <w:pPr>
        <w:pStyle w:val="Caption"/>
        <w:spacing w:before="0" w:after="0"/>
      </w:pPr>
      <w:r w:rsidRPr="006B4639">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8</w:t>
      </w:r>
      <w:r w:rsidR="00F323B2">
        <w:rPr>
          <w:noProof/>
        </w:rPr>
        <w:fldChar w:fldCharType="end"/>
      </w:r>
      <w:r>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2</w:t>
      </w:r>
      <w:r w:rsidR="00F323B2">
        <w:rPr>
          <w:noProof/>
        </w:rPr>
        <w:fldChar w:fldCharType="end"/>
      </w:r>
      <w:r w:rsidRPr="006B4639">
        <w:t>: Extent to which the identified problems are addressed</w:t>
      </w:r>
    </w:p>
    <w:tbl>
      <w:tblPr>
        <w:tblStyle w:val="TableGrid"/>
        <w:tblW w:w="5045" w:type="pct"/>
        <w:tblLayout w:type="fixed"/>
        <w:tblLook w:val="0420" w:firstRow="1" w:lastRow="0" w:firstColumn="0" w:lastColumn="0" w:noHBand="0" w:noVBand="1"/>
      </w:tblPr>
      <w:tblGrid>
        <w:gridCol w:w="1417"/>
        <w:gridCol w:w="6216"/>
        <w:gridCol w:w="1561"/>
        <w:gridCol w:w="1553"/>
        <w:gridCol w:w="1548"/>
        <w:gridCol w:w="1548"/>
      </w:tblGrid>
      <w:tr w:rsidR="00122209" w:rsidRPr="006B4639" w14:paraId="63326DDD" w14:textId="77777777" w:rsidTr="00F323B2">
        <w:trPr>
          <w:cnfStyle w:val="100000000000" w:firstRow="1" w:lastRow="0" w:firstColumn="0" w:lastColumn="0" w:oddVBand="0" w:evenVBand="0" w:oddHBand="0" w:evenHBand="0" w:firstRowFirstColumn="0" w:firstRowLastColumn="0" w:lastRowFirstColumn="0" w:lastRowLastColumn="0"/>
          <w:cantSplit/>
          <w:tblHeader/>
        </w:trPr>
        <w:tc>
          <w:tcPr>
            <w:tcW w:w="512" w:type="pct"/>
            <w:tcBorders>
              <w:bottom w:val="single" w:sz="4" w:space="0" w:color="auto"/>
            </w:tcBorders>
            <w:shd w:val="clear" w:color="auto" w:fill="002060"/>
          </w:tcPr>
          <w:p w14:paraId="19F6A371" w14:textId="77777777" w:rsidR="00122209" w:rsidRPr="006B4639" w:rsidRDefault="00122209" w:rsidP="00611CCA">
            <w:pPr>
              <w:pStyle w:val="TableHeading"/>
              <w:spacing w:before="20" w:after="20"/>
              <w:rPr>
                <w:lang w:eastAsia="fr-CA"/>
              </w:rPr>
            </w:pPr>
            <w:r w:rsidRPr="006B4639">
              <w:rPr>
                <w:lang w:eastAsia="fr-CA"/>
              </w:rPr>
              <w:t>Focus area</w:t>
            </w:r>
          </w:p>
        </w:tc>
        <w:tc>
          <w:tcPr>
            <w:tcW w:w="2245" w:type="pct"/>
            <w:tcBorders>
              <w:bottom w:val="single" w:sz="4" w:space="0" w:color="auto"/>
            </w:tcBorders>
            <w:shd w:val="clear" w:color="auto" w:fill="002060"/>
          </w:tcPr>
          <w:p w14:paraId="25E8F314" w14:textId="77777777" w:rsidR="00122209" w:rsidRPr="006B4639" w:rsidRDefault="00122209" w:rsidP="00611CCA">
            <w:pPr>
              <w:pStyle w:val="TableHeading"/>
              <w:spacing w:before="20" w:after="20"/>
              <w:rPr>
                <w:lang w:eastAsia="fr-CA"/>
              </w:rPr>
            </w:pPr>
            <w:r w:rsidRPr="006B4639">
              <w:rPr>
                <w:lang w:eastAsia="fr-CA"/>
              </w:rPr>
              <w:t>Potential problems with Status Quo</w:t>
            </w:r>
          </w:p>
        </w:tc>
        <w:tc>
          <w:tcPr>
            <w:tcW w:w="564" w:type="pct"/>
            <w:tcBorders>
              <w:bottom w:val="single" w:sz="4" w:space="0" w:color="auto"/>
            </w:tcBorders>
            <w:shd w:val="clear" w:color="auto" w:fill="002060"/>
          </w:tcPr>
          <w:p w14:paraId="74C2159D" w14:textId="77777777" w:rsidR="00122209" w:rsidRPr="006B4639" w:rsidRDefault="00122209" w:rsidP="00611CCA">
            <w:pPr>
              <w:pStyle w:val="TableHeading"/>
              <w:spacing w:before="20" w:after="20"/>
              <w:rPr>
                <w:lang w:eastAsia="fr-CA"/>
              </w:rPr>
            </w:pPr>
            <w:r w:rsidRPr="006B4639">
              <w:rPr>
                <w:lang w:eastAsia="fr-CA"/>
              </w:rPr>
              <w:t>Option 2</w:t>
            </w:r>
          </w:p>
        </w:tc>
        <w:tc>
          <w:tcPr>
            <w:tcW w:w="561" w:type="pct"/>
            <w:tcBorders>
              <w:bottom w:val="single" w:sz="4" w:space="0" w:color="auto"/>
            </w:tcBorders>
            <w:shd w:val="clear" w:color="auto" w:fill="002060"/>
          </w:tcPr>
          <w:p w14:paraId="54C40F96" w14:textId="77777777" w:rsidR="00122209" w:rsidRPr="006B4639" w:rsidRDefault="00122209" w:rsidP="00611CCA">
            <w:pPr>
              <w:pStyle w:val="TableHeading"/>
              <w:spacing w:before="20" w:after="20"/>
              <w:rPr>
                <w:lang w:eastAsia="fr-CA"/>
              </w:rPr>
            </w:pPr>
            <w:r w:rsidRPr="006B4639">
              <w:rPr>
                <w:lang w:eastAsia="fr-CA"/>
              </w:rPr>
              <w:t>Option 3</w:t>
            </w:r>
            <w:r>
              <w:rPr>
                <w:lang w:eastAsia="fr-CA"/>
              </w:rPr>
              <w:t>A</w:t>
            </w:r>
          </w:p>
        </w:tc>
        <w:tc>
          <w:tcPr>
            <w:tcW w:w="559" w:type="pct"/>
            <w:tcBorders>
              <w:bottom w:val="single" w:sz="4" w:space="0" w:color="auto"/>
            </w:tcBorders>
            <w:shd w:val="clear" w:color="auto" w:fill="002060"/>
          </w:tcPr>
          <w:p w14:paraId="0096C889" w14:textId="77777777" w:rsidR="00122209" w:rsidRPr="006B4639" w:rsidRDefault="00122209" w:rsidP="00611CCA">
            <w:pPr>
              <w:pStyle w:val="TableHeading"/>
              <w:spacing w:before="20" w:after="20"/>
              <w:rPr>
                <w:lang w:eastAsia="fr-CA"/>
              </w:rPr>
            </w:pPr>
            <w:r>
              <w:rPr>
                <w:lang w:eastAsia="fr-CA"/>
              </w:rPr>
              <w:t>Option 3B</w:t>
            </w:r>
          </w:p>
        </w:tc>
        <w:tc>
          <w:tcPr>
            <w:tcW w:w="559" w:type="pct"/>
            <w:tcBorders>
              <w:bottom w:val="single" w:sz="4" w:space="0" w:color="auto"/>
            </w:tcBorders>
            <w:shd w:val="clear" w:color="auto" w:fill="002060"/>
          </w:tcPr>
          <w:p w14:paraId="3397D77C" w14:textId="77777777" w:rsidR="00122209" w:rsidRPr="006B4639" w:rsidRDefault="00122209" w:rsidP="00611CCA">
            <w:pPr>
              <w:pStyle w:val="TableHeading"/>
              <w:spacing w:before="20" w:after="20"/>
              <w:rPr>
                <w:lang w:eastAsia="fr-CA"/>
              </w:rPr>
            </w:pPr>
            <w:r w:rsidRPr="006B4639">
              <w:rPr>
                <w:lang w:eastAsia="fr-CA"/>
              </w:rPr>
              <w:t>Option 4</w:t>
            </w:r>
          </w:p>
        </w:tc>
      </w:tr>
      <w:tr w:rsidR="00122209" w:rsidRPr="006B4639" w14:paraId="61F9FF0A" w14:textId="77777777" w:rsidTr="00F323B2">
        <w:trPr>
          <w:cantSplit/>
          <w:trHeight w:val="820"/>
        </w:trPr>
        <w:tc>
          <w:tcPr>
            <w:tcW w:w="512" w:type="pct"/>
            <w:shd w:val="clear" w:color="auto" w:fill="FFFFFF" w:themeFill="background1"/>
          </w:tcPr>
          <w:p w14:paraId="20AD9702" w14:textId="77777777" w:rsidR="00122209" w:rsidRPr="006B4639" w:rsidRDefault="00122209" w:rsidP="00611CCA">
            <w:pPr>
              <w:pStyle w:val="TableBodyText"/>
              <w:spacing w:before="20" w:after="20"/>
              <w:rPr>
                <w:lang w:eastAsia="fr-CA"/>
              </w:rPr>
            </w:pPr>
            <w:r w:rsidRPr="006B4639">
              <w:rPr>
                <w:lang w:eastAsia="fr-CA"/>
              </w:rPr>
              <w:t xml:space="preserve">When a pipeline should be </w:t>
            </w:r>
            <w:r>
              <w:rPr>
                <w:lang w:eastAsia="fr-CA"/>
              </w:rPr>
              <w:t xml:space="preserve">regulated </w:t>
            </w:r>
          </w:p>
        </w:tc>
        <w:tc>
          <w:tcPr>
            <w:tcW w:w="2245" w:type="pct"/>
            <w:shd w:val="clear" w:color="auto" w:fill="FFFFFF" w:themeFill="background1"/>
            <w:vAlign w:val="center"/>
          </w:tcPr>
          <w:p w14:paraId="3E86F01C" w14:textId="77777777" w:rsidR="00122209" w:rsidRPr="006B4639" w:rsidRDefault="00122209" w:rsidP="00611CCA">
            <w:pPr>
              <w:pStyle w:val="ListBullet"/>
              <w:numPr>
                <w:ilvl w:val="0"/>
                <w:numId w:val="0"/>
              </w:numPr>
              <w:spacing w:before="20" w:after="20"/>
              <w:ind w:left="85"/>
            </w:pPr>
            <w:r>
              <w:t>T</w:t>
            </w:r>
            <w:r w:rsidRPr="006B4639">
              <w:t xml:space="preserve">he use of the coverage test </w:t>
            </w:r>
            <w:r>
              <w:t>to determine whether a pipeline that is not voluntarily providing 3</w:t>
            </w:r>
            <w:r w:rsidRPr="00DD50DB">
              <w:rPr>
                <w:vertAlign w:val="superscript"/>
              </w:rPr>
              <w:t>rd</w:t>
            </w:r>
            <w:r>
              <w:t xml:space="preserve"> party </w:t>
            </w:r>
            <w:r w:rsidRPr="006B4639">
              <w:t xml:space="preserve">access </w:t>
            </w:r>
            <w:r>
              <w:t>should be required to do so, can result in under- regulation and inefficient investment in and use of these pipelines</w:t>
            </w:r>
          </w:p>
        </w:tc>
        <w:tc>
          <w:tcPr>
            <w:tcW w:w="564" w:type="pct"/>
            <w:tcBorders>
              <w:bottom w:val="single" w:sz="4" w:space="0" w:color="auto"/>
            </w:tcBorders>
            <w:shd w:val="clear" w:color="auto" w:fill="FFFFFF" w:themeFill="background1"/>
            <w:vAlign w:val="center"/>
          </w:tcPr>
          <w:p w14:paraId="59B6277B" w14:textId="77777777" w:rsidR="00122209" w:rsidRPr="00134254" w:rsidRDefault="00122209" w:rsidP="00611CCA">
            <w:pPr>
              <w:pStyle w:val="ListBullet"/>
              <w:numPr>
                <w:ilvl w:val="0"/>
                <w:numId w:val="0"/>
              </w:numPr>
              <w:spacing w:before="20" w:after="20"/>
              <w:ind w:left="85"/>
            </w:pPr>
            <w:r w:rsidRPr="00134254">
              <w:t xml:space="preserve">Addressed </w:t>
            </w:r>
          </w:p>
        </w:tc>
        <w:tc>
          <w:tcPr>
            <w:tcW w:w="561" w:type="pct"/>
            <w:shd w:val="clear" w:color="auto" w:fill="FFFFFF" w:themeFill="background1"/>
            <w:vAlign w:val="center"/>
          </w:tcPr>
          <w:p w14:paraId="3C157433" w14:textId="77777777" w:rsidR="00122209" w:rsidRPr="00134254" w:rsidRDefault="00122209" w:rsidP="00611CCA">
            <w:pPr>
              <w:pStyle w:val="ListBullet"/>
              <w:numPr>
                <w:ilvl w:val="0"/>
                <w:numId w:val="0"/>
              </w:numPr>
              <w:spacing w:before="20" w:after="20"/>
              <w:ind w:left="85"/>
            </w:pPr>
            <w:r w:rsidRPr="00134254">
              <w:t xml:space="preserve">Addressed </w:t>
            </w:r>
          </w:p>
        </w:tc>
        <w:tc>
          <w:tcPr>
            <w:tcW w:w="559" w:type="pct"/>
            <w:shd w:val="clear" w:color="auto" w:fill="FFFFFF" w:themeFill="background1"/>
            <w:vAlign w:val="center"/>
          </w:tcPr>
          <w:p w14:paraId="1E178C31" w14:textId="77777777" w:rsidR="00122209" w:rsidRPr="00134254" w:rsidRDefault="00122209" w:rsidP="00611CCA">
            <w:pPr>
              <w:pStyle w:val="ListBullet"/>
              <w:numPr>
                <w:ilvl w:val="0"/>
                <w:numId w:val="0"/>
              </w:numPr>
              <w:spacing w:before="20" w:after="20"/>
              <w:ind w:left="85"/>
            </w:pPr>
            <w:r w:rsidRPr="00134254">
              <w:t>Addressed</w:t>
            </w:r>
          </w:p>
        </w:tc>
        <w:tc>
          <w:tcPr>
            <w:tcW w:w="559" w:type="pct"/>
            <w:shd w:val="clear" w:color="auto" w:fill="FFFFFF" w:themeFill="background1"/>
            <w:vAlign w:val="center"/>
          </w:tcPr>
          <w:p w14:paraId="0869E81B" w14:textId="77777777" w:rsidR="00122209" w:rsidRPr="006B4639" w:rsidRDefault="00122209" w:rsidP="00611CCA">
            <w:pPr>
              <w:pStyle w:val="ListBullet"/>
              <w:numPr>
                <w:ilvl w:val="0"/>
                <w:numId w:val="0"/>
              </w:numPr>
              <w:spacing w:before="20" w:after="20"/>
              <w:ind w:left="85"/>
            </w:pPr>
            <w:r w:rsidRPr="006B4639">
              <w:t>Addressed</w:t>
            </w:r>
          </w:p>
        </w:tc>
      </w:tr>
      <w:tr w:rsidR="00122209" w:rsidRPr="006B4639" w14:paraId="2075FFDB" w14:textId="77777777" w:rsidTr="00F323B2">
        <w:trPr>
          <w:cnfStyle w:val="000000010000" w:firstRow="0" w:lastRow="0" w:firstColumn="0" w:lastColumn="0" w:oddVBand="0" w:evenVBand="0" w:oddHBand="0" w:evenHBand="1" w:firstRowFirstColumn="0" w:firstRowLastColumn="0" w:lastRowFirstColumn="0" w:lastRowLastColumn="0"/>
          <w:cantSplit/>
          <w:trHeight w:val="395"/>
        </w:trPr>
        <w:tc>
          <w:tcPr>
            <w:tcW w:w="512" w:type="pct"/>
            <w:vMerge w:val="restart"/>
            <w:shd w:val="clear" w:color="auto" w:fill="FFFFFF" w:themeFill="background1"/>
          </w:tcPr>
          <w:p w14:paraId="4EBA1B6B" w14:textId="77777777" w:rsidR="00122209" w:rsidRPr="006B4639" w:rsidRDefault="00122209" w:rsidP="00611CCA">
            <w:pPr>
              <w:pStyle w:val="TableBodyText"/>
              <w:spacing w:before="20" w:after="20"/>
              <w:rPr>
                <w:lang w:eastAsia="fr-CA"/>
              </w:rPr>
            </w:pPr>
            <w:r w:rsidRPr="006B4639">
              <w:rPr>
                <w:lang w:eastAsia="fr-CA"/>
              </w:rPr>
              <w:t>Form of regulation and movements between the alternative forms of regulation</w:t>
            </w:r>
          </w:p>
        </w:tc>
        <w:tc>
          <w:tcPr>
            <w:tcW w:w="2245" w:type="pct"/>
            <w:shd w:val="clear" w:color="auto" w:fill="FFFFFF" w:themeFill="background1"/>
          </w:tcPr>
          <w:p w14:paraId="54BAAA37" w14:textId="77777777" w:rsidR="00122209" w:rsidRPr="006B4639" w:rsidRDefault="00122209" w:rsidP="00611CCA">
            <w:pPr>
              <w:pStyle w:val="ListBullet"/>
              <w:numPr>
                <w:ilvl w:val="0"/>
                <w:numId w:val="0"/>
              </w:numPr>
              <w:spacing w:before="20" w:after="20"/>
              <w:ind w:left="85"/>
            </w:pPr>
            <w:r w:rsidRPr="006B4639">
              <w:t xml:space="preserve">The inconsistencies and overlap between </w:t>
            </w:r>
            <w:r>
              <w:t xml:space="preserve">Part 23 and light regulation </w:t>
            </w:r>
            <w:r w:rsidRPr="006B4639">
              <w:t>increase</w:t>
            </w:r>
            <w:r>
              <w:t>s</w:t>
            </w:r>
            <w:r w:rsidRPr="006B4639">
              <w:t xml:space="preserve"> </w:t>
            </w:r>
            <w:r>
              <w:t xml:space="preserve">regulatory </w:t>
            </w:r>
            <w:r w:rsidRPr="006B4639">
              <w:t>complexity and administrative burden</w:t>
            </w:r>
            <w:r>
              <w:t>, resulting in unnecessary costs and inefficiencies</w:t>
            </w:r>
            <w:r w:rsidRPr="006B4639">
              <w:t>.</w:t>
            </w:r>
          </w:p>
        </w:tc>
        <w:tc>
          <w:tcPr>
            <w:tcW w:w="564" w:type="pct"/>
            <w:shd w:val="clear" w:color="auto" w:fill="FFFFFF" w:themeFill="background1"/>
          </w:tcPr>
          <w:p w14:paraId="1820F1B9" w14:textId="77777777" w:rsidR="00122209" w:rsidRPr="006B4639" w:rsidRDefault="00122209" w:rsidP="00611CCA">
            <w:pPr>
              <w:pStyle w:val="TableBodyText"/>
              <w:spacing w:before="20" w:after="20"/>
              <w:rPr>
                <w:lang w:eastAsia="fr-CA"/>
              </w:rPr>
            </w:pPr>
            <w:r w:rsidRPr="006B4639">
              <w:t>Addressed</w:t>
            </w:r>
          </w:p>
        </w:tc>
        <w:tc>
          <w:tcPr>
            <w:tcW w:w="561" w:type="pct"/>
            <w:shd w:val="clear" w:color="auto" w:fill="FFFFFF" w:themeFill="background1"/>
          </w:tcPr>
          <w:p w14:paraId="42E615B5" w14:textId="77777777" w:rsidR="00122209" w:rsidRPr="006B4639" w:rsidRDefault="00122209" w:rsidP="00611CCA">
            <w:pPr>
              <w:pStyle w:val="TableBodyText"/>
              <w:spacing w:before="20" w:after="20"/>
              <w:rPr>
                <w:lang w:eastAsia="fr-CA"/>
              </w:rPr>
            </w:pPr>
            <w:r w:rsidRPr="006B4639">
              <w:t>Addressed</w:t>
            </w:r>
          </w:p>
        </w:tc>
        <w:tc>
          <w:tcPr>
            <w:tcW w:w="559" w:type="pct"/>
            <w:shd w:val="clear" w:color="auto" w:fill="FFFFFF" w:themeFill="background1"/>
          </w:tcPr>
          <w:p w14:paraId="0FDB8FE2" w14:textId="77777777" w:rsidR="00122209" w:rsidRPr="006B4639" w:rsidRDefault="00122209" w:rsidP="00611CCA">
            <w:pPr>
              <w:pStyle w:val="TableBodyText"/>
              <w:spacing w:before="20" w:after="20"/>
            </w:pPr>
            <w:r w:rsidRPr="006B4639">
              <w:t>Addressed</w:t>
            </w:r>
          </w:p>
        </w:tc>
        <w:tc>
          <w:tcPr>
            <w:tcW w:w="559" w:type="pct"/>
            <w:shd w:val="clear" w:color="auto" w:fill="FFFFFF" w:themeFill="background1"/>
          </w:tcPr>
          <w:p w14:paraId="752B7D62" w14:textId="77777777" w:rsidR="00122209" w:rsidRPr="006B4639" w:rsidRDefault="00122209" w:rsidP="00611CCA">
            <w:pPr>
              <w:pStyle w:val="TableBodyText"/>
              <w:spacing w:before="20" w:after="20"/>
              <w:rPr>
                <w:lang w:eastAsia="fr-CA"/>
              </w:rPr>
            </w:pPr>
            <w:r w:rsidRPr="006B4639">
              <w:t>Addressed</w:t>
            </w:r>
          </w:p>
        </w:tc>
      </w:tr>
      <w:tr w:rsidR="00122209" w:rsidRPr="006B4639" w14:paraId="2D0D5939" w14:textId="77777777" w:rsidTr="00F323B2">
        <w:trPr>
          <w:cantSplit/>
          <w:trHeight w:val="606"/>
        </w:trPr>
        <w:tc>
          <w:tcPr>
            <w:tcW w:w="512" w:type="pct"/>
            <w:vMerge/>
            <w:shd w:val="clear" w:color="auto" w:fill="FFFFFF" w:themeFill="background1"/>
          </w:tcPr>
          <w:p w14:paraId="69E533B9" w14:textId="77777777" w:rsidR="00122209" w:rsidRPr="006B4639" w:rsidRDefault="00122209" w:rsidP="00611CCA">
            <w:pPr>
              <w:pStyle w:val="TableBodyText"/>
              <w:spacing w:before="20" w:after="20"/>
              <w:rPr>
                <w:lang w:eastAsia="fr-CA"/>
              </w:rPr>
            </w:pPr>
          </w:p>
        </w:tc>
        <w:tc>
          <w:tcPr>
            <w:tcW w:w="2245" w:type="pct"/>
            <w:shd w:val="clear" w:color="auto" w:fill="FFFFFF" w:themeFill="background1"/>
          </w:tcPr>
          <w:p w14:paraId="18FE1EC5" w14:textId="77777777" w:rsidR="00122209" w:rsidRPr="006B4639" w:rsidRDefault="00122209" w:rsidP="00611CCA">
            <w:pPr>
              <w:pStyle w:val="TableBodyText"/>
              <w:spacing w:before="20" w:after="20"/>
              <w:rPr>
                <w:lang w:eastAsia="fr-CA"/>
              </w:rPr>
            </w:pPr>
            <w:r w:rsidRPr="006B4639">
              <w:t xml:space="preserve">The use of the coverage test as a gateway from Part 23 to full regulation </w:t>
            </w:r>
            <w:r>
              <w:t xml:space="preserve">can </w:t>
            </w:r>
            <w:r w:rsidRPr="006B4639">
              <w:t>result in under-regulation</w:t>
            </w:r>
            <w:r>
              <w:t xml:space="preserve">, leaving </w:t>
            </w:r>
            <w:r w:rsidRPr="006B4639">
              <w:t>shippers more exposed to exercises of market power by service providers.</w:t>
            </w:r>
          </w:p>
        </w:tc>
        <w:tc>
          <w:tcPr>
            <w:tcW w:w="564" w:type="pct"/>
            <w:tcBorders>
              <w:bottom w:val="single" w:sz="4" w:space="0" w:color="auto"/>
            </w:tcBorders>
            <w:shd w:val="clear" w:color="auto" w:fill="FFFFFF" w:themeFill="background1"/>
          </w:tcPr>
          <w:p w14:paraId="67EF27E2" w14:textId="77777777" w:rsidR="00122209" w:rsidRPr="006B4639" w:rsidRDefault="00122209" w:rsidP="00611CCA">
            <w:pPr>
              <w:pStyle w:val="TableBodyText"/>
              <w:spacing w:before="20" w:after="20"/>
              <w:rPr>
                <w:lang w:eastAsia="fr-CA"/>
              </w:rPr>
            </w:pPr>
            <w:r w:rsidRPr="006B4639">
              <w:t>Addressed</w:t>
            </w:r>
          </w:p>
        </w:tc>
        <w:tc>
          <w:tcPr>
            <w:tcW w:w="561" w:type="pct"/>
            <w:tcBorders>
              <w:bottom w:val="single" w:sz="4" w:space="0" w:color="auto"/>
            </w:tcBorders>
            <w:shd w:val="clear" w:color="auto" w:fill="FFFFFF" w:themeFill="background1"/>
          </w:tcPr>
          <w:p w14:paraId="5CD9EB68" w14:textId="77777777" w:rsidR="00122209" w:rsidRPr="006B4639" w:rsidRDefault="00122209" w:rsidP="00611CCA">
            <w:pPr>
              <w:pStyle w:val="TableBodyText"/>
              <w:spacing w:before="20" w:after="20"/>
              <w:rPr>
                <w:lang w:eastAsia="fr-CA"/>
              </w:rPr>
            </w:pPr>
            <w:r w:rsidRPr="006B4639">
              <w:t>Addressed</w:t>
            </w:r>
          </w:p>
        </w:tc>
        <w:tc>
          <w:tcPr>
            <w:tcW w:w="559" w:type="pct"/>
            <w:tcBorders>
              <w:bottom w:val="single" w:sz="4" w:space="0" w:color="auto"/>
            </w:tcBorders>
            <w:shd w:val="clear" w:color="auto" w:fill="FFFFFF" w:themeFill="background1"/>
          </w:tcPr>
          <w:p w14:paraId="2F28DA9C" w14:textId="77777777" w:rsidR="00122209" w:rsidRPr="006B4639" w:rsidRDefault="00122209" w:rsidP="00611CCA">
            <w:pPr>
              <w:pStyle w:val="TableBodyText"/>
              <w:spacing w:before="20" w:after="20"/>
            </w:pPr>
            <w:r w:rsidRPr="006B4639">
              <w:t>Addressed</w:t>
            </w:r>
          </w:p>
        </w:tc>
        <w:tc>
          <w:tcPr>
            <w:tcW w:w="559" w:type="pct"/>
            <w:tcBorders>
              <w:bottom w:val="single" w:sz="4" w:space="0" w:color="auto"/>
            </w:tcBorders>
            <w:shd w:val="clear" w:color="auto" w:fill="FFFFFF" w:themeFill="background1"/>
          </w:tcPr>
          <w:p w14:paraId="4D5766BE" w14:textId="77777777" w:rsidR="00122209" w:rsidRPr="006B4639" w:rsidRDefault="00122209" w:rsidP="00611CCA">
            <w:pPr>
              <w:pStyle w:val="TableBodyText"/>
              <w:spacing w:before="20" w:after="20"/>
              <w:rPr>
                <w:lang w:eastAsia="fr-CA"/>
              </w:rPr>
            </w:pPr>
            <w:r w:rsidRPr="006B4639">
              <w:t>Addressed</w:t>
            </w:r>
          </w:p>
        </w:tc>
      </w:tr>
      <w:tr w:rsidR="00122209" w:rsidRPr="006B4639" w14:paraId="1ECF43C0" w14:textId="77777777" w:rsidTr="00F323B2">
        <w:trPr>
          <w:cnfStyle w:val="000000010000" w:firstRow="0" w:lastRow="0" w:firstColumn="0" w:lastColumn="0" w:oddVBand="0" w:evenVBand="0" w:oddHBand="0" w:evenHBand="1" w:firstRowFirstColumn="0" w:firstRowLastColumn="0" w:lastRowFirstColumn="0" w:lastRowLastColumn="0"/>
          <w:cantSplit/>
          <w:trHeight w:val="606"/>
        </w:trPr>
        <w:tc>
          <w:tcPr>
            <w:tcW w:w="512" w:type="pct"/>
            <w:vMerge/>
            <w:shd w:val="clear" w:color="auto" w:fill="FFFFFF" w:themeFill="background1"/>
          </w:tcPr>
          <w:p w14:paraId="74249D25" w14:textId="77777777" w:rsidR="00122209" w:rsidRPr="006B4639" w:rsidRDefault="00122209" w:rsidP="00611CCA">
            <w:pPr>
              <w:pStyle w:val="TableBodyText"/>
              <w:spacing w:before="20" w:after="20"/>
              <w:rPr>
                <w:lang w:eastAsia="fr-CA"/>
              </w:rPr>
            </w:pPr>
          </w:p>
        </w:tc>
        <w:tc>
          <w:tcPr>
            <w:tcW w:w="2245" w:type="pct"/>
            <w:shd w:val="clear" w:color="auto" w:fill="FFFFFF" w:themeFill="background1"/>
          </w:tcPr>
          <w:p w14:paraId="3BAD928C" w14:textId="77777777" w:rsidR="00122209" w:rsidRPr="006B4639" w:rsidRDefault="00122209" w:rsidP="00611CCA">
            <w:pPr>
              <w:pStyle w:val="TableBodyText"/>
              <w:spacing w:before="20" w:after="20"/>
            </w:pPr>
            <w:r w:rsidRPr="006B4639">
              <w:t xml:space="preserve">The current forms of regulation </w:t>
            </w:r>
            <w:r>
              <w:t xml:space="preserve">do </w:t>
            </w:r>
            <w:r w:rsidRPr="006B4639">
              <w:t>not effectively deal with exercises of dynamic market power, which further entrench</w:t>
            </w:r>
            <w:r>
              <w:t>es</w:t>
            </w:r>
            <w:r w:rsidRPr="006B4639">
              <w:t xml:space="preserve"> the service providers’ market power</w:t>
            </w:r>
            <w:r>
              <w:t xml:space="preserve"> and prevents the benefits of competition flowing through</w:t>
            </w:r>
            <w:r w:rsidRPr="006B4639">
              <w:t>.</w:t>
            </w:r>
          </w:p>
        </w:tc>
        <w:tc>
          <w:tcPr>
            <w:tcW w:w="564" w:type="pct"/>
          </w:tcPr>
          <w:p w14:paraId="0CDBD350" w14:textId="77777777" w:rsidR="00122209" w:rsidRPr="006B4639" w:rsidRDefault="00122209" w:rsidP="00611CCA">
            <w:pPr>
              <w:pStyle w:val="TableBodyText"/>
              <w:spacing w:before="20" w:after="20"/>
            </w:pPr>
            <w:r>
              <w:t>Not addressed</w:t>
            </w:r>
          </w:p>
        </w:tc>
        <w:tc>
          <w:tcPr>
            <w:tcW w:w="561" w:type="pct"/>
            <w:shd w:val="clear" w:color="auto" w:fill="auto"/>
          </w:tcPr>
          <w:p w14:paraId="68465E5B" w14:textId="77777777" w:rsidR="00122209" w:rsidRPr="006B4639" w:rsidRDefault="00122209" w:rsidP="00611CCA">
            <w:pPr>
              <w:pStyle w:val="TableBodyText"/>
              <w:spacing w:before="20" w:after="20"/>
            </w:pPr>
            <w:r w:rsidRPr="00480DF1">
              <w:t>Addressed</w:t>
            </w:r>
          </w:p>
        </w:tc>
        <w:tc>
          <w:tcPr>
            <w:tcW w:w="559" w:type="pct"/>
            <w:shd w:val="clear" w:color="auto" w:fill="auto"/>
          </w:tcPr>
          <w:p w14:paraId="6E9EAF09" w14:textId="77777777" w:rsidR="00122209" w:rsidRDefault="00122209" w:rsidP="00611CCA">
            <w:pPr>
              <w:pStyle w:val="TableBodyText"/>
              <w:spacing w:before="20" w:after="20"/>
            </w:pPr>
            <w:r w:rsidRPr="00480DF1">
              <w:t>Addressed</w:t>
            </w:r>
          </w:p>
        </w:tc>
        <w:tc>
          <w:tcPr>
            <w:tcW w:w="559" w:type="pct"/>
            <w:shd w:val="clear" w:color="auto" w:fill="FFFFFF" w:themeFill="background1"/>
          </w:tcPr>
          <w:p w14:paraId="58ADCE46" w14:textId="77777777" w:rsidR="00122209" w:rsidRPr="006B4639" w:rsidRDefault="00122209" w:rsidP="00611CCA">
            <w:pPr>
              <w:pStyle w:val="TableBodyText"/>
              <w:spacing w:before="20" w:after="20"/>
            </w:pPr>
            <w:r>
              <w:t>Addressed</w:t>
            </w:r>
          </w:p>
        </w:tc>
      </w:tr>
      <w:tr w:rsidR="00122209" w:rsidRPr="006B4639" w14:paraId="75C5D3FE" w14:textId="77777777" w:rsidTr="00F323B2">
        <w:trPr>
          <w:cantSplit/>
          <w:trHeight w:val="405"/>
        </w:trPr>
        <w:tc>
          <w:tcPr>
            <w:tcW w:w="512" w:type="pct"/>
            <w:shd w:val="clear" w:color="auto" w:fill="FFFFFF" w:themeFill="background1"/>
          </w:tcPr>
          <w:p w14:paraId="1066DAF2" w14:textId="77777777" w:rsidR="00122209" w:rsidRPr="00EE727F" w:rsidRDefault="00122209" w:rsidP="00611CCA">
            <w:pPr>
              <w:pStyle w:val="TableBodyText"/>
              <w:spacing w:before="20" w:after="20"/>
              <w:rPr>
                <w:bCs/>
                <w:lang w:eastAsia="fr-CA"/>
              </w:rPr>
            </w:pPr>
            <w:r w:rsidRPr="00EE727F">
              <w:rPr>
                <w:bCs/>
                <w:sz w:val="16"/>
                <w:szCs w:val="16"/>
              </w:rPr>
              <w:t>Governance for when and how to regulate decisions</w:t>
            </w:r>
          </w:p>
        </w:tc>
        <w:tc>
          <w:tcPr>
            <w:tcW w:w="2245" w:type="pct"/>
            <w:tcBorders>
              <w:bottom w:val="single" w:sz="4" w:space="0" w:color="auto"/>
            </w:tcBorders>
            <w:shd w:val="clear" w:color="auto" w:fill="FFFFFF" w:themeFill="background1"/>
            <w:vAlign w:val="center"/>
          </w:tcPr>
          <w:p w14:paraId="54EA203F" w14:textId="77777777" w:rsidR="00122209" w:rsidRDefault="00122209" w:rsidP="00611CCA">
            <w:pPr>
              <w:pStyle w:val="ListBullet"/>
              <w:numPr>
                <w:ilvl w:val="0"/>
                <w:numId w:val="0"/>
              </w:numPr>
              <w:spacing w:before="20" w:after="20"/>
              <w:ind w:left="85"/>
            </w:pPr>
            <w:r>
              <w:rPr>
                <w:lang w:eastAsia="fr-CA"/>
              </w:rPr>
              <w:t xml:space="preserve">The </w:t>
            </w:r>
            <w:r>
              <w:t>current governance arrangements give rise to unnecessary costs and delays in decision making, particularly in relation to coverage and greenfield exemption related determinations</w:t>
            </w:r>
            <w:r>
              <w:rPr>
                <w:lang w:eastAsia="fr-CA"/>
              </w:rPr>
              <w:t xml:space="preserve">. </w:t>
            </w:r>
          </w:p>
        </w:tc>
        <w:tc>
          <w:tcPr>
            <w:tcW w:w="564" w:type="pct"/>
            <w:tcBorders>
              <w:bottom w:val="single" w:sz="4" w:space="0" w:color="auto"/>
            </w:tcBorders>
            <w:shd w:val="clear" w:color="auto" w:fill="FFFFFF" w:themeFill="background1"/>
            <w:vAlign w:val="center"/>
          </w:tcPr>
          <w:p w14:paraId="34E402C7" w14:textId="77777777" w:rsidR="00122209" w:rsidRPr="006B4639" w:rsidRDefault="00122209" w:rsidP="00611CCA">
            <w:pPr>
              <w:pStyle w:val="TableBodyText"/>
              <w:spacing w:before="20" w:after="20"/>
            </w:pPr>
            <w:r w:rsidRPr="00134254">
              <w:t xml:space="preserve">Addressed </w:t>
            </w:r>
          </w:p>
        </w:tc>
        <w:tc>
          <w:tcPr>
            <w:tcW w:w="561" w:type="pct"/>
            <w:tcBorders>
              <w:bottom w:val="single" w:sz="4" w:space="0" w:color="auto"/>
            </w:tcBorders>
            <w:shd w:val="clear" w:color="auto" w:fill="FFFFFF" w:themeFill="background1"/>
            <w:vAlign w:val="center"/>
          </w:tcPr>
          <w:p w14:paraId="2A4B69BB" w14:textId="77777777" w:rsidR="00122209" w:rsidRPr="006B4639" w:rsidRDefault="00122209" w:rsidP="00611CCA">
            <w:pPr>
              <w:pStyle w:val="TableBodyText"/>
              <w:spacing w:before="20" w:after="20"/>
            </w:pPr>
            <w:r w:rsidRPr="00134254">
              <w:t xml:space="preserve">Addressed </w:t>
            </w:r>
          </w:p>
        </w:tc>
        <w:tc>
          <w:tcPr>
            <w:tcW w:w="559" w:type="pct"/>
            <w:tcBorders>
              <w:bottom w:val="single" w:sz="4" w:space="0" w:color="auto"/>
            </w:tcBorders>
            <w:shd w:val="clear" w:color="auto" w:fill="FFFFFF" w:themeFill="background1"/>
            <w:vAlign w:val="center"/>
          </w:tcPr>
          <w:p w14:paraId="2A23F1D1" w14:textId="77777777" w:rsidR="00122209" w:rsidRPr="006B4639" w:rsidRDefault="00122209" w:rsidP="00611CCA">
            <w:pPr>
              <w:pStyle w:val="TableBodyText"/>
              <w:spacing w:before="20" w:after="20"/>
            </w:pPr>
            <w:r w:rsidRPr="00134254">
              <w:t>Addressed</w:t>
            </w:r>
          </w:p>
        </w:tc>
        <w:tc>
          <w:tcPr>
            <w:tcW w:w="559" w:type="pct"/>
            <w:tcBorders>
              <w:bottom w:val="single" w:sz="4" w:space="0" w:color="auto"/>
            </w:tcBorders>
            <w:shd w:val="clear" w:color="auto" w:fill="FFFFFF" w:themeFill="background1"/>
            <w:vAlign w:val="center"/>
          </w:tcPr>
          <w:p w14:paraId="4000B252" w14:textId="77777777" w:rsidR="00122209" w:rsidRPr="006B4639" w:rsidRDefault="00122209" w:rsidP="00611CCA">
            <w:pPr>
              <w:pStyle w:val="TableBodyText"/>
              <w:spacing w:before="20" w:after="20"/>
            </w:pPr>
            <w:r w:rsidRPr="006B4639">
              <w:t>Addressed</w:t>
            </w:r>
          </w:p>
        </w:tc>
      </w:tr>
      <w:tr w:rsidR="00122209" w:rsidRPr="006B4639" w14:paraId="5BB967FB" w14:textId="77777777" w:rsidTr="00F323B2">
        <w:trPr>
          <w:cnfStyle w:val="000000010000" w:firstRow="0" w:lastRow="0" w:firstColumn="0" w:lastColumn="0" w:oddVBand="0" w:evenVBand="0" w:oddHBand="0" w:evenHBand="1" w:firstRowFirstColumn="0" w:firstRowLastColumn="0" w:lastRowFirstColumn="0" w:lastRowLastColumn="0"/>
          <w:cantSplit/>
          <w:trHeight w:val="405"/>
        </w:trPr>
        <w:tc>
          <w:tcPr>
            <w:tcW w:w="512" w:type="pct"/>
            <w:vMerge w:val="restart"/>
            <w:shd w:val="clear" w:color="auto" w:fill="FFFFFF" w:themeFill="background1"/>
          </w:tcPr>
          <w:p w14:paraId="4162C02B" w14:textId="77777777" w:rsidR="00122209" w:rsidRPr="006B4639" w:rsidRDefault="00122209" w:rsidP="00611CCA">
            <w:pPr>
              <w:pStyle w:val="TableBodyText"/>
              <w:spacing w:before="20" w:after="20"/>
              <w:rPr>
                <w:lang w:eastAsia="fr-CA"/>
              </w:rPr>
            </w:pPr>
            <w:r w:rsidRPr="006B4639">
              <w:rPr>
                <w:lang w:eastAsia="fr-CA"/>
              </w:rPr>
              <w:t>Information disclosure requirements</w:t>
            </w:r>
          </w:p>
        </w:tc>
        <w:tc>
          <w:tcPr>
            <w:tcW w:w="2245" w:type="pct"/>
            <w:tcBorders>
              <w:bottom w:val="single" w:sz="4" w:space="0" w:color="auto"/>
            </w:tcBorders>
            <w:shd w:val="clear" w:color="auto" w:fill="FFFFFF" w:themeFill="background1"/>
          </w:tcPr>
          <w:p w14:paraId="04730612" w14:textId="77777777" w:rsidR="00122209" w:rsidRPr="006B4639" w:rsidRDefault="00122209" w:rsidP="00611CCA">
            <w:pPr>
              <w:pStyle w:val="ListBullet"/>
              <w:numPr>
                <w:ilvl w:val="0"/>
                <w:numId w:val="0"/>
              </w:numPr>
              <w:spacing w:before="20" w:after="20"/>
              <w:ind w:left="85"/>
            </w:pPr>
            <w:r>
              <w:t>The l</w:t>
            </w:r>
            <w:r w:rsidRPr="006B4639">
              <w:t xml:space="preserve">imited information </w:t>
            </w:r>
            <w:r>
              <w:t xml:space="preserve">on </w:t>
            </w:r>
            <w:r w:rsidRPr="006B4639">
              <w:t xml:space="preserve">non-reference services on full regulation pipelines </w:t>
            </w:r>
            <w:r>
              <w:t xml:space="preserve">is giving </w:t>
            </w:r>
            <w:r w:rsidRPr="006B4639">
              <w:t>rise to additional search and transaction costs, hinder</w:t>
            </w:r>
            <w:r>
              <w:t>ing</w:t>
            </w:r>
            <w:r w:rsidRPr="006B4639">
              <w:t xml:space="preserve"> </w:t>
            </w:r>
            <w:r>
              <w:t xml:space="preserve">the </w:t>
            </w:r>
            <w:r w:rsidRPr="006B4639">
              <w:t>ability</w:t>
            </w:r>
            <w:r>
              <w:t xml:space="preserve"> of shippers</w:t>
            </w:r>
            <w:r w:rsidRPr="006B4639">
              <w:t xml:space="preserve"> to negotiate</w:t>
            </w:r>
            <w:r>
              <w:t>, resulting in inefficient decisions and making shippers</w:t>
            </w:r>
            <w:r w:rsidRPr="006B4639">
              <w:t xml:space="preserve"> </w:t>
            </w:r>
            <w:r>
              <w:t xml:space="preserve">more </w:t>
            </w:r>
            <w:r w:rsidRPr="006B4639">
              <w:t>susceptible to market power.</w:t>
            </w:r>
          </w:p>
        </w:tc>
        <w:tc>
          <w:tcPr>
            <w:tcW w:w="564" w:type="pct"/>
            <w:tcBorders>
              <w:bottom w:val="single" w:sz="4" w:space="0" w:color="auto"/>
            </w:tcBorders>
            <w:shd w:val="clear" w:color="auto" w:fill="FFFFFF" w:themeFill="background1"/>
          </w:tcPr>
          <w:p w14:paraId="4BBC88DA" w14:textId="77777777" w:rsidR="00122209" w:rsidRPr="006B4639" w:rsidRDefault="00122209" w:rsidP="00611CCA">
            <w:pPr>
              <w:pStyle w:val="TableBodyText"/>
              <w:spacing w:before="20" w:after="20"/>
              <w:rPr>
                <w:lang w:eastAsia="fr-CA"/>
              </w:rPr>
            </w:pPr>
            <w:r w:rsidRPr="006B4639">
              <w:t>Addressed</w:t>
            </w:r>
          </w:p>
        </w:tc>
        <w:tc>
          <w:tcPr>
            <w:tcW w:w="561" w:type="pct"/>
            <w:tcBorders>
              <w:bottom w:val="single" w:sz="4" w:space="0" w:color="auto"/>
            </w:tcBorders>
            <w:shd w:val="clear" w:color="auto" w:fill="FFFFFF" w:themeFill="background1"/>
          </w:tcPr>
          <w:p w14:paraId="1ADAE266" w14:textId="77777777" w:rsidR="00122209" w:rsidRPr="006B4639" w:rsidRDefault="00122209" w:rsidP="00611CCA">
            <w:pPr>
              <w:pStyle w:val="TableBodyText"/>
              <w:spacing w:before="20" w:after="20"/>
              <w:rPr>
                <w:lang w:eastAsia="fr-CA"/>
              </w:rPr>
            </w:pPr>
            <w:r w:rsidRPr="006B4639">
              <w:t>Addressed</w:t>
            </w:r>
          </w:p>
        </w:tc>
        <w:tc>
          <w:tcPr>
            <w:tcW w:w="559" w:type="pct"/>
            <w:tcBorders>
              <w:bottom w:val="single" w:sz="4" w:space="0" w:color="auto"/>
            </w:tcBorders>
            <w:shd w:val="clear" w:color="auto" w:fill="FFFFFF" w:themeFill="background1"/>
          </w:tcPr>
          <w:p w14:paraId="5A2C164E" w14:textId="77777777" w:rsidR="00122209" w:rsidRPr="006B4639" w:rsidRDefault="00122209" w:rsidP="00611CCA">
            <w:pPr>
              <w:pStyle w:val="TableBodyText"/>
              <w:spacing w:before="20" w:after="20"/>
            </w:pPr>
            <w:r w:rsidRPr="006B4639">
              <w:t>Addressed</w:t>
            </w:r>
          </w:p>
        </w:tc>
        <w:tc>
          <w:tcPr>
            <w:tcW w:w="559" w:type="pct"/>
            <w:tcBorders>
              <w:bottom w:val="single" w:sz="4" w:space="0" w:color="auto"/>
            </w:tcBorders>
            <w:shd w:val="clear" w:color="auto" w:fill="FFFFFF" w:themeFill="background1"/>
          </w:tcPr>
          <w:p w14:paraId="68609177" w14:textId="77777777" w:rsidR="00122209" w:rsidRPr="006B4639" w:rsidRDefault="00122209" w:rsidP="00611CCA">
            <w:pPr>
              <w:pStyle w:val="TableBodyText"/>
              <w:spacing w:before="20" w:after="20"/>
              <w:rPr>
                <w:lang w:eastAsia="fr-CA"/>
              </w:rPr>
            </w:pPr>
            <w:r w:rsidRPr="006B4639">
              <w:t>Addressed</w:t>
            </w:r>
          </w:p>
        </w:tc>
      </w:tr>
      <w:tr w:rsidR="00122209" w:rsidRPr="006B4639" w14:paraId="1D4D8F87" w14:textId="77777777" w:rsidTr="00F323B2">
        <w:trPr>
          <w:cantSplit/>
          <w:trHeight w:val="534"/>
        </w:trPr>
        <w:tc>
          <w:tcPr>
            <w:tcW w:w="512" w:type="pct"/>
            <w:vMerge/>
            <w:shd w:val="clear" w:color="auto" w:fill="FFFFFF" w:themeFill="background1"/>
          </w:tcPr>
          <w:p w14:paraId="72D6FBA5" w14:textId="77777777" w:rsidR="00122209" w:rsidRPr="006B4639" w:rsidRDefault="00122209" w:rsidP="00611CCA">
            <w:pPr>
              <w:pStyle w:val="TableBodyText"/>
              <w:spacing w:before="20" w:after="20"/>
              <w:rPr>
                <w:lang w:eastAsia="fr-CA"/>
              </w:rPr>
            </w:pPr>
          </w:p>
        </w:tc>
        <w:tc>
          <w:tcPr>
            <w:tcW w:w="2245" w:type="pct"/>
            <w:tcBorders>
              <w:right w:val="single" w:sz="4" w:space="0" w:color="auto"/>
            </w:tcBorders>
            <w:shd w:val="clear" w:color="auto" w:fill="FFFFFF" w:themeFill="background1"/>
          </w:tcPr>
          <w:p w14:paraId="3C80E59F" w14:textId="77777777" w:rsidR="00122209" w:rsidRPr="006B4639" w:rsidRDefault="00122209" w:rsidP="00611CCA">
            <w:pPr>
              <w:pStyle w:val="TableBodyText"/>
              <w:spacing w:before="20" w:after="20"/>
              <w:rPr>
                <w:lang w:eastAsia="fr-CA"/>
              </w:rPr>
            </w:pPr>
            <w:r>
              <w:t>T</w:t>
            </w:r>
            <w:r w:rsidRPr="006B4639">
              <w:t>he</w:t>
            </w:r>
            <w:r>
              <w:t>re are a number of deficiencies in the</w:t>
            </w:r>
            <w:r w:rsidRPr="006B4639">
              <w:t xml:space="preserve"> information reported by </w:t>
            </w:r>
            <w:r>
              <w:t xml:space="preserve">Part 23 and light regulation </w:t>
            </w:r>
            <w:r w:rsidRPr="006B4639">
              <w:t xml:space="preserve">pipelines </w:t>
            </w:r>
            <w:r>
              <w:t xml:space="preserve">that can hinder the ability of shippers to negotiate access, give </w:t>
            </w:r>
            <w:r w:rsidRPr="006B4639">
              <w:t xml:space="preserve">rise to additional search and transaction costs, </w:t>
            </w:r>
            <w:r>
              <w:t xml:space="preserve">result in inefficient decisions </w:t>
            </w:r>
            <w:r w:rsidRPr="006B4639">
              <w:t>and make</w:t>
            </w:r>
            <w:r>
              <w:t xml:space="preserve"> shippers</w:t>
            </w:r>
            <w:r w:rsidRPr="006B4639">
              <w:t xml:space="preserve"> susceptible to market power.</w:t>
            </w:r>
          </w:p>
        </w:tc>
        <w:tc>
          <w:tcPr>
            <w:tcW w:w="564" w:type="pct"/>
            <w:tcBorders>
              <w:left w:val="single" w:sz="4" w:space="0" w:color="auto"/>
              <w:right w:val="single" w:sz="4" w:space="0" w:color="auto"/>
            </w:tcBorders>
            <w:shd w:val="clear" w:color="auto" w:fill="E1E2E7" w:themeFill="background2"/>
          </w:tcPr>
          <w:p w14:paraId="37F5E831" w14:textId="77777777" w:rsidR="00122209" w:rsidRPr="006B4639" w:rsidRDefault="00122209" w:rsidP="00611CCA">
            <w:pPr>
              <w:pStyle w:val="TableBodyText"/>
              <w:spacing w:before="20" w:after="20"/>
              <w:rPr>
                <w:lang w:eastAsia="fr-CA"/>
              </w:rPr>
            </w:pPr>
            <w:r w:rsidRPr="006B4639">
              <w:rPr>
                <w:lang w:eastAsia="fr-CA"/>
              </w:rPr>
              <w:t xml:space="preserve">Not addressed </w:t>
            </w:r>
          </w:p>
        </w:tc>
        <w:tc>
          <w:tcPr>
            <w:tcW w:w="561" w:type="pct"/>
            <w:tcBorders>
              <w:left w:val="single" w:sz="4" w:space="0" w:color="auto"/>
              <w:right w:val="single" w:sz="4" w:space="0" w:color="auto"/>
            </w:tcBorders>
            <w:shd w:val="clear" w:color="auto" w:fill="FFFFFF" w:themeFill="background1"/>
          </w:tcPr>
          <w:p w14:paraId="6FD97B10" w14:textId="77777777" w:rsidR="00122209" w:rsidRPr="006B4639" w:rsidRDefault="00122209" w:rsidP="00611CCA">
            <w:pPr>
              <w:pStyle w:val="TableBodyText"/>
              <w:spacing w:before="20" w:after="20"/>
              <w:rPr>
                <w:lang w:eastAsia="fr-CA"/>
              </w:rPr>
            </w:pPr>
            <w:r w:rsidRPr="006B4639">
              <w:t>Addressed</w:t>
            </w:r>
          </w:p>
        </w:tc>
        <w:tc>
          <w:tcPr>
            <w:tcW w:w="559" w:type="pct"/>
            <w:tcBorders>
              <w:left w:val="single" w:sz="4" w:space="0" w:color="auto"/>
              <w:right w:val="single" w:sz="4" w:space="0" w:color="auto"/>
            </w:tcBorders>
            <w:shd w:val="clear" w:color="auto" w:fill="FFFFFF" w:themeFill="background1"/>
          </w:tcPr>
          <w:p w14:paraId="0552F7CC" w14:textId="77777777" w:rsidR="00122209" w:rsidRPr="006B4639" w:rsidRDefault="00122209" w:rsidP="00611CCA">
            <w:pPr>
              <w:pStyle w:val="TableBodyText"/>
              <w:spacing w:before="20" w:after="20"/>
            </w:pPr>
            <w:r w:rsidRPr="006B4639">
              <w:t>Addressed</w:t>
            </w:r>
          </w:p>
        </w:tc>
        <w:tc>
          <w:tcPr>
            <w:tcW w:w="559" w:type="pct"/>
            <w:tcBorders>
              <w:left w:val="single" w:sz="4" w:space="0" w:color="auto"/>
            </w:tcBorders>
            <w:shd w:val="clear" w:color="auto" w:fill="FFFFFF" w:themeFill="background1"/>
          </w:tcPr>
          <w:p w14:paraId="5AF8FEA3" w14:textId="77777777" w:rsidR="00122209" w:rsidRPr="006B4639" w:rsidRDefault="00122209" w:rsidP="00611CCA">
            <w:pPr>
              <w:pStyle w:val="TableBodyText"/>
              <w:spacing w:before="20" w:after="20"/>
              <w:rPr>
                <w:lang w:eastAsia="fr-CA"/>
              </w:rPr>
            </w:pPr>
            <w:r w:rsidRPr="006B4639">
              <w:t>Addressed</w:t>
            </w:r>
          </w:p>
        </w:tc>
      </w:tr>
      <w:tr w:rsidR="00122209" w:rsidRPr="006B4639" w14:paraId="21D95C05" w14:textId="77777777" w:rsidTr="00F323B2">
        <w:trPr>
          <w:cnfStyle w:val="000000010000" w:firstRow="0" w:lastRow="0" w:firstColumn="0" w:lastColumn="0" w:oddVBand="0" w:evenVBand="0" w:oddHBand="0" w:evenHBand="1" w:firstRowFirstColumn="0" w:firstRowLastColumn="0" w:lastRowFirstColumn="0" w:lastRowLastColumn="0"/>
          <w:cantSplit/>
          <w:trHeight w:val="392"/>
        </w:trPr>
        <w:tc>
          <w:tcPr>
            <w:tcW w:w="512" w:type="pct"/>
            <w:vMerge w:val="restart"/>
            <w:shd w:val="clear" w:color="auto" w:fill="FFFFFF" w:themeFill="background1"/>
          </w:tcPr>
          <w:p w14:paraId="4387FF7D" w14:textId="77777777" w:rsidR="00122209" w:rsidRPr="006B4639" w:rsidRDefault="00122209" w:rsidP="00611CCA">
            <w:pPr>
              <w:pStyle w:val="TableBodyText"/>
              <w:spacing w:before="20" w:after="20"/>
              <w:rPr>
                <w:lang w:eastAsia="fr-CA"/>
              </w:rPr>
            </w:pPr>
            <w:r w:rsidRPr="006B4639">
              <w:rPr>
                <w:lang w:eastAsia="fr-CA"/>
              </w:rPr>
              <w:t>Negotiation frameworks and dispute resolution mechanisms</w:t>
            </w:r>
          </w:p>
        </w:tc>
        <w:tc>
          <w:tcPr>
            <w:tcW w:w="2245" w:type="pct"/>
            <w:shd w:val="clear" w:color="auto" w:fill="FFFFFF" w:themeFill="background1"/>
          </w:tcPr>
          <w:p w14:paraId="53614942" w14:textId="77777777" w:rsidR="00122209" w:rsidRPr="006B4639" w:rsidRDefault="00122209" w:rsidP="00611CCA">
            <w:pPr>
              <w:pStyle w:val="ListBullet"/>
              <w:numPr>
                <w:ilvl w:val="0"/>
                <w:numId w:val="0"/>
              </w:numPr>
              <w:spacing w:before="20" w:after="20"/>
              <w:ind w:left="85"/>
            </w:pPr>
            <w:r w:rsidRPr="006B4639">
              <w:t>Differences in the negotiation frameworks applying under the various forms of regulation impose unnecessary costs and delays on negotiating parties and hinder the ability of shippers to negotiate effectively.</w:t>
            </w:r>
          </w:p>
        </w:tc>
        <w:tc>
          <w:tcPr>
            <w:tcW w:w="564" w:type="pct"/>
            <w:tcBorders>
              <w:bottom w:val="single" w:sz="4" w:space="0" w:color="auto"/>
            </w:tcBorders>
            <w:shd w:val="clear" w:color="auto" w:fill="FFFFFF" w:themeFill="background1"/>
          </w:tcPr>
          <w:p w14:paraId="56444390" w14:textId="77777777" w:rsidR="00122209" w:rsidRPr="006B4639" w:rsidRDefault="00122209" w:rsidP="00611CCA">
            <w:pPr>
              <w:pStyle w:val="ListBullet"/>
              <w:numPr>
                <w:ilvl w:val="0"/>
                <w:numId w:val="0"/>
              </w:numPr>
              <w:spacing w:before="20" w:after="20"/>
              <w:ind w:left="85"/>
            </w:pPr>
            <w:r w:rsidRPr="006B4639">
              <w:t xml:space="preserve">Addressed </w:t>
            </w:r>
          </w:p>
        </w:tc>
        <w:tc>
          <w:tcPr>
            <w:tcW w:w="561" w:type="pct"/>
            <w:shd w:val="clear" w:color="auto" w:fill="FFFFFF" w:themeFill="background1"/>
          </w:tcPr>
          <w:p w14:paraId="13E0DC4F" w14:textId="77777777" w:rsidR="00122209" w:rsidRPr="00AC7457" w:rsidRDefault="00122209" w:rsidP="00611CCA">
            <w:pPr>
              <w:pStyle w:val="ListBullet"/>
              <w:numPr>
                <w:ilvl w:val="0"/>
                <w:numId w:val="0"/>
              </w:numPr>
              <w:spacing w:before="20" w:after="20"/>
              <w:ind w:left="85"/>
            </w:pPr>
            <w:r w:rsidRPr="00AC7457">
              <w:t>Addressed</w:t>
            </w:r>
          </w:p>
        </w:tc>
        <w:tc>
          <w:tcPr>
            <w:tcW w:w="559" w:type="pct"/>
            <w:shd w:val="clear" w:color="auto" w:fill="FFFFFF" w:themeFill="background1"/>
          </w:tcPr>
          <w:p w14:paraId="347072E1" w14:textId="77777777" w:rsidR="00122209" w:rsidRPr="006B4639" w:rsidRDefault="00122209" w:rsidP="00611CCA">
            <w:pPr>
              <w:pStyle w:val="ListBullet"/>
              <w:numPr>
                <w:ilvl w:val="0"/>
                <w:numId w:val="0"/>
              </w:numPr>
              <w:spacing w:before="20" w:after="20"/>
              <w:ind w:left="85"/>
            </w:pPr>
            <w:r w:rsidRPr="006B4639">
              <w:t>Addressed</w:t>
            </w:r>
          </w:p>
        </w:tc>
        <w:tc>
          <w:tcPr>
            <w:tcW w:w="559" w:type="pct"/>
            <w:shd w:val="clear" w:color="auto" w:fill="FFFFFF" w:themeFill="background1"/>
          </w:tcPr>
          <w:p w14:paraId="58F3F3B5" w14:textId="77777777" w:rsidR="00122209" w:rsidRPr="006B4639" w:rsidRDefault="00122209" w:rsidP="00611CCA">
            <w:pPr>
              <w:pStyle w:val="ListBullet"/>
              <w:numPr>
                <w:ilvl w:val="0"/>
                <w:numId w:val="0"/>
              </w:numPr>
              <w:spacing w:before="20" w:after="20"/>
              <w:ind w:left="85"/>
            </w:pPr>
            <w:r w:rsidRPr="006B4639">
              <w:t>Addressed</w:t>
            </w:r>
          </w:p>
        </w:tc>
      </w:tr>
      <w:tr w:rsidR="00122209" w:rsidRPr="006B4639" w14:paraId="201A9BBC" w14:textId="77777777" w:rsidTr="00F323B2">
        <w:trPr>
          <w:cantSplit/>
          <w:trHeight w:val="232"/>
        </w:trPr>
        <w:tc>
          <w:tcPr>
            <w:tcW w:w="512" w:type="pct"/>
            <w:vMerge/>
            <w:shd w:val="clear" w:color="auto" w:fill="FFFFFF" w:themeFill="background1"/>
          </w:tcPr>
          <w:p w14:paraId="2AABE98F" w14:textId="77777777" w:rsidR="00122209" w:rsidRPr="006B4639" w:rsidRDefault="00122209" w:rsidP="00611CCA">
            <w:pPr>
              <w:pStyle w:val="TableBodyText"/>
              <w:spacing w:before="20" w:after="20"/>
              <w:rPr>
                <w:lang w:eastAsia="fr-CA"/>
              </w:rPr>
            </w:pPr>
          </w:p>
        </w:tc>
        <w:tc>
          <w:tcPr>
            <w:tcW w:w="2245" w:type="pct"/>
            <w:tcBorders>
              <w:right w:val="single" w:sz="4" w:space="0" w:color="auto"/>
            </w:tcBorders>
            <w:shd w:val="clear" w:color="auto" w:fill="FFFFFF" w:themeFill="background1"/>
          </w:tcPr>
          <w:p w14:paraId="202BE034" w14:textId="77777777" w:rsidR="00122209" w:rsidRPr="006B4639" w:rsidRDefault="00122209" w:rsidP="00611CCA">
            <w:pPr>
              <w:pStyle w:val="ListBullet"/>
              <w:numPr>
                <w:ilvl w:val="0"/>
                <w:numId w:val="0"/>
              </w:numPr>
              <w:spacing w:before="20" w:after="20"/>
              <w:ind w:left="85"/>
            </w:pPr>
            <w:r w:rsidRPr="006B4639">
              <w:t xml:space="preserve">The threat of arbitration by smaller shippers may not </w:t>
            </w:r>
            <w:r>
              <w:t>be</w:t>
            </w:r>
            <w:r w:rsidRPr="006B4639">
              <w:t xml:space="preserve"> viewed as credible by </w:t>
            </w:r>
            <w:r>
              <w:t xml:space="preserve">all </w:t>
            </w:r>
            <w:r w:rsidRPr="006B4639">
              <w:t>service providers, which may make this group of shippers more susceptible to exercises of market power.</w:t>
            </w:r>
          </w:p>
        </w:tc>
        <w:tc>
          <w:tcPr>
            <w:tcW w:w="564" w:type="pct"/>
            <w:tcBorders>
              <w:left w:val="single" w:sz="4" w:space="0" w:color="auto"/>
              <w:right w:val="single" w:sz="4" w:space="0" w:color="auto"/>
            </w:tcBorders>
          </w:tcPr>
          <w:p w14:paraId="4E44E8C8" w14:textId="77777777" w:rsidR="00122209" w:rsidRPr="006B4639" w:rsidRDefault="00122209" w:rsidP="00611CCA">
            <w:pPr>
              <w:pStyle w:val="ListBullet"/>
              <w:numPr>
                <w:ilvl w:val="0"/>
                <w:numId w:val="0"/>
              </w:numPr>
              <w:spacing w:before="20" w:after="20"/>
              <w:ind w:left="85"/>
            </w:pPr>
            <w:r w:rsidRPr="006B4639">
              <w:t xml:space="preserve">Partially addressed </w:t>
            </w:r>
          </w:p>
        </w:tc>
        <w:tc>
          <w:tcPr>
            <w:tcW w:w="561" w:type="pct"/>
            <w:tcBorders>
              <w:left w:val="single" w:sz="4" w:space="0" w:color="auto"/>
              <w:right w:val="single" w:sz="4" w:space="0" w:color="auto"/>
            </w:tcBorders>
            <w:shd w:val="clear" w:color="auto" w:fill="FFFFFF" w:themeFill="background1"/>
          </w:tcPr>
          <w:p w14:paraId="44A31BD8" w14:textId="77777777" w:rsidR="00122209" w:rsidRPr="00AC7457" w:rsidRDefault="00122209" w:rsidP="00611CCA">
            <w:pPr>
              <w:pStyle w:val="ListBullet"/>
              <w:numPr>
                <w:ilvl w:val="0"/>
                <w:numId w:val="0"/>
              </w:numPr>
              <w:spacing w:before="20" w:after="20"/>
              <w:ind w:left="85"/>
            </w:pPr>
            <w:r w:rsidRPr="00AC7457">
              <w:t>Addressed</w:t>
            </w:r>
          </w:p>
        </w:tc>
        <w:tc>
          <w:tcPr>
            <w:tcW w:w="559" w:type="pct"/>
            <w:tcBorders>
              <w:left w:val="single" w:sz="4" w:space="0" w:color="auto"/>
              <w:right w:val="single" w:sz="4" w:space="0" w:color="auto"/>
            </w:tcBorders>
            <w:shd w:val="clear" w:color="auto" w:fill="FFFFFF" w:themeFill="background1"/>
          </w:tcPr>
          <w:p w14:paraId="4070097B" w14:textId="77777777" w:rsidR="00122209" w:rsidRPr="001E4276" w:rsidRDefault="00122209" w:rsidP="00611CCA">
            <w:pPr>
              <w:pStyle w:val="ListBullet"/>
              <w:numPr>
                <w:ilvl w:val="0"/>
                <w:numId w:val="0"/>
              </w:numPr>
              <w:spacing w:before="20" w:after="20"/>
              <w:ind w:left="85"/>
              <w:rPr>
                <w:highlight w:val="yellow"/>
              </w:rPr>
            </w:pPr>
            <w:r w:rsidRPr="006B4639">
              <w:t>Addressed</w:t>
            </w:r>
          </w:p>
        </w:tc>
        <w:tc>
          <w:tcPr>
            <w:tcW w:w="559" w:type="pct"/>
            <w:tcBorders>
              <w:left w:val="single" w:sz="4" w:space="0" w:color="auto"/>
            </w:tcBorders>
            <w:shd w:val="clear" w:color="auto" w:fill="FFFFFF" w:themeFill="background1"/>
          </w:tcPr>
          <w:p w14:paraId="25288F9F" w14:textId="77777777" w:rsidR="00122209" w:rsidRPr="006B4639" w:rsidRDefault="00122209" w:rsidP="00611CCA">
            <w:pPr>
              <w:pStyle w:val="ListBullet"/>
              <w:numPr>
                <w:ilvl w:val="0"/>
                <w:numId w:val="0"/>
              </w:numPr>
              <w:spacing w:before="20" w:after="20"/>
              <w:ind w:left="85"/>
            </w:pPr>
            <w:r w:rsidRPr="006B4639">
              <w:t>Addressed</w:t>
            </w:r>
          </w:p>
        </w:tc>
      </w:tr>
      <w:tr w:rsidR="00122209" w:rsidRPr="006B4639" w14:paraId="1BB3F80A" w14:textId="77777777" w:rsidTr="00F323B2">
        <w:trPr>
          <w:cnfStyle w:val="000000010000" w:firstRow="0" w:lastRow="0" w:firstColumn="0" w:lastColumn="0" w:oddVBand="0" w:evenVBand="0" w:oddHBand="0" w:evenHBand="1" w:firstRowFirstColumn="0" w:firstRowLastColumn="0" w:lastRowFirstColumn="0" w:lastRowLastColumn="0"/>
          <w:cantSplit/>
          <w:trHeight w:val="90"/>
        </w:trPr>
        <w:tc>
          <w:tcPr>
            <w:tcW w:w="512" w:type="pct"/>
            <w:vMerge/>
            <w:shd w:val="clear" w:color="auto" w:fill="FFFFFF" w:themeFill="background1"/>
          </w:tcPr>
          <w:p w14:paraId="37D52E06" w14:textId="77777777" w:rsidR="00122209" w:rsidRPr="006B4639" w:rsidRDefault="00122209" w:rsidP="00611CCA">
            <w:pPr>
              <w:pStyle w:val="TableBodyText"/>
              <w:spacing w:before="20" w:after="20"/>
              <w:rPr>
                <w:lang w:eastAsia="fr-CA"/>
              </w:rPr>
            </w:pPr>
          </w:p>
        </w:tc>
        <w:tc>
          <w:tcPr>
            <w:tcW w:w="2245" w:type="pct"/>
            <w:shd w:val="clear" w:color="auto" w:fill="FFFFFF" w:themeFill="background1"/>
          </w:tcPr>
          <w:p w14:paraId="085374E6" w14:textId="77777777" w:rsidR="00122209" w:rsidRPr="006B4639" w:rsidRDefault="00122209" w:rsidP="00611CCA">
            <w:pPr>
              <w:pStyle w:val="ListBullet"/>
              <w:numPr>
                <w:ilvl w:val="0"/>
                <w:numId w:val="0"/>
              </w:numPr>
              <w:spacing w:before="20" w:after="20"/>
              <w:ind w:left="85"/>
            </w:pPr>
            <w:r w:rsidRPr="006B4639">
              <w:t xml:space="preserve">Aspects of the full regulation dispute resolution mechanism </w:t>
            </w:r>
            <w:r>
              <w:t>are</w:t>
            </w:r>
            <w:r w:rsidRPr="006B4639">
              <w:t xml:space="preserve"> not as effective or efficient as they could be</w:t>
            </w:r>
            <w:r>
              <w:t xml:space="preserve">, which </w:t>
            </w:r>
            <w:r w:rsidRPr="006B4639">
              <w:t>undermine</w:t>
            </w:r>
            <w:r>
              <w:t>s</w:t>
            </w:r>
            <w:r w:rsidRPr="006B4639">
              <w:t xml:space="preserve"> the </w:t>
            </w:r>
            <w:r>
              <w:t>constraint it is intended to impose on service providers</w:t>
            </w:r>
            <w:r w:rsidRPr="006B4639">
              <w:t>.</w:t>
            </w:r>
          </w:p>
        </w:tc>
        <w:tc>
          <w:tcPr>
            <w:tcW w:w="564" w:type="pct"/>
            <w:shd w:val="clear" w:color="auto" w:fill="FFFFFF" w:themeFill="background1"/>
          </w:tcPr>
          <w:p w14:paraId="04B8516F" w14:textId="77777777" w:rsidR="00122209" w:rsidRPr="006B4639" w:rsidRDefault="00122209" w:rsidP="00611CCA">
            <w:pPr>
              <w:pStyle w:val="ListBullet"/>
              <w:numPr>
                <w:ilvl w:val="0"/>
                <w:numId w:val="0"/>
              </w:numPr>
              <w:spacing w:before="20" w:after="20"/>
              <w:ind w:left="85"/>
            </w:pPr>
            <w:r w:rsidRPr="006B4639">
              <w:t>Addressed</w:t>
            </w:r>
          </w:p>
        </w:tc>
        <w:tc>
          <w:tcPr>
            <w:tcW w:w="561" w:type="pct"/>
            <w:shd w:val="clear" w:color="auto" w:fill="FFFFFF" w:themeFill="background1"/>
          </w:tcPr>
          <w:p w14:paraId="2E18B371" w14:textId="77777777" w:rsidR="00122209" w:rsidRPr="006B4639" w:rsidRDefault="00122209" w:rsidP="00611CCA">
            <w:pPr>
              <w:pStyle w:val="ListBullet"/>
              <w:numPr>
                <w:ilvl w:val="0"/>
                <w:numId w:val="0"/>
              </w:numPr>
              <w:spacing w:before="20" w:after="20"/>
              <w:ind w:left="85"/>
            </w:pPr>
            <w:r w:rsidRPr="006B4639">
              <w:t>Addressed</w:t>
            </w:r>
          </w:p>
        </w:tc>
        <w:tc>
          <w:tcPr>
            <w:tcW w:w="559" w:type="pct"/>
            <w:shd w:val="clear" w:color="auto" w:fill="FFFFFF" w:themeFill="background1"/>
          </w:tcPr>
          <w:p w14:paraId="04A8BEA9" w14:textId="77777777" w:rsidR="00122209" w:rsidRPr="006B4639" w:rsidRDefault="00122209" w:rsidP="00611CCA">
            <w:pPr>
              <w:pStyle w:val="ListBullet"/>
              <w:numPr>
                <w:ilvl w:val="0"/>
                <w:numId w:val="0"/>
              </w:numPr>
              <w:spacing w:before="20" w:after="20"/>
              <w:ind w:left="85"/>
            </w:pPr>
            <w:r w:rsidRPr="006B4639">
              <w:t>Addressed</w:t>
            </w:r>
          </w:p>
        </w:tc>
        <w:tc>
          <w:tcPr>
            <w:tcW w:w="559" w:type="pct"/>
            <w:shd w:val="clear" w:color="auto" w:fill="FFFFFF" w:themeFill="background1"/>
          </w:tcPr>
          <w:p w14:paraId="58A70D3E" w14:textId="77777777" w:rsidR="00122209" w:rsidRPr="006B4639" w:rsidRDefault="00122209" w:rsidP="00611CCA">
            <w:pPr>
              <w:pStyle w:val="ListBullet"/>
              <w:numPr>
                <w:ilvl w:val="0"/>
                <w:numId w:val="0"/>
              </w:numPr>
              <w:spacing w:before="20" w:after="20"/>
              <w:ind w:left="85"/>
            </w:pPr>
            <w:r w:rsidRPr="006B4639">
              <w:t>Addressed</w:t>
            </w:r>
          </w:p>
        </w:tc>
      </w:tr>
    </w:tbl>
    <w:p w14:paraId="623F5C6A" w14:textId="77777777" w:rsidR="00122209" w:rsidRPr="006B4639" w:rsidRDefault="00122209" w:rsidP="00122209">
      <w:pPr>
        <w:pStyle w:val="BodyText"/>
        <w:rPr>
          <w:lang w:eastAsia="fr-CA"/>
        </w:rPr>
        <w:sectPr w:rsidR="00122209" w:rsidRPr="006B4639" w:rsidSect="00634169">
          <w:pgSz w:w="16839" w:h="11907" w:orient="landscape" w:code="9"/>
          <w:pgMar w:top="1134" w:right="1418" w:bottom="992" w:left="1701" w:header="567" w:footer="397" w:gutter="0"/>
          <w:cols w:space="708"/>
          <w:docGrid w:linePitch="360"/>
        </w:sectPr>
      </w:pPr>
    </w:p>
    <w:p w14:paraId="33C944F8" w14:textId="77777777" w:rsidR="00742033" w:rsidRPr="006B4639" w:rsidRDefault="00742033" w:rsidP="000A3668">
      <w:pPr>
        <w:pStyle w:val="TableListNumber"/>
        <w:numPr>
          <w:ilvl w:val="0"/>
          <w:numId w:val="70"/>
        </w:numPr>
        <w:spacing w:after="80" w:line="259" w:lineRule="auto"/>
        <w:ind w:left="1071" w:hanging="357"/>
        <w:rPr>
          <w:rFonts w:asciiTheme="majorHAnsi" w:hAnsiTheme="majorHAnsi" w:cstheme="majorBidi"/>
          <w:color w:val="002060"/>
          <w:sz w:val="2"/>
          <w:szCs w:val="2"/>
        </w:rPr>
      </w:pPr>
    </w:p>
    <w:p w14:paraId="4B67BE9A" w14:textId="77777777" w:rsidR="00F251D2" w:rsidRPr="006B4639" w:rsidRDefault="00AD0AEC" w:rsidP="00F251D2">
      <w:pPr>
        <w:pStyle w:val="Heading1"/>
      </w:pPr>
      <w:bookmarkStart w:id="193" w:name="_Toc62219427"/>
      <w:bookmarkStart w:id="194" w:name="_Toc18909146"/>
      <w:r>
        <w:t>R</w:t>
      </w:r>
      <w:r w:rsidR="00BB4CE6">
        <w:t>egulatory impact assessment</w:t>
      </w:r>
      <w:bookmarkEnd w:id="193"/>
      <w:r w:rsidR="00BB4CE6">
        <w:t xml:space="preserve"> </w:t>
      </w:r>
      <w:bookmarkEnd w:id="194"/>
    </w:p>
    <w:p w14:paraId="6607F1FC" w14:textId="77777777" w:rsidR="001F261C" w:rsidRPr="006B4639" w:rsidRDefault="001F261C" w:rsidP="001F261C">
      <w:pPr>
        <w:pStyle w:val="BodyText"/>
      </w:pPr>
      <w:r w:rsidRPr="006B4639">
        <w:t>The purpose of a RIS is</w:t>
      </w:r>
      <w:r w:rsidR="00586D68">
        <w:t xml:space="preserve"> </w:t>
      </w:r>
      <w:r w:rsidRPr="006B4639">
        <w:t>to identify whether there is a need for government action, and if so, what form this should take</w:t>
      </w:r>
      <w:r w:rsidR="000B0C37">
        <w:t>,</w:t>
      </w:r>
      <w:r w:rsidRPr="006B4639">
        <w:t xml:space="preserve"> with the preferred option being that option that yields the greatest net benefit for the community. </w:t>
      </w:r>
    </w:p>
    <w:p w14:paraId="59DB3ACB" w14:textId="77777777" w:rsidR="00A23651" w:rsidRPr="0084068B" w:rsidRDefault="00A23651" w:rsidP="00A23651">
      <w:pPr>
        <w:pStyle w:val="BodyText"/>
      </w:pPr>
      <w:r>
        <w:t xml:space="preserve">In </w:t>
      </w:r>
      <w:r w:rsidRPr="0084068B">
        <w:t>keeping with the</w:t>
      </w:r>
      <w:r w:rsidR="00BB7339">
        <w:t xml:space="preserve"> COAG’s</w:t>
      </w:r>
      <w:r w:rsidRPr="0084068B">
        <w:t xml:space="preserve"> </w:t>
      </w:r>
      <w:r w:rsidRPr="005663ED">
        <w:t>Best Practice Regulation Guide,</w:t>
      </w:r>
      <w:r w:rsidRPr="0084068B">
        <w:rPr>
          <w:i/>
          <w:iCs/>
        </w:rPr>
        <w:t xml:space="preserve"> </w:t>
      </w:r>
      <w:r w:rsidR="00A36853">
        <w:t xml:space="preserve">the following analyses have been conducted to </w:t>
      </w:r>
      <w:r w:rsidRPr="0084068B">
        <w:t>help identify the option that will yield the greatest net benefit:</w:t>
      </w:r>
    </w:p>
    <w:p w14:paraId="4A6B6D50" w14:textId="77777777" w:rsidR="00687B38" w:rsidRPr="006B4639" w:rsidRDefault="00687B38" w:rsidP="00AD36B8">
      <w:pPr>
        <w:pStyle w:val="ListBullet"/>
      </w:pPr>
      <w:r w:rsidRPr="006B4639">
        <w:t>A risk analysis, which involve</w:t>
      </w:r>
      <w:r>
        <w:t>d</w:t>
      </w:r>
      <w:r w:rsidRPr="006B4639">
        <w:t xml:space="preserve"> an assessment of the risks associated with the status quo and the extent to which risk is reduced under each policy option.</w:t>
      </w:r>
    </w:p>
    <w:p w14:paraId="164D81AA" w14:textId="687090EF" w:rsidR="00687B38" w:rsidRPr="00541724" w:rsidRDefault="00687B38" w:rsidP="00AD36B8">
      <w:pPr>
        <w:pStyle w:val="ListBullet"/>
      </w:pPr>
      <w:r w:rsidRPr="006B4639">
        <w:t>A cost-benefit anal</w:t>
      </w:r>
      <w:r w:rsidRPr="00541724">
        <w:t>ysis (CBA), which involve</w:t>
      </w:r>
      <w:r>
        <w:t>d</w:t>
      </w:r>
      <w:r w:rsidRPr="00541724">
        <w:t xml:space="preserve"> </w:t>
      </w:r>
      <w:r>
        <w:t xml:space="preserve">a quantitative and qualitative assessment of the </w:t>
      </w:r>
      <w:r w:rsidR="00E807FC">
        <w:t xml:space="preserve">incremental </w:t>
      </w:r>
      <w:r w:rsidRPr="00541724">
        <w:t xml:space="preserve">costs and benefits associated with </w:t>
      </w:r>
      <w:r>
        <w:t xml:space="preserve">each </w:t>
      </w:r>
      <w:r w:rsidRPr="00541724">
        <w:t xml:space="preserve">policy option </w:t>
      </w:r>
      <w:r>
        <w:t xml:space="preserve">relative to the </w:t>
      </w:r>
      <w:r w:rsidRPr="00541724">
        <w:t>status quo (i.e. if there was no intervention).</w:t>
      </w:r>
      <w:r>
        <w:t xml:space="preserve"> The quantitative element of the CBA was undertaken by PwC.</w:t>
      </w:r>
    </w:p>
    <w:p w14:paraId="367403F1" w14:textId="77777777" w:rsidR="00687B38" w:rsidRPr="00541724" w:rsidRDefault="00687B38" w:rsidP="00AD36B8">
      <w:pPr>
        <w:pStyle w:val="ListBullet"/>
      </w:pPr>
      <w:r w:rsidRPr="00541724">
        <w:t>A regulatory burden analysis, which involve</w:t>
      </w:r>
      <w:r>
        <w:t>d</w:t>
      </w:r>
      <w:r w:rsidRPr="00541724">
        <w:t xml:space="preserve"> an assessment of the incremental compliance costs associated with each option</w:t>
      </w:r>
      <w:r>
        <w:t xml:space="preserve"> using </w:t>
      </w:r>
      <w:r w:rsidRPr="00541724">
        <w:t xml:space="preserve">the Commonwealth Regulatory Burden Measure (CRBM) compliance costing tool. </w:t>
      </w:r>
      <w:r>
        <w:t xml:space="preserve">This quantitative analysis was undertaken by PwC. </w:t>
      </w:r>
    </w:p>
    <w:p w14:paraId="1BC7FC56" w14:textId="77777777" w:rsidR="005049C8" w:rsidRDefault="005049C8" w:rsidP="00AD36B8">
      <w:pPr>
        <w:pStyle w:val="ListBullet"/>
      </w:pPr>
      <w:r w:rsidRPr="00541724">
        <w:t>A competition effects analysis (CEA), which invo</w:t>
      </w:r>
      <w:r w:rsidRPr="006B4639">
        <w:t>lve</w:t>
      </w:r>
      <w:r>
        <w:t>d</w:t>
      </w:r>
      <w:r w:rsidRPr="006B4639">
        <w:t xml:space="preserve"> a qualitative assessment of the impact of each policy option on competition, with particular emphasis placed on</w:t>
      </w:r>
      <w:r>
        <w:t>:</w:t>
      </w:r>
      <w:r w:rsidRPr="006B4639">
        <w:t xml:space="preserve"> </w:t>
      </w:r>
    </w:p>
    <w:p w14:paraId="6228232A" w14:textId="77777777" w:rsidR="005049C8" w:rsidRDefault="005049C8" w:rsidP="00AD36B8">
      <w:pPr>
        <w:pStyle w:val="ListBullet2"/>
      </w:pPr>
      <w:r w:rsidRPr="006B4639">
        <w:t xml:space="preserve">the effect the options </w:t>
      </w:r>
      <w:r>
        <w:t xml:space="preserve">are expected to </w:t>
      </w:r>
      <w:r w:rsidRPr="006B4639">
        <w:t xml:space="preserve">have on </w:t>
      </w:r>
      <w:r>
        <w:t xml:space="preserve">barriers to entry, information asymmetries and </w:t>
      </w:r>
      <w:r w:rsidRPr="006B4639">
        <w:t xml:space="preserve">search and transaction costs, </w:t>
      </w:r>
      <w:r>
        <w:t>and bargaining power; and</w:t>
      </w:r>
    </w:p>
    <w:p w14:paraId="38D9FDBE" w14:textId="77777777" w:rsidR="005049C8" w:rsidRPr="006B4639" w:rsidRDefault="005049C8" w:rsidP="00AD36B8">
      <w:pPr>
        <w:pStyle w:val="ListBullet2"/>
      </w:pPr>
      <w:r>
        <w:t xml:space="preserve">whether any of the options are expected to limit the number or types of participants, limit the ability or incentive of participants to compete, or limit the choices available or the information required to negotiate effectively. </w:t>
      </w:r>
    </w:p>
    <w:p w14:paraId="1DE822B0" w14:textId="77777777" w:rsidR="00161247" w:rsidRDefault="008D4944" w:rsidP="001F261C">
      <w:pPr>
        <w:pStyle w:val="BodyText"/>
      </w:pPr>
      <w:r>
        <w:t xml:space="preserve">It is worth noting </w:t>
      </w:r>
      <w:r w:rsidR="00672FFE">
        <w:t xml:space="preserve">in this context </w:t>
      </w:r>
      <w:r>
        <w:t>that w</w:t>
      </w:r>
      <w:r w:rsidR="005A2F9C">
        <w:t xml:space="preserve">hile the focus of </w:t>
      </w:r>
      <w:r w:rsidR="00672FFE">
        <w:t xml:space="preserve">the four forms of analysis </w:t>
      </w:r>
      <w:r w:rsidR="005A2F9C">
        <w:t>differs, there is some overlap between them</w:t>
      </w:r>
      <w:r w:rsidR="00A17180">
        <w:t xml:space="preserve"> (e.g. </w:t>
      </w:r>
      <w:r w:rsidR="005A2F9C">
        <w:t xml:space="preserve">the costs used in the regulatory burden analysis </w:t>
      </w:r>
      <w:r w:rsidR="00781F13">
        <w:t>are also taken into account in the CBA</w:t>
      </w:r>
      <w:r w:rsidR="00A17180">
        <w:t>)</w:t>
      </w:r>
      <w:r w:rsidR="00781F13">
        <w:t xml:space="preserve">. </w:t>
      </w:r>
      <w:r w:rsidR="008B32F8">
        <w:t xml:space="preserve">There are also some elements of the reform options that perform well under one </w:t>
      </w:r>
      <w:r w:rsidR="001F4C7F">
        <w:t>analysis</w:t>
      </w:r>
      <w:r w:rsidR="008B32F8">
        <w:t>, but not under another</w:t>
      </w:r>
      <w:r w:rsidR="00EE5F9B">
        <w:t xml:space="preserve"> (e.g. </w:t>
      </w:r>
      <w:r w:rsidR="008E2101">
        <w:t>a</w:t>
      </w:r>
      <w:r w:rsidR="001E3C46">
        <w:t xml:space="preserve">n element of the reform option may give rise to a benefit in the CBA, but may also </w:t>
      </w:r>
      <w:r w:rsidR="00F44E51">
        <w:t xml:space="preserve">constitute a </w:t>
      </w:r>
      <w:r w:rsidR="001E3C46">
        <w:t>risk in the risk analysis</w:t>
      </w:r>
      <w:r w:rsidR="00EE5F9B">
        <w:t>)</w:t>
      </w:r>
      <w:r w:rsidR="001E3C46">
        <w:t xml:space="preserve">. </w:t>
      </w:r>
      <w:r w:rsidR="00EF2A30">
        <w:t xml:space="preserve">It is important therefore to </w:t>
      </w:r>
      <w:r w:rsidR="00AA1EB0">
        <w:t xml:space="preserve">consider </w:t>
      </w:r>
      <w:r w:rsidR="00EF2A30">
        <w:t xml:space="preserve">the overall </w:t>
      </w:r>
      <w:r w:rsidR="00A12F74">
        <w:t>regulatory impact of the reform options</w:t>
      </w:r>
      <w:r w:rsidR="00FE668D">
        <w:t xml:space="preserve"> and any duplication or trade-offs that may exist between </w:t>
      </w:r>
      <w:r w:rsidR="00C0511C">
        <w:t xml:space="preserve">the </w:t>
      </w:r>
      <w:r w:rsidR="00F4149D">
        <w:t xml:space="preserve">various </w:t>
      </w:r>
      <w:r w:rsidR="00FE668D">
        <w:t>analyses</w:t>
      </w:r>
      <w:r w:rsidR="00A12F74">
        <w:t xml:space="preserve">, rather than focusing on the </w:t>
      </w:r>
      <w:r w:rsidR="008E2101">
        <w:t xml:space="preserve">results of </w:t>
      </w:r>
      <w:r w:rsidR="001E3C46">
        <w:t xml:space="preserve">individual </w:t>
      </w:r>
      <w:r w:rsidR="008E2101">
        <w:t>analyses</w:t>
      </w:r>
      <w:r w:rsidR="00A12F74">
        <w:t xml:space="preserve">. </w:t>
      </w:r>
    </w:p>
    <w:p w14:paraId="6D878A68" w14:textId="77777777" w:rsidR="00927DC5" w:rsidRDefault="00AA1EB0" w:rsidP="00927DC5">
      <w:pPr>
        <w:pStyle w:val="BodyText"/>
      </w:pPr>
      <w:r>
        <w:t xml:space="preserve">To this end, a </w:t>
      </w:r>
      <w:r w:rsidR="00185D28">
        <w:t xml:space="preserve">comparative </w:t>
      </w:r>
      <w:r w:rsidR="00137B2A">
        <w:t xml:space="preserve">assessment </w:t>
      </w:r>
      <w:r>
        <w:t xml:space="preserve">of the reform options has been </w:t>
      </w:r>
      <w:r w:rsidR="0009313C">
        <w:t xml:space="preserve">included in the </w:t>
      </w:r>
      <w:r w:rsidR="00A905F1">
        <w:t>final section of this chapter</w:t>
      </w:r>
      <w:r w:rsidR="0009313C">
        <w:t xml:space="preserve">, which draws together all </w:t>
      </w:r>
      <w:r w:rsidR="00161247">
        <w:t xml:space="preserve">the </w:t>
      </w:r>
      <w:r w:rsidR="0009313C">
        <w:t xml:space="preserve">elements of the </w:t>
      </w:r>
      <w:r w:rsidR="00161247">
        <w:t>regulatory impact assessment</w:t>
      </w:r>
      <w:r w:rsidR="00A905F1">
        <w:t xml:space="preserve">. </w:t>
      </w:r>
      <w:r w:rsidR="00927DC5">
        <w:t>This assessment has been conducted using a ranking system, with a ranking of 1 implying the most favourable impact</w:t>
      </w:r>
      <w:r w:rsidR="00927DC5">
        <w:rPr>
          <w:sz w:val="14"/>
          <w:szCs w:val="14"/>
        </w:rPr>
        <w:t xml:space="preserve"> </w:t>
      </w:r>
      <w:r w:rsidR="00927DC5">
        <w:t xml:space="preserve">and 5 the most negative impact.  </w:t>
      </w:r>
    </w:p>
    <w:p w14:paraId="03D5BB22" w14:textId="77777777" w:rsidR="00927DC5" w:rsidRDefault="00927DC5" w:rsidP="00927DC5">
      <w:pPr>
        <w:pStyle w:val="BodyText"/>
      </w:pPr>
      <w:r>
        <w:t xml:space="preserve">The remainder of this chapter sets out the </w:t>
      </w:r>
      <w:r w:rsidRPr="00F22614">
        <w:t>results of the regulatory impact assessment. Further detail on the risk analysis and CBA can be found in Appendices C-D.</w:t>
      </w:r>
    </w:p>
    <w:p w14:paraId="3978CADD" w14:textId="77777777" w:rsidR="001F261C" w:rsidRPr="006B4639" w:rsidRDefault="001F261C" w:rsidP="001F261C">
      <w:pPr>
        <w:pStyle w:val="Heading2"/>
      </w:pPr>
      <w:bookmarkStart w:id="195" w:name="_Toc18909147"/>
      <w:bookmarkStart w:id="196" w:name="_Ref62217751"/>
      <w:bookmarkStart w:id="197" w:name="_Toc62219428"/>
      <w:r w:rsidRPr="006B4639">
        <w:lastRenderedPageBreak/>
        <w:t>Risk analysis</w:t>
      </w:r>
      <w:bookmarkEnd w:id="195"/>
      <w:bookmarkEnd w:id="196"/>
      <w:bookmarkEnd w:id="197"/>
      <w:r w:rsidRPr="006B4639">
        <w:t xml:space="preserve"> </w:t>
      </w:r>
    </w:p>
    <w:p w14:paraId="6A0B4D02" w14:textId="77777777" w:rsidR="00B904A4" w:rsidRDefault="00B904A4" w:rsidP="00B904A4">
      <w:pPr>
        <w:pStyle w:val="Heading3"/>
      </w:pPr>
      <w:bookmarkStart w:id="198" w:name="_Ref41149645"/>
      <w:r>
        <w:t xml:space="preserve">What </w:t>
      </w:r>
      <w:r w:rsidR="00E03A9C">
        <w:t xml:space="preserve">is the purpose of </w:t>
      </w:r>
      <w:r>
        <w:t>the r</w:t>
      </w:r>
      <w:r w:rsidRPr="006B4639">
        <w:t>isk analysis</w:t>
      </w:r>
      <w:bookmarkEnd w:id="198"/>
      <w:r>
        <w:t>?</w:t>
      </w:r>
    </w:p>
    <w:p w14:paraId="4E9645EE" w14:textId="6D42E1C7" w:rsidR="00B904A4" w:rsidRPr="0084068B" w:rsidRDefault="00B904A4" w:rsidP="00B904A4">
      <w:pPr>
        <w:pStyle w:val="BodyText"/>
      </w:pPr>
      <w:r w:rsidRPr="0084068B">
        <w:t>The purpose of the risk analysis is to, amongst other things:</w:t>
      </w:r>
      <w:r w:rsidR="00370905">
        <w:rPr>
          <w:rFonts w:ascii="ZWAdobeF" w:hAnsi="ZWAdobeF" w:cs="ZWAdobeF"/>
          <w:sz w:val="2"/>
          <w:szCs w:val="2"/>
        </w:rPr>
        <w:t>181F</w:t>
      </w:r>
      <w:r w:rsidRPr="0084068B">
        <w:rPr>
          <w:rStyle w:val="FootnoteReference"/>
        </w:rPr>
        <w:footnoteReference w:id="183"/>
      </w:r>
      <w:r w:rsidRPr="0084068B">
        <w:t xml:space="preserve"> </w:t>
      </w:r>
    </w:p>
    <w:p w14:paraId="76058D21" w14:textId="77777777" w:rsidR="00B904A4" w:rsidRPr="0084068B" w:rsidRDefault="00B904A4" w:rsidP="00AD36B8">
      <w:pPr>
        <w:pStyle w:val="ListBullet"/>
      </w:pPr>
      <w:r w:rsidRPr="0084068B">
        <w:t>understand the risks associated with the status quo</w:t>
      </w:r>
      <w:r w:rsidR="00F67BC2">
        <w:t xml:space="preserve"> (Option 1)</w:t>
      </w:r>
      <w:r w:rsidRPr="0084068B">
        <w:t xml:space="preserve">, both in terms of the sources of the risks and the magnitude of those risks; </w:t>
      </w:r>
    </w:p>
    <w:p w14:paraId="4E042ABE" w14:textId="77777777" w:rsidR="00B904A4" w:rsidRPr="0084068B" w:rsidRDefault="00B904A4" w:rsidP="00AD36B8">
      <w:pPr>
        <w:pStyle w:val="ListBullet"/>
      </w:pPr>
      <w:r w:rsidRPr="0084068B">
        <w:t xml:space="preserve">determine the extent to which </w:t>
      </w:r>
      <w:r w:rsidR="00AE5A09">
        <w:t xml:space="preserve">the </w:t>
      </w:r>
      <w:r w:rsidRPr="0084068B">
        <w:t>risk</w:t>
      </w:r>
      <w:r w:rsidR="00AE5A09">
        <w:t>s</w:t>
      </w:r>
      <w:r w:rsidRPr="0084068B">
        <w:t xml:space="preserve"> </w:t>
      </w:r>
      <w:r w:rsidR="00AE5A09">
        <w:t>would</w:t>
      </w:r>
      <w:r w:rsidRPr="0084068B">
        <w:t xml:space="preserve"> be reduced as a result of the </w:t>
      </w:r>
      <w:r w:rsidR="00F67BC2">
        <w:t>reform options</w:t>
      </w:r>
      <w:r w:rsidRPr="0084068B">
        <w:t>; and</w:t>
      </w:r>
    </w:p>
    <w:p w14:paraId="10E88954" w14:textId="77777777" w:rsidR="00B904A4" w:rsidRPr="0084068B" w:rsidRDefault="00B904A4" w:rsidP="00AD36B8">
      <w:pPr>
        <w:pStyle w:val="ListBullet"/>
      </w:pPr>
      <w:r w:rsidRPr="0084068B">
        <w:t xml:space="preserve">assess whether the </w:t>
      </w:r>
      <w:r w:rsidR="00F67BC2">
        <w:t>reform options</w:t>
      </w:r>
      <w:r w:rsidRPr="0084068B">
        <w:t xml:space="preserve"> are the most effective way to deal with the risk</w:t>
      </w:r>
      <w:r w:rsidR="00AE5A09">
        <w:t>s</w:t>
      </w:r>
      <w:r w:rsidRPr="0084068B">
        <w:t>.</w:t>
      </w:r>
    </w:p>
    <w:p w14:paraId="43E907E0" w14:textId="77777777" w:rsidR="00C37732" w:rsidRDefault="00B904A4" w:rsidP="00B904A4">
      <w:pPr>
        <w:pStyle w:val="BodyText"/>
      </w:pPr>
      <w:r w:rsidRPr="0084068B">
        <w:t xml:space="preserve">The risk analysis covers both the risks of </w:t>
      </w:r>
      <w:r>
        <w:t xml:space="preserve">the </w:t>
      </w:r>
      <w:r w:rsidRPr="0084068B">
        <w:t xml:space="preserve">status quo and associated treatments, and the risks of implementing each policy option. </w:t>
      </w:r>
    </w:p>
    <w:p w14:paraId="5DDFE43B" w14:textId="77777777" w:rsidR="00B904A4" w:rsidRDefault="00B07779" w:rsidP="00B904A4">
      <w:pPr>
        <w:pStyle w:val="Heading3"/>
      </w:pPr>
      <w:r>
        <w:t>How has the risk analysis been conducted?</w:t>
      </w:r>
    </w:p>
    <w:p w14:paraId="71438CB0" w14:textId="77777777" w:rsidR="00DE1065" w:rsidRPr="0084068B" w:rsidRDefault="00DE1065" w:rsidP="00DE1065">
      <w:pPr>
        <w:pStyle w:val="BodyText"/>
      </w:pPr>
      <w:r w:rsidRPr="0084068B">
        <w:t xml:space="preserve">The impact of the deficiencies </w:t>
      </w:r>
      <w:r>
        <w:t>in the current regulatory framework have been</w:t>
      </w:r>
      <w:r w:rsidRPr="0084068B">
        <w:t xml:space="preserve"> analysed and </w:t>
      </w:r>
      <w:r w:rsidR="00CC1D3C">
        <w:t xml:space="preserve">five </w:t>
      </w:r>
      <w:r w:rsidRPr="0084068B">
        <w:t>risk</w:t>
      </w:r>
      <w:r w:rsidR="00CC1D3C">
        <w:t xml:space="preserve"> categories </w:t>
      </w:r>
      <w:r w:rsidRPr="0084068B">
        <w:t xml:space="preserve">identified as relevant to implementing the </w:t>
      </w:r>
      <w:r w:rsidR="00F67BC2">
        <w:t>reform options</w:t>
      </w:r>
      <w:r w:rsidRPr="0084068B">
        <w:t xml:space="preserve"> considered in this </w:t>
      </w:r>
      <w:r>
        <w:t>RIS</w:t>
      </w:r>
      <w:r w:rsidR="00CC1D3C">
        <w:t>, all of which can be traced back to the problems set out in Chapter 3 (as summarised in Table E.1)</w:t>
      </w:r>
      <w:r w:rsidR="001512E1">
        <w:t>. The risk categories include the risks associated with:</w:t>
      </w:r>
    </w:p>
    <w:p w14:paraId="4779334C" w14:textId="77777777" w:rsidR="00ED06EE" w:rsidRPr="004C255B" w:rsidRDefault="00E01226" w:rsidP="000A3668">
      <w:pPr>
        <w:pStyle w:val="ListNumber"/>
        <w:numPr>
          <w:ilvl w:val="0"/>
          <w:numId w:val="95"/>
        </w:numPr>
      </w:pPr>
      <w:r>
        <w:t xml:space="preserve">the application of </w:t>
      </w:r>
      <w:r w:rsidR="00EE39A7">
        <w:t xml:space="preserve">an </w:t>
      </w:r>
      <w:r w:rsidR="000C0EC4">
        <w:t>i</w:t>
      </w:r>
      <w:r w:rsidR="00CA6232">
        <w:t xml:space="preserve">nappropriate </w:t>
      </w:r>
      <w:r w:rsidR="002662C1">
        <w:t xml:space="preserve">threshold for </w:t>
      </w:r>
      <w:r w:rsidR="001512E1">
        <w:t xml:space="preserve">economic </w:t>
      </w:r>
      <w:r w:rsidR="00CA6232">
        <w:t>regulation</w:t>
      </w:r>
      <w:r w:rsidR="001512E1">
        <w:t>;</w:t>
      </w:r>
    </w:p>
    <w:p w14:paraId="0FB1D217" w14:textId="77777777" w:rsidR="00E01226" w:rsidRDefault="001512E1" w:rsidP="000A3668">
      <w:pPr>
        <w:pStyle w:val="ListNumber"/>
        <w:numPr>
          <w:ilvl w:val="0"/>
          <w:numId w:val="95"/>
        </w:numPr>
      </w:pPr>
      <w:r>
        <w:t xml:space="preserve">the application of </w:t>
      </w:r>
      <w:r w:rsidR="005C45AD">
        <w:t xml:space="preserve">ineffective </w:t>
      </w:r>
      <w:r w:rsidR="00CA6232">
        <w:t>form</w:t>
      </w:r>
      <w:r w:rsidR="00680B8F">
        <w:t>s</w:t>
      </w:r>
      <w:r w:rsidR="00CA6232">
        <w:t xml:space="preserve"> of regulation</w:t>
      </w:r>
      <w:r w:rsidR="00613A93">
        <w:t>;</w:t>
      </w:r>
    </w:p>
    <w:p w14:paraId="33D569EA" w14:textId="77777777" w:rsidR="002662C1" w:rsidRDefault="002662C1" w:rsidP="000A3668">
      <w:pPr>
        <w:pStyle w:val="ListNumber"/>
        <w:numPr>
          <w:ilvl w:val="0"/>
          <w:numId w:val="95"/>
        </w:numPr>
      </w:pPr>
      <w:r>
        <w:t xml:space="preserve">inefficient governance arrangements </w:t>
      </w:r>
      <w:r w:rsidR="00E01226">
        <w:t xml:space="preserve">for </w:t>
      </w:r>
      <w:r>
        <w:t>when and how to regulate decisions</w:t>
      </w:r>
      <w:r w:rsidR="00613A93">
        <w:t>;</w:t>
      </w:r>
      <w:r>
        <w:t xml:space="preserve"> </w:t>
      </w:r>
    </w:p>
    <w:p w14:paraId="1D4CFA45" w14:textId="77777777" w:rsidR="004502D3" w:rsidRDefault="00123E02" w:rsidP="000A3668">
      <w:pPr>
        <w:pStyle w:val="ListNumber"/>
        <w:numPr>
          <w:ilvl w:val="0"/>
          <w:numId w:val="95"/>
        </w:numPr>
      </w:pPr>
      <w:r>
        <w:t>i</w:t>
      </w:r>
      <w:r w:rsidR="004502D3">
        <w:t xml:space="preserve">nadequate </w:t>
      </w:r>
      <w:r w:rsidR="00AF5339">
        <w:t>information disclosures by service providers</w:t>
      </w:r>
      <w:r w:rsidR="00613A93">
        <w:t>; and</w:t>
      </w:r>
    </w:p>
    <w:p w14:paraId="2D29EEC0" w14:textId="77777777" w:rsidR="00DE1065" w:rsidRPr="00E9759C" w:rsidRDefault="00E73C88" w:rsidP="000A3668">
      <w:pPr>
        <w:pStyle w:val="ListNumber"/>
        <w:numPr>
          <w:ilvl w:val="0"/>
          <w:numId w:val="95"/>
        </w:numPr>
      </w:pPr>
      <w:r>
        <w:t>ineffective negotiation frameworks and dispute resolution mechanisms</w:t>
      </w:r>
      <w:r w:rsidR="00613A93">
        <w:t>.</w:t>
      </w:r>
    </w:p>
    <w:p w14:paraId="3CB912BE" w14:textId="77777777" w:rsidR="001B5788" w:rsidRDefault="00E36679" w:rsidP="00D90CB6">
      <w:pPr>
        <w:pStyle w:val="BodyText"/>
        <w:rPr>
          <w:rStyle w:val="Strong"/>
          <w:b w:val="0"/>
          <w:bCs w:val="0"/>
        </w:rPr>
      </w:pPr>
      <w:r>
        <w:rPr>
          <w:rStyle w:val="Strong"/>
          <w:b w:val="0"/>
          <w:bCs w:val="0"/>
        </w:rPr>
        <w:t xml:space="preserve">As part of the risk analysis, consideration has also been given to the additional risks </w:t>
      </w:r>
      <w:r w:rsidR="00F142B1">
        <w:rPr>
          <w:rStyle w:val="Strong"/>
          <w:b w:val="0"/>
          <w:bCs w:val="0"/>
        </w:rPr>
        <w:t xml:space="preserve">that may </w:t>
      </w:r>
      <w:r w:rsidR="00A5041E">
        <w:rPr>
          <w:rStyle w:val="Strong"/>
          <w:b w:val="0"/>
          <w:bCs w:val="0"/>
        </w:rPr>
        <w:t xml:space="preserve">be associated with </w:t>
      </w:r>
      <w:r w:rsidR="00F35B81">
        <w:rPr>
          <w:rStyle w:val="Strong"/>
          <w:b w:val="0"/>
          <w:bCs w:val="0"/>
        </w:rPr>
        <w:t xml:space="preserve">one </w:t>
      </w:r>
      <w:r w:rsidR="001509DA">
        <w:rPr>
          <w:rStyle w:val="Strong"/>
          <w:b w:val="0"/>
          <w:bCs w:val="0"/>
        </w:rPr>
        <w:t xml:space="preserve">or </w:t>
      </w:r>
      <w:r w:rsidR="00F35B81">
        <w:rPr>
          <w:rStyle w:val="Strong"/>
          <w:b w:val="0"/>
          <w:bCs w:val="0"/>
        </w:rPr>
        <w:t xml:space="preserve">more of </w:t>
      </w:r>
      <w:r w:rsidR="00A5041E">
        <w:rPr>
          <w:rStyle w:val="Strong"/>
          <w:b w:val="0"/>
          <w:bCs w:val="0"/>
        </w:rPr>
        <w:t>the four reform options</w:t>
      </w:r>
      <w:r w:rsidR="006868FA">
        <w:rPr>
          <w:rStyle w:val="Strong"/>
          <w:b w:val="0"/>
          <w:bCs w:val="0"/>
        </w:rPr>
        <w:t xml:space="preserve"> (i.e. options 2, 3A, 3B and 5)</w:t>
      </w:r>
      <w:r w:rsidR="003B4014">
        <w:rPr>
          <w:rStyle w:val="Strong"/>
          <w:b w:val="0"/>
          <w:bCs w:val="0"/>
        </w:rPr>
        <w:t>, such as the risks of</w:t>
      </w:r>
      <w:r w:rsidR="001B5788">
        <w:rPr>
          <w:rStyle w:val="Strong"/>
          <w:b w:val="0"/>
          <w:bCs w:val="0"/>
        </w:rPr>
        <w:t>:</w:t>
      </w:r>
      <w:r w:rsidR="003B4014">
        <w:rPr>
          <w:rStyle w:val="Strong"/>
          <w:b w:val="0"/>
          <w:bCs w:val="0"/>
        </w:rPr>
        <w:t xml:space="preserve"> </w:t>
      </w:r>
    </w:p>
    <w:p w14:paraId="2310D872" w14:textId="77777777" w:rsidR="00B13C7B" w:rsidRDefault="00A825E5" w:rsidP="00AD36B8">
      <w:pPr>
        <w:pStyle w:val="ListBullet"/>
        <w:rPr>
          <w:rStyle w:val="Strong"/>
          <w:b w:val="0"/>
          <w:bCs w:val="0"/>
        </w:rPr>
      </w:pPr>
      <w:r>
        <w:rPr>
          <w:rStyle w:val="Strong"/>
          <w:b w:val="0"/>
          <w:bCs w:val="0"/>
        </w:rPr>
        <w:t xml:space="preserve">regulatory error </w:t>
      </w:r>
      <w:r w:rsidR="008D660C">
        <w:rPr>
          <w:rStyle w:val="Strong"/>
          <w:b w:val="0"/>
          <w:bCs w:val="0"/>
        </w:rPr>
        <w:t xml:space="preserve">under </w:t>
      </w:r>
      <w:r w:rsidR="002130F5">
        <w:rPr>
          <w:rStyle w:val="Strong"/>
          <w:b w:val="0"/>
          <w:bCs w:val="0"/>
        </w:rPr>
        <w:t>o</w:t>
      </w:r>
      <w:r w:rsidR="008D660C">
        <w:rPr>
          <w:rStyle w:val="Strong"/>
          <w:b w:val="0"/>
          <w:bCs w:val="0"/>
        </w:rPr>
        <w:t>ption 2 if an exemption mechanism is included</w:t>
      </w:r>
      <w:r w:rsidR="00B13C7B">
        <w:rPr>
          <w:rStyle w:val="Strong"/>
          <w:b w:val="0"/>
          <w:bCs w:val="0"/>
        </w:rPr>
        <w:t>;</w:t>
      </w:r>
    </w:p>
    <w:p w14:paraId="584C4396" w14:textId="77777777" w:rsidR="004352CF" w:rsidRDefault="00B13C7B" w:rsidP="00AD36B8">
      <w:pPr>
        <w:pStyle w:val="ListBullet"/>
        <w:rPr>
          <w:rStyle w:val="Strong"/>
          <w:b w:val="0"/>
          <w:bCs w:val="0"/>
        </w:rPr>
      </w:pPr>
      <w:r>
        <w:rPr>
          <w:rStyle w:val="Strong"/>
          <w:b w:val="0"/>
          <w:bCs w:val="0"/>
        </w:rPr>
        <w:t>regulatory error</w:t>
      </w:r>
      <w:r w:rsidR="002D70D2">
        <w:rPr>
          <w:rStyle w:val="Strong"/>
          <w:b w:val="0"/>
          <w:bCs w:val="0"/>
        </w:rPr>
        <w:t xml:space="preserve"> under option</w:t>
      </w:r>
      <w:r w:rsidR="00667984">
        <w:rPr>
          <w:rStyle w:val="Strong"/>
          <w:b w:val="0"/>
          <w:bCs w:val="0"/>
        </w:rPr>
        <w:t>s</w:t>
      </w:r>
      <w:r w:rsidR="002D70D2">
        <w:rPr>
          <w:rStyle w:val="Strong"/>
          <w:b w:val="0"/>
          <w:bCs w:val="0"/>
        </w:rPr>
        <w:t xml:space="preserve"> </w:t>
      </w:r>
      <w:r w:rsidR="00667984">
        <w:rPr>
          <w:rStyle w:val="Strong"/>
          <w:b w:val="0"/>
          <w:bCs w:val="0"/>
        </w:rPr>
        <w:t xml:space="preserve">2 and </w:t>
      </w:r>
      <w:r w:rsidR="002D70D2">
        <w:rPr>
          <w:rStyle w:val="Strong"/>
          <w:b w:val="0"/>
          <w:bCs w:val="0"/>
        </w:rPr>
        <w:t>3A if a third party access test is included</w:t>
      </w:r>
      <w:r w:rsidR="004352CF">
        <w:rPr>
          <w:rStyle w:val="Strong"/>
          <w:b w:val="0"/>
          <w:bCs w:val="0"/>
        </w:rPr>
        <w:t>;</w:t>
      </w:r>
    </w:p>
    <w:p w14:paraId="00C9B7D9" w14:textId="77777777" w:rsidR="004352CF" w:rsidRDefault="001B5788" w:rsidP="00AD36B8">
      <w:pPr>
        <w:pStyle w:val="ListBullet"/>
        <w:rPr>
          <w:rStyle w:val="Strong"/>
          <w:b w:val="0"/>
          <w:bCs w:val="0"/>
        </w:rPr>
      </w:pPr>
      <w:r>
        <w:rPr>
          <w:rStyle w:val="Strong"/>
          <w:b w:val="0"/>
          <w:bCs w:val="0"/>
        </w:rPr>
        <w:t xml:space="preserve">over-regulation </w:t>
      </w:r>
      <w:r w:rsidR="001313FF">
        <w:rPr>
          <w:rStyle w:val="Strong"/>
          <w:b w:val="0"/>
          <w:bCs w:val="0"/>
        </w:rPr>
        <w:t xml:space="preserve">of pipelines that </w:t>
      </w:r>
      <w:r w:rsidR="001E0A42">
        <w:rPr>
          <w:rStyle w:val="Strong"/>
          <w:b w:val="0"/>
          <w:bCs w:val="0"/>
        </w:rPr>
        <w:t xml:space="preserve">do not provide </w:t>
      </w:r>
      <w:r w:rsidR="001313FF">
        <w:rPr>
          <w:rStyle w:val="Strong"/>
          <w:b w:val="0"/>
          <w:bCs w:val="0"/>
        </w:rPr>
        <w:t xml:space="preserve">third party access </w:t>
      </w:r>
      <w:r w:rsidR="008D660C">
        <w:rPr>
          <w:rStyle w:val="Strong"/>
          <w:b w:val="0"/>
          <w:bCs w:val="0"/>
        </w:rPr>
        <w:t>under options 3B and 4</w:t>
      </w:r>
      <w:r w:rsidR="00223753">
        <w:rPr>
          <w:rStyle w:val="Strong"/>
          <w:b w:val="0"/>
          <w:bCs w:val="0"/>
        </w:rPr>
        <w:t xml:space="preserve"> because </w:t>
      </w:r>
      <w:r w:rsidR="006251F6">
        <w:rPr>
          <w:rStyle w:val="Strong"/>
          <w:b w:val="0"/>
          <w:bCs w:val="0"/>
        </w:rPr>
        <w:t>all pipelines would be subject to regulation under these options</w:t>
      </w:r>
      <w:r w:rsidR="004352CF">
        <w:rPr>
          <w:rStyle w:val="Strong"/>
          <w:b w:val="0"/>
          <w:bCs w:val="0"/>
        </w:rPr>
        <w:t>;</w:t>
      </w:r>
      <w:r w:rsidR="0018785E">
        <w:rPr>
          <w:rStyle w:val="Strong"/>
          <w:b w:val="0"/>
          <w:bCs w:val="0"/>
        </w:rPr>
        <w:t xml:space="preserve"> and</w:t>
      </w:r>
    </w:p>
    <w:p w14:paraId="559EB7F4" w14:textId="77777777" w:rsidR="004352CF" w:rsidRDefault="004352CF" w:rsidP="00AD36B8">
      <w:pPr>
        <w:pStyle w:val="ListBullet"/>
        <w:rPr>
          <w:rStyle w:val="Strong"/>
          <w:b w:val="0"/>
          <w:bCs w:val="0"/>
        </w:rPr>
      </w:pPr>
      <w:r>
        <w:rPr>
          <w:rStyle w:val="Strong"/>
          <w:b w:val="0"/>
          <w:bCs w:val="0"/>
        </w:rPr>
        <w:t xml:space="preserve">reduced </w:t>
      </w:r>
      <w:r w:rsidR="00B10BC8">
        <w:rPr>
          <w:rStyle w:val="Strong"/>
          <w:b w:val="0"/>
          <w:bCs w:val="0"/>
        </w:rPr>
        <w:t xml:space="preserve">service </w:t>
      </w:r>
      <w:r>
        <w:rPr>
          <w:rStyle w:val="Strong"/>
          <w:b w:val="0"/>
          <w:bCs w:val="0"/>
        </w:rPr>
        <w:t>flexibility for shippers</w:t>
      </w:r>
      <w:r w:rsidR="0051270C">
        <w:rPr>
          <w:rStyle w:val="Strong"/>
          <w:b w:val="0"/>
          <w:bCs w:val="0"/>
        </w:rPr>
        <w:t xml:space="preserve"> </w:t>
      </w:r>
      <w:r w:rsidR="00A825E5">
        <w:rPr>
          <w:rStyle w:val="Strong"/>
          <w:b w:val="0"/>
          <w:bCs w:val="0"/>
        </w:rPr>
        <w:t xml:space="preserve">and reduced investment </w:t>
      </w:r>
      <w:r w:rsidR="008D660C">
        <w:rPr>
          <w:rStyle w:val="Strong"/>
          <w:b w:val="0"/>
          <w:bCs w:val="0"/>
        </w:rPr>
        <w:t xml:space="preserve">under </w:t>
      </w:r>
      <w:r w:rsidR="00B10BC8">
        <w:rPr>
          <w:rStyle w:val="Strong"/>
          <w:b w:val="0"/>
          <w:bCs w:val="0"/>
        </w:rPr>
        <w:t xml:space="preserve">the direct price control form of regulation under </w:t>
      </w:r>
      <w:r w:rsidR="00A825E5">
        <w:rPr>
          <w:rStyle w:val="Strong"/>
          <w:b w:val="0"/>
          <w:bCs w:val="0"/>
        </w:rPr>
        <w:t>O</w:t>
      </w:r>
      <w:r w:rsidR="008D660C">
        <w:rPr>
          <w:rStyle w:val="Strong"/>
          <w:b w:val="0"/>
          <w:bCs w:val="0"/>
        </w:rPr>
        <w:t>ption 4</w:t>
      </w:r>
      <w:r w:rsidR="00A825E5">
        <w:rPr>
          <w:rStyle w:val="Strong"/>
          <w:b w:val="0"/>
          <w:bCs w:val="0"/>
        </w:rPr>
        <w:t>.</w:t>
      </w:r>
    </w:p>
    <w:p w14:paraId="4503E75B" w14:textId="77777777" w:rsidR="00D90CB6" w:rsidRDefault="00D90CB6" w:rsidP="00D90CB6">
      <w:pPr>
        <w:pStyle w:val="BodyText"/>
        <w:rPr>
          <w:rStyle w:val="Strong"/>
          <w:b w:val="0"/>
          <w:bCs w:val="0"/>
        </w:rPr>
      </w:pPr>
      <w:r w:rsidRPr="00D90CB6">
        <w:rPr>
          <w:rStyle w:val="Strong"/>
          <w:b w:val="0"/>
          <w:bCs w:val="0"/>
        </w:rPr>
        <w:t xml:space="preserve">The Consultation RIS set out </w:t>
      </w:r>
      <w:r w:rsidR="00373204">
        <w:rPr>
          <w:rStyle w:val="Strong"/>
          <w:b w:val="0"/>
          <w:bCs w:val="0"/>
        </w:rPr>
        <w:t xml:space="preserve">some </w:t>
      </w:r>
      <w:r w:rsidRPr="00D90CB6">
        <w:rPr>
          <w:rStyle w:val="Strong"/>
          <w:b w:val="0"/>
          <w:bCs w:val="0"/>
        </w:rPr>
        <w:t xml:space="preserve">preliminary </w:t>
      </w:r>
      <w:r w:rsidR="00373204">
        <w:rPr>
          <w:rStyle w:val="Strong"/>
          <w:b w:val="0"/>
          <w:bCs w:val="0"/>
        </w:rPr>
        <w:t xml:space="preserve">results for the </w:t>
      </w:r>
      <w:r w:rsidRPr="00D90CB6">
        <w:rPr>
          <w:rStyle w:val="Strong"/>
          <w:b w:val="0"/>
          <w:bCs w:val="0"/>
        </w:rPr>
        <w:t>risk analysis and stakeholders were asked for their views on this analysis. This feedback, which is outlined in</w:t>
      </w:r>
      <w:r w:rsidR="00A439D1">
        <w:rPr>
          <w:rStyle w:val="Strong"/>
          <w:b w:val="0"/>
          <w:bCs w:val="0"/>
        </w:rPr>
        <w:t xml:space="preserve"> Appendix C.1</w:t>
      </w:r>
      <w:r w:rsidRPr="00D90CB6">
        <w:rPr>
          <w:rStyle w:val="Strong"/>
          <w:b w:val="0"/>
          <w:bCs w:val="0"/>
        </w:rPr>
        <w:t xml:space="preserve">, has been taken into account when developing the final risk analysis. </w:t>
      </w:r>
    </w:p>
    <w:p w14:paraId="41CF5996" w14:textId="77777777" w:rsidR="00B07779" w:rsidRDefault="00B07779" w:rsidP="00EE7A17">
      <w:pPr>
        <w:pStyle w:val="Heading3"/>
        <w:spacing w:before="120" w:after="120"/>
      </w:pPr>
      <w:r>
        <w:lastRenderedPageBreak/>
        <w:t>Results of the risk analysis</w:t>
      </w:r>
    </w:p>
    <w:p w14:paraId="4AACACED" w14:textId="0A1F0C2A" w:rsidR="00B07779" w:rsidRDefault="00D222CE" w:rsidP="00EE7A17">
      <w:pPr>
        <w:pStyle w:val="BodyText"/>
      </w:pPr>
      <w:r>
        <w:fldChar w:fldCharType="begin" w:fldLock="1"/>
      </w:r>
      <w:r>
        <w:instrText xml:space="preserve"> REF _Ref50486286 \h </w:instrText>
      </w:r>
      <w:r>
        <w:fldChar w:fldCharType="separate"/>
      </w:r>
      <w:r w:rsidR="00036405">
        <w:t xml:space="preserve">Table </w:t>
      </w:r>
      <w:r w:rsidR="00036405">
        <w:rPr>
          <w:noProof/>
        </w:rPr>
        <w:t>9</w:t>
      </w:r>
      <w:r w:rsidR="00036405">
        <w:t>.</w:t>
      </w:r>
      <w:r w:rsidR="00036405">
        <w:rPr>
          <w:noProof/>
        </w:rPr>
        <w:t>1</w:t>
      </w:r>
      <w:r>
        <w:fldChar w:fldCharType="end"/>
      </w:r>
      <w:r w:rsidR="00EE7A17">
        <w:t xml:space="preserve"> provides a summary of the </w:t>
      </w:r>
      <w:r>
        <w:t xml:space="preserve">results of the </w:t>
      </w:r>
      <w:r w:rsidR="00EE7A17">
        <w:t>risk analysis that has been undertaken</w:t>
      </w:r>
      <w:r w:rsidR="00D84999">
        <w:t xml:space="preserve"> having regard to the risks</w:t>
      </w:r>
      <w:r w:rsidR="00EE7A17">
        <w:t xml:space="preserve">. Further detail on the risk ratings and the assumptions underlying these ratings can be found in Appendix C. </w:t>
      </w:r>
    </w:p>
    <w:p w14:paraId="5D72ED57" w14:textId="78A42310" w:rsidR="00D12D3B" w:rsidRDefault="00D222CE" w:rsidP="00EE7A17">
      <w:pPr>
        <w:pStyle w:val="Caption"/>
        <w:spacing w:after="0"/>
      </w:pPr>
      <w:bookmarkStart w:id="199" w:name="_Ref50486286"/>
      <w:r>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9</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1</w:t>
      </w:r>
      <w:r w:rsidR="00F323B2">
        <w:rPr>
          <w:noProof/>
        </w:rPr>
        <w:fldChar w:fldCharType="end"/>
      </w:r>
      <w:bookmarkEnd w:id="199"/>
      <w:r>
        <w:t xml:space="preserve">: Summary of risk ratings for the policy options </w:t>
      </w:r>
    </w:p>
    <w:tbl>
      <w:tblPr>
        <w:tblStyle w:val="TableGrid"/>
        <w:tblW w:w="5000" w:type="pct"/>
        <w:tblLayout w:type="fixed"/>
        <w:tblLook w:val="0420" w:firstRow="1" w:lastRow="0" w:firstColumn="0" w:lastColumn="0" w:noHBand="0" w:noVBand="1"/>
      </w:tblPr>
      <w:tblGrid>
        <w:gridCol w:w="2197"/>
        <w:gridCol w:w="2197"/>
        <w:gridCol w:w="2197"/>
        <w:gridCol w:w="2197"/>
      </w:tblGrid>
      <w:tr w:rsidR="006A2B9A" w14:paraId="0951A8F7" w14:textId="77777777" w:rsidTr="00857981">
        <w:trPr>
          <w:cnfStyle w:val="100000000000" w:firstRow="1" w:lastRow="0" w:firstColumn="0" w:lastColumn="0" w:oddVBand="0" w:evenVBand="0" w:oddHBand="0" w:evenHBand="0" w:firstRowFirstColumn="0" w:firstRowLastColumn="0" w:lastRowFirstColumn="0" w:lastRowLastColumn="0"/>
          <w:cantSplit/>
          <w:tblHeader/>
        </w:trPr>
        <w:tc>
          <w:tcPr>
            <w:tcW w:w="1250" w:type="pct"/>
            <w:shd w:val="clear" w:color="auto" w:fill="002060"/>
          </w:tcPr>
          <w:p w14:paraId="1D081C5E" w14:textId="77777777" w:rsidR="006A2B9A" w:rsidRDefault="006A2B9A" w:rsidP="00857981">
            <w:pPr>
              <w:pStyle w:val="TableHeading"/>
              <w:spacing w:before="20" w:after="20"/>
              <w:rPr>
                <w:lang w:eastAsia="fr-CA"/>
              </w:rPr>
            </w:pPr>
            <w:r>
              <w:rPr>
                <w:lang w:eastAsia="fr-CA"/>
              </w:rPr>
              <w:t>Option</w:t>
            </w:r>
          </w:p>
        </w:tc>
        <w:tc>
          <w:tcPr>
            <w:tcW w:w="1250" w:type="pct"/>
            <w:shd w:val="clear" w:color="auto" w:fill="002060"/>
          </w:tcPr>
          <w:p w14:paraId="5B34FBFE" w14:textId="77777777" w:rsidR="006A2B9A" w:rsidRDefault="006A2B9A" w:rsidP="00857981">
            <w:pPr>
              <w:pStyle w:val="TableHeading"/>
              <w:spacing w:before="20" w:after="20"/>
              <w:rPr>
                <w:lang w:eastAsia="fr-CA"/>
              </w:rPr>
            </w:pPr>
            <w:r>
              <w:rPr>
                <w:lang w:eastAsia="fr-CA"/>
              </w:rPr>
              <w:t>Residual Risk Likelihood</w:t>
            </w:r>
          </w:p>
        </w:tc>
        <w:tc>
          <w:tcPr>
            <w:tcW w:w="1250" w:type="pct"/>
            <w:shd w:val="clear" w:color="auto" w:fill="002060"/>
          </w:tcPr>
          <w:p w14:paraId="1AB421CF" w14:textId="77777777" w:rsidR="006A2B9A" w:rsidRDefault="006A2B9A" w:rsidP="00857981">
            <w:pPr>
              <w:pStyle w:val="TableHeading"/>
              <w:spacing w:before="20" w:after="20"/>
              <w:rPr>
                <w:lang w:eastAsia="fr-CA"/>
              </w:rPr>
            </w:pPr>
            <w:r>
              <w:rPr>
                <w:lang w:eastAsia="fr-CA"/>
              </w:rPr>
              <w:t>Residual Risk Consequence</w:t>
            </w:r>
          </w:p>
        </w:tc>
        <w:tc>
          <w:tcPr>
            <w:tcW w:w="1250" w:type="pct"/>
            <w:shd w:val="clear" w:color="auto" w:fill="002060"/>
          </w:tcPr>
          <w:p w14:paraId="0B81B035" w14:textId="77777777" w:rsidR="006A2B9A" w:rsidRDefault="006A2B9A" w:rsidP="00857981">
            <w:pPr>
              <w:pStyle w:val="TableHeading"/>
              <w:spacing w:before="20" w:after="20"/>
              <w:rPr>
                <w:lang w:eastAsia="fr-CA"/>
              </w:rPr>
            </w:pPr>
            <w:r>
              <w:rPr>
                <w:lang w:eastAsia="fr-CA"/>
              </w:rPr>
              <w:t>Residual Risk Rating</w:t>
            </w:r>
          </w:p>
        </w:tc>
      </w:tr>
      <w:tr w:rsidR="006A2B9A" w14:paraId="55108ADD" w14:textId="77777777" w:rsidTr="00857981">
        <w:trPr>
          <w:cantSplit/>
        </w:trPr>
        <w:tc>
          <w:tcPr>
            <w:tcW w:w="1250" w:type="pct"/>
          </w:tcPr>
          <w:p w14:paraId="1CCBB8B1" w14:textId="77777777" w:rsidR="006A2B9A" w:rsidRDefault="006A2B9A" w:rsidP="00857981">
            <w:pPr>
              <w:pStyle w:val="TableBodyText"/>
              <w:spacing w:before="20" w:after="20"/>
              <w:rPr>
                <w:lang w:eastAsia="fr-CA"/>
              </w:rPr>
            </w:pPr>
            <w:r>
              <w:rPr>
                <w:lang w:eastAsia="fr-CA"/>
              </w:rPr>
              <w:t>Option 1</w:t>
            </w:r>
          </w:p>
        </w:tc>
        <w:tc>
          <w:tcPr>
            <w:tcW w:w="1250" w:type="pct"/>
          </w:tcPr>
          <w:p w14:paraId="4E79112D" w14:textId="77777777" w:rsidR="006A2B9A" w:rsidRDefault="006A2B9A" w:rsidP="00857981">
            <w:pPr>
              <w:pStyle w:val="TableBodyText"/>
              <w:spacing w:before="20" w:after="20"/>
              <w:rPr>
                <w:lang w:eastAsia="fr-CA"/>
              </w:rPr>
            </w:pPr>
            <w:r>
              <w:rPr>
                <w:lang w:eastAsia="fr-CA"/>
              </w:rPr>
              <w:t>Possible to Highly Likely</w:t>
            </w:r>
          </w:p>
        </w:tc>
        <w:tc>
          <w:tcPr>
            <w:tcW w:w="1250" w:type="pct"/>
          </w:tcPr>
          <w:p w14:paraId="1594D201" w14:textId="77777777" w:rsidR="006A2B9A" w:rsidRDefault="006A2B9A" w:rsidP="00857981">
            <w:pPr>
              <w:pStyle w:val="TableBodyText"/>
              <w:spacing w:before="20" w:after="20"/>
              <w:rPr>
                <w:lang w:eastAsia="fr-CA"/>
              </w:rPr>
            </w:pPr>
            <w:r>
              <w:rPr>
                <w:lang w:eastAsia="fr-CA"/>
              </w:rPr>
              <w:t>Minor to Major</w:t>
            </w:r>
          </w:p>
        </w:tc>
        <w:tc>
          <w:tcPr>
            <w:tcW w:w="1250" w:type="pct"/>
          </w:tcPr>
          <w:p w14:paraId="09491E00" w14:textId="77777777" w:rsidR="006A2B9A" w:rsidRDefault="006A2B9A" w:rsidP="00857981">
            <w:pPr>
              <w:pStyle w:val="TableBodyText"/>
              <w:spacing w:before="20" w:after="20"/>
              <w:rPr>
                <w:lang w:eastAsia="fr-CA"/>
              </w:rPr>
            </w:pPr>
            <w:r>
              <w:rPr>
                <w:lang w:eastAsia="fr-CA"/>
              </w:rPr>
              <w:t>Medium to Severe</w:t>
            </w:r>
          </w:p>
        </w:tc>
      </w:tr>
      <w:tr w:rsidR="006A2B9A" w14:paraId="50037FFA" w14:textId="77777777" w:rsidTr="00857981">
        <w:trPr>
          <w:cnfStyle w:val="000000010000" w:firstRow="0" w:lastRow="0" w:firstColumn="0" w:lastColumn="0" w:oddVBand="0" w:evenVBand="0" w:oddHBand="0" w:evenHBand="1" w:firstRowFirstColumn="0" w:firstRowLastColumn="0" w:lastRowFirstColumn="0" w:lastRowLastColumn="0"/>
          <w:cantSplit/>
        </w:trPr>
        <w:tc>
          <w:tcPr>
            <w:tcW w:w="1250" w:type="pct"/>
          </w:tcPr>
          <w:p w14:paraId="76AC2835" w14:textId="77777777" w:rsidR="006A2B9A" w:rsidRDefault="006A2B9A" w:rsidP="00857981">
            <w:pPr>
              <w:pStyle w:val="TableBodyText"/>
              <w:spacing w:before="20" w:after="20"/>
              <w:rPr>
                <w:lang w:eastAsia="fr-CA"/>
              </w:rPr>
            </w:pPr>
            <w:r>
              <w:rPr>
                <w:lang w:eastAsia="fr-CA"/>
              </w:rPr>
              <w:t>Option 2</w:t>
            </w:r>
          </w:p>
        </w:tc>
        <w:tc>
          <w:tcPr>
            <w:tcW w:w="1250" w:type="pct"/>
          </w:tcPr>
          <w:p w14:paraId="458F76FC" w14:textId="77777777" w:rsidR="006A2B9A" w:rsidRDefault="006A2B9A" w:rsidP="00857981">
            <w:pPr>
              <w:pStyle w:val="TableBodyText"/>
              <w:spacing w:before="20" w:after="20"/>
              <w:rPr>
                <w:lang w:eastAsia="fr-CA"/>
              </w:rPr>
            </w:pPr>
            <w:r>
              <w:rPr>
                <w:lang w:eastAsia="fr-CA"/>
              </w:rPr>
              <w:t>Rare to Likely</w:t>
            </w:r>
          </w:p>
        </w:tc>
        <w:tc>
          <w:tcPr>
            <w:tcW w:w="1250" w:type="pct"/>
          </w:tcPr>
          <w:p w14:paraId="2BD47398" w14:textId="77777777" w:rsidR="006A2B9A" w:rsidRDefault="006A2B9A" w:rsidP="00857981">
            <w:pPr>
              <w:pStyle w:val="TableBodyText"/>
              <w:spacing w:before="20" w:after="20"/>
              <w:rPr>
                <w:lang w:eastAsia="fr-CA"/>
              </w:rPr>
            </w:pPr>
            <w:r>
              <w:rPr>
                <w:lang w:eastAsia="fr-CA"/>
              </w:rPr>
              <w:t>Minor to Major</w:t>
            </w:r>
          </w:p>
        </w:tc>
        <w:tc>
          <w:tcPr>
            <w:tcW w:w="1250" w:type="pct"/>
          </w:tcPr>
          <w:p w14:paraId="10636417" w14:textId="77777777" w:rsidR="006A2B9A" w:rsidRDefault="006A2B9A" w:rsidP="00857981">
            <w:pPr>
              <w:pStyle w:val="TableBodyText"/>
              <w:spacing w:before="20" w:after="20"/>
              <w:rPr>
                <w:lang w:eastAsia="fr-CA"/>
              </w:rPr>
            </w:pPr>
            <w:r>
              <w:rPr>
                <w:lang w:eastAsia="fr-CA"/>
              </w:rPr>
              <w:t xml:space="preserve">Low to High </w:t>
            </w:r>
          </w:p>
        </w:tc>
      </w:tr>
      <w:tr w:rsidR="006A2B9A" w14:paraId="12939987" w14:textId="77777777" w:rsidTr="00857981">
        <w:trPr>
          <w:cantSplit/>
        </w:trPr>
        <w:tc>
          <w:tcPr>
            <w:tcW w:w="1250" w:type="pct"/>
          </w:tcPr>
          <w:p w14:paraId="31516772" w14:textId="77777777" w:rsidR="006A2B9A" w:rsidRDefault="006A2B9A" w:rsidP="00857981">
            <w:pPr>
              <w:pStyle w:val="TableBodyText"/>
              <w:spacing w:before="20" w:after="20"/>
              <w:rPr>
                <w:lang w:eastAsia="fr-CA"/>
              </w:rPr>
            </w:pPr>
            <w:r>
              <w:rPr>
                <w:lang w:eastAsia="fr-CA"/>
              </w:rPr>
              <w:t>Option 3A</w:t>
            </w:r>
          </w:p>
        </w:tc>
        <w:tc>
          <w:tcPr>
            <w:tcW w:w="1250" w:type="pct"/>
          </w:tcPr>
          <w:p w14:paraId="1AFA6126" w14:textId="77777777" w:rsidR="006A2B9A" w:rsidRDefault="006A2B9A" w:rsidP="00857981">
            <w:pPr>
              <w:pStyle w:val="TableBodyText"/>
              <w:spacing w:before="20" w:after="20"/>
              <w:rPr>
                <w:lang w:eastAsia="fr-CA"/>
              </w:rPr>
            </w:pPr>
            <w:r>
              <w:rPr>
                <w:lang w:eastAsia="fr-CA"/>
              </w:rPr>
              <w:t>Rare to Possible</w:t>
            </w:r>
          </w:p>
        </w:tc>
        <w:tc>
          <w:tcPr>
            <w:tcW w:w="1250" w:type="pct"/>
          </w:tcPr>
          <w:p w14:paraId="126DB564" w14:textId="77777777" w:rsidR="006A2B9A" w:rsidRDefault="006A2B9A" w:rsidP="00857981">
            <w:pPr>
              <w:pStyle w:val="TableBodyText"/>
              <w:spacing w:before="20" w:after="20"/>
              <w:rPr>
                <w:lang w:eastAsia="fr-CA"/>
              </w:rPr>
            </w:pPr>
            <w:r>
              <w:rPr>
                <w:lang w:eastAsia="fr-CA"/>
              </w:rPr>
              <w:t>Minor to Major</w:t>
            </w:r>
          </w:p>
        </w:tc>
        <w:tc>
          <w:tcPr>
            <w:tcW w:w="1250" w:type="pct"/>
          </w:tcPr>
          <w:p w14:paraId="15D474DA" w14:textId="77777777" w:rsidR="006A2B9A" w:rsidRDefault="006A2B9A" w:rsidP="00857981">
            <w:pPr>
              <w:pStyle w:val="TableBodyText"/>
              <w:spacing w:before="20" w:after="20"/>
              <w:rPr>
                <w:lang w:eastAsia="fr-CA"/>
              </w:rPr>
            </w:pPr>
            <w:r>
              <w:rPr>
                <w:lang w:eastAsia="fr-CA"/>
              </w:rPr>
              <w:t>Low to Medium</w:t>
            </w:r>
          </w:p>
        </w:tc>
      </w:tr>
      <w:tr w:rsidR="006A2B9A" w14:paraId="229FF4B5" w14:textId="77777777" w:rsidTr="00857981">
        <w:trPr>
          <w:cnfStyle w:val="000000010000" w:firstRow="0" w:lastRow="0" w:firstColumn="0" w:lastColumn="0" w:oddVBand="0" w:evenVBand="0" w:oddHBand="0" w:evenHBand="1" w:firstRowFirstColumn="0" w:firstRowLastColumn="0" w:lastRowFirstColumn="0" w:lastRowLastColumn="0"/>
          <w:cantSplit/>
        </w:trPr>
        <w:tc>
          <w:tcPr>
            <w:tcW w:w="1250" w:type="pct"/>
          </w:tcPr>
          <w:p w14:paraId="43758AB6" w14:textId="77777777" w:rsidR="006A2B9A" w:rsidRDefault="006A2B9A" w:rsidP="00857981">
            <w:pPr>
              <w:pStyle w:val="TableBodyText"/>
              <w:spacing w:before="20" w:after="20"/>
              <w:rPr>
                <w:lang w:eastAsia="fr-CA"/>
              </w:rPr>
            </w:pPr>
            <w:r>
              <w:rPr>
                <w:lang w:eastAsia="fr-CA"/>
              </w:rPr>
              <w:t>Option 3B</w:t>
            </w:r>
          </w:p>
        </w:tc>
        <w:tc>
          <w:tcPr>
            <w:tcW w:w="1250" w:type="pct"/>
          </w:tcPr>
          <w:p w14:paraId="0F574A94" w14:textId="77777777" w:rsidR="006A2B9A" w:rsidRDefault="006A2B9A" w:rsidP="00857981">
            <w:pPr>
              <w:pStyle w:val="TableBodyText"/>
              <w:spacing w:before="20" w:after="20"/>
              <w:rPr>
                <w:lang w:eastAsia="fr-CA"/>
              </w:rPr>
            </w:pPr>
            <w:r>
              <w:rPr>
                <w:lang w:eastAsia="fr-CA"/>
              </w:rPr>
              <w:t>Rare to Possible</w:t>
            </w:r>
          </w:p>
        </w:tc>
        <w:tc>
          <w:tcPr>
            <w:tcW w:w="1250" w:type="pct"/>
          </w:tcPr>
          <w:p w14:paraId="22D4B6CE" w14:textId="77777777" w:rsidR="006A2B9A" w:rsidRDefault="006A2B9A" w:rsidP="00857981">
            <w:pPr>
              <w:pStyle w:val="TableBodyText"/>
              <w:spacing w:before="20" w:after="20"/>
              <w:rPr>
                <w:lang w:eastAsia="fr-CA"/>
              </w:rPr>
            </w:pPr>
            <w:r>
              <w:rPr>
                <w:lang w:eastAsia="fr-CA"/>
              </w:rPr>
              <w:t>Minor to Major</w:t>
            </w:r>
          </w:p>
        </w:tc>
        <w:tc>
          <w:tcPr>
            <w:tcW w:w="1250" w:type="pct"/>
          </w:tcPr>
          <w:p w14:paraId="5575C8AA" w14:textId="77777777" w:rsidR="006A2B9A" w:rsidRDefault="006A2B9A" w:rsidP="00857981">
            <w:pPr>
              <w:pStyle w:val="TableBodyText"/>
              <w:spacing w:before="20" w:after="20"/>
              <w:rPr>
                <w:lang w:eastAsia="fr-CA"/>
              </w:rPr>
            </w:pPr>
            <w:r>
              <w:rPr>
                <w:lang w:eastAsia="fr-CA"/>
              </w:rPr>
              <w:t xml:space="preserve">Low to Medium </w:t>
            </w:r>
          </w:p>
        </w:tc>
      </w:tr>
      <w:tr w:rsidR="006A2B9A" w14:paraId="2CC09C26" w14:textId="77777777" w:rsidTr="00857981">
        <w:trPr>
          <w:cantSplit/>
        </w:trPr>
        <w:tc>
          <w:tcPr>
            <w:tcW w:w="1250" w:type="pct"/>
          </w:tcPr>
          <w:p w14:paraId="6D7B7A26" w14:textId="77777777" w:rsidR="006A2B9A" w:rsidRDefault="006A2B9A" w:rsidP="00857981">
            <w:pPr>
              <w:pStyle w:val="TableBodyText"/>
              <w:spacing w:before="20" w:after="20"/>
              <w:rPr>
                <w:lang w:eastAsia="fr-CA"/>
              </w:rPr>
            </w:pPr>
            <w:r>
              <w:rPr>
                <w:lang w:eastAsia="fr-CA"/>
              </w:rPr>
              <w:t>Option 4</w:t>
            </w:r>
          </w:p>
        </w:tc>
        <w:tc>
          <w:tcPr>
            <w:tcW w:w="1250" w:type="pct"/>
          </w:tcPr>
          <w:p w14:paraId="3509FF10" w14:textId="77777777" w:rsidR="006A2B9A" w:rsidRDefault="006A2B9A" w:rsidP="00857981">
            <w:pPr>
              <w:pStyle w:val="TableBodyText"/>
              <w:spacing w:before="20" w:after="20"/>
              <w:rPr>
                <w:lang w:eastAsia="fr-CA"/>
              </w:rPr>
            </w:pPr>
            <w:r>
              <w:rPr>
                <w:lang w:eastAsia="fr-CA"/>
              </w:rPr>
              <w:t xml:space="preserve">Rare to Highly Likely  </w:t>
            </w:r>
          </w:p>
        </w:tc>
        <w:tc>
          <w:tcPr>
            <w:tcW w:w="1250" w:type="pct"/>
          </w:tcPr>
          <w:p w14:paraId="5B8ADB02" w14:textId="77777777" w:rsidR="006A2B9A" w:rsidRDefault="006A2B9A" w:rsidP="00857981">
            <w:pPr>
              <w:pStyle w:val="TableBodyText"/>
              <w:spacing w:before="20" w:after="20"/>
              <w:rPr>
                <w:lang w:eastAsia="fr-CA"/>
              </w:rPr>
            </w:pPr>
            <w:r>
              <w:rPr>
                <w:lang w:eastAsia="fr-CA"/>
              </w:rPr>
              <w:t>Minor to Major</w:t>
            </w:r>
          </w:p>
        </w:tc>
        <w:tc>
          <w:tcPr>
            <w:tcW w:w="1250" w:type="pct"/>
          </w:tcPr>
          <w:p w14:paraId="7900BF87" w14:textId="77777777" w:rsidR="006A2B9A" w:rsidRDefault="006A2B9A" w:rsidP="00857981">
            <w:pPr>
              <w:pStyle w:val="TableBodyText"/>
              <w:spacing w:before="20" w:after="20"/>
              <w:rPr>
                <w:lang w:eastAsia="fr-CA"/>
              </w:rPr>
            </w:pPr>
            <w:r>
              <w:rPr>
                <w:lang w:eastAsia="fr-CA"/>
              </w:rPr>
              <w:t>Low to Severe</w:t>
            </w:r>
          </w:p>
        </w:tc>
      </w:tr>
    </w:tbl>
    <w:p w14:paraId="74332C40" w14:textId="77777777" w:rsidR="00D12D3B" w:rsidRDefault="003C44D2" w:rsidP="00D90CB6">
      <w:pPr>
        <w:pStyle w:val="BodyText"/>
      </w:pPr>
      <w:r w:rsidRPr="003C44D2">
        <w:t>As</w:t>
      </w:r>
      <w:r>
        <w:t xml:space="preserve"> this table highlights, maintaining the status quo has the highest residual risk rating</w:t>
      </w:r>
      <w:r w:rsidR="00A30A75">
        <w:t xml:space="preserve">, with the residual risk </w:t>
      </w:r>
      <w:r w:rsidR="003A3B8C">
        <w:t xml:space="preserve">rating ranging from medium to severe across the </w:t>
      </w:r>
      <w:r w:rsidR="009E7F6F">
        <w:t xml:space="preserve">five </w:t>
      </w:r>
      <w:r w:rsidR="003A3B8C">
        <w:t>risk categories outlined above</w:t>
      </w:r>
      <w:r>
        <w:t xml:space="preserve">. </w:t>
      </w:r>
      <w:r w:rsidRPr="003C44D2">
        <w:t xml:space="preserve"> </w:t>
      </w:r>
    </w:p>
    <w:p w14:paraId="6A359A45" w14:textId="39DC70ED" w:rsidR="00914524" w:rsidRDefault="00E768DA" w:rsidP="00B42B27">
      <w:pPr>
        <w:pStyle w:val="BodyText"/>
      </w:pPr>
      <w:r>
        <w:t>While i</w:t>
      </w:r>
      <w:r w:rsidR="00914524">
        <w:t xml:space="preserve">mplementing Option 2 is expected to reduce </w:t>
      </w:r>
      <w:r>
        <w:t xml:space="preserve">some of the </w:t>
      </w:r>
      <w:r w:rsidR="00E81C90">
        <w:t xml:space="preserve">risks </w:t>
      </w:r>
      <w:r w:rsidR="0084124B">
        <w:t>associated with the status quo</w:t>
      </w:r>
      <w:r>
        <w:t xml:space="preserve">, it </w:t>
      </w:r>
      <w:r w:rsidR="00372CB1">
        <w:t xml:space="preserve">will </w:t>
      </w:r>
      <w:r w:rsidR="00415E44">
        <w:t>not</w:t>
      </w:r>
      <w:r>
        <w:t xml:space="preserve"> </w:t>
      </w:r>
      <w:r w:rsidR="00415E44">
        <w:t xml:space="preserve">reduce the </w:t>
      </w:r>
      <w:r w:rsidR="009D0494">
        <w:t>risks associated with exercises of dynamic market power</w:t>
      </w:r>
      <w:r w:rsidR="00415E44">
        <w:t xml:space="preserve">, </w:t>
      </w:r>
      <w:r w:rsidR="001D69F5">
        <w:t>information deficiencies</w:t>
      </w:r>
      <w:r w:rsidR="001A222C">
        <w:t xml:space="preserve">, or the </w:t>
      </w:r>
      <w:r w:rsidR="007E0902">
        <w:t xml:space="preserve">vulnerability of smaller shippers to exercises of market power. </w:t>
      </w:r>
      <w:r w:rsidR="004277B1">
        <w:t xml:space="preserve">In addition, </w:t>
      </w:r>
      <w:r w:rsidR="00B42B27">
        <w:t xml:space="preserve">this option introduces a new risk. That is, the risk that </w:t>
      </w:r>
      <w:r w:rsidR="00C1515D">
        <w:t>when applying the market power test</w:t>
      </w:r>
      <w:r w:rsidR="0022487F">
        <w:t xml:space="preserve">, the </w:t>
      </w:r>
      <w:r w:rsidR="00C1515D">
        <w:t xml:space="preserve">decision making body </w:t>
      </w:r>
      <w:r w:rsidR="0022487F">
        <w:t xml:space="preserve">grants a full exemption from regulation to </w:t>
      </w:r>
      <w:r w:rsidR="00C1515D">
        <w:t>a pipeline that has substantial market power</w:t>
      </w:r>
      <w:r w:rsidR="00065BC8">
        <w:t xml:space="preserve"> (i.e. the risk of regulatory error)</w:t>
      </w:r>
      <w:r w:rsidR="00C1515D">
        <w:t xml:space="preserve">. If this occurred and the pipeline was to exert its market power, </w:t>
      </w:r>
      <w:r w:rsidR="00980C82">
        <w:t xml:space="preserve">a </w:t>
      </w:r>
      <w:r w:rsidR="00C1515D">
        <w:t>shipper would need to apply to have the exemption revoked, which could take some time and leave the shipper exposed to the exercise of market power in the intervening period.</w:t>
      </w:r>
      <w:r w:rsidR="00370905">
        <w:rPr>
          <w:rFonts w:ascii="ZWAdobeF" w:hAnsi="ZWAdobeF" w:cs="ZWAdobeF"/>
          <w:sz w:val="2"/>
          <w:szCs w:val="2"/>
        </w:rPr>
        <w:t>182F</w:t>
      </w:r>
      <w:r w:rsidR="00885DF6">
        <w:rPr>
          <w:rStyle w:val="FootnoteReference"/>
        </w:rPr>
        <w:footnoteReference w:id="184"/>
      </w:r>
      <w:r w:rsidR="00C1515D">
        <w:t xml:space="preserve"> </w:t>
      </w:r>
      <w:r w:rsidR="00885DF6">
        <w:t xml:space="preserve">This </w:t>
      </w:r>
      <w:r w:rsidR="00F932CA">
        <w:t xml:space="preserve">risk of this occurring has been rated as high. </w:t>
      </w:r>
      <w:r w:rsidR="008C04E4">
        <w:t xml:space="preserve">There is also a risk under </w:t>
      </w:r>
      <w:r w:rsidR="00980C82">
        <w:t xml:space="preserve">this option </w:t>
      </w:r>
      <w:r w:rsidR="008C04E4">
        <w:t xml:space="preserve">that the retention of a test for third party access may </w:t>
      </w:r>
      <w:r w:rsidR="00B94420">
        <w:t xml:space="preserve">result in </w:t>
      </w:r>
      <w:r w:rsidR="00743AD6">
        <w:t xml:space="preserve">regulatory error, with </w:t>
      </w:r>
      <w:r w:rsidR="00B94420">
        <w:t xml:space="preserve">access not being </w:t>
      </w:r>
      <w:r w:rsidR="00B94420" w:rsidRPr="00F023D0">
        <w:t xml:space="preserve">required when it would be efficient for that to occur. This </w:t>
      </w:r>
      <w:r w:rsidR="00F023D0" w:rsidRPr="00F023D0">
        <w:t>risk</w:t>
      </w:r>
      <w:r w:rsidR="008B1CF8">
        <w:t xml:space="preserve"> </w:t>
      </w:r>
      <w:r w:rsidR="00F023D0" w:rsidRPr="00F023D0">
        <w:t xml:space="preserve">has been rated as medium. </w:t>
      </w:r>
      <w:r w:rsidR="00DA44AC" w:rsidRPr="00F023D0">
        <w:t xml:space="preserve">As a result of these factors, the overall </w:t>
      </w:r>
      <w:r w:rsidR="00F932CA" w:rsidRPr="00F023D0">
        <w:t xml:space="preserve">residual risk rating </w:t>
      </w:r>
      <w:r w:rsidR="00980C82">
        <w:t xml:space="preserve">for Option 2 </w:t>
      </w:r>
      <w:r w:rsidR="00F932CA" w:rsidRPr="00F023D0">
        <w:t>ranges from low to high.</w:t>
      </w:r>
      <w:r w:rsidR="00F932CA">
        <w:t xml:space="preserve"> </w:t>
      </w:r>
    </w:p>
    <w:p w14:paraId="256C2F32" w14:textId="77777777" w:rsidR="009A6BF6" w:rsidRDefault="00CB4125" w:rsidP="00DF5DA7">
      <w:pPr>
        <w:pStyle w:val="BodyText"/>
      </w:pPr>
      <w:r>
        <w:t xml:space="preserve">Unlike </w:t>
      </w:r>
      <w:r w:rsidR="008345C8">
        <w:t xml:space="preserve">Option 2, options 3A, 3B and 4 </w:t>
      </w:r>
      <w:r w:rsidR="003E0325">
        <w:t xml:space="preserve">are </w:t>
      </w:r>
      <w:r w:rsidR="008345C8">
        <w:t xml:space="preserve">expected to </w:t>
      </w:r>
      <w:r w:rsidR="00BA1BAF">
        <w:t xml:space="preserve">address the risks </w:t>
      </w:r>
      <w:r w:rsidR="008B1CF8">
        <w:t xml:space="preserve">associated with </w:t>
      </w:r>
      <w:r w:rsidR="008345C8">
        <w:t xml:space="preserve">the </w:t>
      </w:r>
      <w:r w:rsidR="008B1CF8">
        <w:t>exercise</w:t>
      </w:r>
      <w:r w:rsidR="008B1CF8" w:rsidRPr="008B1CF8">
        <w:t xml:space="preserve"> </w:t>
      </w:r>
      <w:r w:rsidR="008B1CF8">
        <w:t xml:space="preserve">of dynamic market power, information deficiencies, </w:t>
      </w:r>
      <w:r w:rsidR="00BA1BAF">
        <w:t xml:space="preserve">and </w:t>
      </w:r>
      <w:r w:rsidR="008B1CF8">
        <w:t>the vulnerability of smaller shippers to exercises of market power</w:t>
      </w:r>
      <w:r w:rsidR="00BA1BAF">
        <w:t>.</w:t>
      </w:r>
      <w:r w:rsidR="00145277" w:rsidRPr="005B27DE">
        <w:t xml:space="preserve"> </w:t>
      </w:r>
      <w:r w:rsidR="00144936">
        <w:t xml:space="preserve">They </w:t>
      </w:r>
      <w:r w:rsidR="007C17ED">
        <w:t xml:space="preserve">are also expected to </w:t>
      </w:r>
      <w:r w:rsidR="002B7C74">
        <w:t xml:space="preserve">address </w:t>
      </w:r>
      <w:r w:rsidR="00534C97">
        <w:t xml:space="preserve">some of the other risks </w:t>
      </w:r>
      <w:r w:rsidR="002B7C74">
        <w:t xml:space="preserve">associated with the </w:t>
      </w:r>
      <w:r w:rsidR="00534C97">
        <w:t xml:space="preserve">status quo. </w:t>
      </w:r>
      <w:r w:rsidR="00932CD1" w:rsidRPr="005B27DE">
        <w:t>O</w:t>
      </w:r>
      <w:r w:rsidR="00FC6F7B" w:rsidRPr="005B27DE">
        <w:t xml:space="preserve">ptions </w:t>
      </w:r>
      <w:r w:rsidR="009A6BF6">
        <w:t xml:space="preserve">3A, </w:t>
      </w:r>
      <w:r w:rsidR="00932CD1" w:rsidRPr="005B27DE">
        <w:t xml:space="preserve">3B </w:t>
      </w:r>
      <w:r w:rsidR="00BA1BAF">
        <w:t xml:space="preserve">and 4 </w:t>
      </w:r>
      <w:r w:rsidR="00717A91" w:rsidRPr="005B27DE">
        <w:t>do</w:t>
      </w:r>
      <w:r w:rsidR="00FC6F7B" w:rsidRPr="005B27DE">
        <w:t xml:space="preserve">, however, </w:t>
      </w:r>
      <w:r w:rsidR="00DA44AC" w:rsidRPr="005B27DE">
        <w:t xml:space="preserve">also </w:t>
      </w:r>
      <w:r w:rsidR="00FC6F7B" w:rsidRPr="005B27DE">
        <w:t xml:space="preserve">introduce </w:t>
      </w:r>
      <w:r w:rsidR="009A6BF6">
        <w:t xml:space="preserve">the following </w:t>
      </w:r>
      <w:r w:rsidR="00FC6F7B" w:rsidRPr="005B27DE">
        <w:t>new risk</w:t>
      </w:r>
      <w:r w:rsidR="009A6BF6">
        <w:t>s:</w:t>
      </w:r>
    </w:p>
    <w:p w14:paraId="425B5ABE" w14:textId="77777777" w:rsidR="002E7CBE" w:rsidRDefault="009A6BF6" w:rsidP="00611CCA">
      <w:pPr>
        <w:pStyle w:val="ListBullet"/>
        <w:numPr>
          <w:ilvl w:val="0"/>
          <w:numId w:val="158"/>
        </w:numPr>
        <w:ind w:left="357" w:hanging="357"/>
      </w:pPr>
      <w:r>
        <w:t xml:space="preserve">Under Option 3A there is a risk that the retention of a test for third party access may result in third party access not being </w:t>
      </w:r>
      <w:r w:rsidRPr="00F023D0">
        <w:t>required when it would be efficient for that to occur. This risk</w:t>
      </w:r>
      <w:r>
        <w:t xml:space="preserve"> </w:t>
      </w:r>
      <w:r w:rsidRPr="00F023D0">
        <w:t>has been rated as medium.</w:t>
      </w:r>
      <w:r w:rsidRPr="005B27DE">
        <w:t xml:space="preserve"> </w:t>
      </w:r>
    </w:p>
    <w:p w14:paraId="45B51319" w14:textId="77777777" w:rsidR="00ED0CE7" w:rsidRDefault="00ED0CE7" w:rsidP="00611CCA">
      <w:pPr>
        <w:pStyle w:val="ListBullet"/>
        <w:numPr>
          <w:ilvl w:val="0"/>
          <w:numId w:val="158"/>
        </w:numPr>
        <w:ind w:left="357" w:hanging="357"/>
      </w:pPr>
      <w:r>
        <w:t xml:space="preserve">Under options 3B and 4, there is a risk </w:t>
      </w:r>
      <w:r w:rsidRPr="005B27DE">
        <w:t>of over-regulation</w:t>
      </w:r>
      <w:r>
        <w:t xml:space="preserve"> </w:t>
      </w:r>
      <w:r w:rsidRPr="005B27DE">
        <w:t xml:space="preserve">because under both of these options pipelines </w:t>
      </w:r>
      <w:r w:rsidR="00E44DD1">
        <w:t xml:space="preserve">that are not voluntarily providing third party access </w:t>
      </w:r>
      <w:r w:rsidRPr="005B27DE">
        <w:t xml:space="preserve">would be required to </w:t>
      </w:r>
      <w:r w:rsidR="00E44DD1">
        <w:t>do so</w:t>
      </w:r>
      <w:r w:rsidRPr="005B27DE">
        <w:t xml:space="preserve">, even though it may not be efficient for this to occur in some cases. </w:t>
      </w:r>
      <w:r>
        <w:t>This risk has been rated as medium.</w:t>
      </w:r>
    </w:p>
    <w:p w14:paraId="4EAA8B62" w14:textId="77777777" w:rsidR="00E23E6D" w:rsidRDefault="009A6BF6" w:rsidP="00611CCA">
      <w:pPr>
        <w:pStyle w:val="ListBullet"/>
        <w:numPr>
          <w:ilvl w:val="0"/>
          <w:numId w:val="158"/>
        </w:numPr>
        <w:ind w:left="357" w:hanging="357"/>
      </w:pPr>
      <w:r>
        <w:t xml:space="preserve">Under Option 4, </w:t>
      </w:r>
      <w:r w:rsidR="00980C82">
        <w:t>t</w:t>
      </w:r>
      <w:r w:rsidR="00E23E6D">
        <w:t xml:space="preserve">he movement to direct price control </w:t>
      </w:r>
      <w:r w:rsidR="00B84CE4">
        <w:t xml:space="preserve">is expected to give rise to </w:t>
      </w:r>
      <w:r w:rsidR="00676C36">
        <w:t xml:space="preserve">the following </w:t>
      </w:r>
      <w:r w:rsidR="00EA465C">
        <w:t xml:space="preserve">additional </w:t>
      </w:r>
      <w:r w:rsidR="00E23E6D">
        <w:t>risks:</w:t>
      </w:r>
    </w:p>
    <w:p w14:paraId="7FB21E9E" w14:textId="77777777" w:rsidR="005F60B9" w:rsidRDefault="005F60B9" w:rsidP="00AD36B8">
      <w:pPr>
        <w:pStyle w:val="ListBullet2"/>
      </w:pPr>
      <w:r w:rsidRPr="005F60B9">
        <w:lastRenderedPageBreak/>
        <w:t>a loss of flexibility for those shippers that require more bespoke services than may be available under this form of regulation</w:t>
      </w:r>
      <w:r w:rsidR="000C02AA">
        <w:t>; and</w:t>
      </w:r>
      <w:r w:rsidRPr="005F60B9">
        <w:t xml:space="preserve"> </w:t>
      </w:r>
    </w:p>
    <w:p w14:paraId="6F4D8271" w14:textId="77777777" w:rsidR="005F60B9" w:rsidRPr="005F60B9" w:rsidRDefault="001914B0" w:rsidP="00AD36B8">
      <w:pPr>
        <w:pStyle w:val="ListBullet2"/>
      </w:pPr>
      <w:r>
        <w:t xml:space="preserve">less than efficient levels of </w:t>
      </w:r>
      <w:r w:rsidR="005F60B9" w:rsidRPr="005F60B9">
        <w:t xml:space="preserve">investment because shippers would no longer be able to agree to pay a different amount for new capacity even in cases where it would be prudent </w:t>
      </w:r>
      <w:r>
        <w:t xml:space="preserve">and efficient </w:t>
      </w:r>
      <w:r w:rsidR="005F60B9" w:rsidRPr="005F60B9">
        <w:t>to do so</w:t>
      </w:r>
      <w:r w:rsidR="000C02AA">
        <w:t>.</w:t>
      </w:r>
    </w:p>
    <w:p w14:paraId="0B920A63" w14:textId="77777777" w:rsidR="00604E34" w:rsidRDefault="00F77856" w:rsidP="009A6BF6">
      <w:pPr>
        <w:autoSpaceDE w:val="0"/>
        <w:autoSpaceDN w:val="0"/>
        <w:adjustRightInd w:val="0"/>
        <w:spacing w:line="240" w:lineRule="auto"/>
        <w:ind w:firstLine="357"/>
        <w:rPr>
          <w:rFonts w:cs="Arial"/>
          <w:color w:val="000000"/>
        </w:rPr>
      </w:pPr>
      <w:r>
        <w:rPr>
          <w:rFonts w:cs="Arial"/>
          <w:color w:val="000000"/>
        </w:rPr>
        <w:t xml:space="preserve">These two </w:t>
      </w:r>
      <w:r w:rsidR="000C02AA">
        <w:rPr>
          <w:rFonts w:cs="Arial"/>
          <w:color w:val="000000"/>
        </w:rPr>
        <w:t>risk</w:t>
      </w:r>
      <w:r>
        <w:rPr>
          <w:rFonts w:cs="Arial"/>
          <w:color w:val="000000"/>
        </w:rPr>
        <w:t>s, which do not apply under the status quo, have</w:t>
      </w:r>
      <w:r w:rsidR="000C02AA">
        <w:rPr>
          <w:rFonts w:cs="Arial"/>
          <w:color w:val="000000"/>
        </w:rPr>
        <w:t xml:space="preserve"> </w:t>
      </w:r>
      <w:r>
        <w:rPr>
          <w:rFonts w:cs="Arial"/>
          <w:color w:val="000000"/>
        </w:rPr>
        <w:t xml:space="preserve">been </w:t>
      </w:r>
      <w:r w:rsidR="000C02AA">
        <w:rPr>
          <w:rFonts w:cs="Arial"/>
          <w:color w:val="000000"/>
        </w:rPr>
        <w:t xml:space="preserve">rated as severe. </w:t>
      </w:r>
    </w:p>
    <w:p w14:paraId="7CA529A4" w14:textId="58E501A6" w:rsidR="00FE0ACC" w:rsidRDefault="002E7CBE" w:rsidP="003A7ED6">
      <w:pPr>
        <w:pStyle w:val="BodyText"/>
      </w:pPr>
      <w:r>
        <w:t xml:space="preserve">Note that the </w:t>
      </w:r>
      <w:r w:rsidR="00FE0ACC">
        <w:t xml:space="preserve">risks </w:t>
      </w:r>
      <w:r w:rsidR="00ED0CE7">
        <w:t xml:space="preserve">in (a) and (b) have </w:t>
      </w:r>
      <w:r w:rsidR="00FE0ACC">
        <w:t xml:space="preserve">been rated as medium </w:t>
      </w:r>
      <w:r w:rsidR="00D9569E">
        <w:t>rather than high</w:t>
      </w:r>
      <w:r w:rsidR="004928C6">
        <w:t xml:space="preserve"> or severe </w:t>
      </w:r>
      <w:r w:rsidR="00FE0ACC">
        <w:t xml:space="preserve">because </w:t>
      </w:r>
      <w:r w:rsidR="00ED0CE7">
        <w:t xml:space="preserve">there are only a small number of pipelines </w:t>
      </w:r>
      <w:r w:rsidR="00B359E9">
        <w:t xml:space="preserve">that are </w:t>
      </w:r>
      <w:r w:rsidR="003A7ED6">
        <w:t xml:space="preserve">not voluntarily providing third party access that shippers are likely to seek access to </w:t>
      </w:r>
      <w:r w:rsidR="00FE0ACC">
        <w:t xml:space="preserve">(see </w:t>
      </w:r>
      <w:r w:rsidR="00FE0ACC">
        <w:fldChar w:fldCharType="begin" w:fldLock="1"/>
      </w:r>
      <w:r w:rsidR="00FE0ACC">
        <w:instrText xml:space="preserve"> REF _Ref50033903 \h </w:instrText>
      </w:r>
      <w:r w:rsidR="00FE0ACC">
        <w:fldChar w:fldCharType="separate"/>
      </w:r>
      <w:r w:rsidR="00036405">
        <w:t xml:space="preserve">Table </w:t>
      </w:r>
      <w:r w:rsidR="00036405">
        <w:rPr>
          <w:noProof/>
        </w:rPr>
        <w:t>9</w:t>
      </w:r>
      <w:r w:rsidR="00036405">
        <w:t>.</w:t>
      </w:r>
      <w:r w:rsidR="00036405">
        <w:rPr>
          <w:noProof/>
        </w:rPr>
        <w:t>3</w:t>
      </w:r>
      <w:r w:rsidR="00FE0ACC">
        <w:fldChar w:fldCharType="end"/>
      </w:r>
      <w:r w:rsidR="00FE0ACC">
        <w:t>).</w:t>
      </w:r>
      <w:r w:rsidR="00370905">
        <w:rPr>
          <w:rFonts w:ascii="ZWAdobeF" w:hAnsi="ZWAdobeF" w:cs="ZWAdobeF"/>
          <w:sz w:val="2"/>
          <w:szCs w:val="2"/>
        </w:rPr>
        <w:t>183F</w:t>
      </w:r>
      <w:r w:rsidR="00FE0ACC">
        <w:rPr>
          <w:rStyle w:val="FootnoteReference"/>
        </w:rPr>
        <w:footnoteReference w:id="185"/>
      </w:r>
      <w:r w:rsidR="00FE0ACC">
        <w:t xml:space="preserve"> </w:t>
      </w:r>
    </w:p>
    <w:p w14:paraId="673B62D3" w14:textId="594BBD16" w:rsidR="00AD0AEC" w:rsidRDefault="004A1596" w:rsidP="00604E34">
      <w:pPr>
        <w:pStyle w:val="BodyText"/>
      </w:pPr>
      <w:r>
        <w:t>Overall, the risk rating</w:t>
      </w:r>
      <w:r w:rsidR="00CD6290">
        <w:t>s</w:t>
      </w:r>
      <w:r>
        <w:t xml:space="preserve"> under </w:t>
      </w:r>
      <w:r w:rsidR="00604E34">
        <w:t xml:space="preserve">options 3A and 3B range from low </w:t>
      </w:r>
      <w:r w:rsidR="00E807FC">
        <w:t xml:space="preserve">to </w:t>
      </w:r>
      <w:r w:rsidR="00604E34">
        <w:t xml:space="preserve">medium, while the </w:t>
      </w:r>
      <w:r>
        <w:t xml:space="preserve">risk rating under Option 4 ranges from low to severe. </w:t>
      </w:r>
    </w:p>
    <w:p w14:paraId="6C4B285E" w14:textId="55D550B0" w:rsidR="00406222" w:rsidRDefault="00406222" w:rsidP="00406222">
      <w:pPr>
        <w:pStyle w:val="BodyText"/>
      </w:pPr>
      <w:r w:rsidRPr="00A30A75">
        <w:rPr>
          <w:rStyle w:val="Hyperlink"/>
          <w:u w:val="none"/>
        </w:rPr>
        <w:t xml:space="preserve">For the purposes of the comparative assessment set out section </w:t>
      </w:r>
      <w:r w:rsidRPr="00A30A75">
        <w:rPr>
          <w:rStyle w:val="Hyperlink"/>
          <w:u w:val="none"/>
        </w:rPr>
        <w:fldChar w:fldCharType="begin" w:fldLock="1"/>
      </w:r>
      <w:r w:rsidRPr="00A30A75">
        <w:rPr>
          <w:rStyle w:val="Hyperlink"/>
          <w:u w:val="none"/>
        </w:rPr>
        <w:instrText xml:space="preserve"> REF _Ref50367084 \r \h </w:instrText>
      </w:r>
      <w:r w:rsidR="00A30A75">
        <w:rPr>
          <w:rStyle w:val="Hyperlink"/>
          <w:u w:val="none"/>
        </w:rPr>
        <w:instrText xml:space="preserve"> \* MERGEFORMAT </w:instrText>
      </w:r>
      <w:r w:rsidRPr="00A30A75">
        <w:rPr>
          <w:rStyle w:val="Hyperlink"/>
          <w:u w:val="none"/>
        </w:rPr>
      </w:r>
      <w:r w:rsidRPr="00A30A75">
        <w:rPr>
          <w:rStyle w:val="Hyperlink"/>
          <w:u w:val="none"/>
        </w:rPr>
        <w:fldChar w:fldCharType="separate"/>
      </w:r>
      <w:r w:rsidR="00036405">
        <w:rPr>
          <w:rStyle w:val="Hyperlink"/>
          <w:u w:val="none"/>
        </w:rPr>
        <w:t>9.5</w:t>
      </w:r>
      <w:r w:rsidRPr="00A30A75">
        <w:rPr>
          <w:rStyle w:val="Hyperlink"/>
          <w:u w:val="none"/>
        </w:rPr>
        <w:fldChar w:fldCharType="end"/>
      </w:r>
      <w:r w:rsidRPr="00A30A75">
        <w:rPr>
          <w:rStyle w:val="Hyperlink"/>
          <w:u w:val="none"/>
        </w:rPr>
        <w:t xml:space="preserve">, </w:t>
      </w:r>
      <w:r w:rsidR="00604E34">
        <w:rPr>
          <w:rStyle w:val="Hyperlink"/>
          <w:u w:val="none"/>
        </w:rPr>
        <w:t>o</w:t>
      </w:r>
      <w:r w:rsidRPr="00A30A75">
        <w:rPr>
          <w:rStyle w:val="Hyperlink"/>
          <w:u w:val="none"/>
        </w:rPr>
        <w:t>ption</w:t>
      </w:r>
      <w:r w:rsidR="00604E34">
        <w:rPr>
          <w:rStyle w:val="Hyperlink"/>
          <w:u w:val="none"/>
        </w:rPr>
        <w:t>s</w:t>
      </w:r>
      <w:r w:rsidRPr="00A30A75">
        <w:rPr>
          <w:rStyle w:val="Hyperlink"/>
          <w:u w:val="none"/>
        </w:rPr>
        <w:t xml:space="preserve"> </w:t>
      </w:r>
      <w:r w:rsidR="003C44D2" w:rsidRPr="00A30A75">
        <w:rPr>
          <w:rStyle w:val="Hyperlink"/>
          <w:u w:val="none"/>
        </w:rPr>
        <w:t>3A</w:t>
      </w:r>
      <w:r w:rsidRPr="00A30A75">
        <w:rPr>
          <w:rStyle w:val="Hyperlink"/>
          <w:u w:val="none"/>
        </w:rPr>
        <w:t xml:space="preserve"> </w:t>
      </w:r>
      <w:r w:rsidR="00604E34">
        <w:rPr>
          <w:rStyle w:val="Hyperlink"/>
          <w:u w:val="none"/>
        </w:rPr>
        <w:t xml:space="preserve">and 3B have </w:t>
      </w:r>
      <w:r w:rsidRPr="00A30A75">
        <w:rPr>
          <w:rStyle w:val="Hyperlink"/>
          <w:u w:val="none"/>
        </w:rPr>
        <w:t xml:space="preserve">been ranked 1, </w:t>
      </w:r>
      <w:r w:rsidR="00D80C12">
        <w:rPr>
          <w:rStyle w:val="Hyperlink"/>
          <w:u w:val="none"/>
        </w:rPr>
        <w:t>O</w:t>
      </w:r>
      <w:r w:rsidRPr="00A30A75">
        <w:rPr>
          <w:rStyle w:val="Hyperlink"/>
          <w:u w:val="none"/>
        </w:rPr>
        <w:t xml:space="preserve">ption 2 </w:t>
      </w:r>
      <w:r w:rsidR="00D80C12">
        <w:rPr>
          <w:rStyle w:val="Hyperlink"/>
          <w:u w:val="none"/>
        </w:rPr>
        <w:t xml:space="preserve">is </w:t>
      </w:r>
      <w:r w:rsidR="003C44D2" w:rsidRPr="00A30A75">
        <w:rPr>
          <w:rStyle w:val="Hyperlink"/>
          <w:u w:val="none"/>
        </w:rPr>
        <w:t xml:space="preserve">ranked </w:t>
      </w:r>
      <w:r w:rsidR="00D80C12">
        <w:rPr>
          <w:rStyle w:val="Hyperlink"/>
          <w:u w:val="none"/>
        </w:rPr>
        <w:t>3</w:t>
      </w:r>
      <w:r w:rsidRPr="00A30A75">
        <w:rPr>
          <w:rStyle w:val="Hyperlink"/>
          <w:u w:val="none"/>
        </w:rPr>
        <w:t xml:space="preserve">, Option </w:t>
      </w:r>
      <w:r w:rsidR="00A30A75" w:rsidRPr="00A30A75">
        <w:rPr>
          <w:rStyle w:val="Hyperlink"/>
          <w:u w:val="none"/>
        </w:rPr>
        <w:t xml:space="preserve">4 </w:t>
      </w:r>
      <w:r w:rsidRPr="00A30A75">
        <w:rPr>
          <w:rStyle w:val="Hyperlink"/>
          <w:u w:val="none"/>
        </w:rPr>
        <w:t xml:space="preserve">is ranked </w:t>
      </w:r>
      <w:r w:rsidR="00A30A75" w:rsidRPr="00A30A75">
        <w:rPr>
          <w:rStyle w:val="Hyperlink"/>
          <w:u w:val="none"/>
        </w:rPr>
        <w:t xml:space="preserve">4 and Option 1 </w:t>
      </w:r>
      <w:r w:rsidRPr="00A30A75">
        <w:rPr>
          <w:rStyle w:val="Hyperlink"/>
          <w:u w:val="none"/>
        </w:rPr>
        <w:t>is ranked 5.</w:t>
      </w:r>
      <w:r>
        <w:rPr>
          <w:rStyle w:val="Hyperlink"/>
          <w:u w:val="none"/>
        </w:rPr>
        <w:t xml:space="preserve"> </w:t>
      </w:r>
      <w:r w:rsidRPr="003C36EE">
        <w:rPr>
          <w:rStyle w:val="Hyperlink"/>
          <w:u w:val="none"/>
        </w:rPr>
        <w:t xml:space="preserve"> </w:t>
      </w:r>
    </w:p>
    <w:p w14:paraId="1A5897AF" w14:textId="77777777" w:rsidR="00AD0AEC" w:rsidRDefault="00AD0AEC" w:rsidP="00E03A9C">
      <w:pPr>
        <w:pStyle w:val="Heading2"/>
      </w:pPr>
      <w:bookmarkStart w:id="200" w:name="_Ref41149747"/>
      <w:bookmarkStart w:id="201" w:name="_Toc62219429"/>
      <w:bookmarkStart w:id="202" w:name="_Hlk26337415"/>
      <w:r>
        <w:t>Cost benefit analysis</w:t>
      </w:r>
      <w:bookmarkEnd w:id="200"/>
      <w:bookmarkEnd w:id="201"/>
      <w:r>
        <w:t xml:space="preserve"> </w:t>
      </w:r>
    </w:p>
    <w:p w14:paraId="53BFE007" w14:textId="77777777" w:rsidR="00E03A9C" w:rsidRDefault="00E03A9C" w:rsidP="00E03A9C">
      <w:pPr>
        <w:pStyle w:val="Heading3"/>
      </w:pPr>
      <w:r>
        <w:t>What is the purpose of the CBA?</w:t>
      </w:r>
    </w:p>
    <w:p w14:paraId="03024304" w14:textId="647D1711" w:rsidR="0025344D" w:rsidRPr="006B4639" w:rsidRDefault="0025344D" w:rsidP="0025344D">
      <w:pPr>
        <w:pStyle w:val="BodyText"/>
      </w:pPr>
      <w:r>
        <w:t>T</w:t>
      </w:r>
      <w:r w:rsidRPr="006B4639">
        <w:t xml:space="preserve">he purpose of the CBA is to assess the </w:t>
      </w:r>
      <w:r>
        <w:t xml:space="preserve">direct and indirect </w:t>
      </w:r>
      <w:r w:rsidRPr="006B4639">
        <w:t>impacts of a potential intervention</w:t>
      </w:r>
      <w:r>
        <w:t xml:space="preserve"> </w:t>
      </w:r>
      <w:r w:rsidRPr="006B4639">
        <w:t>from the point of view of society</w:t>
      </w:r>
      <w:r>
        <w:t xml:space="preserve">, as </w:t>
      </w:r>
      <w:r w:rsidRPr="006B4639">
        <w:t xml:space="preserve">noted in the Office of Best Practice Regulation’s </w:t>
      </w:r>
      <w:r>
        <w:t xml:space="preserve">(OBPR) </w:t>
      </w:r>
      <w:r w:rsidRPr="006B4639">
        <w:t>CBA Guidance Note</w:t>
      </w:r>
      <w:r w:rsidRPr="006B4639">
        <w:rPr>
          <w:i/>
        </w:rPr>
        <w:t>:</w:t>
      </w:r>
      <w:r w:rsidRPr="006B4639">
        <w:rPr>
          <w:i/>
          <w:sz w:val="20"/>
          <w:szCs w:val="20"/>
          <w:vertAlign w:val="superscript"/>
        </w:rPr>
        <w:t xml:space="preserve"> </w:t>
      </w:r>
      <w:r w:rsidR="00370905">
        <w:rPr>
          <w:rFonts w:ascii="ZWAdobeF" w:hAnsi="ZWAdobeF" w:cs="ZWAdobeF"/>
          <w:sz w:val="2"/>
          <w:szCs w:val="2"/>
        </w:rPr>
        <w:t>184F</w:t>
      </w:r>
      <w:r w:rsidRPr="006B4639">
        <w:rPr>
          <w:i/>
          <w:sz w:val="20"/>
          <w:szCs w:val="20"/>
          <w:vertAlign w:val="superscript"/>
        </w:rPr>
        <w:footnoteReference w:id="186"/>
      </w:r>
      <w:r w:rsidRPr="006B4639">
        <w:t xml:space="preserve"> </w:t>
      </w:r>
    </w:p>
    <w:p w14:paraId="08D19519" w14:textId="77777777" w:rsidR="0025344D" w:rsidRPr="006B4639" w:rsidRDefault="0025344D" w:rsidP="0025344D">
      <w:pPr>
        <w:pStyle w:val="Quote"/>
        <w:spacing w:before="0"/>
      </w:pPr>
      <w:r w:rsidRPr="006B4639">
        <w:t>“</w:t>
      </w:r>
      <w:r>
        <w:t>…</w:t>
      </w:r>
      <w:r w:rsidRPr="006B4639">
        <w:t xml:space="preserve">a CBA involves a systematic evaluation of the impacts of a regulatory proposal, accounting for all the effects on the community and economy, not just the immediate or direct effects, financial effects or effects on one group.” </w:t>
      </w:r>
    </w:p>
    <w:p w14:paraId="6B518CBD" w14:textId="069D1E5D" w:rsidR="00AD0AEC" w:rsidRPr="006B4639" w:rsidRDefault="00AD0AEC" w:rsidP="00AD0AEC">
      <w:pPr>
        <w:pStyle w:val="BodyText"/>
      </w:pPr>
      <w:r w:rsidRPr="006B4639">
        <w:t xml:space="preserve">The CBA is incremental in that it looks at additional costs and benefits over and above a status quo scenario (the absence of an intervention – see </w:t>
      </w:r>
      <w:r w:rsidRPr="006B4639">
        <w:fldChar w:fldCharType="begin" w:fldLock="1"/>
      </w:r>
      <w:r w:rsidRPr="006B4639">
        <w:instrText xml:space="preserve"> REF _Ref18638936 \h </w:instrText>
      </w:r>
      <w:r w:rsidRPr="006B4639">
        <w:fldChar w:fldCharType="separate"/>
      </w:r>
      <w:r w:rsidR="00036405" w:rsidRPr="006B4639">
        <w:t xml:space="preserve">Box </w:t>
      </w:r>
      <w:r w:rsidR="00036405">
        <w:rPr>
          <w:noProof/>
        </w:rPr>
        <w:t>9</w:t>
      </w:r>
      <w:r w:rsidR="00036405">
        <w:t>.</w:t>
      </w:r>
      <w:r w:rsidR="00036405">
        <w:rPr>
          <w:noProof/>
        </w:rPr>
        <w:t>1</w:t>
      </w:r>
      <w:r w:rsidRPr="006B4639">
        <w:fldChar w:fldCharType="end"/>
      </w:r>
      <w:r w:rsidRPr="006B4639">
        <w:t xml:space="preserve">). </w:t>
      </w:r>
    </w:p>
    <w:p w14:paraId="32912962" w14:textId="2D5516F1" w:rsidR="00AD0AEC" w:rsidRPr="006B4639" w:rsidRDefault="00AD0AEC" w:rsidP="00AD0AEC">
      <w:pPr>
        <w:pStyle w:val="Caption"/>
        <w:spacing w:after="0"/>
      </w:pPr>
      <w:bookmarkStart w:id="203" w:name="_Ref18638936"/>
      <w:r w:rsidRPr="006B4639">
        <w:t xml:space="preserve">Box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9</w:t>
      </w:r>
      <w:r w:rsidR="00F323B2">
        <w:rPr>
          <w:noProof/>
        </w:rPr>
        <w:fldChar w:fldCharType="end"/>
      </w:r>
      <w:r w:rsidR="00B80405">
        <w:t>.</w:t>
      </w:r>
      <w:r w:rsidR="00F323B2">
        <w:rPr>
          <w:noProof/>
        </w:rPr>
        <w:fldChar w:fldCharType="begin"/>
      </w:r>
      <w:r w:rsidR="00F323B2">
        <w:rPr>
          <w:noProof/>
        </w:rPr>
        <w:instrText xml:space="preserve"> SEQ Box \* ARABIC \s 1 </w:instrText>
      </w:r>
      <w:r w:rsidR="00F323B2">
        <w:rPr>
          <w:noProof/>
        </w:rPr>
        <w:fldChar w:fldCharType="separate"/>
      </w:r>
      <w:r w:rsidR="004031E8">
        <w:rPr>
          <w:noProof/>
        </w:rPr>
        <w:t>1</w:t>
      </w:r>
      <w:r w:rsidR="00F323B2">
        <w:rPr>
          <w:noProof/>
        </w:rPr>
        <w:fldChar w:fldCharType="end"/>
      </w:r>
      <w:bookmarkEnd w:id="203"/>
      <w:r w:rsidRPr="006B4639">
        <w:t>: Status quo scenario</w:t>
      </w:r>
    </w:p>
    <w:tbl>
      <w:tblPr>
        <w:tblStyle w:val="PullOutBoxTable"/>
        <w:tblW w:w="5000" w:type="pct"/>
        <w:tblLook w:val="0600" w:firstRow="0" w:lastRow="0" w:firstColumn="0" w:lastColumn="0" w:noHBand="1" w:noVBand="1"/>
      </w:tblPr>
      <w:tblGrid>
        <w:gridCol w:w="8788"/>
      </w:tblGrid>
      <w:tr w:rsidR="00AD0AEC" w:rsidRPr="006B4639" w14:paraId="2DCCD12A" w14:textId="77777777" w:rsidTr="001A440E">
        <w:tc>
          <w:tcPr>
            <w:tcW w:w="5000" w:type="pct"/>
          </w:tcPr>
          <w:p w14:paraId="05ED738A" w14:textId="77777777" w:rsidR="00AD0AEC" w:rsidRPr="006B4639" w:rsidRDefault="00AD0AEC" w:rsidP="009D4A8D">
            <w:pPr>
              <w:pStyle w:val="BodyText"/>
              <w:keepNext/>
              <w:spacing w:before="0"/>
              <w:rPr>
                <w:sz w:val="20"/>
                <w:szCs w:val="20"/>
              </w:rPr>
            </w:pPr>
            <w:r w:rsidRPr="006B4639">
              <w:rPr>
                <w:sz w:val="20"/>
                <w:szCs w:val="20"/>
              </w:rPr>
              <w:t xml:space="preserve">A critical part of a CBA that is often overlooked is the specification of the status quo, which forms the basis against which an incremental analysis of </w:t>
            </w:r>
            <w:r w:rsidR="00F67BC2">
              <w:rPr>
                <w:sz w:val="20"/>
                <w:szCs w:val="20"/>
              </w:rPr>
              <w:t>the reform options</w:t>
            </w:r>
            <w:r w:rsidRPr="006B4639">
              <w:rPr>
                <w:sz w:val="20"/>
                <w:szCs w:val="20"/>
              </w:rPr>
              <w:t xml:space="preserve"> is assessed. </w:t>
            </w:r>
          </w:p>
          <w:p w14:paraId="01762DEF" w14:textId="77777777" w:rsidR="00AD0AEC" w:rsidRPr="006B4639" w:rsidRDefault="00AD0AEC" w:rsidP="009D4A8D">
            <w:pPr>
              <w:pStyle w:val="BodyText"/>
              <w:keepNext/>
            </w:pPr>
            <w:r w:rsidRPr="006B4639">
              <w:rPr>
                <w:sz w:val="20"/>
                <w:szCs w:val="20"/>
              </w:rPr>
              <w:t xml:space="preserve">For the CBA to identify incremental costs and benefits it is important to be clear on any relevant planned regulatory change which are independent of the </w:t>
            </w:r>
            <w:r w:rsidR="00F67BC2">
              <w:rPr>
                <w:sz w:val="20"/>
                <w:szCs w:val="20"/>
              </w:rPr>
              <w:t>reform options</w:t>
            </w:r>
            <w:r w:rsidRPr="006B4639">
              <w:rPr>
                <w:sz w:val="20"/>
                <w:szCs w:val="20"/>
              </w:rPr>
              <w:t xml:space="preserve"> within the RIS, for example any planned changes at a State or Territory level. Equally any forthcoming private sector changes (such as an industry action plan) should be reflected in the status quo scenario. In addition, any actions that are being taken by market participants outside the regulatory framework should also be recognised.</w:t>
            </w:r>
          </w:p>
        </w:tc>
      </w:tr>
    </w:tbl>
    <w:p w14:paraId="2580F999" w14:textId="77777777" w:rsidR="009C5088" w:rsidRDefault="009C5088" w:rsidP="009C5088">
      <w:pPr>
        <w:pStyle w:val="Heading3"/>
      </w:pPr>
      <w:bookmarkStart w:id="204" w:name="_Ref50203375"/>
      <w:r>
        <w:t>How has the CBA been conducted?</w:t>
      </w:r>
      <w:bookmarkEnd w:id="204"/>
    </w:p>
    <w:p w14:paraId="5FF4308B" w14:textId="77777777" w:rsidR="001056FD" w:rsidRPr="006B4639" w:rsidRDefault="0065739C" w:rsidP="001056FD">
      <w:pPr>
        <w:pStyle w:val="BodyText"/>
      </w:pPr>
      <w:r>
        <w:t xml:space="preserve">Prior to conducting the CBA, it </w:t>
      </w:r>
      <w:r w:rsidR="00E26519">
        <w:t xml:space="preserve">is </w:t>
      </w:r>
      <w:r>
        <w:t>necessary to</w:t>
      </w:r>
      <w:r w:rsidR="00FD1FA1">
        <w:t xml:space="preserve"> identify</w:t>
      </w:r>
      <w:r w:rsidR="001056FD" w:rsidRPr="006B4639">
        <w:t>:</w:t>
      </w:r>
    </w:p>
    <w:p w14:paraId="35F73168" w14:textId="77777777" w:rsidR="001056FD" w:rsidRPr="006B4639" w:rsidRDefault="001056FD" w:rsidP="00AD36B8">
      <w:pPr>
        <w:pStyle w:val="ListBullet"/>
      </w:pPr>
      <w:r w:rsidRPr="006B4639">
        <w:lastRenderedPageBreak/>
        <w:t>the appropriate appraisal period and discount rate</w:t>
      </w:r>
      <w:r>
        <w:t xml:space="preserve"> to be used;</w:t>
      </w:r>
    </w:p>
    <w:p w14:paraId="672F29F6" w14:textId="77777777" w:rsidR="001056FD" w:rsidRDefault="001056FD" w:rsidP="00AD36B8">
      <w:pPr>
        <w:pStyle w:val="ListBullet"/>
      </w:pPr>
      <w:r>
        <w:t>the</w:t>
      </w:r>
      <w:r w:rsidR="00384CBD">
        <w:t xml:space="preserve"> </w:t>
      </w:r>
      <w:r>
        <w:t xml:space="preserve">stakeholders </w:t>
      </w:r>
      <w:r w:rsidR="00771BD6">
        <w:t xml:space="preserve">and </w:t>
      </w:r>
      <w:r w:rsidR="008931A4">
        <w:t xml:space="preserve">number of </w:t>
      </w:r>
      <w:r w:rsidR="00771BD6">
        <w:t xml:space="preserve">pipelines </w:t>
      </w:r>
      <w:r>
        <w:t xml:space="preserve">likely to be affected by the </w:t>
      </w:r>
      <w:r w:rsidR="00CD482A">
        <w:t xml:space="preserve">reform </w:t>
      </w:r>
      <w:r>
        <w:t>options;</w:t>
      </w:r>
    </w:p>
    <w:p w14:paraId="1769B1A3" w14:textId="77777777" w:rsidR="001056FD" w:rsidRPr="006B4639" w:rsidRDefault="001056FD" w:rsidP="00AD36B8">
      <w:pPr>
        <w:pStyle w:val="ListBullet"/>
      </w:pPr>
      <w:r w:rsidRPr="006B4639">
        <w:t xml:space="preserve">the costs and benefits </w:t>
      </w:r>
      <w:r w:rsidR="000E4D90">
        <w:t xml:space="preserve">that are likely to be </w:t>
      </w:r>
      <w:r w:rsidRPr="006B4639">
        <w:t xml:space="preserve">associated with each </w:t>
      </w:r>
      <w:r w:rsidR="00CD482A">
        <w:t xml:space="preserve">reform </w:t>
      </w:r>
      <w:r w:rsidRPr="006B4639">
        <w:t>option</w:t>
      </w:r>
      <w:r w:rsidR="00622049">
        <w:t xml:space="preserve"> and whether they can be measured quantitative</w:t>
      </w:r>
      <w:r w:rsidR="00FD1FA1">
        <w:t>ly</w:t>
      </w:r>
      <w:r w:rsidR="00622049">
        <w:t xml:space="preserve"> or qualitative</w:t>
      </w:r>
      <w:r w:rsidR="00FD1FA1">
        <w:t>ly</w:t>
      </w:r>
      <w:r>
        <w:t>;</w:t>
      </w:r>
      <w:r w:rsidR="00622049">
        <w:t xml:space="preserve"> and</w:t>
      </w:r>
    </w:p>
    <w:p w14:paraId="4CD089F0" w14:textId="77777777" w:rsidR="0065739C" w:rsidRDefault="000E4D90" w:rsidP="00AD36B8">
      <w:pPr>
        <w:pStyle w:val="ListBullet"/>
      </w:pPr>
      <w:r>
        <w:t xml:space="preserve">the </w:t>
      </w:r>
      <w:r w:rsidR="002E3A6C">
        <w:t xml:space="preserve">scenarios and </w:t>
      </w:r>
      <w:r w:rsidR="00020308">
        <w:t xml:space="preserve">sensitivities </w:t>
      </w:r>
      <w:r w:rsidR="0065739C">
        <w:t xml:space="preserve">to </w:t>
      </w:r>
      <w:r w:rsidR="00020308">
        <w:t>be tested</w:t>
      </w:r>
      <w:r w:rsidR="0065739C">
        <w:t xml:space="preserve"> as part of the CBA</w:t>
      </w:r>
      <w:r w:rsidR="00020308">
        <w:t>.</w:t>
      </w:r>
    </w:p>
    <w:p w14:paraId="7748A037" w14:textId="77777777" w:rsidR="00622049" w:rsidRDefault="0065739C" w:rsidP="00AD36B8">
      <w:pPr>
        <w:pStyle w:val="ListBullet"/>
        <w:numPr>
          <w:ilvl w:val="0"/>
          <w:numId w:val="0"/>
        </w:numPr>
      </w:pPr>
      <w:r>
        <w:t>T</w:t>
      </w:r>
      <w:r w:rsidR="00FD1FA1">
        <w:t>he</w:t>
      </w:r>
      <w:r w:rsidR="00684232">
        <w:t>se issues are discussed</w:t>
      </w:r>
      <w:r w:rsidR="00E26519">
        <w:t xml:space="preserve"> in the context of this particular assessment </w:t>
      </w:r>
      <w:r w:rsidR="00684232">
        <w:t>below.</w:t>
      </w:r>
      <w:r w:rsidR="00FD1FA1">
        <w:t xml:space="preserve"> </w:t>
      </w:r>
      <w:r w:rsidR="00020308">
        <w:t xml:space="preserve"> </w:t>
      </w:r>
    </w:p>
    <w:p w14:paraId="38374AA1" w14:textId="77777777" w:rsidR="0015382E" w:rsidRDefault="0015382E" w:rsidP="0015382E">
      <w:pPr>
        <w:pStyle w:val="Heading6"/>
      </w:pPr>
      <w:r>
        <w:t>Appraisal period and discount rates</w:t>
      </w:r>
    </w:p>
    <w:p w14:paraId="3C36C4A7" w14:textId="2DEAD83E" w:rsidR="004679FB" w:rsidRDefault="00AD0AEC" w:rsidP="00AD0AEC">
      <w:pPr>
        <w:pStyle w:val="BodyText"/>
      </w:pPr>
      <w:r w:rsidRPr="006B4639">
        <w:t xml:space="preserve">In keeping with </w:t>
      </w:r>
      <w:r w:rsidR="00124A37">
        <w:t xml:space="preserve">OBPR’s </w:t>
      </w:r>
      <w:r w:rsidRPr="006B4639">
        <w:t xml:space="preserve">CBA Guidance Note, unless the </w:t>
      </w:r>
      <w:r w:rsidR="008C1BF1">
        <w:t>policy options</w:t>
      </w:r>
      <w:r w:rsidRPr="006B4639">
        <w:t xml:space="preserve"> have long-term benefits or costs (such as educational or environmental regulations), 20 years should be the maximum timeframe for the CBA.</w:t>
      </w:r>
      <w:r w:rsidR="00370905">
        <w:rPr>
          <w:rFonts w:ascii="ZWAdobeF" w:hAnsi="ZWAdobeF" w:cs="ZWAdobeF"/>
          <w:sz w:val="2"/>
          <w:szCs w:val="2"/>
        </w:rPr>
        <w:t>185F</w:t>
      </w:r>
      <w:r w:rsidR="002C1D82">
        <w:rPr>
          <w:rStyle w:val="FootnoteReference"/>
        </w:rPr>
        <w:footnoteReference w:id="187"/>
      </w:r>
      <w:r w:rsidRPr="006B4639">
        <w:t xml:space="preserve"> In this case, </w:t>
      </w:r>
      <w:r>
        <w:t xml:space="preserve">a </w:t>
      </w:r>
      <w:r w:rsidRPr="006B4639">
        <w:t>20</w:t>
      </w:r>
      <w:r w:rsidR="00191C79">
        <w:t>-</w:t>
      </w:r>
      <w:r w:rsidRPr="006B4639">
        <w:t>year</w:t>
      </w:r>
      <w:r>
        <w:t xml:space="preserve"> appraisal period is likely to </w:t>
      </w:r>
      <w:r w:rsidRPr="006B4639">
        <w:t xml:space="preserve">be appropriate </w:t>
      </w:r>
      <w:r>
        <w:t xml:space="preserve">given the </w:t>
      </w:r>
      <w:r w:rsidRPr="006B4639">
        <w:t xml:space="preserve">long-term nature of investments made by service providers, shippers, retailers, </w:t>
      </w:r>
      <w:r>
        <w:t xml:space="preserve">gas </w:t>
      </w:r>
      <w:r w:rsidRPr="006B4639">
        <w:t>users and producers</w:t>
      </w:r>
      <w:r w:rsidR="001C3CBE">
        <w:t>, and the un</w:t>
      </w:r>
      <w:r w:rsidR="00910C57">
        <w:t>certaint</w:t>
      </w:r>
      <w:r w:rsidR="00DB1DC3">
        <w:t>ies associated with forecasting beyond this</w:t>
      </w:r>
      <w:r w:rsidRPr="006B4639">
        <w:t xml:space="preserve">. </w:t>
      </w:r>
      <w:r w:rsidR="005D6820">
        <w:t>A 20-year appraisal period has therefore been used in the central case and a sensitivity analysis has been conducted using both a 10</w:t>
      </w:r>
      <w:r w:rsidR="00191C79">
        <w:t>-</w:t>
      </w:r>
      <w:r w:rsidR="005D6820">
        <w:t>year and 15</w:t>
      </w:r>
      <w:r w:rsidR="00191C79">
        <w:t>-</w:t>
      </w:r>
      <w:r w:rsidR="005D6820">
        <w:t xml:space="preserve">year appraisal period. </w:t>
      </w:r>
    </w:p>
    <w:p w14:paraId="1C22FD0F" w14:textId="2576A009" w:rsidR="00AD0AEC" w:rsidRDefault="00A97B5D" w:rsidP="00AD0AEC">
      <w:pPr>
        <w:pStyle w:val="BodyText"/>
      </w:pPr>
      <w:r>
        <w:t xml:space="preserve">Because </w:t>
      </w:r>
      <w:r w:rsidR="004679FB">
        <w:t xml:space="preserve">costs and benefits </w:t>
      </w:r>
      <w:r>
        <w:t xml:space="preserve">are being </w:t>
      </w:r>
      <w:r w:rsidR="004679FB">
        <w:t>measured over 20-year period</w:t>
      </w:r>
      <w:r>
        <w:t>, a discount rate must be used</w:t>
      </w:r>
      <w:r w:rsidR="00F174CE">
        <w:t xml:space="preserve">. </w:t>
      </w:r>
      <w:r w:rsidR="00AD0AEC" w:rsidRPr="006B4639">
        <w:t xml:space="preserve">The discount rate reflects the time value of money and allows present and future cash flows to be considered on an equivalent basis, where future cash flows are ‘discounted’ back to present dollar terms. </w:t>
      </w:r>
      <w:r w:rsidR="001036AE">
        <w:t xml:space="preserve">In keeping with the OBPR’s CBA Guidance Note, </w:t>
      </w:r>
      <w:r w:rsidR="00AD0AEC" w:rsidRPr="006B4639">
        <w:t xml:space="preserve">an annual real discount rate of 7% </w:t>
      </w:r>
      <w:r w:rsidR="001036AE">
        <w:t xml:space="preserve">has been used in the central case </w:t>
      </w:r>
      <w:r w:rsidR="00AD0AEC" w:rsidRPr="006B4639">
        <w:t xml:space="preserve">and </w:t>
      </w:r>
      <w:r w:rsidR="001036AE">
        <w:t xml:space="preserve">a </w:t>
      </w:r>
      <w:r w:rsidR="00AD0AEC" w:rsidRPr="006B4639">
        <w:t xml:space="preserve">sensitivity analysis </w:t>
      </w:r>
      <w:r w:rsidR="001036AE">
        <w:t xml:space="preserve">has been </w:t>
      </w:r>
      <w:r w:rsidR="00AD0AEC" w:rsidRPr="006B4639">
        <w:t xml:space="preserve">conducted using lower- and upper-bound values of </w:t>
      </w:r>
      <w:r w:rsidR="00F74374">
        <w:t>3</w:t>
      </w:r>
      <w:r w:rsidR="00AD0AEC" w:rsidRPr="006B4639">
        <w:t>% and 10%, respectively.</w:t>
      </w:r>
      <w:r w:rsidR="00370905">
        <w:rPr>
          <w:rFonts w:ascii="ZWAdobeF" w:hAnsi="ZWAdobeF" w:cs="ZWAdobeF"/>
          <w:sz w:val="2"/>
          <w:szCs w:val="2"/>
        </w:rPr>
        <w:t>186F</w:t>
      </w:r>
      <w:r w:rsidR="00AD0AEC" w:rsidRPr="006B4639">
        <w:rPr>
          <w:rStyle w:val="FootnoteReference"/>
        </w:rPr>
        <w:footnoteReference w:id="188"/>
      </w:r>
      <w:r w:rsidR="00AD0AEC" w:rsidRPr="006B4639">
        <w:t xml:space="preserve"> </w:t>
      </w:r>
    </w:p>
    <w:p w14:paraId="0552D962" w14:textId="77777777" w:rsidR="0015382E" w:rsidRDefault="0015382E" w:rsidP="0015382E">
      <w:pPr>
        <w:pStyle w:val="Heading6"/>
      </w:pPr>
      <w:r>
        <w:t xml:space="preserve">Affected stakeholders </w:t>
      </w:r>
    </w:p>
    <w:p w14:paraId="566A292A" w14:textId="77777777" w:rsidR="007929DB" w:rsidRDefault="00AD0AEC" w:rsidP="00AD0AEC">
      <w:pPr>
        <w:pStyle w:val="BodyText"/>
      </w:pPr>
      <w:r w:rsidRPr="006B4639">
        <w:t xml:space="preserve">A key step in the CBA is to identify the stakeholders that are likely to be affected by the </w:t>
      </w:r>
      <w:r w:rsidR="00065984">
        <w:t>reform</w:t>
      </w:r>
      <w:r w:rsidRPr="006B4639">
        <w:t xml:space="preserve"> options</w:t>
      </w:r>
      <w:r w:rsidR="00DF3B13">
        <w:t xml:space="preserve"> and to then consider the effect that each measure in the reform options is likely to have on these stakeholders. </w:t>
      </w:r>
      <w:r w:rsidR="007929DB">
        <w:t xml:space="preserve">Those </w:t>
      </w:r>
      <w:r w:rsidR="00DF3B13">
        <w:t xml:space="preserve">stakeholders that have been </w:t>
      </w:r>
      <w:r w:rsidR="000E3ECF">
        <w:t>identified as being directly impacted by the options</w:t>
      </w:r>
      <w:r w:rsidR="007929DB">
        <w:t xml:space="preserve"> </w:t>
      </w:r>
      <w:r w:rsidR="00C90A7C">
        <w:t xml:space="preserve">identified for this process </w:t>
      </w:r>
      <w:r w:rsidR="007929DB">
        <w:t>include:</w:t>
      </w:r>
    </w:p>
    <w:p w14:paraId="41BA22AC" w14:textId="77777777" w:rsidR="00930696" w:rsidRDefault="000072D7" w:rsidP="00AD36B8">
      <w:pPr>
        <w:pStyle w:val="ListBullet"/>
      </w:pPr>
      <w:r>
        <w:t xml:space="preserve">existing and prospective </w:t>
      </w:r>
      <w:r w:rsidR="00F045F5">
        <w:t xml:space="preserve">gas transmission and distribution pipeline </w:t>
      </w:r>
      <w:r w:rsidR="0052317F">
        <w:t>s</w:t>
      </w:r>
      <w:r w:rsidR="007929DB">
        <w:t>ervice providers</w:t>
      </w:r>
      <w:r w:rsidR="006B59B7">
        <w:t>;</w:t>
      </w:r>
    </w:p>
    <w:p w14:paraId="1CD10856" w14:textId="77777777" w:rsidR="00930696" w:rsidRDefault="000072D7" w:rsidP="00AD36B8">
      <w:pPr>
        <w:pStyle w:val="ListBullet"/>
      </w:pPr>
      <w:r>
        <w:t xml:space="preserve">existing and prospective </w:t>
      </w:r>
      <w:r w:rsidR="00200B74">
        <w:t>shippers</w:t>
      </w:r>
      <w:r w:rsidR="00F70D76">
        <w:t>, which include gas powered generators</w:t>
      </w:r>
      <w:r w:rsidR="00A261E1">
        <w:t>,</w:t>
      </w:r>
      <w:r w:rsidR="0069795E">
        <w:t xml:space="preserve"> </w:t>
      </w:r>
      <w:r w:rsidR="00F70D76">
        <w:t>commercial and industrial customers</w:t>
      </w:r>
      <w:r w:rsidR="00A261E1">
        <w:t xml:space="preserve">, LNG producers, </w:t>
      </w:r>
      <w:r w:rsidR="00200B74">
        <w:t xml:space="preserve">gas </w:t>
      </w:r>
      <w:r w:rsidR="0069795E">
        <w:t>retailers</w:t>
      </w:r>
      <w:r w:rsidR="000F1B61">
        <w:t xml:space="preserve"> </w:t>
      </w:r>
      <w:r w:rsidR="0069795E">
        <w:t xml:space="preserve">and </w:t>
      </w:r>
      <w:r w:rsidR="009A1386">
        <w:t xml:space="preserve">gas </w:t>
      </w:r>
      <w:r w:rsidR="0069795E">
        <w:t>producers</w:t>
      </w:r>
      <w:r w:rsidR="00930696">
        <w:t>; and</w:t>
      </w:r>
    </w:p>
    <w:p w14:paraId="1A399BA5" w14:textId="67433F89" w:rsidR="000E3ECF" w:rsidRDefault="0052317F" w:rsidP="00AD36B8">
      <w:pPr>
        <w:pStyle w:val="ListBullet"/>
      </w:pPr>
      <w:r>
        <w:t>e</w:t>
      </w:r>
      <w:r w:rsidR="00F114B2">
        <w:t>conomic regulators (</w:t>
      </w:r>
      <w:r w:rsidR="00963039">
        <w:t>the AER and ERA)</w:t>
      </w:r>
      <w:r w:rsidR="00F114B2">
        <w:t xml:space="preserve">, the </w:t>
      </w:r>
      <w:r w:rsidR="00963039">
        <w:t>dispute resolution bodies under the alternative forms of regulation</w:t>
      </w:r>
      <w:r w:rsidR="00370905">
        <w:rPr>
          <w:rFonts w:ascii="ZWAdobeF" w:hAnsi="ZWAdobeF" w:cs="ZWAdobeF"/>
          <w:sz w:val="2"/>
          <w:szCs w:val="2"/>
        </w:rPr>
        <w:t>187F</w:t>
      </w:r>
      <w:r w:rsidR="00F114B2">
        <w:rPr>
          <w:rStyle w:val="FootnoteReference"/>
        </w:rPr>
        <w:footnoteReference w:id="189"/>
      </w:r>
      <w:r w:rsidR="00963039">
        <w:t xml:space="preserve"> </w:t>
      </w:r>
      <w:r w:rsidR="00F114B2">
        <w:t xml:space="preserve">and </w:t>
      </w:r>
      <w:r w:rsidR="0067664F">
        <w:t xml:space="preserve">the </w:t>
      </w:r>
      <w:r w:rsidR="00AF725C">
        <w:t xml:space="preserve">decision-maker responsible for </w:t>
      </w:r>
      <w:r w:rsidR="00F114B2">
        <w:t xml:space="preserve">determining </w:t>
      </w:r>
      <w:r w:rsidR="000A1147">
        <w:t>when and how a pipelines should be regulated</w:t>
      </w:r>
      <w:r w:rsidR="006214B9">
        <w:t>.</w:t>
      </w:r>
      <w:r w:rsidR="00370905">
        <w:rPr>
          <w:rFonts w:ascii="ZWAdobeF" w:hAnsi="ZWAdobeF" w:cs="ZWAdobeF"/>
          <w:sz w:val="2"/>
          <w:szCs w:val="2"/>
        </w:rPr>
        <w:t>188F</w:t>
      </w:r>
      <w:r w:rsidR="00534610">
        <w:rPr>
          <w:rStyle w:val="FootnoteReference"/>
        </w:rPr>
        <w:footnoteReference w:id="190"/>
      </w:r>
      <w:r w:rsidR="006214B9">
        <w:t xml:space="preserve"> </w:t>
      </w:r>
    </w:p>
    <w:p w14:paraId="2F14B899" w14:textId="77777777" w:rsidR="00F2514C" w:rsidRDefault="00F2514C" w:rsidP="00AD36B8">
      <w:pPr>
        <w:pStyle w:val="ListBullet"/>
        <w:numPr>
          <w:ilvl w:val="0"/>
          <w:numId w:val="0"/>
        </w:numPr>
      </w:pPr>
      <w:r>
        <w:t xml:space="preserve">For ease of reference, the latter of these </w:t>
      </w:r>
      <w:r w:rsidR="006D2E75">
        <w:t xml:space="preserve">stakeholders </w:t>
      </w:r>
      <w:r w:rsidR="000E0AC8">
        <w:t xml:space="preserve">is </w:t>
      </w:r>
      <w:r w:rsidR="006D2E75">
        <w:t xml:space="preserve">referred to as </w:t>
      </w:r>
      <w:r w:rsidR="003345E5">
        <w:t>‘</w:t>
      </w:r>
      <w:r w:rsidR="006D2E75">
        <w:t>regulators</w:t>
      </w:r>
      <w:r w:rsidR="003345E5">
        <w:t>’ in the remainder of this section</w:t>
      </w:r>
      <w:r w:rsidR="006D2E75">
        <w:t xml:space="preserve">. </w:t>
      </w:r>
    </w:p>
    <w:p w14:paraId="48FA8D23" w14:textId="77777777" w:rsidR="00654AD5" w:rsidRDefault="00AD02C0" w:rsidP="003345E5">
      <w:pPr>
        <w:pStyle w:val="BodyText"/>
      </w:pPr>
      <w:r>
        <w:lastRenderedPageBreak/>
        <w:t xml:space="preserve">In addition to these </w:t>
      </w:r>
      <w:r w:rsidR="00782397">
        <w:t>stakeholders</w:t>
      </w:r>
      <w:r>
        <w:t xml:space="preserve">, the </w:t>
      </w:r>
      <w:r w:rsidR="007078AB">
        <w:t>reform options</w:t>
      </w:r>
      <w:r>
        <w:t xml:space="preserve"> </w:t>
      </w:r>
      <w:r w:rsidR="00C90A7C">
        <w:t xml:space="preserve">under consideration </w:t>
      </w:r>
      <w:r>
        <w:t xml:space="preserve">are expected to have an </w:t>
      </w:r>
      <w:r w:rsidR="00E7235C">
        <w:t xml:space="preserve">indirect </w:t>
      </w:r>
      <w:r>
        <w:t>impact on</w:t>
      </w:r>
      <w:r w:rsidR="00654AD5">
        <w:t>:</w:t>
      </w:r>
      <w:r>
        <w:t xml:space="preserve"> </w:t>
      </w:r>
    </w:p>
    <w:p w14:paraId="4F056376" w14:textId="77777777" w:rsidR="00654AD5" w:rsidRDefault="0014245B" w:rsidP="00AD36B8">
      <w:pPr>
        <w:pStyle w:val="ListBullet"/>
      </w:pPr>
      <w:r>
        <w:t xml:space="preserve">those </w:t>
      </w:r>
      <w:r w:rsidR="00E7235C">
        <w:t>producers</w:t>
      </w:r>
      <w:r>
        <w:t xml:space="preserve">, </w:t>
      </w:r>
      <w:r w:rsidR="0050131A">
        <w:t xml:space="preserve">retailers </w:t>
      </w:r>
      <w:r w:rsidR="00E7235C">
        <w:t xml:space="preserve">and </w:t>
      </w:r>
      <w:r w:rsidR="00654AD5">
        <w:t xml:space="preserve">gas </w:t>
      </w:r>
      <w:r w:rsidR="00E7235C">
        <w:t xml:space="preserve">users (e.g. residential, small to medium enterprises, commercial and industrial customers) </w:t>
      </w:r>
      <w:r w:rsidR="00BA63B0">
        <w:t xml:space="preserve">that do not transport gas </w:t>
      </w:r>
      <w:r w:rsidR="000C2DA8">
        <w:t xml:space="preserve">in their own right </w:t>
      </w:r>
      <w:r>
        <w:t>(</w:t>
      </w:r>
      <w:r w:rsidR="0050131A">
        <w:t>e.g.</w:t>
      </w:r>
      <w:r>
        <w:t xml:space="preserve"> </w:t>
      </w:r>
      <w:r w:rsidR="0050131A">
        <w:t xml:space="preserve">because </w:t>
      </w:r>
      <w:r>
        <w:t>they are supplied by a retailer)</w:t>
      </w:r>
      <w:r w:rsidR="00654AD5">
        <w:t>;</w:t>
      </w:r>
      <w:r w:rsidR="004E00E6">
        <w:t xml:space="preserve"> and </w:t>
      </w:r>
    </w:p>
    <w:p w14:paraId="1CC5875A" w14:textId="77777777" w:rsidR="0052317F" w:rsidRDefault="004E00E6" w:rsidP="00AD36B8">
      <w:pPr>
        <w:pStyle w:val="ListBullet"/>
      </w:pPr>
      <w:r>
        <w:t xml:space="preserve">the broader economy. </w:t>
      </w:r>
    </w:p>
    <w:p w14:paraId="60E6473C" w14:textId="77777777" w:rsidR="00771BD6" w:rsidRDefault="00771BD6" w:rsidP="00771BD6">
      <w:pPr>
        <w:pStyle w:val="Heading6"/>
      </w:pPr>
      <w:r>
        <w:t>Affected pipelines</w:t>
      </w:r>
    </w:p>
    <w:p w14:paraId="7D47A3D5" w14:textId="77777777" w:rsidR="007D1923" w:rsidRDefault="000A7302" w:rsidP="008B1D36">
      <w:pPr>
        <w:pStyle w:val="BodyText"/>
      </w:pPr>
      <w:r>
        <w:t xml:space="preserve">As </w:t>
      </w:r>
      <w:r w:rsidR="00DD5E6D">
        <w:t xml:space="preserve">a number of the costs and benefits associated with the reform options depend on </w:t>
      </w:r>
      <w:r w:rsidR="0015308B">
        <w:t xml:space="preserve">the form of regulation a pipeline is subject to, </w:t>
      </w:r>
      <w:r>
        <w:t xml:space="preserve">it </w:t>
      </w:r>
      <w:r w:rsidR="005E6C6D">
        <w:t xml:space="preserve">has been </w:t>
      </w:r>
      <w:r>
        <w:t>necessary to estimate</w:t>
      </w:r>
      <w:r w:rsidR="007D1923">
        <w:t>:</w:t>
      </w:r>
    </w:p>
    <w:p w14:paraId="406516D1" w14:textId="77777777" w:rsidR="005E6C6D" w:rsidRDefault="007C75A4" w:rsidP="00611CCA">
      <w:pPr>
        <w:pStyle w:val="ListBullet"/>
        <w:numPr>
          <w:ilvl w:val="0"/>
          <w:numId w:val="87"/>
        </w:numPr>
        <w:ind w:left="357" w:hanging="357"/>
      </w:pPr>
      <w:r>
        <w:t xml:space="preserve">how many </w:t>
      </w:r>
      <w:r w:rsidR="005E6C6D">
        <w:t xml:space="preserve">pipelines that are not voluntarily providing third party access </w:t>
      </w:r>
      <w:r w:rsidR="00E23A84">
        <w:t xml:space="preserve">may </w:t>
      </w:r>
      <w:r w:rsidR="005E6C6D">
        <w:t>be required to do so under options</w:t>
      </w:r>
      <w:r w:rsidR="0097161C">
        <w:t xml:space="preserve"> 2, 3A, 3B and 4</w:t>
      </w:r>
      <w:r w:rsidR="00E23A84">
        <w:t>;</w:t>
      </w:r>
      <w:r w:rsidR="005E6C6D" w:rsidRPr="00470B6F">
        <w:t xml:space="preserve"> </w:t>
      </w:r>
    </w:p>
    <w:p w14:paraId="01293442" w14:textId="77777777" w:rsidR="008E0B9E" w:rsidRDefault="007C75A4" w:rsidP="00611CCA">
      <w:pPr>
        <w:pStyle w:val="ListBullet"/>
        <w:numPr>
          <w:ilvl w:val="0"/>
          <w:numId w:val="87"/>
        </w:numPr>
        <w:ind w:left="357" w:hanging="357"/>
      </w:pPr>
      <w:r>
        <w:t xml:space="preserve">how many </w:t>
      </w:r>
      <w:r w:rsidR="005E6C6D">
        <w:t xml:space="preserve">new </w:t>
      </w:r>
      <w:r w:rsidR="00DC6555">
        <w:t xml:space="preserve">pipelines </w:t>
      </w:r>
      <w:r w:rsidR="00E23A84">
        <w:t xml:space="preserve">may </w:t>
      </w:r>
      <w:r w:rsidR="005E6C6D">
        <w:t xml:space="preserve">be able to obtain a greenfield </w:t>
      </w:r>
      <w:r w:rsidR="00022C35">
        <w:t xml:space="preserve">exemption </w:t>
      </w:r>
      <w:r w:rsidR="007D1923">
        <w:t xml:space="preserve">under options 2, 3A </w:t>
      </w:r>
      <w:r w:rsidR="005E6C6D">
        <w:t>and</w:t>
      </w:r>
      <w:r w:rsidR="007D1923">
        <w:t xml:space="preserve"> 3B</w:t>
      </w:r>
      <w:r w:rsidR="008E0B9E">
        <w:t>;</w:t>
      </w:r>
      <w:r w:rsidR="007D1923">
        <w:t xml:space="preserve"> </w:t>
      </w:r>
      <w:r w:rsidR="008E0B9E">
        <w:t>and</w:t>
      </w:r>
      <w:r w:rsidR="007D1923">
        <w:t xml:space="preserve"> </w:t>
      </w:r>
    </w:p>
    <w:p w14:paraId="24C683C5" w14:textId="77777777" w:rsidR="007D1923" w:rsidRDefault="007C75A4" w:rsidP="00611CCA">
      <w:pPr>
        <w:pStyle w:val="ListBullet"/>
        <w:numPr>
          <w:ilvl w:val="0"/>
          <w:numId w:val="87"/>
        </w:numPr>
        <w:ind w:left="357" w:hanging="357"/>
      </w:pPr>
      <w:r>
        <w:t xml:space="preserve">how many </w:t>
      </w:r>
      <w:r w:rsidR="008E0B9E">
        <w:t xml:space="preserve">pipelines may be able to obtain </w:t>
      </w:r>
      <w:r w:rsidR="007D1923">
        <w:t xml:space="preserve">an exemption from regulation </w:t>
      </w:r>
      <w:r w:rsidR="00366D17">
        <w:t xml:space="preserve">under Option 2 </w:t>
      </w:r>
      <w:r w:rsidR="007D1923">
        <w:t xml:space="preserve">because </w:t>
      </w:r>
      <w:r w:rsidR="00BB754F">
        <w:t xml:space="preserve">the service provider </w:t>
      </w:r>
      <w:r w:rsidR="00366D17">
        <w:t>can demonstrat</w:t>
      </w:r>
      <w:r w:rsidR="00BB754F">
        <w:t>e</w:t>
      </w:r>
      <w:r w:rsidR="00366D17">
        <w:t xml:space="preserve"> </w:t>
      </w:r>
      <w:r w:rsidR="00BB754F">
        <w:t xml:space="preserve">it </w:t>
      </w:r>
      <w:r w:rsidR="007D1923">
        <w:t>lacks substantial market power</w:t>
      </w:r>
      <w:r w:rsidR="00366D17">
        <w:t xml:space="preserve">. </w:t>
      </w:r>
    </w:p>
    <w:p w14:paraId="6EB9F475" w14:textId="77777777" w:rsidR="00031683" w:rsidRDefault="00DC6555" w:rsidP="008B1D36">
      <w:pPr>
        <w:pStyle w:val="BodyText"/>
      </w:pPr>
      <w:r>
        <w:t xml:space="preserve">It </w:t>
      </w:r>
      <w:r w:rsidR="00366D17">
        <w:t>has</w:t>
      </w:r>
      <w:r>
        <w:t xml:space="preserve"> also </w:t>
      </w:r>
      <w:r w:rsidR="00366D17">
        <w:t xml:space="preserve">been </w:t>
      </w:r>
      <w:r>
        <w:t xml:space="preserve">necessary to estimate how many pipelines </w:t>
      </w:r>
      <w:r w:rsidR="00E75BDA">
        <w:t xml:space="preserve">that are subject to regulation, </w:t>
      </w:r>
      <w:r w:rsidR="00F8032E">
        <w:t>are</w:t>
      </w:r>
      <w:r w:rsidR="000A7302">
        <w:t xml:space="preserve"> likely to</w:t>
      </w:r>
      <w:r w:rsidR="00A10D37">
        <w:t xml:space="preserve"> </w:t>
      </w:r>
      <w:r w:rsidR="000A7302">
        <w:t xml:space="preserve">be subject to </w:t>
      </w:r>
      <w:r w:rsidR="00031683">
        <w:t xml:space="preserve">the lighter or </w:t>
      </w:r>
      <w:r w:rsidR="00531979">
        <w:t>stronger</w:t>
      </w:r>
      <w:r w:rsidR="00031683">
        <w:t xml:space="preserve"> forms of </w:t>
      </w:r>
      <w:r w:rsidR="000A7302">
        <w:t>regulation</w:t>
      </w:r>
      <w:r w:rsidR="00D7330D">
        <w:t xml:space="preserve"> under the four reform options</w:t>
      </w:r>
      <w:r w:rsidR="00A10D37">
        <w:t xml:space="preserve">. </w:t>
      </w:r>
    </w:p>
    <w:p w14:paraId="6EE41451" w14:textId="77777777" w:rsidR="00276806" w:rsidRDefault="00A20F45" w:rsidP="00EF04F7">
      <w:pPr>
        <w:pStyle w:val="BodyText"/>
      </w:pPr>
      <w:r>
        <w:t>Estimates have been required</w:t>
      </w:r>
      <w:r w:rsidR="003E23A8">
        <w:t xml:space="preserve"> because </w:t>
      </w:r>
      <w:r w:rsidR="00EC1763">
        <w:t>decisions about what pipelines are regulated and how they are regulated will</w:t>
      </w:r>
      <w:r w:rsidR="00B03D3B">
        <w:t>, given the nature of the tests that have been proposed,</w:t>
      </w:r>
      <w:r w:rsidR="00EC1763">
        <w:t xml:space="preserve"> depend on </w:t>
      </w:r>
      <w:r w:rsidR="00717B46">
        <w:t>the specific circumstances of each pipeline</w:t>
      </w:r>
      <w:r w:rsidR="00104CC4">
        <w:t xml:space="preserve">. </w:t>
      </w:r>
      <w:r w:rsidR="00DA74D3">
        <w:t xml:space="preserve">Given the uncertainty surrounding </w:t>
      </w:r>
      <w:r w:rsidR="00B03D3B">
        <w:t>this issue</w:t>
      </w:r>
      <w:r w:rsidR="00DA74D3">
        <w:t>, two scenarios have been developed:</w:t>
      </w:r>
      <w:r w:rsidR="002B6875">
        <w:t xml:space="preserve"> </w:t>
      </w:r>
    </w:p>
    <w:p w14:paraId="3EEC478F" w14:textId="77777777" w:rsidR="001800C4" w:rsidRDefault="001800C4" w:rsidP="00AD36B8">
      <w:pPr>
        <w:pStyle w:val="ListBullet"/>
        <w:rPr>
          <w:rFonts w:ascii="Symbol" w:hAnsi="Symbol"/>
        </w:rPr>
      </w:pPr>
      <w:r>
        <w:t xml:space="preserve">Scenario 1 - High impact: This scenario assumes a larger proportion of pipelines move to the </w:t>
      </w:r>
      <w:r w:rsidR="00531979">
        <w:t>stronger</w:t>
      </w:r>
      <w:r>
        <w:t xml:space="preserve"> form of</w:t>
      </w:r>
      <w:r>
        <w:rPr>
          <w:spacing w:val="-2"/>
        </w:rPr>
        <w:t xml:space="preserve"> </w:t>
      </w:r>
      <w:r>
        <w:t>regulation</w:t>
      </w:r>
      <w:r w:rsidR="006F2E96">
        <w:t xml:space="preserve"> and </w:t>
      </w:r>
      <w:r w:rsidR="00816D74">
        <w:t xml:space="preserve">that a greater proportion of currently exempt pipelines become subject to the new </w:t>
      </w:r>
      <w:r w:rsidR="00531979">
        <w:t>lighter</w:t>
      </w:r>
      <w:r w:rsidR="00816D74">
        <w:t xml:space="preserve"> form of regulation.</w:t>
      </w:r>
    </w:p>
    <w:p w14:paraId="09821497" w14:textId="77777777" w:rsidR="001800C4" w:rsidRPr="00C96716" w:rsidRDefault="001800C4" w:rsidP="00AD36B8">
      <w:pPr>
        <w:pStyle w:val="ListBullet"/>
        <w:rPr>
          <w:rFonts w:ascii="Symbol" w:hAnsi="Symbol"/>
        </w:rPr>
      </w:pPr>
      <w:r>
        <w:t xml:space="preserve">Scenario 2 - Low impact: </w:t>
      </w:r>
      <w:r w:rsidR="0057149D">
        <w:t xml:space="preserve">This </w:t>
      </w:r>
      <w:r>
        <w:t xml:space="preserve">scenario </w:t>
      </w:r>
      <w:r w:rsidR="009D77CC">
        <w:t>assumes</w:t>
      </w:r>
      <w:r>
        <w:t xml:space="preserve"> a </w:t>
      </w:r>
      <w:r w:rsidR="00EF04F7">
        <w:t xml:space="preserve">smaller proportion of </w:t>
      </w:r>
      <w:r>
        <w:t xml:space="preserve">pipelines </w:t>
      </w:r>
      <w:r w:rsidR="00EF04F7">
        <w:t xml:space="preserve">move </w:t>
      </w:r>
      <w:r>
        <w:t xml:space="preserve">to the </w:t>
      </w:r>
      <w:r w:rsidR="00531979">
        <w:t>stronger</w:t>
      </w:r>
      <w:r>
        <w:t xml:space="preserve"> form of</w:t>
      </w:r>
      <w:r>
        <w:rPr>
          <w:spacing w:val="-7"/>
        </w:rPr>
        <w:t xml:space="preserve"> </w:t>
      </w:r>
      <w:r>
        <w:t>regulation</w:t>
      </w:r>
      <w:r w:rsidR="0057149D">
        <w:t xml:space="preserve"> and a smaller proportion of currently exempt pipelines become subject to the new </w:t>
      </w:r>
      <w:r w:rsidR="00531979">
        <w:t>lighter</w:t>
      </w:r>
      <w:r w:rsidR="0057149D">
        <w:t xml:space="preserve"> form of regulation.</w:t>
      </w:r>
    </w:p>
    <w:p w14:paraId="5E5C9DF3" w14:textId="19E94B5B" w:rsidR="00897692" w:rsidRDefault="00897692" w:rsidP="0057149D">
      <w:pPr>
        <w:pStyle w:val="BodyText"/>
        <w:widowControl w:val="0"/>
      </w:pPr>
      <w:r>
        <w:fldChar w:fldCharType="begin" w:fldLock="1"/>
      </w:r>
      <w:r>
        <w:instrText xml:space="preserve"> REF _Ref50033892 \h </w:instrText>
      </w:r>
      <w:r>
        <w:fldChar w:fldCharType="separate"/>
      </w:r>
      <w:r w:rsidR="00036405">
        <w:t xml:space="preserve">Table </w:t>
      </w:r>
      <w:r w:rsidR="00036405">
        <w:rPr>
          <w:noProof/>
        </w:rPr>
        <w:t>9</w:t>
      </w:r>
      <w:r w:rsidR="00036405">
        <w:t>.</w:t>
      </w:r>
      <w:r w:rsidR="00036405">
        <w:rPr>
          <w:noProof/>
        </w:rPr>
        <w:t>2</w:t>
      </w:r>
      <w:r>
        <w:fldChar w:fldCharType="end"/>
      </w:r>
      <w:r>
        <w:t xml:space="preserve"> sets out the assumptions that have been made about the movements between the various forms of regulation under these two scenarios,</w:t>
      </w:r>
      <w:r w:rsidR="00370905">
        <w:rPr>
          <w:rFonts w:ascii="ZWAdobeF" w:hAnsi="ZWAdobeF" w:cs="ZWAdobeF"/>
          <w:sz w:val="2"/>
          <w:szCs w:val="2"/>
        </w:rPr>
        <w:t>189F</w:t>
      </w:r>
      <w:r w:rsidR="00597912">
        <w:rPr>
          <w:rStyle w:val="FootnoteReference"/>
        </w:rPr>
        <w:footnoteReference w:id="191"/>
      </w:r>
      <w:r>
        <w:t xml:space="preserve"> while </w:t>
      </w:r>
      <w:r>
        <w:fldChar w:fldCharType="begin" w:fldLock="1"/>
      </w:r>
      <w:r>
        <w:instrText xml:space="preserve"> REF _Ref50033903 \h </w:instrText>
      </w:r>
      <w:r>
        <w:fldChar w:fldCharType="separate"/>
      </w:r>
      <w:r w:rsidR="00036405">
        <w:t xml:space="preserve">Table </w:t>
      </w:r>
      <w:r w:rsidR="00036405">
        <w:rPr>
          <w:noProof/>
        </w:rPr>
        <w:t>9</w:t>
      </w:r>
      <w:r w:rsidR="00036405">
        <w:t>.</w:t>
      </w:r>
      <w:r w:rsidR="00036405">
        <w:rPr>
          <w:noProof/>
        </w:rPr>
        <w:t>3</w:t>
      </w:r>
      <w:r>
        <w:fldChar w:fldCharType="end"/>
      </w:r>
      <w:r>
        <w:t xml:space="preserve"> sets out the estimates of the number of pipelines that would be subject to each form of regulation under the two scenarios. It is important to note that the </w:t>
      </w:r>
      <w:r w:rsidR="00C96716">
        <w:t xml:space="preserve">assumptions and </w:t>
      </w:r>
      <w:r>
        <w:t xml:space="preserve">estimates set out in </w:t>
      </w:r>
      <w:r w:rsidR="00C96716">
        <w:t xml:space="preserve">these </w:t>
      </w:r>
      <w:r>
        <w:t>table</w:t>
      </w:r>
      <w:r w:rsidR="00C96716">
        <w:t>s</w:t>
      </w:r>
      <w:r>
        <w:t xml:space="preserve"> are not intended to imply that any particular pipeline would fall into a particular regulatory category. Nor are they intended to pre-empt a decision that would ultimately need to be made by the relevant decision-maker having regard to the tests that are put in place. Rather, they are </w:t>
      </w:r>
      <w:r w:rsidR="006467CC">
        <w:t xml:space="preserve">simple </w:t>
      </w:r>
      <w:r>
        <w:t xml:space="preserve">assumptions </w:t>
      </w:r>
      <w:r w:rsidR="006467CC">
        <w:t xml:space="preserve">that have been used to model </w:t>
      </w:r>
      <w:r w:rsidR="000D71B5">
        <w:t xml:space="preserve">potential outcomes for the CBA. </w:t>
      </w:r>
    </w:p>
    <w:p w14:paraId="22245CDA" w14:textId="129FA901" w:rsidR="00897692" w:rsidRDefault="00897692" w:rsidP="000922E2">
      <w:pPr>
        <w:pStyle w:val="Caption"/>
        <w:spacing w:after="0"/>
      </w:pPr>
      <w:bookmarkStart w:id="205" w:name="_Ref50033892"/>
      <w:r>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9</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2</w:t>
      </w:r>
      <w:r w:rsidR="00F323B2">
        <w:rPr>
          <w:noProof/>
        </w:rPr>
        <w:fldChar w:fldCharType="end"/>
      </w:r>
      <w:bookmarkEnd w:id="205"/>
      <w:r>
        <w:t xml:space="preserve">: Assumptions used to estimate movements between forms of regulation </w:t>
      </w:r>
    </w:p>
    <w:tbl>
      <w:tblPr>
        <w:tblStyle w:val="TableGrid"/>
        <w:tblW w:w="5000" w:type="pct"/>
        <w:tblLayout w:type="fixed"/>
        <w:tblLook w:val="0420" w:firstRow="1" w:lastRow="0" w:firstColumn="0" w:lastColumn="0" w:noHBand="0" w:noVBand="1"/>
      </w:tblPr>
      <w:tblGrid>
        <w:gridCol w:w="2195"/>
        <w:gridCol w:w="2197"/>
        <w:gridCol w:w="2199"/>
        <w:gridCol w:w="2197"/>
      </w:tblGrid>
      <w:tr w:rsidR="00897692" w14:paraId="0DE04422" w14:textId="77777777" w:rsidTr="001A440E">
        <w:trPr>
          <w:cnfStyle w:val="100000000000" w:firstRow="1" w:lastRow="0" w:firstColumn="0" w:lastColumn="0" w:oddVBand="0" w:evenVBand="0" w:oddHBand="0" w:evenHBand="0" w:firstRowFirstColumn="0" w:firstRowLastColumn="0" w:lastRowFirstColumn="0" w:lastRowLastColumn="0"/>
          <w:cantSplit/>
          <w:tblHeader/>
        </w:trPr>
        <w:tc>
          <w:tcPr>
            <w:tcW w:w="1249" w:type="pct"/>
            <w:shd w:val="clear" w:color="auto" w:fill="002060"/>
          </w:tcPr>
          <w:p w14:paraId="680AEE69" w14:textId="77777777" w:rsidR="00897692" w:rsidRDefault="00897692" w:rsidP="00AD6F6A">
            <w:pPr>
              <w:pStyle w:val="TableHeading"/>
              <w:keepNext/>
              <w:spacing w:before="40" w:after="40"/>
              <w:rPr>
                <w:lang w:eastAsia="fr-CA"/>
              </w:rPr>
            </w:pPr>
            <w:r>
              <w:rPr>
                <w:lang w:eastAsia="fr-CA"/>
              </w:rPr>
              <w:t>Option</w:t>
            </w:r>
          </w:p>
        </w:tc>
        <w:tc>
          <w:tcPr>
            <w:tcW w:w="1250" w:type="pct"/>
            <w:shd w:val="clear" w:color="auto" w:fill="002060"/>
          </w:tcPr>
          <w:p w14:paraId="06691C79" w14:textId="77777777" w:rsidR="00897692" w:rsidRPr="007766F9" w:rsidRDefault="00826190" w:rsidP="00AD6F6A">
            <w:pPr>
              <w:pStyle w:val="TableHeading"/>
              <w:keepNext/>
              <w:spacing w:before="40" w:after="40"/>
              <w:jc w:val="center"/>
              <w:rPr>
                <w:color w:val="FFFFFF" w:themeColor="background1"/>
                <w:lang w:eastAsia="fr-CA"/>
              </w:rPr>
            </w:pPr>
            <w:r>
              <w:rPr>
                <w:color w:val="FFFFFF" w:themeColor="background1"/>
                <w:sz w:val="16"/>
              </w:rPr>
              <w:t xml:space="preserve">Movement to </w:t>
            </w:r>
            <w:r w:rsidR="00531979">
              <w:rPr>
                <w:color w:val="FFFFFF" w:themeColor="background1"/>
                <w:sz w:val="16"/>
              </w:rPr>
              <w:t>stronger</w:t>
            </w:r>
            <w:r w:rsidR="00897692" w:rsidRPr="007766F9">
              <w:rPr>
                <w:color w:val="FFFFFF" w:themeColor="background1"/>
                <w:sz w:val="16"/>
              </w:rPr>
              <w:t xml:space="preserve"> </w:t>
            </w:r>
            <w:r w:rsidR="000922E2">
              <w:rPr>
                <w:color w:val="FFFFFF" w:themeColor="background1"/>
                <w:sz w:val="16"/>
              </w:rPr>
              <w:t xml:space="preserve">form of regulation </w:t>
            </w:r>
            <w:r>
              <w:rPr>
                <w:color w:val="FFFFFF" w:themeColor="background1"/>
                <w:sz w:val="16"/>
              </w:rPr>
              <w:t>from light reg and Part 23</w:t>
            </w:r>
          </w:p>
        </w:tc>
        <w:tc>
          <w:tcPr>
            <w:tcW w:w="1251" w:type="pct"/>
            <w:shd w:val="clear" w:color="auto" w:fill="002060"/>
          </w:tcPr>
          <w:p w14:paraId="0975F7C5" w14:textId="77777777" w:rsidR="00897692" w:rsidRPr="007766F9" w:rsidRDefault="00826190" w:rsidP="00AD6F6A">
            <w:pPr>
              <w:pStyle w:val="TableHeading"/>
              <w:keepNext/>
              <w:spacing w:before="40" w:after="40"/>
              <w:jc w:val="center"/>
              <w:rPr>
                <w:color w:val="FFFFFF" w:themeColor="background1"/>
                <w:lang w:eastAsia="fr-CA"/>
              </w:rPr>
            </w:pPr>
            <w:r>
              <w:rPr>
                <w:color w:val="FFFFFF" w:themeColor="background1"/>
                <w:sz w:val="16"/>
              </w:rPr>
              <w:t xml:space="preserve">Movement to </w:t>
            </w:r>
            <w:r w:rsidR="00531979">
              <w:rPr>
                <w:color w:val="FFFFFF" w:themeColor="background1"/>
                <w:sz w:val="16"/>
              </w:rPr>
              <w:t>lighter</w:t>
            </w:r>
            <w:r w:rsidR="0045194E">
              <w:rPr>
                <w:color w:val="FFFFFF" w:themeColor="background1"/>
                <w:sz w:val="16"/>
              </w:rPr>
              <w:t xml:space="preserve"> </w:t>
            </w:r>
            <w:r w:rsidR="002D4092">
              <w:rPr>
                <w:color w:val="FFFFFF" w:themeColor="background1"/>
                <w:sz w:val="16"/>
              </w:rPr>
              <w:t xml:space="preserve">form of </w:t>
            </w:r>
            <w:r w:rsidR="0045194E">
              <w:rPr>
                <w:color w:val="FFFFFF" w:themeColor="background1"/>
                <w:sz w:val="16"/>
              </w:rPr>
              <w:t>regulation by previously e</w:t>
            </w:r>
            <w:r w:rsidR="00897692">
              <w:rPr>
                <w:color w:val="FFFFFF" w:themeColor="background1"/>
                <w:sz w:val="16"/>
              </w:rPr>
              <w:t>xempt</w:t>
            </w:r>
          </w:p>
        </w:tc>
        <w:tc>
          <w:tcPr>
            <w:tcW w:w="1250" w:type="pct"/>
            <w:shd w:val="clear" w:color="auto" w:fill="002060"/>
          </w:tcPr>
          <w:p w14:paraId="0DAF01AF" w14:textId="77777777" w:rsidR="00897692" w:rsidRPr="007766F9" w:rsidRDefault="0045194E" w:rsidP="00AD6F6A">
            <w:pPr>
              <w:pStyle w:val="TableHeading"/>
              <w:keepNext/>
              <w:spacing w:before="40" w:after="40"/>
              <w:jc w:val="center"/>
              <w:rPr>
                <w:color w:val="FFFFFF" w:themeColor="background1"/>
                <w:lang w:eastAsia="fr-CA"/>
              </w:rPr>
            </w:pPr>
            <w:r>
              <w:rPr>
                <w:color w:val="FFFFFF" w:themeColor="background1"/>
                <w:sz w:val="16"/>
              </w:rPr>
              <w:t>Movement to exempt pipelines</w:t>
            </w:r>
          </w:p>
        </w:tc>
      </w:tr>
      <w:tr w:rsidR="00897692" w:rsidRPr="00355797" w14:paraId="4A929CB8" w14:textId="77777777" w:rsidTr="001A440E">
        <w:trPr>
          <w:cantSplit/>
        </w:trPr>
        <w:tc>
          <w:tcPr>
            <w:tcW w:w="5000" w:type="pct"/>
            <w:gridSpan w:val="4"/>
            <w:shd w:val="clear" w:color="auto" w:fill="65697F" w:themeFill="background2" w:themeFillShade="80"/>
          </w:tcPr>
          <w:p w14:paraId="6FA2909C" w14:textId="77777777" w:rsidR="00897692" w:rsidRPr="00355797" w:rsidRDefault="00897692" w:rsidP="00AD6F6A">
            <w:pPr>
              <w:pStyle w:val="TableBodyText"/>
              <w:keepNext/>
              <w:spacing w:before="40" w:after="40"/>
              <w:jc w:val="center"/>
              <w:rPr>
                <w:b/>
                <w:bCs/>
                <w:color w:val="FFFFFF" w:themeColor="background1"/>
                <w:lang w:eastAsia="fr-CA"/>
              </w:rPr>
            </w:pPr>
            <w:r w:rsidRPr="00355797">
              <w:rPr>
                <w:b/>
                <w:bCs/>
                <w:color w:val="FFFFFF" w:themeColor="background1"/>
                <w:lang w:eastAsia="fr-CA"/>
              </w:rPr>
              <w:t>Scenario 1 – High impact</w:t>
            </w:r>
          </w:p>
        </w:tc>
      </w:tr>
      <w:tr w:rsidR="00897692" w14:paraId="0FA86912" w14:textId="77777777" w:rsidTr="001A440E">
        <w:trPr>
          <w:cnfStyle w:val="000000010000" w:firstRow="0" w:lastRow="0" w:firstColumn="0" w:lastColumn="0" w:oddVBand="0" w:evenVBand="0" w:oddHBand="0" w:evenHBand="1" w:firstRowFirstColumn="0" w:firstRowLastColumn="0" w:lastRowFirstColumn="0" w:lastRowLastColumn="0"/>
          <w:cantSplit/>
        </w:trPr>
        <w:tc>
          <w:tcPr>
            <w:tcW w:w="1249" w:type="pct"/>
          </w:tcPr>
          <w:p w14:paraId="759315FB" w14:textId="77777777" w:rsidR="00897692" w:rsidRDefault="00897692" w:rsidP="00AD6F6A">
            <w:pPr>
              <w:pStyle w:val="TableBodyText"/>
              <w:keepNext/>
              <w:spacing w:before="40" w:after="40"/>
              <w:rPr>
                <w:lang w:eastAsia="fr-CA"/>
              </w:rPr>
            </w:pPr>
            <w:r>
              <w:rPr>
                <w:sz w:val="16"/>
              </w:rPr>
              <w:t>Option 2</w:t>
            </w:r>
          </w:p>
        </w:tc>
        <w:tc>
          <w:tcPr>
            <w:tcW w:w="1250" w:type="pct"/>
          </w:tcPr>
          <w:p w14:paraId="26BF47E7" w14:textId="77777777" w:rsidR="00897692" w:rsidRDefault="00897692" w:rsidP="00AD6F6A">
            <w:pPr>
              <w:pStyle w:val="TableBodyText"/>
              <w:keepNext/>
              <w:spacing w:before="40" w:after="40"/>
              <w:jc w:val="center"/>
              <w:rPr>
                <w:lang w:eastAsia="fr-CA"/>
              </w:rPr>
            </w:pPr>
            <w:r>
              <w:rPr>
                <w:sz w:val="16"/>
              </w:rPr>
              <w:t>10%</w:t>
            </w:r>
          </w:p>
        </w:tc>
        <w:tc>
          <w:tcPr>
            <w:tcW w:w="1251" w:type="pct"/>
          </w:tcPr>
          <w:p w14:paraId="13363D5D" w14:textId="77777777" w:rsidR="00897692" w:rsidRDefault="00897692" w:rsidP="00AD6F6A">
            <w:pPr>
              <w:pStyle w:val="TableBodyText"/>
              <w:keepNext/>
              <w:spacing w:before="40" w:after="40"/>
              <w:jc w:val="center"/>
              <w:rPr>
                <w:lang w:eastAsia="fr-CA"/>
              </w:rPr>
            </w:pPr>
            <w:r>
              <w:rPr>
                <w:sz w:val="16"/>
              </w:rPr>
              <w:t>10%</w:t>
            </w:r>
          </w:p>
        </w:tc>
        <w:tc>
          <w:tcPr>
            <w:tcW w:w="1250" w:type="pct"/>
          </w:tcPr>
          <w:p w14:paraId="22DCE776" w14:textId="77777777" w:rsidR="00897692" w:rsidRDefault="00897692" w:rsidP="00AD6F6A">
            <w:pPr>
              <w:pStyle w:val="TableBodyText"/>
              <w:keepNext/>
              <w:spacing w:before="40" w:after="40"/>
              <w:jc w:val="center"/>
              <w:rPr>
                <w:lang w:eastAsia="fr-CA"/>
              </w:rPr>
            </w:pPr>
            <w:r>
              <w:rPr>
                <w:sz w:val="16"/>
              </w:rPr>
              <w:t>10%</w:t>
            </w:r>
            <w:r w:rsidR="00405C06" w:rsidRPr="00405C06">
              <w:rPr>
                <w:sz w:val="16"/>
                <w:vertAlign w:val="superscript"/>
              </w:rPr>
              <w:t>b</w:t>
            </w:r>
          </w:p>
        </w:tc>
      </w:tr>
      <w:tr w:rsidR="00897692" w14:paraId="0294E2DC" w14:textId="77777777" w:rsidTr="001A440E">
        <w:trPr>
          <w:cantSplit/>
        </w:trPr>
        <w:tc>
          <w:tcPr>
            <w:tcW w:w="1249" w:type="pct"/>
          </w:tcPr>
          <w:p w14:paraId="4AD38ACA" w14:textId="77777777" w:rsidR="00897692" w:rsidRDefault="00897692" w:rsidP="00AD6F6A">
            <w:pPr>
              <w:pStyle w:val="TableBodyText"/>
              <w:keepNext/>
              <w:spacing w:before="40" w:after="40"/>
              <w:rPr>
                <w:lang w:eastAsia="fr-CA"/>
              </w:rPr>
            </w:pPr>
            <w:r>
              <w:rPr>
                <w:sz w:val="16"/>
              </w:rPr>
              <w:t>Option 3A</w:t>
            </w:r>
          </w:p>
        </w:tc>
        <w:tc>
          <w:tcPr>
            <w:tcW w:w="1250" w:type="pct"/>
          </w:tcPr>
          <w:p w14:paraId="30804A84" w14:textId="77777777" w:rsidR="00897692" w:rsidRDefault="00897692" w:rsidP="00AD6F6A">
            <w:pPr>
              <w:pStyle w:val="TableBodyText"/>
              <w:keepNext/>
              <w:spacing w:before="40" w:after="40"/>
              <w:jc w:val="center"/>
              <w:rPr>
                <w:lang w:eastAsia="fr-CA"/>
              </w:rPr>
            </w:pPr>
            <w:r>
              <w:rPr>
                <w:sz w:val="16"/>
              </w:rPr>
              <w:t>10%</w:t>
            </w:r>
          </w:p>
        </w:tc>
        <w:tc>
          <w:tcPr>
            <w:tcW w:w="1251" w:type="pct"/>
          </w:tcPr>
          <w:p w14:paraId="44B76958" w14:textId="77777777" w:rsidR="00897692" w:rsidRDefault="00897692" w:rsidP="00AD6F6A">
            <w:pPr>
              <w:pStyle w:val="TableBodyText"/>
              <w:keepNext/>
              <w:spacing w:before="40" w:after="40"/>
              <w:jc w:val="center"/>
              <w:rPr>
                <w:lang w:eastAsia="fr-CA"/>
              </w:rPr>
            </w:pPr>
            <w:r>
              <w:rPr>
                <w:sz w:val="16"/>
              </w:rPr>
              <w:t>10%</w:t>
            </w:r>
          </w:p>
        </w:tc>
        <w:tc>
          <w:tcPr>
            <w:tcW w:w="1250" w:type="pct"/>
          </w:tcPr>
          <w:p w14:paraId="4B512212" w14:textId="77777777" w:rsidR="00897692" w:rsidRDefault="00817C77" w:rsidP="00AD6F6A">
            <w:pPr>
              <w:pStyle w:val="TableBodyText"/>
              <w:keepNext/>
              <w:spacing w:before="40" w:after="40"/>
              <w:jc w:val="center"/>
              <w:rPr>
                <w:lang w:eastAsia="fr-CA"/>
              </w:rPr>
            </w:pPr>
            <w:r>
              <w:rPr>
                <w:sz w:val="16"/>
              </w:rPr>
              <w:t>0%</w:t>
            </w:r>
          </w:p>
        </w:tc>
      </w:tr>
      <w:tr w:rsidR="00897692" w14:paraId="44FD2CA3" w14:textId="77777777" w:rsidTr="001A440E">
        <w:trPr>
          <w:cnfStyle w:val="000000010000" w:firstRow="0" w:lastRow="0" w:firstColumn="0" w:lastColumn="0" w:oddVBand="0" w:evenVBand="0" w:oddHBand="0" w:evenHBand="1" w:firstRowFirstColumn="0" w:firstRowLastColumn="0" w:lastRowFirstColumn="0" w:lastRowLastColumn="0"/>
          <w:cantSplit/>
        </w:trPr>
        <w:tc>
          <w:tcPr>
            <w:tcW w:w="1249" w:type="pct"/>
          </w:tcPr>
          <w:p w14:paraId="24CFCEFE" w14:textId="77777777" w:rsidR="00897692" w:rsidRDefault="00897692" w:rsidP="00AD6F6A">
            <w:pPr>
              <w:pStyle w:val="TableBodyText"/>
              <w:keepNext/>
              <w:spacing w:before="40" w:after="40"/>
              <w:rPr>
                <w:lang w:eastAsia="fr-CA"/>
              </w:rPr>
            </w:pPr>
            <w:r>
              <w:rPr>
                <w:sz w:val="16"/>
              </w:rPr>
              <w:t>Option 3B</w:t>
            </w:r>
          </w:p>
        </w:tc>
        <w:tc>
          <w:tcPr>
            <w:tcW w:w="1250" w:type="pct"/>
          </w:tcPr>
          <w:p w14:paraId="53449B2D" w14:textId="77777777" w:rsidR="00897692" w:rsidRDefault="00897692" w:rsidP="00AD6F6A">
            <w:pPr>
              <w:pStyle w:val="TableBodyText"/>
              <w:keepNext/>
              <w:spacing w:before="40" w:after="40"/>
              <w:jc w:val="center"/>
              <w:rPr>
                <w:lang w:eastAsia="fr-CA"/>
              </w:rPr>
            </w:pPr>
            <w:r>
              <w:rPr>
                <w:sz w:val="16"/>
              </w:rPr>
              <w:t>10%</w:t>
            </w:r>
          </w:p>
        </w:tc>
        <w:tc>
          <w:tcPr>
            <w:tcW w:w="1251" w:type="pct"/>
          </w:tcPr>
          <w:p w14:paraId="0A01E0F9" w14:textId="77777777" w:rsidR="00897692" w:rsidRDefault="00897692" w:rsidP="00AD6F6A">
            <w:pPr>
              <w:pStyle w:val="TableBodyText"/>
              <w:keepNext/>
              <w:spacing w:before="40" w:after="40"/>
              <w:jc w:val="center"/>
              <w:rPr>
                <w:lang w:eastAsia="fr-CA"/>
              </w:rPr>
            </w:pPr>
            <w:r>
              <w:rPr>
                <w:sz w:val="16"/>
              </w:rPr>
              <w:t>15%</w:t>
            </w:r>
            <w:r w:rsidR="00D22128" w:rsidRPr="00D22128">
              <w:rPr>
                <w:sz w:val="16"/>
                <w:vertAlign w:val="superscript"/>
              </w:rPr>
              <w:t>a</w:t>
            </w:r>
          </w:p>
        </w:tc>
        <w:tc>
          <w:tcPr>
            <w:tcW w:w="1250" w:type="pct"/>
          </w:tcPr>
          <w:p w14:paraId="052058D9" w14:textId="77777777" w:rsidR="00897692" w:rsidRDefault="00EB1464" w:rsidP="00AD6F6A">
            <w:pPr>
              <w:pStyle w:val="TableBodyText"/>
              <w:keepNext/>
              <w:spacing w:before="40" w:after="40"/>
              <w:jc w:val="center"/>
              <w:rPr>
                <w:lang w:eastAsia="fr-CA"/>
              </w:rPr>
            </w:pPr>
            <w:r>
              <w:rPr>
                <w:sz w:val="16"/>
              </w:rPr>
              <w:t>0%</w:t>
            </w:r>
          </w:p>
        </w:tc>
      </w:tr>
      <w:tr w:rsidR="00897692" w14:paraId="345AE3BA" w14:textId="77777777" w:rsidTr="001A440E">
        <w:trPr>
          <w:cantSplit/>
        </w:trPr>
        <w:tc>
          <w:tcPr>
            <w:tcW w:w="1249" w:type="pct"/>
            <w:tcBorders>
              <w:bottom w:val="single" w:sz="4" w:space="0" w:color="auto"/>
            </w:tcBorders>
          </w:tcPr>
          <w:p w14:paraId="3FA63EB5" w14:textId="77777777" w:rsidR="00897692" w:rsidRDefault="00897692" w:rsidP="00AD6F6A">
            <w:pPr>
              <w:pStyle w:val="TableBodyText"/>
              <w:keepNext/>
              <w:spacing w:before="40" w:after="40"/>
              <w:rPr>
                <w:lang w:eastAsia="fr-CA"/>
              </w:rPr>
            </w:pPr>
            <w:r>
              <w:rPr>
                <w:sz w:val="16"/>
              </w:rPr>
              <w:t>Option 4</w:t>
            </w:r>
          </w:p>
        </w:tc>
        <w:tc>
          <w:tcPr>
            <w:tcW w:w="1250" w:type="pct"/>
            <w:tcBorders>
              <w:bottom w:val="single" w:sz="4" w:space="0" w:color="auto"/>
            </w:tcBorders>
          </w:tcPr>
          <w:p w14:paraId="67C08942" w14:textId="77777777" w:rsidR="00897692" w:rsidRDefault="00897692" w:rsidP="00AD6F6A">
            <w:pPr>
              <w:pStyle w:val="TableBodyText"/>
              <w:keepNext/>
              <w:spacing w:before="40" w:after="40"/>
              <w:jc w:val="center"/>
              <w:rPr>
                <w:lang w:eastAsia="fr-CA"/>
              </w:rPr>
            </w:pPr>
            <w:r>
              <w:rPr>
                <w:sz w:val="16"/>
              </w:rPr>
              <w:t>10%</w:t>
            </w:r>
          </w:p>
        </w:tc>
        <w:tc>
          <w:tcPr>
            <w:tcW w:w="1251" w:type="pct"/>
            <w:tcBorders>
              <w:bottom w:val="single" w:sz="4" w:space="0" w:color="auto"/>
            </w:tcBorders>
          </w:tcPr>
          <w:p w14:paraId="605E8B35" w14:textId="77777777" w:rsidR="00897692" w:rsidRDefault="00897692" w:rsidP="00AD6F6A">
            <w:pPr>
              <w:pStyle w:val="TableBodyText"/>
              <w:keepNext/>
              <w:spacing w:before="40" w:after="40"/>
              <w:jc w:val="center"/>
              <w:rPr>
                <w:lang w:eastAsia="fr-CA"/>
              </w:rPr>
            </w:pPr>
            <w:r>
              <w:rPr>
                <w:sz w:val="16"/>
              </w:rPr>
              <w:t>15%</w:t>
            </w:r>
            <w:r w:rsidR="00D22128" w:rsidRPr="00D22128">
              <w:rPr>
                <w:sz w:val="16"/>
                <w:vertAlign w:val="superscript"/>
              </w:rPr>
              <w:t>a</w:t>
            </w:r>
          </w:p>
        </w:tc>
        <w:tc>
          <w:tcPr>
            <w:tcW w:w="1250" w:type="pct"/>
            <w:tcBorders>
              <w:bottom w:val="single" w:sz="4" w:space="0" w:color="auto"/>
            </w:tcBorders>
          </w:tcPr>
          <w:p w14:paraId="260F4F1D" w14:textId="77777777" w:rsidR="00897692" w:rsidRDefault="00EB1464" w:rsidP="00AD6F6A">
            <w:pPr>
              <w:pStyle w:val="TableBodyText"/>
              <w:keepNext/>
              <w:spacing w:before="40" w:after="40"/>
              <w:jc w:val="center"/>
              <w:rPr>
                <w:lang w:eastAsia="fr-CA"/>
              </w:rPr>
            </w:pPr>
            <w:r>
              <w:rPr>
                <w:sz w:val="16"/>
              </w:rPr>
              <w:t>0%</w:t>
            </w:r>
          </w:p>
        </w:tc>
      </w:tr>
      <w:tr w:rsidR="00897692" w:rsidRPr="00355797" w14:paraId="151D6BA8" w14:textId="77777777" w:rsidTr="001A440E">
        <w:trPr>
          <w:cnfStyle w:val="000000010000" w:firstRow="0" w:lastRow="0" w:firstColumn="0" w:lastColumn="0" w:oddVBand="0" w:evenVBand="0" w:oddHBand="0" w:evenHBand="1" w:firstRowFirstColumn="0" w:firstRowLastColumn="0" w:lastRowFirstColumn="0" w:lastRowLastColumn="0"/>
          <w:cantSplit/>
        </w:trPr>
        <w:tc>
          <w:tcPr>
            <w:tcW w:w="5000" w:type="pct"/>
            <w:gridSpan w:val="4"/>
            <w:shd w:val="clear" w:color="auto" w:fill="65697F" w:themeFill="background2" w:themeFillShade="80"/>
          </w:tcPr>
          <w:p w14:paraId="1DDF2865" w14:textId="77777777" w:rsidR="00897692" w:rsidRPr="00355797" w:rsidRDefault="00897692" w:rsidP="00AD6F6A">
            <w:pPr>
              <w:pStyle w:val="TableBodyText"/>
              <w:keepNext/>
              <w:spacing w:before="40" w:after="40"/>
              <w:jc w:val="center"/>
              <w:rPr>
                <w:b/>
                <w:bCs/>
                <w:color w:val="FFFFFF" w:themeColor="background1"/>
                <w:lang w:eastAsia="fr-CA"/>
              </w:rPr>
            </w:pPr>
            <w:r w:rsidRPr="00355797">
              <w:rPr>
                <w:b/>
                <w:bCs/>
                <w:color w:val="FFFFFF" w:themeColor="background1"/>
                <w:lang w:eastAsia="fr-CA"/>
              </w:rPr>
              <w:t>Scenario 2 – Low impact</w:t>
            </w:r>
          </w:p>
        </w:tc>
      </w:tr>
      <w:tr w:rsidR="00897692" w14:paraId="4ED4C1F9" w14:textId="77777777" w:rsidTr="001A440E">
        <w:trPr>
          <w:cantSplit/>
        </w:trPr>
        <w:tc>
          <w:tcPr>
            <w:tcW w:w="1249" w:type="pct"/>
          </w:tcPr>
          <w:p w14:paraId="24B7D204" w14:textId="77777777" w:rsidR="00897692" w:rsidRDefault="00897692" w:rsidP="00AD6F6A">
            <w:pPr>
              <w:pStyle w:val="TableBodyText"/>
              <w:keepNext/>
              <w:spacing w:before="40" w:after="40"/>
              <w:rPr>
                <w:lang w:eastAsia="fr-CA"/>
              </w:rPr>
            </w:pPr>
            <w:r>
              <w:rPr>
                <w:sz w:val="16"/>
              </w:rPr>
              <w:t>Option 2</w:t>
            </w:r>
          </w:p>
        </w:tc>
        <w:tc>
          <w:tcPr>
            <w:tcW w:w="1250" w:type="pct"/>
          </w:tcPr>
          <w:p w14:paraId="3B00AFF5" w14:textId="77777777" w:rsidR="00897692" w:rsidRDefault="00897692" w:rsidP="00AD6F6A">
            <w:pPr>
              <w:pStyle w:val="TableBodyText"/>
              <w:keepNext/>
              <w:spacing w:before="40" w:after="40"/>
              <w:jc w:val="center"/>
              <w:rPr>
                <w:lang w:eastAsia="fr-CA"/>
              </w:rPr>
            </w:pPr>
            <w:r>
              <w:rPr>
                <w:sz w:val="16"/>
              </w:rPr>
              <w:t>5%</w:t>
            </w:r>
          </w:p>
        </w:tc>
        <w:tc>
          <w:tcPr>
            <w:tcW w:w="1251" w:type="pct"/>
          </w:tcPr>
          <w:p w14:paraId="246B0EF1" w14:textId="77777777" w:rsidR="00897692" w:rsidRDefault="00897692" w:rsidP="00AD6F6A">
            <w:pPr>
              <w:pStyle w:val="TableBodyText"/>
              <w:keepNext/>
              <w:spacing w:before="40" w:after="40"/>
              <w:jc w:val="center"/>
              <w:rPr>
                <w:lang w:eastAsia="fr-CA"/>
              </w:rPr>
            </w:pPr>
            <w:r>
              <w:rPr>
                <w:sz w:val="16"/>
              </w:rPr>
              <w:t>5%</w:t>
            </w:r>
          </w:p>
        </w:tc>
        <w:tc>
          <w:tcPr>
            <w:tcW w:w="1250" w:type="pct"/>
          </w:tcPr>
          <w:p w14:paraId="3A28EB39" w14:textId="77777777" w:rsidR="00897692" w:rsidRDefault="00FC4398" w:rsidP="00AD6F6A">
            <w:pPr>
              <w:pStyle w:val="TableBodyText"/>
              <w:keepNext/>
              <w:spacing w:before="40" w:after="40"/>
              <w:jc w:val="center"/>
              <w:rPr>
                <w:lang w:eastAsia="fr-CA"/>
              </w:rPr>
            </w:pPr>
            <w:r>
              <w:rPr>
                <w:sz w:val="16"/>
              </w:rPr>
              <w:t>5%</w:t>
            </w:r>
            <w:r w:rsidR="00405C06" w:rsidRPr="00405C06">
              <w:rPr>
                <w:sz w:val="16"/>
                <w:vertAlign w:val="superscript"/>
              </w:rPr>
              <w:t xml:space="preserve"> b</w:t>
            </w:r>
          </w:p>
        </w:tc>
      </w:tr>
      <w:tr w:rsidR="00D22128" w14:paraId="1CB45095" w14:textId="77777777" w:rsidTr="001A440E">
        <w:trPr>
          <w:cnfStyle w:val="000000010000" w:firstRow="0" w:lastRow="0" w:firstColumn="0" w:lastColumn="0" w:oddVBand="0" w:evenVBand="0" w:oddHBand="0" w:evenHBand="1" w:firstRowFirstColumn="0" w:firstRowLastColumn="0" w:lastRowFirstColumn="0" w:lastRowLastColumn="0"/>
          <w:cantSplit/>
        </w:trPr>
        <w:tc>
          <w:tcPr>
            <w:tcW w:w="1249" w:type="pct"/>
          </w:tcPr>
          <w:p w14:paraId="5322463F" w14:textId="77777777" w:rsidR="00D22128" w:rsidRDefault="00D22128" w:rsidP="00AD6F6A">
            <w:pPr>
              <w:pStyle w:val="TableBodyText"/>
              <w:keepNext/>
              <w:spacing w:before="40" w:after="40"/>
              <w:rPr>
                <w:lang w:eastAsia="fr-CA"/>
              </w:rPr>
            </w:pPr>
            <w:r>
              <w:rPr>
                <w:sz w:val="16"/>
              </w:rPr>
              <w:t>Option 3A</w:t>
            </w:r>
          </w:p>
        </w:tc>
        <w:tc>
          <w:tcPr>
            <w:tcW w:w="1250" w:type="pct"/>
          </w:tcPr>
          <w:p w14:paraId="64EDC217" w14:textId="77777777" w:rsidR="00D22128" w:rsidRDefault="00D22128" w:rsidP="00AD6F6A">
            <w:pPr>
              <w:pStyle w:val="TableBodyText"/>
              <w:keepNext/>
              <w:spacing w:before="40" w:after="40"/>
              <w:jc w:val="center"/>
              <w:rPr>
                <w:lang w:eastAsia="fr-CA"/>
              </w:rPr>
            </w:pPr>
            <w:r>
              <w:rPr>
                <w:sz w:val="16"/>
              </w:rPr>
              <w:t>5%</w:t>
            </w:r>
          </w:p>
        </w:tc>
        <w:tc>
          <w:tcPr>
            <w:tcW w:w="1251" w:type="pct"/>
          </w:tcPr>
          <w:p w14:paraId="103BD914" w14:textId="77777777" w:rsidR="00D22128" w:rsidRDefault="00D22128" w:rsidP="00AD6F6A">
            <w:pPr>
              <w:pStyle w:val="TableBodyText"/>
              <w:keepNext/>
              <w:spacing w:before="40" w:after="40"/>
              <w:jc w:val="center"/>
              <w:rPr>
                <w:lang w:eastAsia="fr-CA"/>
              </w:rPr>
            </w:pPr>
            <w:r>
              <w:rPr>
                <w:sz w:val="16"/>
              </w:rPr>
              <w:t>5%</w:t>
            </w:r>
          </w:p>
        </w:tc>
        <w:tc>
          <w:tcPr>
            <w:tcW w:w="1250" w:type="pct"/>
          </w:tcPr>
          <w:p w14:paraId="63039D3E" w14:textId="77777777" w:rsidR="00D22128" w:rsidRDefault="00EB1464" w:rsidP="00AD6F6A">
            <w:pPr>
              <w:pStyle w:val="TableBodyText"/>
              <w:keepNext/>
              <w:spacing w:before="40" w:after="40"/>
              <w:jc w:val="center"/>
              <w:rPr>
                <w:lang w:eastAsia="fr-CA"/>
              </w:rPr>
            </w:pPr>
            <w:r>
              <w:rPr>
                <w:sz w:val="16"/>
              </w:rPr>
              <w:t>0%</w:t>
            </w:r>
          </w:p>
        </w:tc>
      </w:tr>
      <w:tr w:rsidR="00D22128" w14:paraId="1F6F1635" w14:textId="77777777" w:rsidTr="001A440E">
        <w:trPr>
          <w:cantSplit/>
        </w:trPr>
        <w:tc>
          <w:tcPr>
            <w:tcW w:w="1249" w:type="pct"/>
          </w:tcPr>
          <w:p w14:paraId="4C841DAC" w14:textId="77777777" w:rsidR="00D22128" w:rsidRDefault="00D22128" w:rsidP="00AD6F6A">
            <w:pPr>
              <w:pStyle w:val="TableBodyText"/>
              <w:keepNext/>
              <w:spacing w:before="40" w:after="40"/>
              <w:rPr>
                <w:lang w:eastAsia="fr-CA"/>
              </w:rPr>
            </w:pPr>
            <w:r>
              <w:rPr>
                <w:sz w:val="16"/>
              </w:rPr>
              <w:t>Option 3B</w:t>
            </w:r>
          </w:p>
        </w:tc>
        <w:tc>
          <w:tcPr>
            <w:tcW w:w="1250" w:type="pct"/>
          </w:tcPr>
          <w:p w14:paraId="03733C82" w14:textId="77777777" w:rsidR="00D22128" w:rsidRDefault="00D22128" w:rsidP="00AD6F6A">
            <w:pPr>
              <w:pStyle w:val="TableBodyText"/>
              <w:keepNext/>
              <w:spacing w:before="40" w:after="40"/>
              <w:jc w:val="center"/>
              <w:rPr>
                <w:lang w:eastAsia="fr-CA"/>
              </w:rPr>
            </w:pPr>
            <w:r>
              <w:rPr>
                <w:sz w:val="16"/>
              </w:rPr>
              <w:t>5%</w:t>
            </w:r>
          </w:p>
        </w:tc>
        <w:tc>
          <w:tcPr>
            <w:tcW w:w="1251" w:type="pct"/>
          </w:tcPr>
          <w:p w14:paraId="76E505B7" w14:textId="77777777" w:rsidR="00D22128" w:rsidRDefault="00D22128" w:rsidP="00AD6F6A">
            <w:pPr>
              <w:pStyle w:val="TableBodyText"/>
              <w:keepNext/>
              <w:spacing w:before="40" w:after="40"/>
              <w:jc w:val="center"/>
              <w:rPr>
                <w:lang w:eastAsia="fr-CA"/>
              </w:rPr>
            </w:pPr>
            <w:r>
              <w:rPr>
                <w:sz w:val="16"/>
              </w:rPr>
              <w:t>8%</w:t>
            </w:r>
            <w:r w:rsidR="00826190" w:rsidRPr="00D22128">
              <w:rPr>
                <w:sz w:val="16"/>
                <w:vertAlign w:val="superscript"/>
              </w:rPr>
              <w:t>a</w:t>
            </w:r>
          </w:p>
        </w:tc>
        <w:tc>
          <w:tcPr>
            <w:tcW w:w="1250" w:type="pct"/>
          </w:tcPr>
          <w:p w14:paraId="4B192A0D" w14:textId="77777777" w:rsidR="00D22128" w:rsidRDefault="00EB1464" w:rsidP="00AD6F6A">
            <w:pPr>
              <w:pStyle w:val="TableBodyText"/>
              <w:keepNext/>
              <w:spacing w:before="40" w:after="40"/>
              <w:jc w:val="center"/>
              <w:rPr>
                <w:lang w:eastAsia="fr-CA"/>
              </w:rPr>
            </w:pPr>
            <w:r>
              <w:rPr>
                <w:sz w:val="16"/>
              </w:rPr>
              <w:t>0%</w:t>
            </w:r>
          </w:p>
        </w:tc>
      </w:tr>
      <w:tr w:rsidR="00D22128" w14:paraId="547CD8C6" w14:textId="77777777" w:rsidTr="001A440E">
        <w:trPr>
          <w:cnfStyle w:val="000000010000" w:firstRow="0" w:lastRow="0" w:firstColumn="0" w:lastColumn="0" w:oddVBand="0" w:evenVBand="0" w:oddHBand="0" w:evenHBand="1" w:firstRowFirstColumn="0" w:firstRowLastColumn="0" w:lastRowFirstColumn="0" w:lastRowLastColumn="0"/>
          <w:cantSplit/>
        </w:trPr>
        <w:tc>
          <w:tcPr>
            <w:tcW w:w="1249" w:type="pct"/>
          </w:tcPr>
          <w:p w14:paraId="03B3AECC" w14:textId="77777777" w:rsidR="00D22128" w:rsidRDefault="00D22128" w:rsidP="00AD6F6A">
            <w:pPr>
              <w:pStyle w:val="TableBodyText"/>
              <w:keepNext/>
              <w:spacing w:before="40" w:after="40"/>
              <w:rPr>
                <w:lang w:eastAsia="fr-CA"/>
              </w:rPr>
            </w:pPr>
            <w:r>
              <w:rPr>
                <w:sz w:val="16"/>
              </w:rPr>
              <w:t>Option 4</w:t>
            </w:r>
          </w:p>
        </w:tc>
        <w:tc>
          <w:tcPr>
            <w:tcW w:w="1250" w:type="pct"/>
          </w:tcPr>
          <w:p w14:paraId="1F457CC9" w14:textId="77777777" w:rsidR="00D22128" w:rsidRDefault="00D22128" w:rsidP="00AD6F6A">
            <w:pPr>
              <w:pStyle w:val="TableBodyText"/>
              <w:keepNext/>
              <w:spacing w:before="40" w:after="40"/>
              <w:jc w:val="center"/>
              <w:rPr>
                <w:lang w:eastAsia="fr-CA"/>
              </w:rPr>
            </w:pPr>
            <w:r>
              <w:rPr>
                <w:sz w:val="16"/>
              </w:rPr>
              <w:t>5%</w:t>
            </w:r>
          </w:p>
        </w:tc>
        <w:tc>
          <w:tcPr>
            <w:tcW w:w="1251" w:type="pct"/>
          </w:tcPr>
          <w:p w14:paraId="47D0F918" w14:textId="77777777" w:rsidR="00D22128" w:rsidRDefault="00D22128" w:rsidP="00AD6F6A">
            <w:pPr>
              <w:pStyle w:val="TableBodyText"/>
              <w:keepNext/>
              <w:spacing w:before="40" w:after="40"/>
              <w:jc w:val="center"/>
              <w:rPr>
                <w:lang w:eastAsia="fr-CA"/>
              </w:rPr>
            </w:pPr>
            <w:r>
              <w:rPr>
                <w:sz w:val="16"/>
              </w:rPr>
              <w:t>8%</w:t>
            </w:r>
            <w:r w:rsidR="00826190" w:rsidRPr="00D22128">
              <w:rPr>
                <w:sz w:val="16"/>
                <w:vertAlign w:val="superscript"/>
              </w:rPr>
              <w:t>a</w:t>
            </w:r>
          </w:p>
        </w:tc>
        <w:tc>
          <w:tcPr>
            <w:tcW w:w="1250" w:type="pct"/>
          </w:tcPr>
          <w:p w14:paraId="36F0F1E6" w14:textId="77777777" w:rsidR="00D22128" w:rsidRDefault="00EB1464" w:rsidP="00AD6F6A">
            <w:pPr>
              <w:pStyle w:val="TableBodyText"/>
              <w:keepNext/>
              <w:spacing w:before="40" w:after="40"/>
              <w:jc w:val="center"/>
              <w:rPr>
                <w:lang w:eastAsia="fr-CA"/>
              </w:rPr>
            </w:pPr>
            <w:r>
              <w:rPr>
                <w:sz w:val="16"/>
              </w:rPr>
              <w:t>0%</w:t>
            </w:r>
          </w:p>
        </w:tc>
      </w:tr>
    </w:tbl>
    <w:p w14:paraId="54950410" w14:textId="77777777" w:rsidR="00897692" w:rsidRPr="00360521" w:rsidRDefault="00897692" w:rsidP="00897692">
      <w:pPr>
        <w:pStyle w:val="BodyText"/>
        <w:spacing w:before="0"/>
        <w:rPr>
          <w:sz w:val="16"/>
          <w:szCs w:val="16"/>
        </w:rPr>
      </w:pPr>
      <w:r w:rsidRPr="00360521">
        <w:rPr>
          <w:sz w:val="16"/>
          <w:szCs w:val="16"/>
        </w:rPr>
        <w:t xml:space="preserve">Notes: These assumptions are indicative only and are intended to provide an indication of the magnitude of the shift of pipelines. They are not intended to pre-empt a decision that </w:t>
      </w:r>
      <w:r>
        <w:rPr>
          <w:sz w:val="16"/>
          <w:szCs w:val="16"/>
        </w:rPr>
        <w:t>would</w:t>
      </w:r>
      <w:r w:rsidRPr="00360521">
        <w:rPr>
          <w:sz w:val="16"/>
          <w:szCs w:val="16"/>
        </w:rPr>
        <w:t xml:space="preserve"> ultimately be made by the relevant decision-maker.</w:t>
      </w:r>
      <w:r w:rsidR="00D22128">
        <w:rPr>
          <w:sz w:val="16"/>
          <w:szCs w:val="16"/>
        </w:rPr>
        <w:br/>
        <w:t>a. These percentages are higher because, in contrast to options 2 and 3A, there would be no test for third party access required under these two options.</w:t>
      </w:r>
      <w:r w:rsidR="00405C06">
        <w:rPr>
          <w:sz w:val="16"/>
          <w:szCs w:val="16"/>
        </w:rPr>
        <w:br/>
        <w:t>b. These percentages are higher because</w:t>
      </w:r>
      <w:r w:rsidR="00B70BF6">
        <w:rPr>
          <w:sz w:val="16"/>
          <w:szCs w:val="16"/>
        </w:rPr>
        <w:t xml:space="preserve"> under Option 2 pipelines that can demonstrate that they lack substantial market power and greenfield pipelines would be able to obtain a full exemption from regulation (although they would still be subject to basic information disclosure obligations).  </w:t>
      </w:r>
      <w:r w:rsidR="00D22128">
        <w:rPr>
          <w:sz w:val="16"/>
          <w:szCs w:val="16"/>
        </w:rPr>
        <w:t xml:space="preserve">  </w:t>
      </w:r>
    </w:p>
    <w:p w14:paraId="73C9B55F" w14:textId="3C2F78C4" w:rsidR="00897692" w:rsidRDefault="00897692" w:rsidP="00BD191C">
      <w:pPr>
        <w:pStyle w:val="Caption"/>
        <w:spacing w:after="0"/>
      </w:pPr>
      <w:bookmarkStart w:id="206" w:name="_Ref50033903"/>
      <w:r>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9</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3</w:t>
      </w:r>
      <w:r w:rsidR="00F323B2">
        <w:rPr>
          <w:noProof/>
        </w:rPr>
        <w:fldChar w:fldCharType="end"/>
      </w:r>
      <w:bookmarkEnd w:id="206"/>
      <w:r>
        <w:t xml:space="preserve">: </w:t>
      </w:r>
      <w:r w:rsidR="00BD191C">
        <w:t>E</w:t>
      </w:r>
      <w:r>
        <w:t xml:space="preserve">stimate of </w:t>
      </w:r>
      <w:r w:rsidR="00BD191C">
        <w:t xml:space="preserve">the </w:t>
      </w:r>
      <w:r>
        <w:t xml:space="preserve">number of pipelines subject to each form of regulation </w:t>
      </w:r>
    </w:p>
    <w:tbl>
      <w:tblPr>
        <w:tblStyle w:val="TableGrid"/>
        <w:tblW w:w="5000" w:type="pct"/>
        <w:tblLayout w:type="fixed"/>
        <w:tblLook w:val="0420" w:firstRow="1" w:lastRow="0" w:firstColumn="0" w:lastColumn="0" w:noHBand="0" w:noVBand="1"/>
      </w:tblPr>
      <w:tblGrid>
        <w:gridCol w:w="2195"/>
        <w:gridCol w:w="2197"/>
        <w:gridCol w:w="1137"/>
        <w:gridCol w:w="1062"/>
        <w:gridCol w:w="2197"/>
      </w:tblGrid>
      <w:tr w:rsidR="00897692" w:rsidRPr="002D4092" w14:paraId="36043DA9" w14:textId="77777777" w:rsidTr="00E83061">
        <w:trPr>
          <w:cnfStyle w:val="100000000000" w:firstRow="1" w:lastRow="0" w:firstColumn="0" w:lastColumn="0" w:oddVBand="0" w:evenVBand="0" w:oddHBand="0" w:evenHBand="0" w:firstRowFirstColumn="0" w:firstRowLastColumn="0" w:lastRowFirstColumn="0" w:lastRowLastColumn="0"/>
          <w:cantSplit/>
          <w:tblHeader/>
        </w:trPr>
        <w:tc>
          <w:tcPr>
            <w:tcW w:w="1249" w:type="pct"/>
            <w:shd w:val="clear" w:color="auto" w:fill="002060"/>
          </w:tcPr>
          <w:p w14:paraId="1C3FFC5E" w14:textId="77777777" w:rsidR="00897692" w:rsidRPr="002D4092" w:rsidRDefault="00897692" w:rsidP="006165C9">
            <w:pPr>
              <w:pStyle w:val="TableHeading"/>
              <w:spacing w:before="20" w:after="20"/>
              <w:rPr>
                <w:rFonts w:asciiTheme="majorHAnsi" w:hAnsiTheme="majorHAnsi" w:cstheme="majorHAnsi"/>
                <w:sz w:val="16"/>
                <w:szCs w:val="16"/>
                <w:lang w:eastAsia="fr-CA"/>
              </w:rPr>
            </w:pPr>
            <w:r w:rsidRPr="002D4092">
              <w:rPr>
                <w:rFonts w:asciiTheme="majorHAnsi" w:hAnsiTheme="majorHAnsi" w:cstheme="majorHAnsi"/>
                <w:sz w:val="16"/>
                <w:szCs w:val="16"/>
                <w:lang w:eastAsia="fr-CA"/>
              </w:rPr>
              <w:t>Option</w:t>
            </w:r>
          </w:p>
        </w:tc>
        <w:tc>
          <w:tcPr>
            <w:tcW w:w="1250" w:type="pct"/>
            <w:shd w:val="clear" w:color="auto" w:fill="002060"/>
          </w:tcPr>
          <w:p w14:paraId="5DC1698E" w14:textId="77777777" w:rsidR="00897692" w:rsidRPr="002D4092" w:rsidRDefault="00531979" w:rsidP="006165C9">
            <w:pPr>
              <w:pStyle w:val="TableHeading"/>
              <w:spacing w:before="20" w:after="20"/>
              <w:jc w:val="center"/>
              <w:rPr>
                <w:rFonts w:asciiTheme="majorHAnsi" w:hAnsiTheme="majorHAnsi" w:cstheme="majorHAnsi"/>
                <w:sz w:val="16"/>
                <w:szCs w:val="16"/>
                <w:lang w:eastAsia="fr-CA"/>
              </w:rPr>
            </w:pPr>
            <w:r>
              <w:rPr>
                <w:rFonts w:asciiTheme="majorHAnsi" w:hAnsiTheme="majorHAnsi" w:cstheme="majorHAnsi"/>
                <w:sz w:val="16"/>
                <w:szCs w:val="16"/>
                <w:lang w:eastAsia="fr-CA"/>
              </w:rPr>
              <w:t>Stronger</w:t>
            </w:r>
            <w:r w:rsidR="00897692" w:rsidRPr="002D4092">
              <w:rPr>
                <w:rFonts w:asciiTheme="majorHAnsi" w:hAnsiTheme="majorHAnsi" w:cstheme="majorHAnsi"/>
                <w:sz w:val="16"/>
                <w:szCs w:val="16"/>
                <w:lang w:eastAsia="fr-CA"/>
              </w:rPr>
              <w:t xml:space="preserve"> form of regulation</w:t>
            </w:r>
          </w:p>
        </w:tc>
        <w:tc>
          <w:tcPr>
            <w:tcW w:w="1251" w:type="pct"/>
            <w:gridSpan w:val="2"/>
            <w:shd w:val="clear" w:color="auto" w:fill="002060"/>
          </w:tcPr>
          <w:p w14:paraId="5FFB4A65" w14:textId="77777777" w:rsidR="00897692" w:rsidRPr="002D4092" w:rsidRDefault="00531979" w:rsidP="006165C9">
            <w:pPr>
              <w:pStyle w:val="TableHeading"/>
              <w:spacing w:before="20" w:after="20"/>
              <w:jc w:val="center"/>
              <w:rPr>
                <w:rFonts w:asciiTheme="majorHAnsi" w:hAnsiTheme="majorHAnsi" w:cstheme="majorHAnsi"/>
                <w:sz w:val="16"/>
                <w:szCs w:val="16"/>
                <w:lang w:eastAsia="fr-CA"/>
              </w:rPr>
            </w:pPr>
            <w:r>
              <w:rPr>
                <w:rFonts w:asciiTheme="majorHAnsi" w:hAnsiTheme="majorHAnsi" w:cstheme="majorHAnsi"/>
                <w:sz w:val="16"/>
                <w:szCs w:val="16"/>
                <w:lang w:eastAsia="fr-CA"/>
              </w:rPr>
              <w:t>Lighter</w:t>
            </w:r>
            <w:r w:rsidR="00897692" w:rsidRPr="002D4092">
              <w:rPr>
                <w:rFonts w:asciiTheme="majorHAnsi" w:hAnsiTheme="majorHAnsi" w:cstheme="majorHAnsi"/>
                <w:sz w:val="16"/>
                <w:szCs w:val="16"/>
                <w:lang w:eastAsia="fr-CA"/>
              </w:rPr>
              <w:t xml:space="preserve"> form of regulation</w:t>
            </w:r>
          </w:p>
        </w:tc>
        <w:tc>
          <w:tcPr>
            <w:tcW w:w="1250" w:type="pct"/>
            <w:shd w:val="clear" w:color="auto" w:fill="002060"/>
          </w:tcPr>
          <w:p w14:paraId="4661EE6A" w14:textId="77777777" w:rsidR="00897692" w:rsidRPr="002D4092" w:rsidRDefault="00897692" w:rsidP="006165C9">
            <w:pPr>
              <w:pStyle w:val="TableHeading"/>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lang w:eastAsia="fr-CA"/>
              </w:rPr>
              <w:t>Exempt from regulation</w:t>
            </w:r>
          </w:p>
        </w:tc>
      </w:tr>
      <w:tr w:rsidR="00897692" w:rsidRPr="002D4092" w14:paraId="089E9A44" w14:textId="77777777" w:rsidTr="00E83061">
        <w:trPr>
          <w:cantSplit/>
        </w:trPr>
        <w:tc>
          <w:tcPr>
            <w:tcW w:w="1249" w:type="pct"/>
          </w:tcPr>
          <w:p w14:paraId="5BBE5E79" w14:textId="77777777" w:rsidR="00897692" w:rsidRPr="002D4092" w:rsidRDefault="00897692" w:rsidP="006165C9">
            <w:pPr>
              <w:pStyle w:val="TableBodyText"/>
              <w:spacing w:before="20" w:after="20"/>
              <w:rPr>
                <w:rFonts w:asciiTheme="majorHAnsi" w:hAnsiTheme="majorHAnsi" w:cstheme="majorHAnsi"/>
                <w:b/>
                <w:bCs/>
                <w:sz w:val="16"/>
                <w:szCs w:val="16"/>
                <w:lang w:eastAsia="fr-CA"/>
              </w:rPr>
            </w:pPr>
            <w:r w:rsidRPr="002D4092">
              <w:rPr>
                <w:rFonts w:asciiTheme="majorHAnsi" w:hAnsiTheme="majorHAnsi" w:cstheme="majorHAnsi"/>
                <w:b/>
                <w:bCs/>
                <w:sz w:val="16"/>
                <w:szCs w:val="16"/>
                <w:lang w:eastAsia="fr-CA"/>
              </w:rPr>
              <w:t>Current forms of regulation</w:t>
            </w:r>
          </w:p>
        </w:tc>
        <w:tc>
          <w:tcPr>
            <w:tcW w:w="1250" w:type="pct"/>
          </w:tcPr>
          <w:p w14:paraId="313B3F3E" w14:textId="77777777" w:rsidR="00897692" w:rsidRPr="002D4092" w:rsidRDefault="00897692" w:rsidP="006165C9">
            <w:pPr>
              <w:pStyle w:val="TableBodyText"/>
              <w:spacing w:before="20" w:after="20"/>
              <w:jc w:val="center"/>
              <w:rPr>
                <w:rFonts w:asciiTheme="majorHAnsi" w:hAnsiTheme="majorHAnsi" w:cstheme="majorHAnsi"/>
                <w:b/>
                <w:bCs/>
                <w:sz w:val="16"/>
                <w:szCs w:val="16"/>
                <w:lang w:eastAsia="fr-CA"/>
              </w:rPr>
            </w:pPr>
            <w:r w:rsidRPr="002D4092">
              <w:rPr>
                <w:rFonts w:asciiTheme="majorHAnsi" w:hAnsiTheme="majorHAnsi" w:cstheme="majorHAnsi"/>
                <w:b/>
                <w:bCs/>
                <w:sz w:val="16"/>
                <w:szCs w:val="16"/>
                <w:lang w:eastAsia="fr-CA"/>
              </w:rPr>
              <w:t>Full regulation</w:t>
            </w:r>
          </w:p>
        </w:tc>
        <w:tc>
          <w:tcPr>
            <w:tcW w:w="647" w:type="pct"/>
          </w:tcPr>
          <w:p w14:paraId="48F60DF5" w14:textId="77777777" w:rsidR="00897692" w:rsidRPr="002D4092" w:rsidRDefault="00897692" w:rsidP="006165C9">
            <w:pPr>
              <w:pStyle w:val="TableBodyText"/>
              <w:spacing w:before="20" w:after="20"/>
              <w:jc w:val="center"/>
              <w:rPr>
                <w:rFonts w:asciiTheme="majorHAnsi" w:hAnsiTheme="majorHAnsi" w:cstheme="majorHAnsi"/>
                <w:b/>
                <w:bCs/>
                <w:sz w:val="16"/>
                <w:szCs w:val="16"/>
                <w:lang w:eastAsia="fr-CA"/>
              </w:rPr>
            </w:pPr>
            <w:r w:rsidRPr="002D4092">
              <w:rPr>
                <w:rFonts w:asciiTheme="majorHAnsi" w:hAnsiTheme="majorHAnsi" w:cstheme="majorHAnsi"/>
                <w:b/>
                <w:bCs/>
                <w:sz w:val="16"/>
                <w:szCs w:val="16"/>
                <w:lang w:eastAsia="fr-CA"/>
              </w:rPr>
              <w:t>Light regulation</w:t>
            </w:r>
          </w:p>
        </w:tc>
        <w:tc>
          <w:tcPr>
            <w:tcW w:w="604" w:type="pct"/>
          </w:tcPr>
          <w:p w14:paraId="22824114" w14:textId="77777777" w:rsidR="00897692" w:rsidRPr="002D4092" w:rsidRDefault="00897692" w:rsidP="006165C9">
            <w:pPr>
              <w:pStyle w:val="TableBodyText"/>
              <w:spacing w:before="20" w:after="20"/>
              <w:jc w:val="center"/>
              <w:rPr>
                <w:rFonts w:asciiTheme="majorHAnsi" w:hAnsiTheme="majorHAnsi" w:cstheme="majorHAnsi"/>
                <w:b/>
                <w:bCs/>
                <w:sz w:val="16"/>
                <w:szCs w:val="16"/>
                <w:lang w:eastAsia="fr-CA"/>
              </w:rPr>
            </w:pPr>
            <w:r w:rsidRPr="002D4092">
              <w:rPr>
                <w:rFonts w:asciiTheme="majorHAnsi" w:hAnsiTheme="majorHAnsi" w:cstheme="majorHAnsi"/>
                <w:b/>
                <w:bCs/>
                <w:sz w:val="16"/>
                <w:szCs w:val="16"/>
                <w:lang w:eastAsia="fr-CA"/>
              </w:rPr>
              <w:t>Part 23</w:t>
            </w:r>
          </w:p>
        </w:tc>
        <w:tc>
          <w:tcPr>
            <w:tcW w:w="1250" w:type="pct"/>
          </w:tcPr>
          <w:p w14:paraId="7A076445" w14:textId="77777777" w:rsidR="00897692" w:rsidRPr="002D4092" w:rsidRDefault="00897692" w:rsidP="006165C9">
            <w:pPr>
              <w:pStyle w:val="TableBodyText"/>
              <w:spacing w:before="20" w:after="20"/>
              <w:jc w:val="center"/>
              <w:rPr>
                <w:rFonts w:asciiTheme="majorHAnsi" w:hAnsiTheme="majorHAnsi" w:cstheme="majorHAnsi"/>
                <w:b/>
                <w:bCs/>
                <w:sz w:val="16"/>
                <w:szCs w:val="16"/>
                <w:lang w:eastAsia="fr-CA"/>
              </w:rPr>
            </w:pPr>
            <w:r w:rsidRPr="002D4092">
              <w:rPr>
                <w:rFonts w:asciiTheme="majorHAnsi" w:hAnsiTheme="majorHAnsi" w:cstheme="majorHAnsi"/>
                <w:b/>
                <w:bCs/>
                <w:sz w:val="16"/>
                <w:szCs w:val="16"/>
                <w:lang w:eastAsia="fr-CA"/>
              </w:rPr>
              <w:t>Not providing third party access</w:t>
            </w:r>
          </w:p>
        </w:tc>
      </w:tr>
      <w:tr w:rsidR="00897692" w:rsidRPr="002D4092" w14:paraId="41EC6EEC" w14:textId="77777777" w:rsidTr="00E83061">
        <w:trPr>
          <w:cnfStyle w:val="000000010000" w:firstRow="0" w:lastRow="0" w:firstColumn="0" w:lastColumn="0" w:oddVBand="0" w:evenVBand="0" w:oddHBand="0" w:evenHBand="1" w:firstRowFirstColumn="0" w:firstRowLastColumn="0" w:lastRowFirstColumn="0" w:lastRowLastColumn="0"/>
          <w:cantSplit/>
        </w:trPr>
        <w:tc>
          <w:tcPr>
            <w:tcW w:w="1249" w:type="pct"/>
            <w:tcBorders>
              <w:bottom w:val="single" w:sz="4" w:space="0" w:color="auto"/>
            </w:tcBorders>
          </w:tcPr>
          <w:p w14:paraId="4790C518" w14:textId="77777777" w:rsidR="00897692" w:rsidRPr="002D4092" w:rsidRDefault="00897692" w:rsidP="006165C9">
            <w:pPr>
              <w:pStyle w:val="TableBodyText"/>
              <w:spacing w:before="20" w:after="20"/>
              <w:rPr>
                <w:rFonts w:asciiTheme="majorHAnsi" w:hAnsiTheme="majorHAnsi" w:cstheme="majorHAnsi"/>
                <w:sz w:val="16"/>
                <w:szCs w:val="16"/>
                <w:lang w:eastAsia="fr-CA"/>
              </w:rPr>
            </w:pPr>
            <w:r w:rsidRPr="002D4092">
              <w:rPr>
                <w:rFonts w:asciiTheme="majorHAnsi" w:hAnsiTheme="majorHAnsi" w:cstheme="majorHAnsi"/>
                <w:sz w:val="16"/>
                <w:szCs w:val="16"/>
                <w:lang w:eastAsia="fr-CA"/>
              </w:rPr>
              <w:t>Option 1 (status quo)</w:t>
            </w:r>
          </w:p>
        </w:tc>
        <w:tc>
          <w:tcPr>
            <w:tcW w:w="1250" w:type="pct"/>
            <w:tcBorders>
              <w:bottom w:val="single" w:sz="4" w:space="0" w:color="auto"/>
            </w:tcBorders>
          </w:tcPr>
          <w:p w14:paraId="17E611DF"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lang w:eastAsia="fr-CA"/>
              </w:rPr>
              <w:t>13</w:t>
            </w:r>
          </w:p>
        </w:tc>
        <w:tc>
          <w:tcPr>
            <w:tcW w:w="647" w:type="pct"/>
            <w:tcBorders>
              <w:bottom w:val="single" w:sz="4" w:space="0" w:color="auto"/>
            </w:tcBorders>
          </w:tcPr>
          <w:p w14:paraId="70485DEB"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lang w:eastAsia="fr-CA"/>
              </w:rPr>
              <w:t>5.5</w:t>
            </w:r>
          </w:p>
        </w:tc>
        <w:tc>
          <w:tcPr>
            <w:tcW w:w="604" w:type="pct"/>
            <w:tcBorders>
              <w:bottom w:val="single" w:sz="4" w:space="0" w:color="auto"/>
            </w:tcBorders>
          </w:tcPr>
          <w:p w14:paraId="2347EC45"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lang w:eastAsia="fr-CA"/>
              </w:rPr>
              <w:t>81.5</w:t>
            </w:r>
          </w:p>
        </w:tc>
        <w:tc>
          <w:tcPr>
            <w:tcW w:w="1250" w:type="pct"/>
            <w:tcBorders>
              <w:bottom w:val="single" w:sz="4" w:space="0" w:color="auto"/>
            </w:tcBorders>
          </w:tcPr>
          <w:p w14:paraId="193FDC20"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lang w:eastAsia="fr-CA"/>
              </w:rPr>
              <w:t>55</w:t>
            </w:r>
          </w:p>
        </w:tc>
      </w:tr>
      <w:tr w:rsidR="00897692" w:rsidRPr="002D4092" w14:paraId="05F3EEB7" w14:textId="77777777" w:rsidTr="00E83061">
        <w:trPr>
          <w:cantSplit/>
        </w:trPr>
        <w:tc>
          <w:tcPr>
            <w:tcW w:w="5000" w:type="pct"/>
            <w:gridSpan w:val="5"/>
            <w:shd w:val="clear" w:color="auto" w:fill="65697F" w:themeFill="background2" w:themeFillShade="80"/>
          </w:tcPr>
          <w:p w14:paraId="26682F86" w14:textId="77777777" w:rsidR="00897692" w:rsidRPr="002D4092" w:rsidRDefault="00897692" w:rsidP="006165C9">
            <w:pPr>
              <w:pStyle w:val="TableBodyText"/>
              <w:spacing w:before="20" w:after="20"/>
              <w:jc w:val="center"/>
              <w:rPr>
                <w:rFonts w:asciiTheme="majorHAnsi" w:hAnsiTheme="majorHAnsi" w:cstheme="majorHAnsi"/>
                <w:b/>
                <w:bCs/>
                <w:color w:val="FFFFFF" w:themeColor="background1"/>
                <w:sz w:val="16"/>
                <w:szCs w:val="16"/>
                <w:lang w:eastAsia="fr-CA"/>
              </w:rPr>
            </w:pPr>
            <w:r w:rsidRPr="002D4092">
              <w:rPr>
                <w:rFonts w:asciiTheme="majorHAnsi" w:hAnsiTheme="majorHAnsi" w:cstheme="majorHAnsi"/>
                <w:b/>
                <w:bCs/>
                <w:color w:val="FFFFFF" w:themeColor="background1"/>
                <w:sz w:val="16"/>
                <w:szCs w:val="16"/>
                <w:lang w:eastAsia="fr-CA"/>
              </w:rPr>
              <w:t>Scenario 1 – High impact</w:t>
            </w:r>
          </w:p>
        </w:tc>
      </w:tr>
      <w:tr w:rsidR="00897692" w:rsidRPr="002D4092" w14:paraId="3F0E4366" w14:textId="77777777" w:rsidTr="00E83061">
        <w:trPr>
          <w:cnfStyle w:val="000000010000" w:firstRow="0" w:lastRow="0" w:firstColumn="0" w:lastColumn="0" w:oddVBand="0" w:evenVBand="0" w:oddHBand="0" w:evenHBand="1" w:firstRowFirstColumn="0" w:firstRowLastColumn="0" w:lastRowFirstColumn="0" w:lastRowLastColumn="0"/>
          <w:cantSplit/>
        </w:trPr>
        <w:tc>
          <w:tcPr>
            <w:tcW w:w="1249" w:type="pct"/>
          </w:tcPr>
          <w:p w14:paraId="7A199D72" w14:textId="77777777" w:rsidR="00897692" w:rsidRPr="002D4092" w:rsidRDefault="00897692" w:rsidP="006165C9">
            <w:pPr>
              <w:pStyle w:val="TableBodyText"/>
              <w:spacing w:before="20" w:after="20"/>
              <w:rPr>
                <w:rFonts w:asciiTheme="majorHAnsi" w:hAnsiTheme="majorHAnsi" w:cstheme="majorHAnsi"/>
                <w:sz w:val="16"/>
                <w:szCs w:val="16"/>
                <w:lang w:eastAsia="fr-CA"/>
              </w:rPr>
            </w:pPr>
            <w:r w:rsidRPr="002D4092">
              <w:rPr>
                <w:rFonts w:asciiTheme="majorHAnsi" w:hAnsiTheme="majorHAnsi" w:cstheme="majorHAnsi"/>
                <w:sz w:val="16"/>
                <w:szCs w:val="16"/>
              </w:rPr>
              <w:t>Option 2</w:t>
            </w:r>
          </w:p>
        </w:tc>
        <w:tc>
          <w:tcPr>
            <w:tcW w:w="1250" w:type="pct"/>
          </w:tcPr>
          <w:p w14:paraId="43BA1CBE"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22 (+9)</w:t>
            </w:r>
          </w:p>
        </w:tc>
        <w:tc>
          <w:tcPr>
            <w:tcW w:w="1251" w:type="pct"/>
            <w:gridSpan w:val="2"/>
          </w:tcPr>
          <w:p w14:paraId="55ED8874"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75 (-12)</w:t>
            </w:r>
          </w:p>
        </w:tc>
        <w:tc>
          <w:tcPr>
            <w:tcW w:w="1250" w:type="pct"/>
          </w:tcPr>
          <w:p w14:paraId="1498A568"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58 (+3)</w:t>
            </w:r>
          </w:p>
        </w:tc>
      </w:tr>
      <w:tr w:rsidR="00897692" w:rsidRPr="002D4092" w14:paraId="0BE83EB2" w14:textId="77777777" w:rsidTr="00E83061">
        <w:trPr>
          <w:cantSplit/>
        </w:trPr>
        <w:tc>
          <w:tcPr>
            <w:tcW w:w="1249" w:type="pct"/>
          </w:tcPr>
          <w:p w14:paraId="213C77DF" w14:textId="77777777" w:rsidR="00897692" w:rsidRPr="002D4092" w:rsidRDefault="00897692" w:rsidP="006165C9">
            <w:pPr>
              <w:pStyle w:val="TableBodyText"/>
              <w:spacing w:before="20" w:after="20"/>
              <w:rPr>
                <w:rFonts w:asciiTheme="majorHAnsi" w:hAnsiTheme="majorHAnsi" w:cstheme="majorHAnsi"/>
                <w:sz w:val="16"/>
                <w:szCs w:val="16"/>
                <w:lang w:eastAsia="fr-CA"/>
              </w:rPr>
            </w:pPr>
            <w:r w:rsidRPr="002D4092">
              <w:rPr>
                <w:rFonts w:asciiTheme="majorHAnsi" w:hAnsiTheme="majorHAnsi" w:cstheme="majorHAnsi"/>
                <w:sz w:val="16"/>
                <w:szCs w:val="16"/>
              </w:rPr>
              <w:t>Option 3A</w:t>
            </w:r>
          </w:p>
        </w:tc>
        <w:tc>
          <w:tcPr>
            <w:tcW w:w="1250" w:type="pct"/>
          </w:tcPr>
          <w:p w14:paraId="27CF7B5B"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22 (+9)</w:t>
            </w:r>
          </w:p>
        </w:tc>
        <w:tc>
          <w:tcPr>
            <w:tcW w:w="1251" w:type="pct"/>
            <w:gridSpan w:val="2"/>
          </w:tcPr>
          <w:p w14:paraId="5DBC27A0"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84 (-3)</w:t>
            </w:r>
          </w:p>
        </w:tc>
        <w:tc>
          <w:tcPr>
            <w:tcW w:w="1250" w:type="pct"/>
          </w:tcPr>
          <w:p w14:paraId="16490F9A"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49 (-6)</w:t>
            </w:r>
          </w:p>
        </w:tc>
      </w:tr>
      <w:tr w:rsidR="00897692" w:rsidRPr="002D4092" w14:paraId="2E6E40A8" w14:textId="77777777" w:rsidTr="00E83061">
        <w:trPr>
          <w:cnfStyle w:val="000000010000" w:firstRow="0" w:lastRow="0" w:firstColumn="0" w:lastColumn="0" w:oddVBand="0" w:evenVBand="0" w:oddHBand="0" w:evenHBand="1" w:firstRowFirstColumn="0" w:firstRowLastColumn="0" w:lastRowFirstColumn="0" w:lastRowLastColumn="0"/>
          <w:cantSplit/>
        </w:trPr>
        <w:tc>
          <w:tcPr>
            <w:tcW w:w="1249" w:type="pct"/>
          </w:tcPr>
          <w:p w14:paraId="67B9EB88" w14:textId="77777777" w:rsidR="00897692" w:rsidRPr="002D4092" w:rsidRDefault="00897692" w:rsidP="006165C9">
            <w:pPr>
              <w:pStyle w:val="TableBodyText"/>
              <w:spacing w:before="20" w:after="20"/>
              <w:rPr>
                <w:rFonts w:asciiTheme="majorHAnsi" w:hAnsiTheme="majorHAnsi" w:cstheme="majorHAnsi"/>
                <w:sz w:val="16"/>
                <w:szCs w:val="16"/>
                <w:lang w:eastAsia="fr-CA"/>
              </w:rPr>
            </w:pPr>
            <w:r w:rsidRPr="002D4092">
              <w:rPr>
                <w:rFonts w:asciiTheme="majorHAnsi" w:hAnsiTheme="majorHAnsi" w:cstheme="majorHAnsi"/>
                <w:sz w:val="16"/>
                <w:szCs w:val="16"/>
              </w:rPr>
              <w:t>Option 3B</w:t>
            </w:r>
          </w:p>
        </w:tc>
        <w:tc>
          <w:tcPr>
            <w:tcW w:w="1250" w:type="pct"/>
          </w:tcPr>
          <w:p w14:paraId="628DBB70"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22 (+9)</w:t>
            </w:r>
          </w:p>
        </w:tc>
        <w:tc>
          <w:tcPr>
            <w:tcW w:w="1251" w:type="pct"/>
            <w:gridSpan w:val="2"/>
          </w:tcPr>
          <w:p w14:paraId="725C9B44"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87 (0)</w:t>
            </w:r>
          </w:p>
        </w:tc>
        <w:tc>
          <w:tcPr>
            <w:tcW w:w="1250" w:type="pct"/>
          </w:tcPr>
          <w:p w14:paraId="65BD68E7"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46 (-9)</w:t>
            </w:r>
          </w:p>
        </w:tc>
      </w:tr>
      <w:tr w:rsidR="00897692" w:rsidRPr="002D4092" w14:paraId="4CE6967C" w14:textId="77777777" w:rsidTr="00E83061">
        <w:trPr>
          <w:cantSplit/>
        </w:trPr>
        <w:tc>
          <w:tcPr>
            <w:tcW w:w="1249" w:type="pct"/>
            <w:tcBorders>
              <w:bottom w:val="single" w:sz="4" w:space="0" w:color="auto"/>
            </w:tcBorders>
          </w:tcPr>
          <w:p w14:paraId="56B34598" w14:textId="77777777" w:rsidR="00897692" w:rsidRPr="002D4092" w:rsidRDefault="00897692" w:rsidP="006165C9">
            <w:pPr>
              <w:pStyle w:val="TableBodyText"/>
              <w:spacing w:before="20" w:after="20"/>
              <w:rPr>
                <w:rFonts w:asciiTheme="majorHAnsi" w:hAnsiTheme="majorHAnsi" w:cstheme="majorHAnsi"/>
                <w:sz w:val="16"/>
                <w:szCs w:val="16"/>
                <w:lang w:eastAsia="fr-CA"/>
              </w:rPr>
            </w:pPr>
            <w:r w:rsidRPr="002D4092">
              <w:rPr>
                <w:rFonts w:asciiTheme="majorHAnsi" w:hAnsiTheme="majorHAnsi" w:cstheme="majorHAnsi"/>
                <w:sz w:val="16"/>
                <w:szCs w:val="16"/>
              </w:rPr>
              <w:t>Option 4</w:t>
            </w:r>
          </w:p>
        </w:tc>
        <w:tc>
          <w:tcPr>
            <w:tcW w:w="1250" w:type="pct"/>
            <w:tcBorders>
              <w:bottom w:val="single" w:sz="4" w:space="0" w:color="auto"/>
            </w:tcBorders>
          </w:tcPr>
          <w:p w14:paraId="3681CCE2"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22 (+9)</w:t>
            </w:r>
          </w:p>
        </w:tc>
        <w:tc>
          <w:tcPr>
            <w:tcW w:w="1251" w:type="pct"/>
            <w:gridSpan w:val="2"/>
            <w:tcBorders>
              <w:bottom w:val="single" w:sz="4" w:space="0" w:color="auto"/>
            </w:tcBorders>
          </w:tcPr>
          <w:p w14:paraId="2C9DCCD3"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87 (0)</w:t>
            </w:r>
          </w:p>
        </w:tc>
        <w:tc>
          <w:tcPr>
            <w:tcW w:w="1250" w:type="pct"/>
            <w:tcBorders>
              <w:bottom w:val="single" w:sz="4" w:space="0" w:color="auto"/>
            </w:tcBorders>
          </w:tcPr>
          <w:p w14:paraId="3CC78282"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46 (-9)</w:t>
            </w:r>
          </w:p>
        </w:tc>
      </w:tr>
      <w:tr w:rsidR="00897692" w:rsidRPr="002D4092" w14:paraId="26646166" w14:textId="77777777" w:rsidTr="00E83061">
        <w:trPr>
          <w:cnfStyle w:val="000000010000" w:firstRow="0" w:lastRow="0" w:firstColumn="0" w:lastColumn="0" w:oddVBand="0" w:evenVBand="0" w:oddHBand="0" w:evenHBand="1" w:firstRowFirstColumn="0" w:firstRowLastColumn="0" w:lastRowFirstColumn="0" w:lastRowLastColumn="0"/>
          <w:cantSplit/>
        </w:trPr>
        <w:tc>
          <w:tcPr>
            <w:tcW w:w="5000" w:type="pct"/>
            <w:gridSpan w:val="5"/>
            <w:shd w:val="clear" w:color="auto" w:fill="65697F" w:themeFill="background2" w:themeFillShade="80"/>
          </w:tcPr>
          <w:p w14:paraId="4527E40B" w14:textId="77777777" w:rsidR="00897692" w:rsidRPr="002D4092" w:rsidRDefault="00897692" w:rsidP="006165C9">
            <w:pPr>
              <w:pStyle w:val="TableBodyText"/>
              <w:spacing w:before="20" w:after="20"/>
              <w:jc w:val="center"/>
              <w:rPr>
                <w:rFonts w:asciiTheme="majorHAnsi" w:hAnsiTheme="majorHAnsi" w:cstheme="majorHAnsi"/>
                <w:b/>
                <w:bCs/>
                <w:color w:val="FFFFFF" w:themeColor="background1"/>
                <w:sz w:val="16"/>
                <w:szCs w:val="16"/>
                <w:lang w:eastAsia="fr-CA"/>
              </w:rPr>
            </w:pPr>
            <w:r w:rsidRPr="002D4092">
              <w:rPr>
                <w:rFonts w:asciiTheme="majorHAnsi" w:hAnsiTheme="majorHAnsi" w:cstheme="majorHAnsi"/>
                <w:b/>
                <w:bCs/>
                <w:color w:val="FFFFFF" w:themeColor="background1"/>
                <w:sz w:val="16"/>
                <w:szCs w:val="16"/>
                <w:lang w:eastAsia="fr-CA"/>
              </w:rPr>
              <w:t>Scenario 2 – Low impact</w:t>
            </w:r>
          </w:p>
        </w:tc>
      </w:tr>
      <w:tr w:rsidR="00897692" w:rsidRPr="002D4092" w14:paraId="741CDC1E" w14:textId="77777777" w:rsidTr="00E83061">
        <w:trPr>
          <w:cantSplit/>
        </w:trPr>
        <w:tc>
          <w:tcPr>
            <w:tcW w:w="1249" w:type="pct"/>
          </w:tcPr>
          <w:p w14:paraId="73F95301" w14:textId="77777777" w:rsidR="00897692" w:rsidRPr="002D4092" w:rsidRDefault="00897692" w:rsidP="006165C9">
            <w:pPr>
              <w:pStyle w:val="TableBodyText"/>
              <w:spacing w:before="20" w:after="20"/>
              <w:rPr>
                <w:rFonts w:asciiTheme="majorHAnsi" w:hAnsiTheme="majorHAnsi" w:cstheme="majorHAnsi"/>
                <w:sz w:val="16"/>
                <w:szCs w:val="16"/>
                <w:lang w:eastAsia="fr-CA"/>
              </w:rPr>
            </w:pPr>
            <w:r w:rsidRPr="002D4092">
              <w:rPr>
                <w:rFonts w:asciiTheme="majorHAnsi" w:hAnsiTheme="majorHAnsi" w:cstheme="majorHAnsi"/>
                <w:sz w:val="16"/>
                <w:szCs w:val="16"/>
              </w:rPr>
              <w:t>Option 2</w:t>
            </w:r>
          </w:p>
        </w:tc>
        <w:tc>
          <w:tcPr>
            <w:tcW w:w="1250" w:type="pct"/>
          </w:tcPr>
          <w:p w14:paraId="3EF23C1C"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18 (+5)</w:t>
            </w:r>
          </w:p>
        </w:tc>
        <w:tc>
          <w:tcPr>
            <w:tcW w:w="1251" w:type="pct"/>
            <w:gridSpan w:val="2"/>
          </w:tcPr>
          <w:p w14:paraId="6DF8C3A1"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80 (-7)</w:t>
            </w:r>
          </w:p>
        </w:tc>
        <w:tc>
          <w:tcPr>
            <w:tcW w:w="1250" w:type="pct"/>
          </w:tcPr>
          <w:p w14:paraId="7B75DFEF"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57 (+2)</w:t>
            </w:r>
          </w:p>
        </w:tc>
      </w:tr>
      <w:tr w:rsidR="00897692" w:rsidRPr="002D4092" w14:paraId="0094C4F5" w14:textId="77777777" w:rsidTr="00E83061">
        <w:trPr>
          <w:cnfStyle w:val="000000010000" w:firstRow="0" w:lastRow="0" w:firstColumn="0" w:lastColumn="0" w:oddVBand="0" w:evenVBand="0" w:oddHBand="0" w:evenHBand="1" w:firstRowFirstColumn="0" w:firstRowLastColumn="0" w:lastRowFirstColumn="0" w:lastRowLastColumn="0"/>
          <w:cantSplit/>
        </w:trPr>
        <w:tc>
          <w:tcPr>
            <w:tcW w:w="1249" w:type="pct"/>
          </w:tcPr>
          <w:p w14:paraId="12355453" w14:textId="77777777" w:rsidR="00897692" w:rsidRPr="002D4092" w:rsidRDefault="00897692" w:rsidP="006165C9">
            <w:pPr>
              <w:pStyle w:val="TableBodyText"/>
              <w:spacing w:before="20" w:after="20"/>
              <w:rPr>
                <w:rFonts w:asciiTheme="majorHAnsi" w:hAnsiTheme="majorHAnsi" w:cstheme="majorHAnsi"/>
                <w:sz w:val="16"/>
                <w:szCs w:val="16"/>
                <w:lang w:eastAsia="fr-CA"/>
              </w:rPr>
            </w:pPr>
            <w:r w:rsidRPr="002D4092">
              <w:rPr>
                <w:rFonts w:asciiTheme="majorHAnsi" w:hAnsiTheme="majorHAnsi" w:cstheme="majorHAnsi"/>
                <w:sz w:val="16"/>
                <w:szCs w:val="16"/>
              </w:rPr>
              <w:t>Option 3A</w:t>
            </w:r>
          </w:p>
        </w:tc>
        <w:tc>
          <w:tcPr>
            <w:tcW w:w="1250" w:type="pct"/>
          </w:tcPr>
          <w:p w14:paraId="22F0BD82"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18 (+5)</w:t>
            </w:r>
          </w:p>
        </w:tc>
        <w:tc>
          <w:tcPr>
            <w:tcW w:w="1251" w:type="pct"/>
            <w:gridSpan w:val="2"/>
          </w:tcPr>
          <w:p w14:paraId="08A2F767"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85 (-2)</w:t>
            </w:r>
          </w:p>
        </w:tc>
        <w:tc>
          <w:tcPr>
            <w:tcW w:w="1250" w:type="pct"/>
          </w:tcPr>
          <w:p w14:paraId="6EF9CF5B"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52 (-3)</w:t>
            </w:r>
          </w:p>
        </w:tc>
      </w:tr>
      <w:tr w:rsidR="00897692" w:rsidRPr="002D4092" w14:paraId="6CD86EEA" w14:textId="77777777" w:rsidTr="00E83061">
        <w:trPr>
          <w:cantSplit/>
        </w:trPr>
        <w:tc>
          <w:tcPr>
            <w:tcW w:w="1249" w:type="pct"/>
          </w:tcPr>
          <w:p w14:paraId="665497E2" w14:textId="77777777" w:rsidR="00897692" w:rsidRPr="002D4092" w:rsidRDefault="00897692" w:rsidP="006165C9">
            <w:pPr>
              <w:pStyle w:val="TableBodyText"/>
              <w:spacing w:before="20" w:after="20"/>
              <w:rPr>
                <w:rFonts w:asciiTheme="majorHAnsi" w:hAnsiTheme="majorHAnsi" w:cstheme="majorHAnsi"/>
                <w:sz w:val="16"/>
                <w:szCs w:val="16"/>
                <w:lang w:eastAsia="fr-CA"/>
              </w:rPr>
            </w:pPr>
            <w:r w:rsidRPr="002D4092">
              <w:rPr>
                <w:rFonts w:asciiTheme="majorHAnsi" w:hAnsiTheme="majorHAnsi" w:cstheme="majorHAnsi"/>
                <w:sz w:val="16"/>
                <w:szCs w:val="16"/>
              </w:rPr>
              <w:t>Option 3B</w:t>
            </w:r>
          </w:p>
        </w:tc>
        <w:tc>
          <w:tcPr>
            <w:tcW w:w="1250" w:type="pct"/>
          </w:tcPr>
          <w:p w14:paraId="5653B1BC"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18 (+5)</w:t>
            </w:r>
          </w:p>
        </w:tc>
        <w:tc>
          <w:tcPr>
            <w:tcW w:w="1251" w:type="pct"/>
            <w:gridSpan w:val="2"/>
          </w:tcPr>
          <w:p w14:paraId="63D66F88"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86 (-1)</w:t>
            </w:r>
          </w:p>
        </w:tc>
        <w:tc>
          <w:tcPr>
            <w:tcW w:w="1250" w:type="pct"/>
          </w:tcPr>
          <w:p w14:paraId="3481A660"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51 (-4)</w:t>
            </w:r>
          </w:p>
        </w:tc>
      </w:tr>
      <w:tr w:rsidR="00897692" w:rsidRPr="002D4092" w14:paraId="7E33DE13" w14:textId="77777777" w:rsidTr="00E83061">
        <w:trPr>
          <w:cnfStyle w:val="000000010000" w:firstRow="0" w:lastRow="0" w:firstColumn="0" w:lastColumn="0" w:oddVBand="0" w:evenVBand="0" w:oddHBand="0" w:evenHBand="1" w:firstRowFirstColumn="0" w:firstRowLastColumn="0" w:lastRowFirstColumn="0" w:lastRowLastColumn="0"/>
          <w:cantSplit/>
        </w:trPr>
        <w:tc>
          <w:tcPr>
            <w:tcW w:w="1249" w:type="pct"/>
          </w:tcPr>
          <w:p w14:paraId="4623F022" w14:textId="77777777" w:rsidR="00897692" w:rsidRPr="002D4092" w:rsidRDefault="00897692" w:rsidP="006165C9">
            <w:pPr>
              <w:pStyle w:val="TableBodyText"/>
              <w:spacing w:before="20" w:after="20"/>
              <w:rPr>
                <w:rFonts w:asciiTheme="majorHAnsi" w:hAnsiTheme="majorHAnsi" w:cstheme="majorHAnsi"/>
                <w:sz w:val="16"/>
                <w:szCs w:val="16"/>
                <w:lang w:eastAsia="fr-CA"/>
              </w:rPr>
            </w:pPr>
            <w:r w:rsidRPr="002D4092">
              <w:rPr>
                <w:rFonts w:asciiTheme="majorHAnsi" w:hAnsiTheme="majorHAnsi" w:cstheme="majorHAnsi"/>
                <w:sz w:val="16"/>
                <w:szCs w:val="16"/>
              </w:rPr>
              <w:t>Option 4</w:t>
            </w:r>
          </w:p>
        </w:tc>
        <w:tc>
          <w:tcPr>
            <w:tcW w:w="1250" w:type="pct"/>
          </w:tcPr>
          <w:p w14:paraId="6BC01C32"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18 (+5)</w:t>
            </w:r>
          </w:p>
        </w:tc>
        <w:tc>
          <w:tcPr>
            <w:tcW w:w="1251" w:type="pct"/>
            <w:gridSpan w:val="2"/>
          </w:tcPr>
          <w:p w14:paraId="44068DD2"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86 (-1)</w:t>
            </w:r>
          </w:p>
        </w:tc>
        <w:tc>
          <w:tcPr>
            <w:tcW w:w="1250" w:type="pct"/>
          </w:tcPr>
          <w:p w14:paraId="4A7B7B3E" w14:textId="77777777" w:rsidR="00897692" w:rsidRPr="002D4092" w:rsidRDefault="00897692" w:rsidP="006165C9">
            <w:pPr>
              <w:pStyle w:val="TableBodyText"/>
              <w:spacing w:before="20" w:after="20"/>
              <w:jc w:val="center"/>
              <w:rPr>
                <w:rFonts w:asciiTheme="majorHAnsi" w:hAnsiTheme="majorHAnsi" w:cstheme="majorHAnsi"/>
                <w:sz w:val="16"/>
                <w:szCs w:val="16"/>
                <w:lang w:eastAsia="fr-CA"/>
              </w:rPr>
            </w:pPr>
            <w:r w:rsidRPr="002D4092">
              <w:rPr>
                <w:rFonts w:asciiTheme="majorHAnsi" w:hAnsiTheme="majorHAnsi" w:cstheme="majorHAnsi"/>
                <w:sz w:val="16"/>
                <w:szCs w:val="16"/>
              </w:rPr>
              <w:t>51 (-4)</w:t>
            </w:r>
          </w:p>
        </w:tc>
      </w:tr>
    </w:tbl>
    <w:p w14:paraId="26DB75F7" w14:textId="77777777" w:rsidR="00897692" w:rsidRPr="002F6337" w:rsidRDefault="00897692" w:rsidP="00897692">
      <w:pPr>
        <w:pStyle w:val="BodyText"/>
        <w:spacing w:before="0"/>
        <w:rPr>
          <w:sz w:val="16"/>
          <w:szCs w:val="16"/>
          <w:lang w:eastAsia="fr-CA"/>
        </w:rPr>
      </w:pPr>
      <w:r w:rsidRPr="002F6337">
        <w:rPr>
          <w:sz w:val="16"/>
          <w:szCs w:val="16"/>
          <w:lang w:eastAsia="fr-CA"/>
        </w:rPr>
        <w:t xml:space="preserve">Notes: </w:t>
      </w:r>
      <w:r w:rsidRPr="002F6337">
        <w:rPr>
          <w:sz w:val="16"/>
          <w:szCs w:val="16"/>
        </w:rPr>
        <w:t>The analysis utilises the number of pipelines that shift across forms of regulation as per the indicative categorisation above to estimate the impact of the options.</w:t>
      </w:r>
    </w:p>
    <w:p w14:paraId="4C495055" w14:textId="54A677CC" w:rsidR="00AF2DF6" w:rsidRDefault="00A0578B" w:rsidP="00014D35">
      <w:pPr>
        <w:pStyle w:val="BodyText"/>
      </w:pPr>
      <w:r>
        <w:t xml:space="preserve">As </w:t>
      </w:r>
      <w:r>
        <w:fldChar w:fldCharType="begin" w:fldLock="1"/>
      </w:r>
      <w:r>
        <w:instrText xml:space="preserve"> REF _Ref50033903 \h </w:instrText>
      </w:r>
      <w:r>
        <w:fldChar w:fldCharType="separate"/>
      </w:r>
      <w:r w:rsidR="00036405">
        <w:t xml:space="preserve">Table </w:t>
      </w:r>
      <w:r w:rsidR="00036405">
        <w:rPr>
          <w:noProof/>
        </w:rPr>
        <w:t>9</w:t>
      </w:r>
      <w:r w:rsidR="00036405">
        <w:t>.</w:t>
      </w:r>
      <w:r w:rsidR="00036405">
        <w:rPr>
          <w:noProof/>
        </w:rPr>
        <w:t>3</w:t>
      </w:r>
      <w:r>
        <w:fldChar w:fldCharType="end"/>
      </w:r>
      <w:r>
        <w:t xml:space="preserve"> shows, </w:t>
      </w:r>
      <w:r w:rsidR="00A016E9">
        <w:t xml:space="preserve">a greater number of pipelines are expected to become subject to the </w:t>
      </w:r>
      <w:r w:rsidR="00531979">
        <w:t>stronger</w:t>
      </w:r>
      <w:r w:rsidR="00A016E9">
        <w:t xml:space="preserve"> form of regulation under options 2, 3A, 3B and 4 </w:t>
      </w:r>
      <w:r w:rsidR="00014D35">
        <w:t xml:space="preserve">as a result of the </w:t>
      </w:r>
      <w:r w:rsidR="00A016E9">
        <w:t>removal of the coverage test as a gateway between the forms of regulation</w:t>
      </w:r>
      <w:r w:rsidR="00014D35">
        <w:t xml:space="preserve">. The effect is assumed to be the same across each of </w:t>
      </w:r>
      <w:r w:rsidR="00AF2DF6">
        <w:t xml:space="preserve">the </w:t>
      </w:r>
      <w:r>
        <w:t>reform options</w:t>
      </w:r>
      <w:r w:rsidR="00EA217A">
        <w:t>,</w:t>
      </w:r>
      <w:r>
        <w:t xml:space="preserve"> </w:t>
      </w:r>
      <w:r w:rsidR="009B2184">
        <w:t xml:space="preserve">because the form of regulation test under each of these options is assumed to be the same. </w:t>
      </w:r>
    </w:p>
    <w:p w14:paraId="339BB149" w14:textId="77777777" w:rsidR="00A0578B" w:rsidRDefault="00AF2DF6" w:rsidP="00014D35">
      <w:pPr>
        <w:pStyle w:val="BodyText"/>
      </w:pPr>
      <w:r>
        <w:t xml:space="preserve">The other point to note from this table is that there are </w:t>
      </w:r>
      <w:r w:rsidR="009B2184">
        <w:t xml:space="preserve">some differences between </w:t>
      </w:r>
      <w:r w:rsidR="00983913">
        <w:t xml:space="preserve">the number of pipelines that are assumed to be subject to the </w:t>
      </w:r>
      <w:r w:rsidR="00531979">
        <w:t>lighter</w:t>
      </w:r>
      <w:r w:rsidR="00983913">
        <w:t xml:space="preserve"> form of regulation or exempt from regulation under the four reform options</w:t>
      </w:r>
      <w:r w:rsidR="008330C1">
        <w:t xml:space="preserve">. This </w:t>
      </w:r>
      <w:r w:rsidR="00983913">
        <w:t>reflects the following</w:t>
      </w:r>
      <w:r w:rsidR="002E56D3">
        <w:t xml:space="preserve"> differences across the options</w:t>
      </w:r>
      <w:r w:rsidR="00983913">
        <w:t>:</w:t>
      </w:r>
    </w:p>
    <w:p w14:paraId="76ED0047" w14:textId="25FC9AB5" w:rsidR="002B6A29" w:rsidRDefault="00983913" w:rsidP="00AD36B8">
      <w:pPr>
        <w:pStyle w:val="ListBullet"/>
      </w:pPr>
      <w:r>
        <w:t xml:space="preserve">Under options 2 and 3A, a pipeline that is not voluntarily providing third party access would </w:t>
      </w:r>
      <w:r w:rsidR="005A40A5">
        <w:t>only be required to do so if it is found by the relevant decision-maker to satisfy the third party access test</w:t>
      </w:r>
      <w:r w:rsidR="0051091A">
        <w:t xml:space="preserve">, whereas under options 3B and 4 </w:t>
      </w:r>
      <w:r w:rsidR="001B7A41">
        <w:t xml:space="preserve">all pipelines would be required to provide third party access if requested to do so by a shipper. </w:t>
      </w:r>
      <w:r w:rsidR="00D60BF4">
        <w:t xml:space="preserve">The </w:t>
      </w:r>
      <w:r w:rsidR="00F97C62">
        <w:t>absen</w:t>
      </w:r>
      <w:r w:rsidR="00BF186C">
        <w:t>c</w:t>
      </w:r>
      <w:r w:rsidR="00F97C62">
        <w:t xml:space="preserve">e of a </w:t>
      </w:r>
      <w:r w:rsidR="00D60BF4">
        <w:t>test</w:t>
      </w:r>
      <w:r w:rsidR="00F97C62">
        <w:t xml:space="preserve"> for third party access under options 3B and 4 is expected to result in</w:t>
      </w:r>
      <w:r w:rsidR="00683165">
        <w:t xml:space="preserve"> a small </w:t>
      </w:r>
      <w:r w:rsidR="00683165">
        <w:lastRenderedPageBreak/>
        <w:t xml:space="preserve">increase in the number of pipelines </w:t>
      </w:r>
      <w:r w:rsidR="002B6A29">
        <w:t xml:space="preserve">being required to provide </w:t>
      </w:r>
      <w:r w:rsidR="00066C10">
        <w:t xml:space="preserve">third party access under options 3B and 4 </w:t>
      </w:r>
      <w:r w:rsidR="00683165">
        <w:t xml:space="preserve">(i.e. three additional pipelines </w:t>
      </w:r>
      <w:r w:rsidR="00066C10">
        <w:t>under Scenario 1 – High Impact</w:t>
      </w:r>
      <w:r w:rsidR="002B6A29">
        <w:t xml:space="preserve"> and</w:t>
      </w:r>
      <w:r w:rsidR="00683165">
        <w:t xml:space="preserve"> one additional pipeline under Scenario 2 – Low Impact).</w:t>
      </w:r>
      <w:r w:rsidR="00370905">
        <w:rPr>
          <w:rFonts w:ascii="ZWAdobeF" w:hAnsi="ZWAdobeF" w:cs="ZWAdobeF"/>
          <w:sz w:val="2"/>
          <w:szCs w:val="2"/>
        </w:rPr>
        <w:t>190F</w:t>
      </w:r>
      <w:r w:rsidR="007652DD">
        <w:rPr>
          <w:rStyle w:val="FootnoteReference"/>
        </w:rPr>
        <w:footnoteReference w:id="192"/>
      </w:r>
    </w:p>
    <w:p w14:paraId="7D309DEC" w14:textId="77777777" w:rsidR="001B7A41" w:rsidRDefault="001B7A41" w:rsidP="00AD36B8">
      <w:pPr>
        <w:pStyle w:val="ListBullet"/>
      </w:pPr>
      <w:r>
        <w:t xml:space="preserve">Under </w:t>
      </w:r>
      <w:r w:rsidR="00C3179F">
        <w:t>O</w:t>
      </w:r>
      <w:r>
        <w:t xml:space="preserve">ption 2, </w:t>
      </w:r>
      <w:r w:rsidR="00C3179F">
        <w:t xml:space="preserve">a service provider </w:t>
      </w:r>
      <w:r w:rsidR="009A0392">
        <w:t xml:space="preserve">would </w:t>
      </w:r>
      <w:r w:rsidR="00C3179F">
        <w:t xml:space="preserve">be able to </w:t>
      </w:r>
      <w:r w:rsidR="009A0392">
        <w:t xml:space="preserve">obtain </w:t>
      </w:r>
      <w:r w:rsidR="00C3179F">
        <w:t xml:space="preserve">a full exemption from regulation </w:t>
      </w:r>
      <w:r w:rsidR="009A0392">
        <w:t xml:space="preserve">if the relevant decision-maker is satisfied that the pipeline </w:t>
      </w:r>
      <w:r w:rsidR="00C34378">
        <w:t xml:space="preserve">lacks </w:t>
      </w:r>
      <w:r w:rsidR="009A0392">
        <w:t>substantial market power</w:t>
      </w:r>
      <w:r w:rsidR="0070669C">
        <w:t xml:space="preserve"> or that a 15-year greenfield exemption should be granted</w:t>
      </w:r>
      <w:r w:rsidR="0043385F">
        <w:t>, but this option would not be available under the other reform options</w:t>
      </w:r>
      <w:r w:rsidR="0070669C">
        <w:t xml:space="preserve">. Note that while a greenfield </w:t>
      </w:r>
      <w:r w:rsidR="00721087">
        <w:t>exemption</w:t>
      </w:r>
      <w:r w:rsidR="0070669C">
        <w:t xml:space="preserve"> would </w:t>
      </w:r>
      <w:r w:rsidR="00F56392">
        <w:t xml:space="preserve">also </w:t>
      </w:r>
      <w:r w:rsidR="0070669C">
        <w:t xml:space="preserve">be available under options 3A and 3B, </w:t>
      </w:r>
      <w:r w:rsidR="00721087">
        <w:t xml:space="preserve">it </w:t>
      </w:r>
      <w:r w:rsidR="0070669C">
        <w:t xml:space="preserve">would only </w:t>
      </w:r>
      <w:r w:rsidR="00C22660">
        <w:t xml:space="preserve">provide the </w:t>
      </w:r>
      <w:r w:rsidR="0070669C">
        <w:t xml:space="preserve">holder </w:t>
      </w:r>
      <w:r w:rsidR="00C22660">
        <w:t xml:space="preserve">with an exemption </w:t>
      </w:r>
      <w:r w:rsidR="0070669C">
        <w:t xml:space="preserve">from the </w:t>
      </w:r>
      <w:r w:rsidR="00531979">
        <w:t>stronger</w:t>
      </w:r>
      <w:r w:rsidR="0070669C">
        <w:t xml:space="preserve"> form of regulation</w:t>
      </w:r>
      <w:r w:rsidR="001E6FE5">
        <w:t xml:space="preserve">. Accordingly, </w:t>
      </w:r>
      <w:r w:rsidR="00F56392">
        <w:t xml:space="preserve">if it is providing third party access it would be subject to the </w:t>
      </w:r>
      <w:r w:rsidR="00C22660">
        <w:t xml:space="preserve">new </w:t>
      </w:r>
      <w:r w:rsidR="00531979">
        <w:t>lighter</w:t>
      </w:r>
      <w:r w:rsidR="00F56392">
        <w:t xml:space="preserve"> form of regulation</w:t>
      </w:r>
      <w:r w:rsidR="0043385F">
        <w:t xml:space="preserve">. </w:t>
      </w:r>
      <w:r w:rsidR="009A0392">
        <w:t xml:space="preserve"> </w:t>
      </w:r>
    </w:p>
    <w:p w14:paraId="4D2769EF" w14:textId="77777777" w:rsidR="00C34378" w:rsidRDefault="00C34378" w:rsidP="00891795">
      <w:pPr>
        <w:pStyle w:val="BodyText"/>
      </w:pPr>
      <w:r>
        <w:t>The</w:t>
      </w:r>
      <w:r w:rsidR="008356C3">
        <w:t>se differences across the options mean that the</w:t>
      </w:r>
      <w:r>
        <w:t xml:space="preserve"> total number of pipelines subject to regulation </w:t>
      </w:r>
      <w:r w:rsidR="008356C3">
        <w:t xml:space="preserve">are </w:t>
      </w:r>
      <w:r w:rsidR="00347CFF">
        <w:t xml:space="preserve">expected </w:t>
      </w:r>
      <w:r w:rsidR="008330C1">
        <w:t xml:space="preserve">to be the </w:t>
      </w:r>
      <w:r w:rsidR="00891795">
        <w:t xml:space="preserve">lowest </w:t>
      </w:r>
      <w:r w:rsidR="00D66670">
        <w:t>under Option 2</w:t>
      </w:r>
      <w:r w:rsidR="00DD3D60">
        <w:t>, followed by Option 3</w:t>
      </w:r>
      <w:r w:rsidR="00EF0FC1">
        <w:t>A</w:t>
      </w:r>
      <w:r w:rsidR="00347CFF">
        <w:t>,</w:t>
      </w:r>
      <w:r w:rsidR="00DD3D60">
        <w:t xml:space="preserve"> </w:t>
      </w:r>
      <w:r w:rsidR="00891795">
        <w:t xml:space="preserve">and </w:t>
      </w:r>
      <w:r w:rsidR="00EF0FC1">
        <w:t>o</w:t>
      </w:r>
      <w:r w:rsidR="00891795">
        <w:t xml:space="preserve">ptions 3B and 4. </w:t>
      </w:r>
    </w:p>
    <w:p w14:paraId="7C17D1C2" w14:textId="77777777" w:rsidR="0015382E" w:rsidRDefault="0015382E" w:rsidP="0015382E">
      <w:pPr>
        <w:pStyle w:val="Heading6"/>
      </w:pPr>
      <w:r>
        <w:t xml:space="preserve">Costs and benefits </w:t>
      </w:r>
      <w:r w:rsidR="0080737E">
        <w:t xml:space="preserve">associated with the </w:t>
      </w:r>
      <w:r w:rsidR="00F67BC2">
        <w:t>reform options</w:t>
      </w:r>
      <w:r w:rsidR="0080737E">
        <w:t xml:space="preserve"> </w:t>
      </w:r>
    </w:p>
    <w:p w14:paraId="38D6FACF" w14:textId="06E8FB97" w:rsidR="00664F19" w:rsidRDefault="0080737E" w:rsidP="002E0377">
      <w:pPr>
        <w:pStyle w:val="BodyText"/>
        <w:spacing w:before="0"/>
      </w:pPr>
      <w:r>
        <w:rPr>
          <w:highlight w:val="yellow"/>
        </w:rPr>
        <w:fldChar w:fldCharType="begin" w:fldLock="1"/>
      </w:r>
      <w:r>
        <w:instrText xml:space="preserve"> REF _Ref50019369 \h </w:instrText>
      </w:r>
      <w:r>
        <w:rPr>
          <w:highlight w:val="yellow"/>
        </w:rPr>
      </w:r>
      <w:r>
        <w:rPr>
          <w:highlight w:val="yellow"/>
        </w:rPr>
        <w:fldChar w:fldCharType="separate"/>
      </w:r>
      <w:r w:rsidR="00036405">
        <w:t xml:space="preserve">Table </w:t>
      </w:r>
      <w:r w:rsidR="00036405">
        <w:rPr>
          <w:noProof/>
        </w:rPr>
        <w:t>9</w:t>
      </w:r>
      <w:r w:rsidR="00036405">
        <w:t>.</w:t>
      </w:r>
      <w:r w:rsidR="00036405">
        <w:rPr>
          <w:noProof/>
        </w:rPr>
        <w:t>4</w:t>
      </w:r>
      <w:r>
        <w:rPr>
          <w:highlight w:val="yellow"/>
        </w:rPr>
        <w:fldChar w:fldCharType="end"/>
      </w:r>
      <w:r>
        <w:t xml:space="preserve"> provides an overview of the types of </w:t>
      </w:r>
      <w:r w:rsidR="006F6EBA">
        <w:t xml:space="preserve">costs and benefits </w:t>
      </w:r>
      <w:r w:rsidR="00CD4E9D">
        <w:t xml:space="preserve">that </w:t>
      </w:r>
      <w:r w:rsidR="004C73E6">
        <w:t xml:space="preserve">are expected to be associated with each of the </w:t>
      </w:r>
      <w:r w:rsidR="00F67BC2">
        <w:t>reform options</w:t>
      </w:r>
      <w:r w:rsidR="004C73E6">
        <w:t xml:space="preserve"> </w:t>
      </w:r>
      <w:r w:rsidR="00E000EE">
        <w:t xml:space="preserve">and how they have been </w:t>
      </w:r>
      <w:r w:rsidR="00E47285">
        <w:t>measured</w:t>
      </w:r>
      <w:r w:rsidR="00E000EE">
        <w:t xml:space="preserve"> (i.e. quantitatively or qualitatively).</w:t>
      </w:r>
      <w:r w:rsidR="00664F19">
        <w:t xml:space="preserve"> </w:t>
      </w:r>
      <w:r w:rsidR="00001485">
        <w:t xml:space="preserve">As this </w:t>
      </w:r>
      <w:r w:rsidR="003F4104">
        <w:t xml:space="preserve">table shows, a number of the benefits associated with the reform options are </w:t>
      </w:r>
      <w:r w:rsidR="00001485" w:rsidRPr="0073712B">
        <w:t xml:space="preserve">diffuse and spread across the economy, whereas the costs are </w:t>
      </w:r>
      <w:r w:rsidR="0052626F">
        <w:t xml:space="preserve">borne more directly by </w:t>
      </w:r>
      <w:r w:rsidR="00001485" w:rsidRPr="0073712B">
        <w:t xml:space="preserve">industry </w:t>
      </w:r>
      <w:r w:rsidR="0052626F">
        <w:t>participants</w:t>
      </w:r>
      <w:r w:rsidR="00001485" w:rsidRPr="0073712B">
        <w:t xml:space="preserve">. </w:t>
      </w:r>
    </w:p>
    <w:p w14:paraId="2A60B071" w14:textId="77777777" w:rsidR="006165C9" w:rsidRPr="0073712B" w:rsidRDefault="006165C9" w:rsidP="006165C9">
      <w:pPr>
        <w:pStyle w:val="BodyText"/>
      </w:pPr>
      <w:r w:rsidRPr="0073712B">
        <w:t>A typical CBA would quantify the impacts for those directly affected and should be able to gather the</w:t>
      </w:r>
      <w:r>
        <w:t xml:space="preserve"> required</w:t>
      </w:r>
      <w:r w:rsidRPr="0073712B">
        <w:t xml:space="preserve"> information </w:t>
      </w:r>
      <w:r>
        <w:t xml:space="preserve">from affected </w:t>
      </w:r>
      <w:r w:rsidRPr="0073712B">
        <w:t xml:space="preserve">stakeholders. </w:t>
      </w:r>
      <w:r>
        <w:t>While t</w:t>
      </w:r>
      <w:r w:rsidRPr="0073712B">
        <w:t>his was the case for most of the cost categories</w:t>
      </w:r>
      <w:r>
        <w:t xml:space="preserve">, information on </w:t>
      </w:r>
      <w:r w:rsidRPr="0073712B">
        <w:t xml:space="preserve">the </w:t>
      </w:r>
      <w:r w:rsidR="00FE4ACC">
        <w:t>economy-wide</w:t>
      </w:r>
      <w:r>
        <w:t xml:space="preserve"> </w:t>
      </w:r>
      <w:r w:rsidRPr="0073712B">
        <w:t xml:space="preserve">benefits </w:t>
      </w:r>
      <w:r>
        <w:t xml:space="preserve">associated with </w:t>
      </w:r>
      <w:r w:rsidRPr="0073712B">
        <w:t>lower transportation charges</w:t>
      </w:r>
      <w:r>
        <w:t xml:space="preserve"> could not </w:t>
      </w:r>
      <w:r w:rsidRPr="0073712B">
        <w:t xml:space="preserve">be </w:t>
      </w:r>
      <w:r>
        <w:t>obtained from stakeholders</w:t>
      </w:r>
      <w:r w:rsidRPr="0073712B">
        <w:t xml:space="preserve">. The method used to estimate </w:t>
      </w:r>
      <w:r>
        <w:t xml:space="preserve">the </w:t>
      </w:r>
      <w:r w:rsidRPr="0073712B">
        <w:t>costs and benefits was therefore as follows:</w:t>
      </w:r>
    </w:p>
    <w:p w14:paraId="5A5D9F57" w14:textId="77777777" w:rsidR="006165C9" w:rsidRPr="002B4E2E" w:rsidRDefault="006165C9" w:rsidP="00AD36B8">
      <w:pPr>
        <w:pStyle w:val="ListBullet"/>
        <w:rPr>
          <w:rFonts w:ascii="Symbol" w:hAnsi="Symbol"/>
        </w:rPr>
      </w:pPr>
      <w:r w:rsidRPr="00C85EC5">
        <w:t>Costs</w:t>
      </w:r>
      <w:r w:rsidRPr="0073712B">
        <w:t xml:space="preserve">: </w:t>
      </w:r>
    </w:p>
    <w:p w14:paraId="54B6A099" w14:textId="67CCAA63" w:rsidR="006165C9" w:rsidRPr="002B4E2E" w:rsidRDefault="006165C9" w:rsidP="00AD36B8">
      <w:pPr>
        <w:pStyle w:val="ListBullet2"/>
        <w:rPr>
          <w:rFonts w:ascii="Symbol" w:hAnsi="Symbol"/>
        </w:rPr>
      </w:pPr>
      <w:r>
        <w:t xml:space="preserve">Quantitative analysis </w:t>
      </w:r>
      <w:r w:rsidR="00F77F59">
        <w:t xml:space="preserve">(undertaken by PwC) </w:t>
      </w:r>
      <w:r w:rsidR="006B6A7F">
        <w:t xml:space="preserve">was used </w:t>
      </w:r>
      <w:r>
        <w:t xml:space="preserve">to estimate the implementation, access, dispute resolution and information disclosure/monitoring related costs (items (a)-(d) in </w:t>
      </w:r>
      <w:r>
        <w:fldChar w:fldCharType="begin" w:fldLock="1"/>
      </w:r>
      <w:r>
        <w:instrText xml:space="preserve"> REF _Ref50019369 \h </w:instrText>
      </w:r>
      <w:r>
        <w:fldChar w:fldCharType="separate"/>
      </w:r>
      <w:r w:rsidR="00036405">
        <w:t xml:space="preserve">Table </w:t>
      </w:r>
      <w:r w:rsidR="00036405">
        <w:rPr>
          <w:noProof/>
        </w:rPr>
        <w:t>9</w:t>
      </w:r>
      <w:r w:rsidR="00036405">
        <w:t>.</w:t>
      </w:r>
      <w:r w:rsidR="00036405">
        <w:rPr>
          <w:noProof/>
        </w:rPr>
        <w:t>4</w:t>
      </w:r>
      <w:r>
        <w:fldChar w:fldCharType="end"/>
      </w:r>
      <w:r>
        <w:t xml:space="preserve">). The costs used in this analysis </w:t>
      </w:r>
      <w:r w:rsidR="001E6FE5">
        <w:t xml:space="preserve">are </w:t>
      </w:r>
      <w:r>
        <w:t xml:space="preserve">based on information </w:t>
      </w:r>
      <w:r w:rsidRPr="0073712B">
        <w:t xml:space="preserve">gathered </w:t>
      </w:r>
      <w:r w:rsidR="00F77F59">
        <w:t xml:space="preserve">by PwC </w:t>
      </w:r>
      <w:r w:rsidRPr="0073712B">
        <w:t>either from</w:t>
      </w:r>
      <w:r w:rsidRPr="0073712B">
        <w:rPr>
          <w:spacing w:val="-32"/>
        </w:rPr>
        <w:t xml:space="preserve"> </w:t>
      </w:r>
      <w:r w:rsidRPr="0073712B">
        <w:t xml:space="preserve">those directly </w:t>
      </w:r>
      <w:r>
        <w:t>affected</w:t>
      </w:r>
      <w:r w:rsidRPr="0073712B">
        <w:t xml:space="preserve"> by the change</w:t>
      </w:r>
      <w:r>
        <w:t>,</w:t>
      </w:r>
      <w:r w:rsidRPr="0073712B">
        <w:t xml:space="preserve"> or from </w:t>
      </w:r>
      <w:r w:rsidR="001E6FE5">
        <w:t xml:space="preserve">public </w:t>
      </w:r>
      <w:r w:rsidRPr="0073712B">
        <w:t xml:space="preserve">sources. </w:t>
      </w:r>
    </w:p>
    <w:p w14:paraId="7D3BFF2B" w14:textId="08079208" w:rsidR="006165C9" w:rsidRPr="0073712B" w:rsidRDefault="006165C9" w:rsidP="00AD36B8">
      <w:pPr>
        <w:pStyle w:val="ListBullet2"/>
        <w:rPr>
          <w:rFonts w:ascii="Symbol" w:hAnsi="Symbol"/>
        </w:rPr>
      </w:pPr>
      <w:r w:rsidRPr="0073712B">
        <w:t xml:space="preserve">Qualitative analysis </w:t>
      </w:r>
      <w:r w:rsidR="007933FA">
        <w:t xml:space="preserve">was </w:t>
      </w:r>
      <w:r>
        <w:t xml:space="preserve">used for those </w:t>
      </w:r>
      <w:r w:rsidRPr="0073712B">
        <w:t xml:space="preserve">costs that were </w:t>
      </w:r>
      <w:r>
        <w:t>un</w:t>
      </w:r>
      <w:r w:rsidRPr="0073712B">
        <w:t>able to be quantified</w:t>
      </w:r>
      <w:r>
        <w:t>,</w:t>
      </w:r>
      <w:r w:rsidRPr="0073712B">
        <w:t xml:space="preserve"> or were subject to debate and uncertainty (</w:t>
      </w:r>
      <w:r>
        <w:t xml:space="preserve">items (e)-(f) in </w:t>
      </w:r>
      <w:r>
        <w:fldChar w:fldCharType="begin" w:fldLock="1"/>
      </w:r>
      <w:r>
        <w:instrText xml:space="preserve"> REF _Ref50019369 \h </w:instrText>
      </w:r>
      <w:r>
        <w:fldChar w:fldCharType="separate"/>
      </w:r>
      <w:r w:rsidR="00036405">
        <w:t xml:space="preserve">Table </w:t>
      </w:r>
      <w:r w:rsidR="00036405">
        <w:rPr>
          <w:noProof/>
        </w:rPr>
        <w:t>9</w:t>
      </w:r>
      <w:r w:rsidR="00036405">
        <w:t>.</w:t>
      </w:r>
      <w:r w:rsidR="00036405">
        <w:rPr>
          <w:noProof/>
        </w:rPr>
        <w:t>4</w:t>
      </w:r>
      <w:r>
        <w:fldChar w:fldCharType="end"/>
      </w:r>
      <w:r w:rsidRPr="0073712B">
        <w:t>).</w:t>
      </w:r>
    </w:p>
    <w:p w14:paraId="01B922EA" w14:textId="77777777" w:rsidR="006165C9" w:rsidRPr="00A22E8F" w:rsidRDefault="006165C9" w:rsidP="00AD36B8">
      <w:pPr>
        <w:pStyle w:val="ListBullet"/>
        <w:rPr>
          <w:rFonts w:ascii="Symbol" w:hAnsi="Symbol"/>
        </w:rPr>
      </w:pPr>
      <w:r w:rsidRPr="00C85EC5">
        <w:t>Benefits</w:t>
      </w:r>
      <w:r w:rsidRPr="0073712B">
        <w:t xml:space="preserve">: </w:t>
      </w:r>
    </w:p>
    <w:p w14:paraId="367D1C16" w14:textId="66C7D184" w:rsidR="006165C9" w:rsidRPr="00A37200" w:rsidRDefault="006165C9" w:rsidP="00AD36B8">
      <w:pPr>
        <w:pStyle w:val="ListBullet2"/>
      </w:pPr>
      <w:r>
        <w:t xml:space="preserve">Quantitative analysis </w:t>
      </w:r>
      <w:r w:rsidR="00F77F59">
        <w:t xml:space="preserve">(undertaken by PwC) </w:t>
      </w:r>
      <w:r w:rsidR="007933FA">
        <w:t>was</w:t>
      </w:r>
      <w:r>
        <w:t xml:space="preserve"> used to estimate the p</w:t>
      </w:r>
      <w:r w:rsidRPr="00A37200">
        <w:t xml:space="preserve">roductivity </w:t>
      </w:r>
      <w:r>
        <w:t xml:space="preserve">related </w:t>
      </w:r>
      <w:r w:rsidRPr="00A37200">
        <w:t xml:space="preserve">benefits </w:t>
      </w:r>
      <w:r>
        <w:t xml:space="preserve">associated with </w:t>
      </w:r>
      <w:r w:rsidRPr="00A37200">
        <w:t xml:space="preserve">lower transportation costs </w:t>
      </w:r>
      <w:r>
        <w:t xml:space="preserve">that flow from </w:t>
      </w:r>
      <w:r w:rsidRPr="00A37200">
        <w:t xml:space="preserve">more pipelines </w:t>
      </w:r>
      <w:r>
        <w:t xml:space="preserve">becoming subject </w:t>
      </w:r>
      <w:r w:rsidRPr="00A37200">
        <w:t xml:space="preserve">to </w:t>
      </w:r>
      <w:r>
        <w:t xml:space="preserve">the </w:t>
      </w:r>
      <w:r w:rsidR="00531979">
        <w:t>stronger</w:t>
      </w:r>
      <w:r w:rsidRPr="00A37200">
        <w:t xml:space="preserve"> </w:t>
      </w:r>
      <w:r>
        <w:t xml:space="preserve">form of </w:t>
      </w:r>
      <w:r w:rsidRPr="00A37200">
        <w:t>regulation</w:t>
      </w:r>
      <w:r>
        <w:t xml:space="preserve"> (item (g) in </w:t>
      </w:r>
      <w:r>
        <w:fldChar w:fldCharType="begin" w:fldLock="1"/>
      </w:r>
      <w:r>
        <w:instrText xml:space="preserve"> REF _Ref50019369 \h </w:instrText>
      </w:r>
      <w:r>
        <w:fldChar w:fldCharType="separate"/>
      </w:r>
      <w:r w:rsidR="00036405">
        <w:t xml:space="preserve">Table </w:t>
      </w:r>
      <w:r w:rsidR="00036405">
        <w:rPr>
          <w:noProof/>
        </w:rPr>
        <w:t>9</w:t>
      </w:r>
      <w:r w:rsidR="00036405">
        <w:t>.</w:t>
      </w:r>
      <w:r w:rsidR="00036405">
        <w:rPr>
          <w:noProof/>
        </w:rPr>
        <w:t>4</w:t>
      </w:r>
      <w:r>
        <w:fldChar w:fldCharType="end"/>
      </w:r>
      <w:r w:rsidRPr="0073712B">
        <w:t>)</w:t>
      </w:r>
      <w:r>
        <w:t xml:space="preserve">. </w:t>
      </w:r>
      <w:r w:rsidRPr="00A37200">
        <w:t xml:space="preserve">This has been measured by adjusting the expected rate of return </w:t>
      </w:r>
      <w:r w:rsidR="001E6FE5">
        <w:t xml:space="preserve">for </w:t>
      </w:r>
      <w:r w:rsidRPr="00A37200">
        <w:t>the</w:t>
      </w:r>
      <w:r w:rsidRPr="00A37200">
        <w:rPr>
          <w:spacing w:val="-13"/>
        </w:rPr>
        <w:t xml:space="preserve"> </w:t>
      </w:r>
      <w:r w:rsidRPr="00A37200">
        <w:t>gas transportation sector in an economy-wide model and observing the net change in economic activity across all industries</w:t>
      </w:r>
      <w:r>
        <w:t xml:space="preserve"> (see Appendix D.2 for more detail)</w:t>
      </w:r>
      <w:r w:rsidRPr="00A37200">
        <w:t>.</w:t>
      </w:r>
      <w:r w:rsidR="00370905">
        <w:rPr>
          <w:rFonts w:ascii="ZWAdobeF" w:hAnsi="ZWAdobeF" w:cs="ZWAdobeF"/>
          <w:sz w:val="2"/>
          <w:szCs w:val="2"/>
        </w:rPr>
        <w:t>191F</w:t>
      </w:r>
      <w:r w:rsidRPr="00A37200">
        <w:rPr>
          <w:rStyle w:val="FootnoteReference"/>
        </w:rPr>
        <w:footnoteReference w:id="193"/>
      </w:r>
    </w:p>
    <w:p w14:paraId="78AB50DB" w14:textId="5DF1B9A6" w:rsidR="006165C9" w:rsidRPr="00A37200" w:rsidRDefault="006165C9" w:rsidP="00AD36B8">
      <w:pPr>
        <w:pStyle w:val="ListBullet2"/>
      </w:pPr>
      <w:r>
        <w:lastRenderedPageBreak/>
        <w:t xml:space="preserve">Qualitative analysis </w:t>
      </w:r>
      <w:r w:rsidR="007933FA">
        <w:t xml:space="preserve">was </w:t>
      </w:r>
      <w:r>
        <w:t>used to estimate all of the other b</w:t>
      </w:r>
      <w:r w:rsidRPr="00A37200">
        <w:t xml:space="preserve">enefits </w:t>
      </w:r>
      <w:r>
        <w:t xml:space="preserve">set out in items (h)-(l) in </w:t>
      </w:r>
      <w:r>
        <w:rPr>
          <w:highlight w:val="yellow"/>
        </w:rPr>
        <w:fldChar w:fldCharType="begin" w:fldLock="1"/>
      </w:r>
      <w:r>
        <w:instrText xml:space="preserve"> REF _Ref50019369 \h </w:instrText>
      </w:r>
      <w:r>
        <w:rPr>
          <w:highlight w:val="yellow"/>
        </w:rPr>
      </w:r>
      <w:r>
        <w:rPr>
          <w:highlight w:val="yellow"/>
        </w:rPr>
        <w:fldChar w:fldCharType="separate"/>
      </w:r>
      <w:r w:rsidR="00036405">
        <w:t xml:space="preserve">Table </w:t>
      </w:r>
      <w:r w:rsidR="00036405">
        <w:rPr>
          <w:noProof/>
        </w:rPr>
        <w:t>9</w:t>
      </w:r>
      <w:r w:rsidR="00036405">
        <w:t>.</w:t>
      </w:r>
      <w:r w:rsidR="00036405">
        <w:rPr>
          <w:noProof/>
        </w:rPr>
        <w:t>4</w:t>
      </w:r>
      <w:r>
        <w:rPr>
          <w:highlight w:val="yellow"/>
        </w:rPr>
        <w:fldChar w:fldCharType="end"/>
      </w:r>
      <w:r>
        <w:t xml:space="preserve">, which were unable to be quantified by stakeholders. </w:t>
      </w:r>
    </w:p>
    <w:p w14:paraId="5F49E2BC" w14:textId="77777777" w:rsidR="006165C9" w:rsidRDefault="006165C9" w:rsidP="00AD36B8">
      <w:pPr>
        <w:pStyle w:val="ListBullet"/>
      </w:pPr>
      <w:r w:rsidRPr="00C85EC5">
        <w:rPr>
          <w:b/>
          <w:bCs/>
        </w:rPr>
        <w:t>Transfers</w:t>
      </w:r>
      <w:r w:rsidRPr="0073712B">
        <w:t xml:space="preserve">: </w:t>
      </w:r>
      <w:r w:rsidR="00EE390E" w:rsidRPr="0073712B">
        <w:t xml:space="preserve">The main transfer </w:t>
      </w:r>
      <w:r w:rsidR="00EE390E">
        <w:t xml:space="preserve">under the </w:t>
      </w:r>
      <w:r w:rsidR="00EE390E" w:rsidRPr="0073712B">
        <w:t>reform</w:t>
      </w:r>
      <w:r w:rsidR="00EE390E">
        <w:t xml:space="preserve"> options</w:t>
      </w:r>
      <w:r w:rsidR="00EE390E" w:rsidRPr="0073712B">
        <w:t xml:space="preserve"> relates to price changes</w:t>
      </w:r>
      <w:r w:rsidR="00EE390E">
        <w:t>, which result in transfers</w:t>
      </w:r>
      <w:r w:rsidR="00EE390E" w:rsidRPr="0073712B">
        <w:t xml:space="preserve"> between </w:t>
      </w:r>
      <w:r w:rsidR="00EE390E">
        <w:t xml:space="preserve">service providers </w:t>
      </w:r>
      <w:r w:rsidR="00EE390E" w:rsidRPr="0073712B">
        <w:t>and</w:t>
      </w:r>
      <w:r w:rsidR="00EE390E" w:rsidRPr="0073712B">
        <w:rPr>
          <w:spacing w:val="3"/>
        </w:rPr>
        <w:t xml:space="preserve"> </w:t>
      </w:r>
      <w:r w:rsidR="00EE390E" w:rsidRPr="0073712B">
        <w:t>shippers.</w:t>
      </w:r>
      <w:r w:rsidR="00EE390E">
        <w:t xml:space="preserve"> These transfers were a</w:t>
      </w:r>
      <w:r w:rsidRPr="0073712B">
        <w:t>ssessed as a net neutral for the economy</w:t>
      </w:r>
      <w:r w:rsidR="00EE390E">
        <w:t xml:space="preserve">. While </w:t>
      </w:r>
      <w:r w:rsidRPr="0073712B">
        <w:t>large redistributive effects can</w:t>
      </w:r>
      <w:r w:rsidRPr="0073712B">
        <w:rPr>
          <w:spacing w:val="-27"/>
        </w:rPr>
        <w:t xml:space="preserve"> </w:t>
      </w:r>
      <w:r w:rsidRPr="0073712B">
        <w:t>generate longer-term costs and benefits</w:t>
      </w:r>
      <w:r w:rsidR="00EE390E">
        <w:t>, these have not been taken into account in the analysis</w:t>
      </w:r>
      <w:r w:rsidRPr="0073712B">
        <w:t xml:space="preserve">. </w:t>
      </w:r>
    </w:p>
    <w:p w14:paraId="308C25D5" w14:textId="77777777" w:rsidR="006165C9" w:rsidRDefault="006165C9" w:rsidP="006165C9">
      <w:pPr>
        <w:pStyle w:val="BodyText"/>
      </w:pPr>
      <w:r w:rsidRPr="00D84B38">
        <w:t xml:space="preserve">The quantitative analysis </w:t>
      </w:r>
      <w:r>
        <w:t xml:space="preserve">has been </w:t>
      </w:r>
      <w:r w:rsidRPr="00D84B38">
        <w:t>summarised in a net economy-wide benefit measure</w:t>
      </w:r>
      <w:r>
        <w:t xml:space="preserve">, which </w:t>
      </w:r>
      <w:r w:rsidRPr="00D84B38">
        <w:t xml:space="preserve">represents the net impact </w:t>
      </w:r>
      <w:r w:rsidRPr="001E2BAE">
        <w:rPr>
          <w:rFonts w:cs="Arial"/>
          <w:color w:val="000000"/>
        </w:rPr>
        <w:t>on Australia’s economic welfare (measured in increased consumption) as a result of</w:t>
      </w:r>
      <w:r>
        <w:t>:</w:t>
      </w:r>
      <w:r w:rsidRPr="001E2BAE">
        <w:rPr>
          <w:rFonts w:cs="Arial"/>
          <w:color w:val="000000"/>
        </w:rPr>
        <w:t xml:space="preserve"> </w:t>
      </w:r>
    </w:p>
    <w:p w14:paraId="0B942690" w14:textId="3641BC9B" w:rsidR="006165C9" w:rsidRDefault="006165C9" w:rsidP="00AD36B8">
      <w:pPr>
        <w:pStyle w:val="ListBullet"/>
      </w:pPr>
      <w:r w:rsidRPr="001E2BAE">
        <w:t xml:space="preserve">the productivity benefit </w:t>
      </w:r>
      <w:r w:rsidRPr="00D84B38">
        <w:t>associated with</w:t>
      </w:r>
      <w:r w:rsidRPr="001E2BAE">
        <w:t xml:space="preserve"> </w:t>
      </w:r>
      <w:r>
        <w:t xml:space="preserve">lower transportation costs, which arises because more pipelines become subject to the </w:t>
      </w:r>
      <w:r w:rsidR="00531979">
        <w:t>stronger</w:t>
      </w:r>
      <w:r>
        <w:t xml:space="preserve"> form of regulation (item (g)</w:t>
      </w:r>
      <w:r w:rsidRPr="003B3048">
        <w:t xml:space="preserve"> </w:t>
      </w:r>
      <w:r>
        <w:t xml:space="preserve">in </w:t>
      </w:r>
      <w:r>
        <w:fldChar w:fldCharType="begin" w:fldLock="1"/>
      </w:r>
      <w:r>
        <w:instrText xml:space="preserve"> REF _Ref50019369 \h </w:instrText>
      </w:r>
      <w:r>
        <w:fldChar w:fldCharType="separate"/>
      </w:r>
      <w:r w:rsidR="00036405">
        <w:t xml:space="preserve">Table </w:t>
      </w:r>
      <w:r w:rsidR="00036405">
        <w:rPr>
          <w:noProof/>
        </w:rPr>
        <w:t>9</w:t>
      </w:r>
      <w:r w:rsidR="00036405">
        <w:t>.</w:t>
      </w:r>
      <w:r w:rsidR="00036405">
        <w:rPr>
          <w:noProof/>
        </w:rPr>
        <w:t>4</w:t>
      </w:r>
      <w:r>
        <w:fldChar w:fldCharType="end"/>
      </w:r>
      <w:r>
        <w:t xml:space="preserve">); </w:t>
      </w:r>
      <w:r w:rsidRPr="002E0377">
        <w:rPr>
          <w:b/>
          <w:bCs/>
          <w:i/>
          <w:iCs/>
        </w:rPr>
        <w:t>less</w:t>
      </w:r>
    </w:p>
    <w:p w14:paraId="4D980F0B" w14:textId="48454F03" w:rsidR="006165C9" w:rsidRDefault="006165C9" w:rsidP="00AD36B8">
      <w:pPr>
        <w:pStyle w:val="ListBullet"/>
      </w:pPr>
      <w:r w:rsidRPr="001E2BAE">
        <w:t xml:space="preserve">the direct costs </w:t>
      </w:r>
      <w:r>
        <w:t xml:space="preserve">that </w:t>
      </w:r>
      <w:r w:rsidRPr="001E2BAE">
        <w:t xml:space="preserve">service providers, shippers and regulators </w:t>
      </w:r>
      <w:r>
        <w:t xml:space="preserve">are estimated to incur under the reform options (items (a)-(d) in </w:t>
      </w:r>
      <w:r>
        <w:fldChar w:fldCharType="begin" w:fldLock="1"/>
      </w:r>
      <w:r>
        <w:instrText xml:space="preserve"> REF _Ref50019369 \h </w:instrText>
      </w:r>
      <w:r>
        <w:fldChar w:fldCharType="separate"/>
      </w:r>
      <w:r w:rsidR="00036405">
        <w:t xml:space="preserve">Table </w:t>
      </w:r>
      <w:r w:rsidR="00036405">
        <w:rPr>
          <w:noProof/>
        </w:rPr>
        <w:t>9</w:t>
      </w:r>
      <w:r w:rsidR="00036405">
        <w:t>.</w:t>
      </w:r>
      <w:r w:rsidR="00036405">
        <w:rPr>
          <w:noProof/>
        </w:rPr>
        <w:t>4</w:t>
      </w:r>
      <w:r>
        <w:fldChar w:fldCharType="end"/>
      </w:r>
      <w:r>
        <w:t xml:space="preserve">). </w:t>
      </w:r>
    </w:p>
    <w:p w14:paraId="5D8603B1" w14:textId="77777777" w:rsidR="001E2BAE" w:rsidRPr="001E2BAE" w:rsidRDefault="00C031FB" w:rsidP="00AD36B8">
      <w:pPr>
        <w:pStyle w:val="ListBullet"/>
        <w:numPr>
          <w:ilvl w:val="0"/>
          <w:numId w:val="0"/>
        </w:numPr>
        <w:rPr>
          <w:color w:val="000000"/>
        </w:rPr>
      </w:pPr>
      <w:r>
        <w:t xml:space="preserve">As noted in the introduction to this chapter, the quantitative element of the CBA has been undertaken by PwC. </w:t>
      </w:r>
    </w:p>
    <w:p w14:paraId="79489050" w14:textId="77777777" w:rsidR="001C721C" w:rsidRDefault="001C721C" w:rsidP="00CB364C">
      <w:pPr>
        <w:pStyle w:val="BodyText"/>
        <w:sectPr w:rsidR="001C721C" w:rsidSect="002D2715">
          <w:headerReference w:type="even" r:id="rId74"/>
          <w:headerReference w:type="default" r:id="rId75"/>
          <w:footerReference w:type="even" r:id="rId76"/>
          <w:footerReference w:type="default" r:id="rId77"/>
          <w:headerReference w:type="first" r:id="rId78"/>
          <w:footerReference w:type="first" r:id="rId79"/>
          <w:pgSz w:w="11907" w:h="16839" w:code="9"/>
          <w:pgMar w:top="1361" w:right="1418" w:bottom="992" w:left="1701" w:header="567" w:footer="397" w:gutter="0"/>
          <w:cols w:space="708"/>
          <w:docGrid w:linePitch="360"/>
        </w:sectPr>
      </w:pPr>
    </w:p>
    <w:p w14:paraId="6FD5464B" w14:textId="431D730E" w:rsidR="006242D2" w:rsidRDefault="006242D2" w:rsidP="00B82C28">
      <w:pPr>
        <w:pStyle w:val="Caption"/>
        <w:spacing w:before="0" w:after="0"/>
      </w:pPr>
      <w:bookmarkStart w:id="211" w:name="_Ref50019369"/>
      <w:r>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9</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4</w:t>
      </w:r>
      <w:r w:rsidR="00F323B2">
        <w:rPr>
          <w:noProof/>
        </w:rPr>
        <w:fldChar w:fldCharType="end"/>
      </w:r>
      <w:bookmarkEnd w:id="211"/>
      <w:r>
        <w:t>: Types of costs and benefits accounted for in the CBA</w:t>
      </w:r>
    </w:p>
    <w:tbl>
      <w:tblPr>
        <w:tblStyle w:val="TableGrid"/>
        <w:tblW w:w="5000" w:type="pct"/>
        <w:tblLook w:val="0420" w:firstRow="1" w:lastRow="0" w:firstColumn="0" w:lastColumn="0" w:noHBand="0" w:noVBand="1"/>
      </w:tblPr>
      <w:tblGrid>
        <w:gridCol w:w="543"/>
        <w:gridCol w:w="1630"/>
        <w:gridCol w:w="8139"/>
        <w:gridCol w:w="1627"/>
        <w:gridCol w:w="1767"/>
        <w:gridCol w:w="14"/>
      </w:tblGrid>
      <w:tr w:rsidR="00D77DE1" w:rsidRPr="00A13ED8" w14:paraId="1BA662B5" w14:textId="77777777" w:rsidTr="00375C40">
        <w:trPr>
          <w:gridAfter w:val="1"/>
          <w:cnfStyle w:val="100000000000" w:firstRow="1" w:lastRow="0" w:firstColumn="0" w:lastColumn="0" w:oddVBand="0" w:evenVBand="0" w:oddHBand="0" w:evenHBand="0" w:firstRowFirstColumn="0" w:firstRowLastColumn="0" w:lastRowFirstColumn="0" w:lastRowLastColumn="0"/>
          <w:wAfter w:w="5" w:type="pct"/>
          <w:tblHeader/>
        </w:trPr>
        <w:tc>
          <w:tcPr>
            <w:tcW w:w="198" w:type="pct"/>
            <w:tcBorders>
              <w:bottom w:val="single" w:sz="4" w:space="0" w:color="auto"/>
            </w:tcBorders>
            <w:shd w:val="clear" w:color="auto" w:fill="002060"/>
          </w:tcPr>
          <w:p w14:paraId="63F6A78D" w14:textId="77777777" w:rsidR="00D77DE1" w:rsidRPr="00A13ED8" w:rsidRDefault="00D77DE1" w:rsidP="00065554">
            <w:pPr>
              <w:pStyle w:val="TableHeading"/>
              <w:spacing w:before="20" w:after="20" w:line="247" w:lineRule="auto"/>
              <w:rPr>
                <w:rFonts w:asciiTheme="majorHAnsi" w:hAnsiTheme="majorHAnsi" w:cstheme="majorHAnsi"/>
                <w:sz w:val="16"/>
                <w:szCs w:val="16"/>
              </w:rPr>
            </w:pPr>
            <w:r>
              <w:rPr>
                <w:rFonts w:asciiTheme="majorHAnsi" w:hAnsiTheme="majorHAnsi" w:cstheme="majorHAnsi"/>
                <w:sz w:val="16"/>
                <w:szCs w:val="16"/>
              </w:rPr>
              <w:t>Item</w:t>
            </w:r>
          </w:p>
        </w:tc>
        <w:tc>
          <w:tcPr>
            <w:tcW w:w="594" w:type="pct"/>
            <w:tcBorders>
              <w:bottom w:val="single" w:sz="4" w:space="0" w:color="auto"/>
            </w:tcBorders>
            <w:shd w:val="clear" w:color="auto" w:fill="002060"/>
          </w:tcPr>
          <w:p w14:paraId="0886B341" w14:textId="77777777" w:rsidR="00D77DE1" w:rsidRPr="00A13ED8" w:rsidRDefault="00D77DE1" w:rsidP="00065554">
            <w:pPr>
              <w:pStyle w:val="TableHeading"/>
              <w:spacing w:before="20" w:after="20" w:line="247" w:lineRule="auto"/>
              <w:rPr>
                <w:rFonts w:asciiTheme="majorHAnsi" w:hAnsiTheme="majorHAnsi" w:cstheme="majorHAnsi"/>
                <w:sz w:val="16"/>
                <w:szCs w:val="16"/>
              </w:rPr>
            </w:pPr>
            <w:r w:rsidRPr="00A13ED8">
              <w:rPr>
                <w:rFonts w:asciiTheme="majorHAnsi" w:hAnsiTheme="majorHAnsi" w:cstheme="majorHAnsi"/>
                <w:sz w:val="16"/>
                <w:szCs w:val="16"/>
              </w:rPr>
              <w:t>Type of cost</w:t>
            </w:r>
          </w:p>
        </w:tc>
        <w:tc>
          <w:tcPr>
            <w:tcW w:w="2966" w:type="pct"/>
            <w:tcBorders>
              <w:bottom w:val="single" w:sz="4" w:space="0" w:color="auto"/>
            </w:tcBorders>
            <w:shd w:val="clear" w:color="auto" w:fill="002060"/>
          </w:tcPr>
          <w:p w14:paraId="32976EB9" w14:textId="77777777" w:rsidR="00D77DE1" w:rsidRPr="00A13ED8" w:rsidRDefault="00D77DE1" w:rsidP="00065554">
            <w:pPr>
              <w:pStyle w:val="TableHeading"/>
              <w:spacing w:before="20" w:after="20" w:line="247" w:lineRule="auto"/>
              <w:rPr>
                <w:rFonts w:asciiTheme="majorHAnsi" w:hAnsiTheme="majorHAnsi" w:cstheme="majorHAnsi"/>
                <w:sz w:val="16"/>
                <w:szCs w:val="16"/>
              </w:rPr>
            </w:pPr>
            <w:r w:rsidRPr="00A13ED8">
              <w:rPr>
                <w:rFonts w:asciiTheme="majorHAnsi" w:hAnsiTheme="majorHAnsi" w:cstheme="majorHAnsi"/>
                <w:sz w:val="16"/>
                <w:szCs w:val="16"/>
              </w:rPr>
              <w:t>Description</w:t>
            </w:r>
          </w:p>
        </w:tc>
        <w:tc>
          <w:tcPr>
            <w:tcW w:w="593" w:type="pct"/>
            <w:tcBorders>
              <w:bottom w:val="single" w:sz="4" w:space="0" w:color="auto"/>
            </w:tcBorders>
            <w:shd w:val="clear" w:color="auto" w:fill="002060"/>
          </w:tcPr>
          <w:p w14:paraId="767F8C31" w14:textId="02C80931" w:rsidR="00D77DE1" w:rsidRPr="00A13ED8" w:rsidRDefault="00120E27" w:rsidP="00065554">
            <w:pPr>
              <w:pStyle w:val="TableHeading"/>
              <w:spacing w:before="20" w:after="20" w:line="247" w:lineRule="auto"/>
              <w:jc w:val="center"/>
              <w:rPr>
                <w:rFonts w:asciiTheme="majorHAnsi" w:hAnsiTheme="majorHAnsi" w:cstheme="majorHAnsi"/>
                <w:sz w:val="16"/>
                <w:szCs w:val="16"/>
              </w:rPr>
            </w:pPr>
            <w:r>
              <w:rPr>
                <w:rFonts w:asciiTheme="majorHAnsi" w:hAnsiTheme="majorHAnsi" w:cstheme="majorHAnsi"/>
                <w:sz w:val="16"/>
                <w:szCs w:val="16"/>
              </w:rPr>
              <w:t>Affects?</w:t>
            </w:r>
          </w:p>
        </w:tc>
        <w:tc>
          <w:tcPr>
            <w:tcW w:w="644" w:type="pct"/>
            <w:tcBorders>
              <w:bottom w:val="single" w:sz="4" w:space="0" w:color="auto"/>
            </w:tcBorders>
            <w:shd w:val="clear" w:color="auto" w:fill="002060"/>
          </w:tcPr>
          <w:p w14:paraId="16321D9A" w14:textId="75F6B932" w:rsidR="00D77DE1" w:rsidRPr="00A13ED8" w:rsidRDefault="00120E27" w:rsidP="00065554">
            <w:pPr>
              <w:pStyle w:val="TableHeading"/>
              <w:spacing w:before="20" w:after="20" w:line="247" w:lineRule="auto"/>
              <w:jc w:val="center"/>
              <w:rPr>
                <w:rFonts w:asciiTheme="majorHAnsi" w:hAnsiTheme="majorHAnsi" w:cstheme="majorHAnsi"/>
                <w:sz w:val="16"/>
                <w:szCs w:val="16"/>
              </w:rPr>
            </w:pPr>
            <w:r>
              <w:rPr>
                <w:rFonts w:asciiTheme="majorHAnsi" w:hAnsiTheme="majorHAnsi" w:cstheme="majorHAnsi"/>
                <w:sz w:val="16"/>
                <w:szCs w:val="16"/>
              </w:rPr>
              <w:t>Measured?</w:t>
            </w:r>
          </w:p>
        </w:tc>
      </w:tr>
      <w:tr w:rsidR="003D5DE0" w:rsidRPr="00A13ED8" w14:paraId="0C7A5AFF" w14:textId="77777777" w:rsidTr="00375C40">
        <w:tc>
          <w:tcPr>
            <w:tcW w:w="5000" w:type="pct"/>
            <w:gridSpan w:val="6"/>
            <w:shd w:val="clear" w:color="auto" w:fill="65697F" w:themeFill="background2" w:themeFillShade="80"/>
          </w:tcPr>
          <w:p w14:paraId="59257159" w14:textId="77777777" w:rsidR="003D5DE0" w:rsidRPr="00A13ED8" w:rsidRDefault="003D5DE0" w:rsidP="00065554">
            <w:pPr>
              <w:pStyle w:val="TableBullet10"/>
              <w:numPr>
                <w:ilvl w:val="0"/>
                <w:numId w:val="0"/>
              </w:numPr>
              <w:spacing w:before="20" w:after="20" w:line="247" w:lineRule="auto"/>
              <w:ind w:left="312" w:hanging="227"/>
              <w:jc w:val="center"/>
              <w:rPr>
                <w:rFonts w:asciiTheme="majorHAnsi" w:hAnsiTheme="majorHAnsi" w:cstheme="majorHAnsi"/>
                <w:b/>
                <w:bCs/>
                <w:color w:val="FFFFFF" w:themeColor="background1"/>
                <w:sz w:val="16"/>
                <w:szCs w:val="16"/>
              </w:rPr>
            </w:pPr>
            <w:r w:rsidRPr="00A13ED8">
              <w:rPr>
                <w:rFonts w:asciiTheme="majorHAnsi" w:hAnsiTheme="majorHAnsi" w:cstheme="majorHAnsi"/>
                <w:b/>
                <w:bCs/>
                <w:color w:val="FFFFFF" w:themeColor="background1"/>
                <w:sz w:val="16"/>
                <w:szCs w:val="16"/>
              </w:rPr>
              <w:t>Costs</w:t>
            </w:r>
          </w:p>
        </w:tc>
      </w:tr>
      <w:tr w:rsidR="00D77DE1" w:rsidRPr="00A13ED8" w14:paraId="5602A26A" w14:textId="77777777" w:rsidTr="00375C40">
        <w:trPr>
          <w:gridAfter w:val="1"/>
          <w:cnfStyle w:val="000000010000" w:firstRow="0" w:lastRow="0" w:firstColumn="0" w:lastColumn="0" w:oddVBand="0" w:evenVBand="0" w:oddHBand="0" w:evenHBand="1" w:firstRowFirstColumn="0" w:firstRowLastColumn="0" w:lastRowFirstColumn="0" w:lastRowLastColumn="0"/>
          <w:wAfter w:w="5" w:type="pct"/>
        </w:trPr>
        <w:tc>
          <w:tcPr>
            <w:tcW w:w="198" w:type="pct"/>
          </w:tcPr>
          <w:p w14:paraId="4D019F2F" w14:textId="77777777" w:rsidR="00D77DE1" w:rsidRDefault="00D77DE1" w:rsidP="00065554">
            <w:pPr>
              <w:pStyle w:val="TableBodyText"/>
              <w:spacing w:before="20" w:after="20" w:line="240" w:lineRule="auto"/>
              <w:rPr>
                <w:rFonts w:asciiTheme="majorHAnsi" w:hAnsiTheme="majorHAnsi" w:cstheme="majorHAnsi"/>
                <w:sz w:val="16"/>
                <w:szCs w:val="16"/>
              </w:rPr>
            </w:pPr>
            <w:r>
              <w:rPr>
                <w:rFonts w:asciiTheme="majorHAnsi" w:hAnsiTheme="majorHAnsi" w:cstheme="majorHAnsi"/>
                <w:sz w:val="16"/>
                <w:szCs w:val="16"/>
              </w:rPr>
              <w:t>(a)</w:t>
            </w:r>
          </w:p>
        </w:tc>
        <w:tc>
          <w:tcPr>
            <w:tcW w:w="594" w:type="pct"/>
          </w:tcPr>
          <w:p w14:paraId="5244B0E7" w14:textId="77777777" w:rsidR="00D77DE1" w:rsidRPr="00A13ED8" w:rsidRDefault="00D77DE1" w:rsidP="00065554">
            <w:pPr>
              <w:pStyle w:val="TableBodyText"/>
              <w:spacing w:before="20" w:after="20" w:line="240" w:lineRule="auto"/>
              <w:rPr>
                <w:rFonts w:asciiTheme="majorHAnsi" w:hAnsiTheme="majorHAnsi" w:cstheme="majorHAnsi"/>
                <w:sz w:val="16"/>
                <w:szCs w:val="16"/>
              </w:rPr>
            </w:pPr>
            <w:r w:rsidRPr="00A13ED8">
              <w:rPr>
                <w:rFonts w:asciiTheme="majorHAnsi" w:hAnsiTheme="majorHAnsi" w:cstheme="majorHAnsi"/>
                <w:sz w:val="16"/>
                <w:szCs w:val="16"/>
              </w:rPr>
              <w:t>Implementation costs</w:t>
            </w:r>
          </w:p>
        </w:tc>
        <w:tc>
          <w:tcPr>
            <w:tcW w:w="2966" w:type="pct"/>
          </w:tcPr>
          <w:p w14:paraId="30437E29" w14:textId="77777777" w:rsidR="00D77DE1" w:rsidRPr="00A13ED8" w:rsidRDefault="00D77DE1" w:rsidP="00065554">
            <w:pPr>
              <w:pStyle w:val="TableBodyText"/>
              <w:spacing w:before="20" w:after="20" w:line="240" w:lineRule="auto"/>
              <w:rPr>
                <w:rFonts w:asciiTheme="majorHAnsi" w:hAnsiTheme="majorHAnsi" w:cstheme="majorHAnsi"/>
                <w:sz w:val="16"/>
                <w:szCs w:val="16"/>
              </w:rPr>
            </w:pPr>
            <w:r>
              <w:rPr>
                <w:rFonts w:asciiTheme="majorHAnsi" w:hAnsiTheme="majorHAnsi" w:cstheme="majorHAnsi"/>
                <w:sz w:val="16"/>
                <w:szCs w:val="16"/>
              </w:rPr>
              <w:t>This category of costs includes the o</w:t>
            </w:r>
            <w:r w:rsidRPr="00A13ED8">
              <w:rPr>
                <w:rFonts w:asciiTheme="majorHAnsi" w:hAnsiTheme="majorHAnsi" w:cstheme="majorHAnsi"/>
                <w:sz w:val="16"/>
                <w:szCs w:val="16"/>
              </w:rPr>
              <w:t xml:space="preserve">ne-off upfront costs associated with </w:t>
            </w:r>
            <w:r>
              <w:rPr>
                <w:rFonts w:asciiTheme="majorHAnsi" w:hAnsiTheme="majorHAnsi" w:cstheme="majorHAnsi"/>
                <w:sz w:val="16"/>
                <w:szCs w:val="16"/>
              </w:rPr>
              <w:t xml:space="preserve">service providers, shippers and regulators </w:t>
            </w:r>
            <w:r w:rsidRPr="00A13ED8">
              <w:rPr>
                <w:rFonts w:asciiTheme="majorHAnsi" w:hAnsiTheme="majorHAnsi" w:cstheme="majorHAnsi"/>
                <w:sz w:val="16"/>
                <w:szCs w:val="16"/>
              </w:rPr>
              <w:t xml:space="preserve">adapting to the new regulatory framework. The costs </w:t>
            </w:r>
            <w:r>
              <w:rPr>
                <w:rFonts w:asciiTheme="majorHAnsi" w:hAnsiTheme="majorHAnsi" w:cstheme="majorHAnsi"/>
                <w:sz w:val="16"/>
                <w:szCs w:val="16"/>
              </w:rPr>
              <w:t xml:space="preserve">for each of these parties </w:t>
            </w:r>
            <w:r w:rsidRPr="00A13ED8">
              <w:rPr>
                <w:rFonts w:asciiTheme="majorHAnsi" w:hAnsiTheme="majorHAnsi" w:cstheme="majorHAnsi"/>
                <w:sz w:val="16"/>
                <w:szCs w:val="16"/>
              </w:rPr>
              <w:t>include:</w:t>
            </w:r>
          </w:p>
          <w:p w14:paraId="284BC87B" w14:textId="77777777" w:rsidR="00D77DE1" w:rsidRPr="00A13ED8" w:rsidRDefault="00D77DE1" w:rsidP="00DF5469">
            <w:pPr>
              <w:pStyle w:val="TableBullet10"/>
              <w:spacing w:before="20" w:after="0" w:line="240" w:lineRule="auto"/>
              <w:rPr>
                <w:rFonts w:asciiTheme="majorHAnsi" w:hAnsiTheme="majorHAnsi" w:cstheme="majorHAnsi"/>
                <w:sz w:val="16"/>
                <w:szCs w:val="16"/>
              </w:rPr>
            </w:pPr>
            <w:r>
              <w:rPr>
                <w:rFonts w:asciiTheme="majorHAnsi" w:hAnsiTheme="majorHAnsi" w:cstheme="majorHAnsi"/>
                <w:sz w:val="16"/>
                <w:szCs w:val="16"/>
              </w:rPr>
              <w:t>Service providers: T</w:t>
            </w:r>
            <w:r w:rsidRPr="00A13ED8">
              <w:rPr>
                <w:rFonts w:asciiTheme="majorHAnsi" w:hAnsiTheme="majorHAnsi" w:cstheme="majorHAnsi"/>
                <w:sz w:val="16"/>
                <w:szCs w:val="16"/>
              </w:rPr>
              <w:t>he IT and administrative costs associated with moving to a new form of regulation and setting up any additional systems that may be required (</w:t>
            </w:r>
            <w:r w:rsidR="00DF5469">
              <w:rPr>
                <w:rFonts w:asciiTheme="majorHAnsi" w:hAnsiTheme="majorHAnsi" w:cstheme="majorHAnsi"/>
                <w:sz w:val="16"/>
                <w:szCs w:val="16"/>
              </w:rPr>
              <w:t>incl</w:t>
            </w:r>
            <w:r w:rsidR="00EA2DF5">
              <w:rPr>
                <w:rFonts w:asciiTheme="majorHAnsi" w:hAnsiTheme="majorHAnsi" w:cstheme="majorHAnsi"/>
                <w:sz w:val="16"/>
                <w:szCs w:val="16"/>
              </w:rPr>
              <w:t xml:space="preserve">uding </w:t>
            </w:r>
            <w:r w:rsidRPr="00A13ED8">
              <w:rPr>
                <w:rFonts w:asciiTheme="majorHAnsi" w:hAnsiTheme="majorHAnsi" w:cstheme="majorHAnsi"/>
                <w:sz w:val="16"/>
                <w:szCs w:val="16"/>
              </w:rPr>
              <w:t>costs of compliance, legal and financial advice).</w:t>
            </w:r>
          </w:p>
          <w:p w14:paraId="7E56EB80" w14:textId="77777777" w:rsidR="00D77DE1" w:rsidRPr="00A13ED8" w:rsidRDefault="00D77DE1" w:rsidP="00DF5469">
            <w:pPr>
              <w:pStyle w:val="TableBullet10"/>
              <w:spacing w:before="20" w:after="0" w:line="240" w:lineRule="auto"/>
              <w:rPr>
                <w:rFonts w:asciiTheme="majorHAnsi" w:hAnsiTheme="majorHAnsi" w:cstheme="majorHAnsi"/>
                <w:sz w:val="16"/>
                <w:szCs w:val="16"/>
              </w:rPr>
            </w:pPr>
            <w:r>
              <w:rPr>
                <w:rFonts w:asciiTheme="majorHAnsi" w:hAnsiTheme="majorHAnsi" w:cstheme="majorHAnsi"/>
                <w:sz w:val="16"/>
                <w:szCs w:val="16"/>
              </w:rPr>
              <w:t>S</w:t>
            </w:r>
            <w:r w:rsidRPr="00A13ED8">
              <w:rPr>
                <w:rFonts w:asciiTheme="majorHAnsi" w:hAnsiTheme="majorHAnsi" w:cstheme="majorHAnsi"/>
                <w:sz w:val="16"/>
                <w:szCs w:val="16"/>
              </w:rPr>
              <w:t>hippers</w:t>
            </w:r>
            <w:r>
              <w:rPr>
                <w:rFonts w:asciiTheme="majorHAnsi" w:hAnsiTheme="majorHAnsi" w:cstheme="majorHAnsi"/>
                <w:sz w:val="16"/>
                <w:szCs w:val="16"/>
              </w:rPr>
              <w:t>:</w:t>
            </w:r>
            <w:r w:rsidRPr="00A13ED8">
              <w:rPr>
                <w:rFonts w:asciiTheme="majorHAnsi" w:hAnsiTheme="majorHAnsi" w:cstheme="majorHAnsi"/>
                <w:sz w:val="16"/>
                <w:szCs w:val="16"/>
              </w:rPr>
              <w:t xml:space="preserve"> </w:t>
            </w:r>
            <w:r>
              <w:rPr>
                <w:rFonts w:asciiTheme="majorHAnsi" w:hAnsiTheme="majorHAnsi" w:cstheme="majorHAnsi"/>
                <w:sz w:val="16"/>
                <w:szCs w:val="16"/>
              </w:rPr>
              <w:t>T</w:t>
            </w:r>
            <w:r w:rsidRPr="00A13ED8">
              <w:rPr>
                <w:rFonts w:asciiTheme="majorHAnsi" w:hAnsiTheme="majorHAnsi" w:cstheme="majorHAnsi"/>
                <w:sz w:val="16"/>
                <w:szCs w:val="16"/>
              </w:rPr>
              <w:t xml:space="preserve">he administrative costs associated with understanding the reform changes and participating in stakeholder engagement processes. </w:t>
            </w:r>
          </w:p>
          <w:p w14:paraId="67957F04" w14:textId="77777777" w:rsidR="00D77DE1" w:rsidRPr="00A13ED8" w:rsidRDefault="00D77DE1" w:rsidP="00DF5469">
            <w:pPr>
              <w:pStyle w:val="TableBullet10"/>
              <w:spacing w:before="20" w:after="0" w:line="240" w:lineRule="auto"/>
              <w:rPr>
                <w:rFonts w:asciiTheme="majorHAnsi" w:hAnsiTheme="majorHAnsi" w:cstheme="majorHAnsi"/>
                <w:sz w:val="16"/>
                <w:szCs w:val="16"/>
              </w:rPr>
            </w:pPr>
            <w:r>
              <w:rPr>
                <w:rFonts w:asciiTheme="majorHAnsi" w:hAnsiTheme="majorHAnsi" w:cstheme="majorHAnsi"/>
                <w:sz w:val="16"/>
                <w:szCs w:val="16"/>
              </w:rPr>
              <w:t>R</w:t>
            </w:r>
            <w:r w:rsidRPr="00A13ED8">
              <w:rPr>
                <w:rFonts w:asciiTheme="majorHAnsi" w:hAnsiTheme="majorHAnsi" w:cstheme="majorHAnsi"/>
                <w:sz w:val="16"/>
                <w:szCs w:val="16"/>
              </w:rPr>
              <w:t>egulators</w:t>
            </w:r>
            <w:r>
              <w:rPr>
                <w:rFonts w:asciiTheme="majorHAnsi" w:hAnsiTheme="majorHAnsi" w:cstheme="majorHAnsi"/>
                <w:sz w:val="16"/>
                <w:szCs w:val="16"/>
              </w:rPr>
              <w:t>:</w:t>
            </w:r>
            <w:r w:rsidRPr="00A13ED8">
              <w:rPr>
                <w:rFonts w:asciiTheme="majorHAnsi" w:hAnsiTheme="majorHAnsi" w:cstheme="majorHAnsi"/>
                <w:sz w:val="16"/>
                <w:szCs w:val="16"/>
              </w:rPr>
              <w:t xml:space="preserve"> </w:t>
            </w:r>
            <w:r>
              <w:rPr>
                <w:rFonts w:asciiTheme="majorHAnsi" w:hAnsiTheme="majorHAnsi" w:cstheme="majorHAnsi"/>
                <w:sz w:val="16"/>
                <w:szCs w:val="16"/>
              </w:rPr>
              <w:t>T</w:t>
            </w:r>
            <w:r w:rsidRPr="00A13ED8">
              <w:rPr>
                <w:rFonts w:asciiTheme="majorHAnsi" w:hAnsiTheme="majorHAnsi" w:cstheme="majorHAnsi"/>
                <w:sz w:val="16"/>
                <w:szCs w:val="16"/>
              </w:rPr>
              <w:t xml:space="preserve">he costs associated with evaluating any applications for a change in the form of regulation applied to a pipeline, an exemption from regulation under </w:t>
            </w:r>
            <w:r>
              <w:rPr>
                <w:rFonts w:asciiTheme="majorHAnsi" w:hAnsiTheme="majorHAnsi" w:cstheme="majorHAnsi"/>
                <w:sz w:val="16"/>
                <w:szCs w:val="16"/>
              </w:rPr>
              <w:t>O</w:t>
            </w:r>
            <w:r w:rsidRPr="00A13ED8">
              <w:rPr>
                <w:rFonts w:asciiTheme="majorHAnsi" w:hAnsiTheme="majorHAnsi" w:cstheme="majorHAnsi"/>
                <w:sz w:val="16"/>
                <w:szCs w:val="16"/>
              </w:rPr>
              <w:t xml:space="preserve">ption 2, a greenfield </w:t>
            </w:r>
            <w:r w:rsidR="00022C35">
              <w:rPr>
                <w:rFonts w:asciiTheme="majorHAnsi" w:hAnsiTheme="majorHAnsi" w:cstheme="majorHAnsi"/>
                <w:sz w:val="16"/>
                <w:szCs w:val="16"/>
              </w:rPr>
              <w:t>exemption</w:t>
            </w:r>
            <w:r w:rsidR="00022C35" w:rsidRPr="00A13ED8">
              <w:rPr>
                <w:rFonts w:asciiTheme="majorHAnsi" w:hAnsiTheme="majorHAnsi" w:cstheme="majorHAnsi"/>
                <w:sz w:val="16"/>
                <w:szCs w:val="16"/>
              </w:rPr>
              <w:t xml:space="preserve"> </w:t>
            </w:r>
            <w:r w:rsidRPr="00A13ED8">
              <w:rPr>
                <w:rFonts w:asciiTheme="majorHAnsi" w:hAnsiTheme="majorHAnsi" w:cstheme="majorHAnsi"/>
                <w:sz w:val="16"/>
                <w:szCs w:val="16"/>
              </w:rPr>
              <w:t xml:space="preserve">under options 2, 3A and 3B, or a third party access application under options 2 and 3A. </w:t>
            </w:r>
          </w:p>
        </w:tc>
        <w:tc>
          <w:tcPr>
            <w:tcW w:w="593" w:type="pct"/>
          </w:tcPr>
          <w:p w14:paraId="6D369D7C" w14:textId="77777777" w:rsidR="00D77DE1" w:rsidRPr="00A13ED8" w:rsidRDefault="00D77DE1" w:rsidP="00065554">
            <w:pPr>
              <w:pStyle w:val="TableBodyText"/>
              <w:spacing w:before="20" w:after="20" w:line="240" w:lineRule="auto"/>
              <w:rPr>
                <w:rFonts w:asciiTheme="majorHAnsi" w:hAnsiTheme="majorHAnsi" w:cstheme="majorHAnsi"/>
                <w:sz w:val="16"/>
                <w:szCs w:val="16"/>
              </w:rPr>
            </w:pPr>
            <w:r w:rsidRPr="00A13ED8">
              <w:rPr>
                <w:rFonts w:asciiTheme="majorHAnsi" w:hAnsiTheme="majorHAnsi" w:cstheme="majorHAnsi"/>
                <w:sz w:val="16"/>
                <w:szCs w:val="16"/>
              </w:rPr>
              <w:t xml:space="preserve">Service providers, shippers and regulators </w:t>
            </w:r>
          </w:p>
        </w:tc>
        <w:tc>
          <w:tcPr>
            <w:tcW w:w="644" w:type="pct"/>
          </w:tcPr>
          <w:p w14:paraId="63448080" w14:textId="77777777" w:rsidR="00D77DE1" w:rsidRPr="0066792E" w:rsidRDefault="00D77DE1" w:rsidP="00065554">
            <w:pPr>
              <w:pStyle w:val="TableBodyText"/>
              <w:spacing w:before="20" w:after="20" w:line="247" w:lineRule="auto"/>
              <w:rPr>
                <w:rFonts w:asciiTheme="majorHAnsi" w:hAnsiTheme="majorHAnsi" w:cstheme="majorHAnsi"/>
                <w:color w:val="0033CC"/>
                <w:sz w:val="16"/>
                <w:szCs w:val="16"/>
              </w:rPr>
            </w:pPr>
            <w:r w:rsidRPr="0066792E">
              <w:rPr>
                <w:rFonts w:asciiTheme="majorHAnsi" w:hAnsiTheme="majorHAnsi" w:cstheme="majorHAnsi"/>
                <w:color w:val="0033CC"/>
                <w:sz w:val="16"/>
                <w:szCs w:val="16"/>
              </w:rPr>
              <w:t>Quantitatively</w:t>
            </w:r>
          </w:p>
        </w:tc>
      </w:tr>
      <w:tr w:rsidR="00D77DE1" w:rsidRPr="00A13ED8" w14:paraId="397F9CFD" w14:textId="77777777" w:rsidTr="00375C40">
        <w:trPr>
          <w:gridAfter w:val="1"/>
          <w:wAfter w:w="5" w:type="pct"/>
        </w:trPr>
        <w:tc>
          <w:tcPr>
            <w:tcW w:w="198" w:type="pct"/>
          </w:tcPr>
          <w:p w14:paraId="3E1D9646" w14:textId="77777777" w:rsidR="00D77DE1" w:rsidRDefault="00D77DE1" w:rsidP="00065554">
            <w:pPr>
              <w:pStyle w:val="TableBodyText"/>
              <w:spacing w:before="20" w:after="20" w:line="240" w:lineRule="auto"/>
              <w:rPr>
                <w:rFonts w:asciiTheme="majorHAnsi" w:hAnsiTheme="majorHAnsi" w:cstheme="majorHAnsi"/>
                <w:sz w:val="16"/>
                <w:szCs w:val="16"/>
              </w:rPr>
            </w:pPr>
            <w:r>
              <w:rPr>
                <w:rFonts w:asciiTheme="majorHAnsi" w:hAnsiTheme="majorHAnsi" w:cstheme="majorHAnsi"/>
                <w:sz w:val="16"/>
                <w:szCs w:val="16"/>
              </w:rPr>
              <w:t>(b)</w:t>
            </w:r>
          </w:p>
        </w:tc>
        <w:tc>
          <w:tcPr>
            <w:tcW w:w="594" w:type="pct"/>
          </w:tcPr>
          <w:p w14:paraId="101AC623" w14:textId="77777777" w:rsidR="00D77DE1" w:rsidRPr="00A13ED8" w:rsidRDefault="00D77DE1" w:rsidP="00065554">
            <w:pPr>
              <w:pStyle w:val="TableBodyText"/>
              <w:spacing w:before="20" w:after="20" w:line="240" w:lineRule="auto"/>
              <w:rPr>
                <w:rFonts w:asciiTheme="majorHAnsi" w:hAnsiTheme="majorHAnsi" w:cstheme="majorHAnsi"/>
                <w:sz w:val="16"/>
                <w:szCs w:val="16"/>
              </w:rPr>
            </w:pPr>
            <w:r w:rsidRPr="00A13ED8">
              <w:rPr>
                <w:rFonts w:asciiTheme="majorHAnsi" w:hAnsiTheme="majorHAnsi" w:cstheme="majorHAnsi"/>
                <w:sz w:val="16"/>
                <w:szCs w:val="16"/>
              </w:rPr>
              <w:t>Access costs</w:t>
            </w:r>
          </w:p>
        </w:tc>
        <w:tc>
          <w:tcPr>
            <w:tcW w:w="2966" w:type="pct"/>
          </w:tcPr>
          <w:p w14:paraId="6E2FE3DC" w14:textId="77777777" w:rsidR="00D77DE1" w:rsidRPr="00A13ED8" w:rsidRDefault="00D77DE1" w:rsidP="00065554">
            <w:pPr>
              <w:pStyle w:val="TableBodyText"/>
              <w:spacing w:before="20" w:after="20" w:line="240" w:lineRule="auto"/>
              <w:rPr>
                <w:rFonts w:asciiTheme="majorHAnsi" w:hAnsiTheme="majorHAnsi" w:cstheme="majorHAnsi"/>
                <w:sz w:val="16"/>
                <w:szCs w:val="16"/>
              </w:rPr>
            </w:pPr>
            <w:r>
              <w:rPr>
                <w:rFonts w:asciiTheme="majorHAnsi" w:hAnsiTheme="majorHAnsi" w:cstheme="majorHAnsi"/>
                <w:sz w:val="16"/>
                <w:szCs w:val="16"/>
              </w:rPr>
              <w:t xml:space="preserve">This category of costs includes the </w:t>
            </w:r>
            <w:r w:rsidRPr="00A13ED8">
              <w:rPr>
                <w:rFonts w:asciiTheme="majorHAnsi" w:hAnsiTheme="majorHAnsi" w:cstheme="majorHAnsi"/>
                <w:sz w:val="16"/>
                <w:szCs w:val="16"/>
              </w:rPr>
              <w:t>costs associated with providing third party access under the new regulatory framework, which include:</w:t>
            </w:r>
          </w:p>
          <w:p w14:paraId="3E456323" w14:textId="77777777" w:rsidR="00D77DE1" w:rsidRPr="00A13ED8" w:rsidRDefault="00D77DE1" w:rsidP="00DF5469">
            <w:pPr>
              <w:pStyle w:val="TableBullet10"/>
              <w:spacing w:before="20" w:after="0" w:line="240" w:lineRule="auto"/>
              <w:rPr>
                <w:rFonts w:asciiTheme="majorHAnsi" w:hAnsiTheme="majorHAnsi" w:cstheme="majorHAnsi"/>
                <w:sz w:val="16"/>
                <w:szCs w:val="16"/>
              </w:rPr>
            </w:pPr>
            <w:r>
              <w:rPr>
                <w:rFonts w:asciiTheme="majorHAnsi" w:hAnsiTheme="majorHAnsi" w:cstheme="majorHAnsi"/>
                <w:sz w:val="16"/>
                <w:szCs w:val="16"/>
              </w:rPr>
              <w:t>t</w:t>
            </w:r>
            <w:r w:rsidRPr="00A13ED8">
              <w:rPr>
                <w:rFonts w:asciiTheme="majorHAnsi" w:hAnsiTheme="majorHAnsi" w:cstheme="majorHAnsi"/>
                <w:sz w:val="16"/>
                <w:szCs w:val="16"/>
              </w:rPr>
              <w:t>he costs a service provider</w:t>
            </w:r>
            <w:r>
              <w:rPr>
                <w:rFonts w:asciiTheme="majorHAnsi" w:hAnsiTheme="majorHAnsi" w:cstheme="majorHAnsi"/>
                <w:sz w:val="16"/>
                <w:szCs w:val="16"/>
              </w:rPr>
              <w:t xml:space="preserve"> would</w:t>
            </w:r>
            <w:r w:rsidRPr="00A13ED8">
              <w:rPr>
                <w:rFonts w:asciiTheme="majorHAnsi" w:hAnsiTheme="majorHAnsi" w:cstheme="majorHAnsi"/>
                <w:sz w:val="16"/>
                <w:szCs w:val="16"/>
              </w:rPr>
              <w:t xml:space="preserve"> incur preparing </w:t>
            </w:r>
            <w:r>
              <w:rPr>
                <w:rFonts w:asciiTheme="majorHAnsi" w:hAnsiTheme="majorHAnsi" w:cstheme="majorHAnsi"/>
                <w:sz w:val="16"/>
                <w:szCs w:val="16"/>
              </w:rPr>
              <w:t xml:space="preserve">an </w:t>
            </w:r>
            <w:r w:rsidR="005A1AB7">
              <w:rPr>
                <w:rFonts w:asciiTheme="majorHAnsi" w:hAnsiTheme="majorHAnsi" w:cstheme="majorHAnsi"/>
                <w:sz w:val="16"/>
                <w:szCs w:val="16"/>
              </w:rPr>
              <w:t>AA</w:t>
            </w:r>
            <w:r w:rsidRPr="00A13ED8">
              <w:rPr>
                <w:rFonts w:asciiTheme="majorHAnsi" w:hAnsiTheme="majorHAnsi" w:cstheme="majorHAnsi"/>
                <w:sz w:val="16"/>
                <w:szCs w:val="16"/>
              </w:rPr>
              <w:t xml:space="preserve"> for pipelines that move to </w:t>
            </w:r>
            <w:r w:rsidR="00531979">
              <w:rPr>
                <w:rFonts w:asciiTheme="majorHAnsi" w:hAnsiTheme="majorHAnsi" w:cstheme="majorHAnsi"/>
                <w:sz w:val="16"/>
                <w:szCs w:val="16"/>
              </w:rPr>
              <w:t>stronger</w:t>
            </w:r>
            <w:r w:rsidRPr="00A13ED8">
              <w:rPr>
                <w:rFonts w:asciiTheme="majorHAnsi" w:hAnsiTheme="majorHAnsi" w:cstheme="majorHAnsi"/>
                <w:sz w:val="16"/>
                <w:szCs w:val="16"/>
              </w:rPr>
              <w:t xml:space="preserve"> form of regulation and the costs a regulator </w:t>
            </w:r>
            <w:r>
              <w:rPr>
                <w:rFonts w:asciiTheme="majorHAnsi" w:hAnsiTheme="majorHAnsi" w:cstheme="majorHAnsi"/>
                <w:sz w:val="16"/>
                <w:szCs w:val="16"/>
              </w:rPr>
              <w:t xml:space="preserve">would </w:t>
            </w:r>
            <w:r w:rsidRPr="00A13ED8">
              <w:rPr>
                <w:rFonts w:asciiTheme="majorHAnsi" w:hAnsiTheme="majorHAnsi" w:cstheme="majorHAnsi"/>
                <w:sz w:val="16"/>
                <w:szCs w:val="16"/>
              </w:rPr>
              <w:t xml:space="preserve">incur assessing the </w:t>
            </w:r>
            <w:r w:rsidR="005A1AB7">
              <w:rPr>
                <w:rFonts w:asciiTheme="majorHAnsi" w:hAnsiTheme="majorHAnsi" w:cstheme="majorHAnsi"/>
                <w:sz w:val="16"/>
                <w:szCs w:val="16"/>
              </w:rPr>
              <w:t>AA</w:t>
            </w:r>
            <w:r>
              <w:rPr>
                <w:rFonts w:asciiTheme="majorHAnsi" w:hAnsiTheme="majorHAnsi" w:cstheme="majorHAnsi"/>
                <w:sz w:val="16"/>
                <w:szCs w:val="16"/>
              </w:rPr>
              <w:t>; and</w:t>
            </w:r>
          </w:p>
          <w:p w14:paraId="06F90511" w14:textId="77777777" w:rsidR="00D77DE1" w:rsidRPr="00A13ED8" w:rsidRDefault="00D77DE1" w:rsidP="00DF5469">
            <w:pPr>
              <w:pStyle w:val="TableBullet10"/>
              <w:spacing w:before="20" w:after="0" w:line="240" w:lineRule="auto"/>
              <w:rPr>
                <w:rFonts w:asciiTheme="majorHAnsi" w:hAnsiTheme="majorHAnsi" w:cstheme="majorHAnsi"/>
                <w:sz w:val="16"/>
                <w:szCs w:val="16"/>
              </w:rPr>
            </w:pPr>
            <w:r>
              <w:rPr>
                <w:rFonts w:asciiTheme="majorHAnsi" w:hAnsiTheme="majorHAnsi" w:cstheme="majorHAnsi"/>
                <w:sz w:val="16"/>
                <w:szCs w:val="16"/>
              </w:rPr>
              <w:t>t</w:t>
            </w:r>
            <w:r w:rsidRPr="00A13ED8">
              <w:rPr>
                <w:rFonts w:asciiTheme="majorHAnsi" w:hAnsiTheme="majorHAnsi" w:cstheme="majorHAnsi"/>
                <w:sz w:val="16"/>
                <w:szCs w:val="16"/>
              </w:rPr>
              <w:t xml:space="preserve">he costs a service provider </w:t>
            </w:r>
            <w:r>
              <w:rPr>
                <w:rFonts w:asciiTheme="majorHAnsi" w:hAnsiTheme="majorHAnsi" w:cstheme="majorHAnsi"/>
                <w:sz w:val="16"/>
                <w:szCs w:val="16"/>
              </w:rPr>
              <w:t xml:space="preserve">would </w:t>
            </w:r>
            <w:r w:rsidRPr="00A13ED8">
              <w:rPr>
                <w:rFonts w:asciiTheme="majorHAnsi" w:hAnsiTheme="majorHAnsi" w:cstheme="majorHAnsi"/>
                <w:sz w:val="16"/>
                <w:szCs w:val="16"/>
              </w:rPr>
              <w:t xml:space="preserve">incur preparing access offers and complying with other access related provisions for pipelines moving to </w:t>
            </w:r>
            <w:r>
              <w:rPr>
                <w:rFonts w:asciiTheme="majorHAnsi" w:hAnsiTheme="majorHAnsi" w:cstheme="majorHAnsi"/>
                <w:sz w:val="16"/>
                <w:szCs w:val="16"/>
              </w:rPr>
              <w:t xml:space="preserve">the new </w:t>
            </w:r>
            <w:r w:rsidR="00531979">
              <w:rPr>
                <w:rFonts w:asciiTheme="majorHAnsi" w:hAnsiTheme="majorHAnsi" w:cstheme="majorHAnsi"/>
                <w:sz w:val="16"/>
                <w:szCs w:val="16"/>
              </w:rPr>
              <w:t>lighter</w:t>
            </w:r>
            <w:r w:rsidRPr="00A13ED8">
              <w:rPr>
                <w:rFonts w:asciiTheme="majorHAnsi" w:hAnsiTheme="majorHAnsi" w:cstheme="majorHAnsi"/>
                <w:spacing w:val="-5"/>
                <w:sz w:val="16"/>
                <w:szCs w:val="16"/>
              </w:rPr>
              <w:t xml:space="preserve"> </w:t>
            </w:r>
            <w:r>
              <w:rPr>
                <w:rFonts w:asciiTheme="majorHAnsi" w:hAnsiTheme="majorHAnsi" w:cstheme="majorHAnsi"/>
                <w:spacing w:val="-5"/>
                <w:sz w:val="16"/>
                <w:szCs w:val="16"/>
              </w:rPr>
              <w:t xml:space="preserve">form of </w:t>
            </w:r>
            <w:r w:rsidRPr="00A13ED8">
              <w:rPr>
                <w:rFonts w:asciiTheme="majorHAnsi" w:hAnsiTheme="majorHAnsi" w:cstheme="majorHAnsi"/>
                <w:sz w:val="16"/>
                <w:szCs w:val="16"/>
              </w:rPr>
              <w:t>regulation.</w:t>
            </w:r>
          </w:p>
        </w:tc>
        <w:tc>
          <w:tcPr>
            <w:tcW w:w="593" w:type="pct"/>
          </w:tcPr>
          <w:p w14:paraId="1A441E5E" w14:textId="77777777" w:rsidR="00D77DE1" w:rsidRPr="00A13ED8" w:rsidRDefault="00D77DE1" w:rsidP="00065554">
            <w:pPr>
              <w:pStyle w:val="TableBullet10"/>
              <w:numPr>
                <w:ilvl w:val="0"/>
                <w:numId w:val="0"/>
              </w:numPr>
              <w:spacing w:before="20" w:after="20" w:line="240" w:lineRule="auto"/>
              <w:ind w:left="85"/>
              <w:rPr>
                <w:rFonts w:asciiTheme="majorHAnsi" w:hAnsiTheme="majorHAnsi" w:cstheme="majorHAnsi"/>
                <w:sz w:val="16"/>
                <w:szCs w:val="16"/>
              </w:rPr>
            </w:pPr>
            <w:r w:rsidRPr="00A13ED8">
              <w:rPr>
                <w:rFonts w:asciiTheme="majorHAnsi" w:hAnsiTheme="majorHAnsi" w:cstheme="majorHAnsi"/>
                <w:sz w:val="16"/>
                <w:szCs w:val="16"/>
              </w:rPr>
              <w:t>Service providers and regulators</w:t>
            </w:r>
          </w:p>
        </w:tc>
        <w:tc>
          <w:tcPr>
            <w:tcW w:w="644" w:type="pct"/>
          </w:tcPr>
          <w:p w14:paraId="424DB0AC" w14:textId="77777777" w:rsidR="00D77DE1" w:rsidRPr="0066792E" w:rsidRDefault="00D77DE1" w:rsidP="00065554">
            <w:pPr>
              <w:pStyle w:val="TableBullet10"/>
              <w:numPr>
                <w:ilvl w:val="0"/>
                <w:numId w:val="0"/>
              </w:numPr>
              <w:spacing w:before="20" w:after="20" w:line="247" w:lineRule="auto"/>
              <w:ind w:left="85"/>
              <w:rPr>
                <w:rFonts w:asciiTheme="majorHAnsi" w:hAnsiTheme="majorHAnsi" w:cstheme="majorHAnsi"/>
                <w:color w:val="0033CC"/>
                <w:sz w:val="16"/>
                <w:szCs w:val="16"/>
              </w:rPr>
            </w:pPr>
            <w:r w:rsidRPr="0066792E">
              <w:rPr>
                <w:rFonts w:asciiTheme="majorHAnsi" w:hAnsiTheme="majorHAnsi" w:cstheme="majorHAnsi"/>
                <w:color w:val="0033CC"/>
                <w:sz w:val="16"/>
                <w:szCs w:val="16"/>
              </w:rPr>
              <w:t>Quantitatively</w:t>
            </w:r>
          </w:p>
        </w:tc>
      </w:tr>
      <w:tr w:rsidR="00D77DE1" w:rsidRPr="00A13ED8" w14:paraId="54F60ADC" w14:textId="77777777" w:rsidTr="00375C40">
        <w:trPr>
          <w:gridAfter w:val="1"/>
          <w:cnfStyle w:val="000000010000" w:firstRow="0" w:lastRow="0" w:firstColumn="0" w:lastColumn="0" w:oddVBand="0" w:evenVBand="0" w:oddHBand="0" w:evenHBand="1" w:firstRowFirstColumn="0" w:firstRowLastColumn="0" w:lastRowFirstColumn="0" w:lastRowLastColumn="0"/>
          <w:wAfter w:w="5" w:type="pct"/>
        </w:trPr>
        <w:tc>
          <w:tcPr>
            <w:tcW w:w="198" w:type="pct"/>
          </w:tcPr>
          <w:p w14:paraId="6FB65BF7" w14:textId="77777777" w:rsidR="00D77DE1" w:rsidRDefault="00D77DE1" w:rsidP="00065554">
            <w:pPr>
              <w:pStyle w:val="TableBodyText"/>
              <w:spacing w:before="20" w:after="20" w:line="240" w:lineRule="auto"/>
              <w:rPr>
                <w:rFonts w:asciiTheme="majorHAnsi" w:hAnsiTheme="majorHAnsi" w:cstheme="majorHAnsi"/>
                <w:sz w:val="16"/>
                <w:szCs w:val="16"/>
              </w:rPr>
            </w:pPr>
            <w:r>
              <w:rPr>
                <w:rFonts w:asciiTheme="majorHAnsi" w:hAnsiTheme="majorHAnsi" w:cstheme="majorHAnsi"/>
                <w:sz w:val="16"/>
                <w:szCs w:val="16"/>
              </w:rPr>
              <w:t>(c)</w:t>
            </w:r>
          </w:p>
        </w:tc>
        <w:tc>
          <w:tcPr>
            <w:tcW w:w="594" w:type="pct"/>
          </w:tcPr>
          <w:p w14:paraId="41F30C90" w14:textId="77777777" w:rsidR="00D77DE1" w:rsidRPr="00A13ED8" w:rsidRDefault="00D77DE1" w:rsidP="00065554">
            <w:pPr>
              <w:pStyle w:val="TableBodyText"/>
              <w:spacing w:before="20" w:after="20" w:line="240" w:lineRule="auto"/>
              <w:rPr>
                <w:rFonts w:asciiTheme="majorHAnsi" w:hAnsiTheme="majorHAnsi" w:cstheme="majorHAnsi"/>
                <w:sz w:val="16"/>
                <w:szCs w:val="16"/>
              </w:rPr>
            </w:pPr>
            <w:r>
              <w:rPr>
                <w:rFonts w:asciiTheme="majorHAnsi" w:hAnsiTheme="majorHAnsi" w:cstheme="majorHAnsi"/>
                <w:sz w:val="16"/>
                <w:szCs w:val="16"/>
              </w:rPr>
              <w:t>Dispute resolution</w:t>
            </w:r>
            <w:r w:rsidRPr="00A13ED8">
              <w:rPr>
                <w:rFonts w:asciiTheme="majorHAnsi" w:hAnsiTheme="majorHAnsi" w:cstheme="majorHAnsi"/>
                <w:sz w:val="16"/>
                <w:szCs w:val="16"/>
              </w:rPr>
              <w:t xml:space="preserve"> costs</w:t>
            </w:r>
          </w:p>
        </w:tc>
        <w:tc>
          <w:tcPr>
            <w:tcW w:w="2966" w:type="pct"/>
          </w:tcPr>
          <w:p w14:paraId="2435D7A4" w14:textId="77777777" w:rsidR="00D77DE1" w:rsidRPr="00A13ED8" w:rsidRDefault="00D77DE1" w:rsidP="00065554">
            <w:pPr>
              <w:pStyle w:val="TableBodyText"/>
              <w:spacing w:before="20" w:after="20" w:line="240" w:lineRule="auto"/>
              <w:rPr>
                <w:rFonts w:asciiTheme="majorHAnsi" w:hAnsiTheme="majorHAnsi" w:cstheme="majorHAnsi"/>
                <w:sz w:val="16"/>
                <w:szCs w:val="16"/>
              </w:rPr>
            </w:pPr>
            <w:r>
              <w:rPr>
                <w:rFonts w:asciiTheme="majorHAnsi" w:hAnsiTheme="majorHAnsi" w:cstheme="majorHAnsi"/>
                <w:sz w:val="16"/>
                <w:szCs w:val="16"/>
              </w:rPr>
              <w:t xml:space="preserve">This category of costs includes the additional costs that may be associated with reducing some of the barriers to using the dispute resolution mechanism, which may result in a greater number of arbitrations occurring. The costs include the </w:t>
            </w:r>
            <w:r w:rsidRPr="00A13ED8">
              <w:rPr>
                <w:rFonts w:asciiTheme="majorHAnsi" w:hAnsiTheme="majorHAnsi" w:cstheme="majorHAnsi"/>
                <w:sz w:val="16"/>
                <w:szCs w:val="16"/>
              </w:rPr>
              <w:t>internal and external costs associated with partaking in an arbitration process for service</w:t>
            </w:r>
            <w:r w:rsidR="00857981">
              <w:rPr>
                <w:rFonts w:asciiTheme="majorHAnsi" w:hAnsiTheme="majorHAnsi" w:cstheme="majorHAnsi"/>
                <w:sz w:val="16"/>
                <w:szCs w:val="16"/>
              </w:rPr>
              <w:t xml:space="preserve"> </w:t>
            </w:r>
            <w:r w:rsidRPr="00A13ED8">
              <w:rPr>
                <w:rFonts w:asciiTheme="majorHAnsi" w:hAnsiTheme="majorHAnsi" w:cstheme="majorHAnsi"/>
                <w:sz w:val="16"/>
                <w:szCs w:val="16"/>
              </w:rPr>
              <w:t>providers, shippers and dispute resolution bodies in those cases where a dispute proceeds to</w:t>
            </w:r>
            <w:r w:rsidRPr="00A13ED8">
              <w:rPr>
                <w:rFonts w:asciiTheme="majorHAnsi" w:hAnsiTheme="majorHAnsi" w:cstheme="majorHAnsi"/>
                <w:spacing w:val="-2"/>
                <w:sz w:val="16"/>
                <w:szCs w:val="16"/>
              </w:rPr>
              <w:t xml:space="preserve"> </w:t>
            </w:r>
            <w:r w:rsidRPr="00A13ED8">
              <w:rPr>
                <w:rFonts w:asciiTheme="majorHAnsi" w:hAnsiTheme="majorHAnsi" w:cstheme="majorHAnsi"/>
                <w:sz w:val="16"/>
                <w:szCs w:val="16"/>
              </w:rPr>
              <w:t>arbitration.</w:t>
            </w:r>
          </w:p>
        </w:tc>
        <w:tc>
          <w:tcPr>
            <w:tcW w:w="593" w:type="pct"/>
          </w:tcPr>
          <w:p w14:paraId="409E7490" w14:textId="77777777" w:rsidR="00D77DE1" w:rsidRPr="00A13ED8" w:rsidRDefault="00D77DE1" w:rsidP="00065554">
            <w:pPr>
              <w:pStyle w:val="TableBullet10"/>
              <w:numPr>
                <w:ilvl w:val="0"/>
                <w:numId w:val="0"/>
              </w:numPr>
              <w:spacing w:before="20" w:after="20" w:line="240" w:lineRule="auto"/>
              <w:ind w:left="85"/>
              <w:rPr>
                <w:rFonts w:asciiTheme="majorHAnsi" w:hAnsiTheme="majorHAnsi" w:cstheme="majorHAnsi"/>
                <w:sz w:val="16"/>
                <w:szCs w:val="16"/>
              </w:rPr>
            </w:pPr>
            <w:r w:rsidRPr="00A13ED8">
              <w:rPr>
                <w:rFonts w:asciiTheme="majorHAnsi" w:hAnsiTheme="majorHAnsi" w:cstheme="majorHAnsi"/>
                <w:sz w:val="16"/>
                <w:szCs w:val="16"/>
              </w:rPr>
              <w:t xml:space="preserve">Service providers, shippers and regulator </w:t>
            </w:r>
          </w:p>
        </w:tc>
        <w:tc>
          <w:tcPr>
            <w:tcW w:w="644" w:type="pct"/>
          </w:tcPr>
          <w:p w14:paraId="19EA84D1" w14:textId="77777777" w:rsidR="00D77DE1" w:rsidRPr="0066792E" w:rsidRDefault="00D77DE1" w:rsidP="00065554">
            <w:pPr>
              <w:pStyle w:val="TableBullet10"/>
              <w:numPr>
                <w:ilvl w:val="0"/>
                <w:numId w:val="0"/>
              </w:numPr>
              <w:spacing w:before="20" w:after="20" w:line="247" w:lineRule="auto"/>
              <w:ind w:left="85"/>
              <w:rPr>
                <w:rFonts w:asciiTheme="majorHAnsi" w:hAnsiTheme="majorHAnsi" w:cstheme="majorHAnsi"/>
                <w:color w:val="0033CC"/>
                <w:sz w:val="16"/>
                <w:szCs w:val="16"/>
              </w:rPr>
            </w:pPr>
            <w:r w:rsidRPr="0066792E">
              <w:rPr>
                <w:rFonts w:asciiTheme="majorHAnsi" w:hAnsiTheme="majorHAnsi" w:cstheme="majorHAnsi"/>
                <w:color w:val="0033CC"/>
                <w:sz w:val="16"/>
                <w:szCs w:val="16"/>
              </w:rPr>
              <w:t>Quantitatively</w:t>
            </w:r>
          </w:p>
        </w:tc>
      </w:tr>
      <w:tr w:rsidR="00D77DE1" w:rsidRPr="00A13ED8" w14:paraId="525432E8" w14:textId="77777777" w:rsidTr="00375C40">
        <w:trPr>
          <w:gridAfter w:val="1"/>
          <w:wAfter w:w="5" w:type="pct"/>
        </w:trPr>
        <w:tc>
          <w:tcPr>
            <w:tcW w:w="198" w:type="pct"/>
          </w:tcPr>
          <w:p w14:paraId="7E0B77F4" w14:textId="77777777" w:rsidR="00D77DE1" w:rsidRDefault="00D77DE1" w:rsidP="00065554">
            <w:pPr>
              <w:pStyle w:val="TableBodyText"/>
              <w:spacing w:before="20" w:after="20" w:line="240" w:lineRule="auto"/>
              <w:rPr>
                <w:rFonts w:asciiTheme="majorHAnsi" w:hAnsiTheme="majorHAnsi" w:cstheme="majorHAnsi"/>
                <w:sz w:val="16"/>
                <w:szCs w:val="16"/>
              </w:rPr>
            </w:pPr>
            <w:r>
              <w:rPr>
                <w:rFonts w:asciiTheme="majorHAnsi" w:hAnsiTheme="majorHAnsi" w:cstheme="majorHAnsi"/>
                <w:sz w:val="16"/>
                <w:szCs w:val="16"/>
              </w:rPr>
              <w:t>(d)</w:t>
            </w:r>
          </w:p>
        </w:tc>
        <w:tc>
          <w:tcPr>
            <w:tcW w:w="594" w:type="pct"/>
          </w:tcPr>
          <w:p w14:paraId="1905CA46" w14:textId="77777777" w:rsidR="00D77DE1" w:rsidRPr="00A13ED8" w:rsidRDefault="00D77DE1" w:rsidP="00065554">
            <w:pPr>
              <w:pStyle w:val="TableBodyText"/>
              <w:spacing w:before="20" w:after="20" w:line="240" w:lineRule="auto"/>
              <w:rPr>
                <w:rFonts w:asciiTheme="majorHAnsi" w:hAnsiTheme="majorHAnsi" w:cstheme="majorHAnsi"/>
                <w:sz w:val="16"/>
                <w:szCs w:val="16"/>
              </w:rPr>
            </w:pPr>
            <w:r w:rsidRPr="00A13ED8">
              <w:rPr>
                <w:rFonts w:asciiTheme="majorHAnsi" w:hAnsiTheme="majorHAnsi" w:cstheme="majorHAnsi"/>
                <w:sz w:val="16"/>
                <w:szCs w:val="16"/>
              </w:rPr>
              <w:t xml:space="preserve">Information disclosure and </w:t>
            </w:r>
            <w:r>
              <w:rPr>
                <w:rFonts w:asciiTheme="majorHAnsi" w:hAnsiTheme="majorHAnsi" w:cstheme="majorHAnsi"/>
                <w:sz w:val="16"/>
                <w:szCs w:val="16"/>
              </w:rPr>
              <w:t>monitoring costs</w:t>
            </w:r>
          </w:p>
        </w:tc>
        <w:tc>
          <w:tcPr>
            <w:tcW w:w="2966" w:type="pct"/>
          </w:tcPr>
          <w:p w14:paraId="0E2D9202" w14:textId="77777777" w:rsidR="00D77DE1" w:rsidRPr="00A13ED8" w:rsidRDefault="00D77DE1" w:rsidP="00065554">
            <w:pPr>
              <w:pStyle w:val="TableBodyText"/>
              <w:spacing w:before="20" w:after="20" w:line="240" w:lineRule="auto"/>
              <w:rPr>
                <w:rFonts w:asciiTheme="majorHAnsi" w:hAnsiTheme="majorHAnsi" w:cstheme="majorHAnsi"/>
                <w:sz w:val="16"/>
                <w:szCs w:val="16"/>
              </w:rPr>
            </w:pPr>
            <w:r>
              <w:rPr>
                <w:rFonts w:asciiTheme="majorHAnsi" w:hAnsiTheme="majorHAnsi" w:cstheme="majorHAnsi"/>
                <w:sz w:val="16"/>
                <w:szCs w:val="16"/>
              </w:rPr>
              <w:t xml:space="preserve">This category of costs includes the ongoing administrative, IT and staff </w:t>
            </w:r>
            <w:r w:rsidRPr="00A13ED8">
              <w:rPr>
                <w:rFonts w:asciiTheme="majorHAnsi" w:hAnsiTheme="majorHAnsi" w:cstheme="majorHAnsi"/>
                <w:sz w:val="16"/>
                <w:szCs w:val="16"/>
              </w:rPr>
              <w:t xml:space="preserve">costs </w:t>
            </w:r>
            <w:r>
              <w:rPr>
                <w:rFonts w:asciiTheme="majorHAnsi" w:hAnsiTheme="majorHAnsi" w:cstheme="majorHAnsi"/>
                <w:sz w:val="16"/>
                <w:szCs w:val="16"/>
              </w:rPr>
              <w:t>associated with</w:t>
            </w:r>
            <w:r w:rsidRPr="00A13ED8">
              <w:rPr>
                <w:rFonts w:asciiTheme="majorHAnsi" w:hAnsiTheme="majorHAnsi" w:cstheme="majorHAnsi"/>
                <w:sz w:val="16"/>
                <w:szCs w:val="16"/>
              </w:rPr>
              <w:t xml:space="preserve">: </w:t>
            </w:r>
          </w:p>
          <w:p w14:paraId="05472182" w14:textId="77777777" w:rsidR="00D77DE1" w:rsidRPr="00A13ED8" w:rsidRDefault="00D77DE1" w:rsidP="00DF5469">
            <w:pPr>
              <w:pStyle w:val="TableBullet10"/>
              <w:spacing w:before="20" w:after="0" w:line="240" w:lineRule="auto"/>
              <w:rPr>
                <w:rFonts w:asciiTheme="majorHAnsi" w:hAnsiTheme="majorHAnsi" w:cstheme="majorHAnsi"/>
                <w:sz w:val="16"/>
                <w:szCs w:val="16"/>
              </w:rPr>
            </w:pPr>
            <w:r>
              <w:rPr>
                <w:rFonts w:asciiTheme="majorHAnsi" w:hAnsiTheme="majorHAnsi" w:cstheme="majorHAnsi"/>
                <w:sz w:val="16"/>
                <w:szCs w:val="16"/>
              </w:rPr>
              <w:t>the a</w:t>
            </w:r>
            <w:r w:rsidRPr="00A13ED8">
              <w:rPr>
                <w:rFonts w:asciiTheme="majorHAnsi" w:hAnsiTheme="majorHAnsi" w:cstheme="majorHAnsi"/>
                <w:sz w:val="16"/>
                <w:szCs w:val="16"/>
              </w:rPr>
              <w:t>dditional information disclosure requirements</w:t>
            </w:r>
            <w:r w:rsidRPr="00A13ED8">
              <w:rPr>
                <w:rFonts w:asciiTheme="majorHAnsi" w:hAnsiTheme="majorHAnsi" w:cstheme="majorHAnsi"/>
                <w:spacing w:val="-32"/>
                <w:sz w:val="16"/>
                <w:szCs w:val="16"/>
              </w:rPr>
              <w:t xml:space="preserve"> </w:t>
            </w:r>
            <w:r w:rsidRPr="00A13ED8">
              <w:rPr>
                <w:rFonts w:asciiTheme="majorHAnsi" w:hAnsiTheme="majorHAnsi" w:cstheme="majorHAnsi"/>
                <w:sz w:val="16"/>
                <w:szCs w:val="16"/>
              </w:rPr>
              <w:t xml:space="preserve">under the new regulatory framework that service providers </w:t>
            </w:r>
            <w:r>
              <w:rPr>
                <w:rFonts w:asciiTheme="majorHAnsi" w:hAnsiTheme="majorHAnsi" w:cstheme="majorHAnsi"/>
                <w:sz w:val="16"/>
                <w:szCs w:val="16"/>
              </w:rPr>
              <w:t>would</w:t>
            </w:r>
            <w:r w:rsidRPr="00A13ED8">
              <w:rPr>
                <w:rFonts w:asciiTheme="majorHAnsi" w:hAnsiTheme="majorHAnsi" w:cstheme="majorHAnsi"/>
                <w:sz w:val="16"/>
                <w:szCs w:val="16"/>
              </w:rPr>
              <w:t xml:space="preserve"> have to comply with</w:t>
            </w:r>
            <w:r>
              <w:rPr>
                <w:rFonts w:asciiTheme="majorHAnsi" w:hAnsiTheme="majorHAnsi" w:cstheme="majorHAnsi"/>
                <w:sz w:val="16"/>
                <w:szCs w:val="16"/>
              </w:rPr>
              <w:t xml:space="preserve"> under all reform options and the improvements to the quality, reliability, usability and accessibility that would need to be made under options 3A, 3B and 4; and</w:t>
            </w:r>
          </w:p>
          <w:p w14:paraId="14DD3658" w14:textId="77777777" w:rsidR="00D77DE1" w:rsidRPr="00A13ED8" w:rsidRDefault="00D77DE1" w:rsidP="00DF5469">
            <w:pPr>
              <w:pStyle w:val="TableBullet10"/>
              <w:spacing w:before="20" w:after="0" w:line="240" w:lineRule="auto"/>
              <w:rPr>
                <w:rFonts w:asciiTheme="majorHAnsi" w:hAnsiTheme="majorHAnsi" w:cstheme="majorHAnsi"/>
                <w:sz w:val="16"/>
                <w:szCs w:val="16"/>
              </w:rPr>
            </w:pPr>
            <w:r>
              <w:rPr>
                <w:rFonts w:asciiTheme="majorHAnsi" w:hAnsiTheme="majorHAnsi" w:cstheme="majorHAnsi"/>
                <w:sz w:val="16"/>
                <w:szCs w:val="16"/>
              </w:rPr>
              <w:t>the m</w:t>
            </w:r>
            <w:r w:rsidRPr="00A13ED8">
              <w:rPr>
                <w:rFonts w:asciiTheme="majorHAnsi" w:hAnsiTheme="majorHAnsi" w:cstheme="majorHAnsi"/>
                <w:sz w:val="16"/>
                <w:szCs w:val="16"/>
              </w:rPr>
              <w:t xml:space="preserve">onitoring and referral functions that the regulator </w:t>
            </w:r>
            <w:r>
              <w:rPr>
                <w:rFonts w:asciiTheme="majorHAnsi" w:hAnsiTheme="majorHAnsi" w:cstheme="majorHAnsi"/>
                <w:sz w:val="16"/>
                <w:szCs w:val="16"/>
              </w:rPr>
              <w:t>would</w:t>
            </w:r>
            <w:r w:rsidRPr="00A13ED8">
              <w:rPr>
                <w:rFonts w:asciiTheme="majorHAnsi" w:hAnsiTheme="majorHAnsi" w:cstheme="majorHAnsi"/>
                <w:sz w:val="16"/>
                <w:szCs w:val="16"/>
              </w:rPr>
              <w:t xml:space="preserve"> have under options 3A, 3B and 4, which </w:t>
            </w:r>
            <w:r>
              <w:rPr>
                <w:rFonts w:asciiTheme="majorHAnsi" w:hAnsiTheme="majorHAnsi" w:cstheme="majorHAnsi"/>
                <w:sz w:val="16"/>
                <w:szCs w:val="16"/>
              </w:rPr>
              <w:t xml:space="preserve">would </w:t>
            </w:r>
            <w:r w:rsidRPr="00A13ED8">
              <w:rPr>
                <w:rFonts w:asciiTheme="majorHAnsi" w:hAnsiTheme="majorHAnsi" w:cstheme="majorHAnsi"/>
                <w:sz w:val="16"/>
                <w:szCs w:val="16"/>
              </w:rPr>
              <w:t>require additional resources and effort by the regulator.</w:t>
            </w:r>
          </w:p>
        </w:tc>
        <w:tc>
          <w:tcPr>
            <w:tcW w:w="593" w:type="pct"/>
          </w:tcPr>
          <w:p w14:paraId="057A97B4" w14:textId="77777777" w:rsidR="00D77DE1" w:rsidRPr="00A13ED8" w:rsidRDefault="00D77DE1" w:rsidP="00065554">
            <w:pPr>
              <w:pStyle w:val="TableBullet10"/>
              <w:numPr>
                <w:ilvl w:val="0"/>
                <w:numId w:val="0"/>
              </w:numPr>
              <w:spacing w:before="20" w:after="20" w:line="240" w:lineRule="auto"/>
              <w:ind w:left="85"/>
              <w:rPr>
                <w:rFonts w:asciiTheme="majorHAnsi" w:hAnsiTheme="majorHAnsi" w:cstheme="majorHAnsi"/>
                <w:sz w:val="16"/>
                <w:szCs w:val="16"/>
              </w:rPr>
            </w:pPr>
            <w:r w:rsidRPr="00A13ED8">
              <w:rPr>
                <w:rFonts w:asciiTheme="majorHAnsi" w:hAnsiTheme="majorHAnsi" w:cstheme="majorHAnsi"/>
                <w:sz w:val="16"/>
                <w:szCs w:val="16"/>
              </w:rPr>
              <w:t xml:space="preserve">Service providers and regulators </w:t>
            </w:r>
          </w:p>
        </w:tc>
        <w:tc>
          <w:tcPr>
            <w:tcW w:w="644" w:type="pct"/>
          </w:tcPr>
          <w:p w14:paraId="4B1A7DAD" w14:textId="77777777" w:rsidR="00D77DE1" w:rsidRPr="0066792E" w:rsidRDefault="00D77DE1" w:rsidP="00065554">
            <w:pPr>
              <w:pStyle w:val="TableBullet10"/>
              <w:numPr>
                <w:ilvl w:val="0"/>
                <w:numId w:val="0"/>
              </w:numPr>
              <w:spacing w:before="20" w:after="20" w:line="247" w:lineRule="auto"/>
              <w:ind w:left="85"/>
              <w:rPr>
                <w:rFonts w:asciiTheme="majorHAnsi" w:hAnsiTheme="majorHAnsi" w:cstheme="majorHAnsi"/>
                <w:color w:val="0033CC"/>
                <w:sz w:val="16"/>
                <w:szCs w:val="16"/>
              </w:rPr>
            </w:pPr>
            <w:r w:rsidRPr="0066792E">
              <w:rPr>
                <w:rFonts w:asciiTheme="majorHAnsi" w:hAnsiTheme="majorHAnsi" w:cstheme="majorHAnsi"/>
                <w:color w:val="0033CC"/>
                <w:sz w:val="16"/>
                <w:szCs w:val="16"/>
              </w:rPr>
              <w:t>Quantitatively</w:t>
            </w:r>
          </w:p>
        </w:tc>
      </w:tr>
      <w:tr w:rsidR="00D77DE1" w:rsidRPr="00A13ED8" w14:paraId="0E27F383" w14:textId="77777777" w:rsidTr="00375C40">
        <w:trPr>
          <w:gridAfter w:val="1"/>
          <w:cnfStyle w:val="000000010000" w:firstRow="0" w:lastRow="0" w:firstColumn="0" w:lastColumn="0" w:oddVBand="0" w:evenVBand="0" w:oddHBand="0" w:evenHBand="1" w:firstRowFirstColumn="0" w:firstRowLastColumn="0" w:lastRowFirstColumn="0" w:lastRowLastColumn="0"/>
          <w:wAfter w:w="5" w:type="pct"/>
        </w:trPr>
        <w:tc>
          <w:tcPr>
            <w:tcW w:w="198" w:type="pct"/>
          </w:tcPr>
          <w:p w14:paraId="0331DF0D" w14:textId="77777777" w:rsidR="00D77DE1" w:rsidRDefault="00D77DE1" w:rsidP="00065554">
            <w:pPr>
              <w:pStyle w:val="TableBodyText"/>
              <w:spacing w:before="20" w:after="20" w:line="240" w:lineRule="auto"/>
              <w:rPr>
                <w:rFonts w:asciiTheme="majorHAnsi" w:hAnsiTheme="majorHAnsi" w:cstheme="majorHAnsi"/>
                <w:sz w:val="16"/>
                <w:szCs w:val="16"/>
              </w:rPr>
            </w:pPr>
            <w:bookmarkStart w:id="212" w:name="_Hlk60660517"/>
            <w:r>
              <w:rPr>
                <w:rFonts w:asciiTheme="majorHAnsi" w:hAnsiTheme="majorHAnsi" w:cstheme="majorHAnsi"/>
                <w:sz w:val="16"/>
                <w:szCs w:val="16"/>
              </w:rPr>
              <w:t>(e)</w:t>
            </w:r>
          </w:p>
        </w:tc>
        <w:tc>
          <w:tcPr>
            <w:tcW w:w="594" w:type="pct"/>
          </w:tcPr>
          <w:p w14:paraId="2B46B75D" w14:textId="77777777" w:rsidR="00D77DE1" w:rsidRPr="00A13ED8" w:rsidRDefault="00D77DE1" w:rsidP="00065554">
            <w:pPr>
              <w:pStyle w:val="TableBodyText"/>
              <w:spacing w:before="20" w:after="20" w:line="240" w:lineRule="auto"/>
              <w:rPr>
                <w:rFonts w:asciiTheme="majorHAnsi" w:hAnsiTheme="majorHAnsi" w:cstheme="majorHAnsi"/>
                <w:sz w:val="16"/>
                <w:szCs w:val="16"/>
              </w:rPr>
            </w:pPr>
            <w:r w:rsidRPr="00A13ED8">
              <w:rPr>
                <w:rFonts w:asciiTheme="majorHAnsi" w:hAnsiTheme="majorHAnsi" w:cstheme="majorHAnsi"/>
                <w:sz w:val="16"/>
                <w:szCs w:val="16"/>
              </w:rPr>
              <w:t xml:space="preserve">Impact on pipeline investment </w:t>
            </w:r>
            <w:r w:rsidR="00ED4899">
              <w:rPr>
                <w:rFonts w:asciiTheme="majorHAnsi" w:hAnsiTheme="majorHAnsi" w:cstheme="majorHAnsi"/>
                <w:sz w:val="16"/>
                <w:szCs w:val="16"/>
              </w:rPr>
              <w:t>from lower rates of return</w:t>
            </w:r>
          </w:p>
        </w:tc>
        <w:tc>
          <w:tcPr>
            <w:tcW w:w="2966" w:type="pct"/>
          </w:tcPr>
          <w:p w14:paraId="52F522C2" w14:textId="77777777" w:rsidR="00D77DE1" w:rsidRPr="00A13ED8" w:rsidRDefault="00D77DE1" w:rsidP="002444F1">
            <w:pPr>
              <w:pStyle w:val="TableBodyText"/>
              <w:spacing w:before="20" w:after="20" w:line="240" w:lineRule="auto"/>
              <w:rPr>
                <w:rFonts w:asciiTheme="majorHAnsi" w:hAnsiTheme="majorHAnsi" w:cstheme="majorHAnsi"/>
                <w:sz w:val="16"/>
                <w:szCs w:val="16"/>
              </w:rPr>
            </w:pPr>
            <w:r>
              <w:rPr>
                <w:rFonts w:asciiTheme="majorHAnsi" w:hAnsiTheme="majorHAnsi" w:cstheme="majorHAnsi"/>
                <w:sz w:val="16"/>
                <w:szCs w:val="16"/>
              </w:rPr>
              <w:t xml:space="preserve">This cost category is intended to account for any adverse effects that the reform options could have on </w:t>
            </w:r>
            <w:r w:rsidR="00C90A7C">
              <w:rPr>
                <w:rFonts w:asciiTheme="majorHAnsi" w:hAnsiTheme="majorHAnsi" w:cstheme="majorHAnsi"/>
                <w:sz w:val="16"/>
                <w:szCs w:val="16"/>
              </w:rPr>
              <w:t xml:space="preserve">future </w:t>
            </w:r>
            <w:r>
              <w:rPr>
                <w:rFonts w:asciiTheme="majorHAnsi" w:hAnsiTheme="majorHAnsi" w:cstheme="majorHAnsi"/>
                <w:sz w:val="16"/>
                <w:szCs w:val="16"/>
              </w:rPr>
              <w:t>efficient pipeline investment</w:t>
            </w:r>
            <w:r w:rsidR="00965F0A">
              <w:rPr>
                <w:rFonts w:asciiTheme="majorHAnsi" w:hAnsiTheme="majorHAnsi" w:cstheme="majorHAnsi"/>
                <w:sz w:val="16"/>
                <w:szCs w:val="16"/>
              </w:rPr>
              <w:t xml:space="preserve"> as a result of lower rates of return</w:t>
            </w:r>
            <w:r>
              <w:rPr>
                <w:rFonts w:asciiTheme="majorHAnsi" w:hAnsiTheme="majorHAnsi" w:cstheme="majorHAnsi"/>
                <w:sz w:val="16"/>
                <w:szCs w:val="16"/>
              </w:rPr>
              <w:t xml:space="preserve">. </w:t>
            </w:r>
            <w:r w:rsidRPr="00A13ED8">
              <w:rPr>
                <w:rFonts w:asciiTheme="majorHAnsi" w:hAnsiTheme="majorHAnsi" w:cstheme="majorHAnsi"/>
                <w:sz w:val="16"/>
                <w:szCs w:val="16"/>
              </w:rPr>
              <w:t xml:space="preserve">It </w:t>
            </w:r>
            <w:r>
              <w:rPr>
                <w:rFonts w:asciiTheme="majorHAnsi" w:hAnsiTheme="majorHAnsi" w:cstheme="majorHAnsi"/>
                <w:sz w:val="16"/>
                <w:szCs w:val="16"/>
              </w:rPr>
              <w:t xml:space="preserve">was </w:t>
            </w:r>
            <w:r w:rsidRPr="00A13ED8">
              <w:rPr>
                <w:rFonts w:asciiTheme="majorHAnsi" w:hAnsiTheme="majorHAnsi" w:cstheme="majorHAnsi"/>
                <w:sz w:val="16"/>
                <w:szCs w:val="16"/>
              </w:rPr>
              <w:t>not possible to quantify these effects</w:t>
            </w:r>
            <w:r>
              <w:rPr>
                <w:rFonts w:asciiTheme="majorHAnsi" w:hAnsiTheme="majorHAnsi" w:cstheme="majorHAnsi"/>
                <w:sz w:val="16"/>
                <w:szCs w:val="16"/>
              </w:rPr>
              <w:t>, so they have been considered qualitatively</w:t>
            </w:r>
            <w:r w:rsidRPr="00A13ED8">
              <w:rPr>
                <w:rFonts w:asciiTheme="majorHAnsi" w:hAnsiTheme="majorHAnsi" w:cstheme="majorHAnsi"/>
                <w:sz w:val="16"/>
                <w:szCs w:val="16"/>
              </w:rPr>
              <w:t>.</w:t>
            </w:r>
          </w:p>
        </w:tc>
        <w:tc>
          <w:tcPr>
            <w:tcW w:w="593" w:type="pct"/>
          </w:tcPr>
          <w:p w14:paraId="21435142" w14:textId="77777777" w:rsidR="00D77DE1" w:rsidRPr="00A13ED8" w:rsidRDefault="00D77DE1" w:rsidP="00065554">
            <w:pPr>
              <w:pStyle w:val="TableBullet10"/>
              <w:numPr>
                <w:ilvl w:val="0"/>
                <w:numId w:val="0"/>
              </w:numPr>
              <w:spacing w:before="20" w:after="20" w:line="240" w:lineRule="auto"/>
              <w:ind w:left="85"/>
              <w:rPr>
                <w:rFonts w:asciiTheme="majorHAnsi" w:hAnsiTheme="majorHAnsi" w:cstheme="majorHAnsi"/>
                <w:sz w:val="16"/>
                <w:szCs w:val="16"/>
              </w:rPr>
            </w:pPr>
            <w:r w:rsidRPr="00A13ED8">
              <w:rPr>
                <w:rFonts w:asciiTheme="majorHAnsi" w:hAnsiTheme="majorHAnsi" w:cstheme="majorHAnsi"/>
                <w:sz w:val="16"/>
                <w:szCs w:val="16"/>
              </w:rPr>
              <w:t xml:space="preserve">Service providers and shippers </w:t>
            </w:r>
          </w:p>
        </w:tc>
        <w:tc>
          <w:tcPr>
            <w:tcW w:w="644" w:type="pct"/>
          </w:tcPr>
          <w:p w14:paraId="2E911038" w14:textId="77777777" w:rsidR="00D77DE1" w:rsidRPr="00A13ED8" w:rsidRDefault="00D77DE1" w:rsidP="00065554">
            <w:pPr>
              <w:pStyle w:val="TableBullet10"/>
              <w:numPr>
                <w:ilvl w:val="0"/>
                <w:numId w:val="0"/>
              </w:numPr>
              <w:spacing w:before="20" w:after="20" w:line="247" w:lineRule="auto"/>
              <w:ind w:left="85"/>
              <w:rPr>
                <w:rFonts w:asciiTheme="majorHAnsi" w:hAnsiTheme="majorHAnsi" w:cstheme="majorHAnsi"/>
                <w:sz w:val="16"/>
                <w:szCs w:val="16"/>
              </w:rPr>
            </w:pPr>
            <w:r w:rsidRPr="00A13ED8">
              <w:rPr>
                <w:rFonts w:asciiTheme="majorHAnsi" w:hAnsiTheme="majorHAnsi" w:cstheme="majorHAnsi"/>
                <w:sz w:val="16"/>
                <w:szCs w:val="16"/>
              </w:rPr>
              <w:t xml:space="preserve">Qualitatively </w:t>
            </w:r>
          </w:p>
        </w:tc>
      </w:tr>
      <w:bookmarkEnd w:id="212"/>
      <w:tr w:rsidR="00D77DE1" w:rsidRPr="00A13ED8" w14:paraId="75FF5831" w14:textId="77777777" w:rsidTr="00375C40">
        <w:trPr>
          <w:gridAfter w:val="1"/>
          <w:wAfter w:w="5" w:type="pct"/>
        </w:trPr>
        <w:tc>
          <w:tcPr>
            <w:tcW w:w="198" w:type="pct"/>
          </w:tcPr>
          <w:p w14:paraId="2DB5A0CA" w14:textId="77777777" w:rsidR="00D77DE1" w:rsidRDefault="00D77DE1" w:rsidP="00065554">
            <w:pPr>
              <w:pStyle w:val="TableBodyText"/>
              <w:spacing w:before="20" w:after="20" w:line="240" w:lineRule="auto"/>
              <w:rPr>
                <w:rFonts w:asciiTheme="majorHAnsi" w:hAnsiTheme="majorHAnsi" w:cstheme="majorHAnsi"/>
                <w:sz w:val="16"/>
                <w:szCs w:val="16"/>
              </w:rPr>
            </w:pPr>
            <w:r>
              <w:rPr>
                <w:rFonts w:asciiTheme="majorHAnsi" w:hAnsiTheme="majorHAnsi" w:cstheme="majorHAnsi"/>
                <w:sz w:val="16"/>
                <w:szCs w:val="16"/>
              </w:rPr>
              <w:t>(f)</w:t>
            </w:r>
          </w:p>
        </w:tc>
        <w:tc>
          <w:tcPr>
            <w:tcW w:w="594" w:type="pct"/>
          </w:tcPr>
          <w:p w14:paraId="2BE621B4" w14:textId="77777777" w:rsidR="00D77DE1" w:rsidRPr="00A13ED8" w:rsidRDefault="00D77DE1" w:rsidP="00065554">
            <w:pPr>
              <w:pStyle w:val="TableBodyText"/>
              <w:spacing w:before="20" w:after="20" w:line="240" w:lineRule="auto"/>
              <w:rPr>
                <w:rFonts w:asciiTheme="majorHAnsi" w:hAnsiTheme="majorHAnsi" w:cstheme="majorHAnsi"/>
                <w:sz w:val="16"/>
                <w:szCs w:val="16"/>
              </w:rPr>
            </w:pPr>
            <w:r w:rsidRPr="00A13ED8">
              <w:rPr>
                <w:rFonts w:asciiTheme="majorHAnsi" w:hAnsiTheme="majorHAnsi" w:cstheme="majorHAnsi"/>
                <w:sz w:val="16"/>
                <w:szCs w:val="16"/>
              </w:rPr>
              <w:t>Administrative costs resulting from regulatory change</w:t>
            </w:r>
          </w:p>
        </w:tc>
        <w:tc>
          <w:tcPr>
            <w:tcW w:w="2966" w:type="pct"/>
          </w:tcPr>
          <w:p w14:paraId="36A7B256" w14:textId="77777777" w:rsidR="00D77DE1" w:rsidRPr="00A13ED8" w:rsidRDefault="00D77DE1" w:rsidP="00065554">
            <w:pPr>
              <w:pStyle w:val="TableBodyText"/>
              <w:spacing w:before="20" w:after="20" w:line="240" w:lineRule="auto"/>
              <w:rPr>
                <w:rFonts w:asciiTheme="majorHAnsi" w:hAnsiTheme="majorHAnsi" w:cstheme="majorHAnsi"/>
                <w:sz w:val="16"/>
                <w:szCs w:val="16"/>
              </w:rPr>
            </w:pPr>
            <w:r>
              <w:rPr>
                <w:rFonts w:asciiTheme="majorHAnsi" w:hAnsiTheme="majorHAnsi" w:cstheme="majorHAnsi"/>
                <w:sz w:val="16"/>
                <w:szCs w:val="16"/>
              </w:rPr>
              <w:t>This category of costs includes the i</w:t>
            </w:r>
            <w:r w:rsidRPr="00A13ED8">
              <w:rPr>
                <w:rFonts w:asciiTheme="majorHAnsi" w:hAnsiTheme="majorHAnsi" w:cstheme="majorHAnsi"/>
                <w:sz w:val="16"/>
                <w:szCs w:val="16"/>
              </w:rPr>
              <w:t>ncremental costs</w:t>
            </w:r>
            <w:r w:rsidRPr="00A13ED8">
              <w:rPr>
                <w:rFonts w:asciiTheme="majorHAnsi" w:hAnsiTheme="majorHAnsi" w:cstheme="majorHAnsi"/>
                <w:spacing w:val="-32"/>
                <w:sz w:val="16"/>
                <w:szCs w:val="16"/>
              </w:rPr>
              <w:t xml:space="preserve"> </w:t>
            </w:r>
            <w:r w:rsidRPr="00A13ED8">
              <w:rPr>
                <w:rFonts w:asciiTheme="majorHAnsi" w:hAnsiTheme="majorHAnsi" w:cstheme="majorHAnsi"/>
                <w:sz w:val="16"/>
                <w:szCs w:val="16"/>
              </w:rPr>
              <w:t xml:space="preserve">associated with: </w:t>
            </w:r>
          </w:p>
          <w:p w14:paraId="5A714CB5" w14:textId="77777777" w:rsidR="00D77DE1" w:rsidRPr="00A13ED8" w:rsidRDefault="00D77DE1" w:rsidP="000A3668">
            <w:pPr>
              <w:pStyle w:val="TableBullet10"/>
              <w:numPr>
                <w:ilvl w:val="0"/>
                <w:numId w:val="90"/>
              </w:numPr>
              <w:spacing w:before="20" w:after="20" w:line="240" w:lineRule="auto"/>
              <w:ind w:left="442" w:hanging="357"/>
              <w:rPr>
                <w:rFonts w:asciiTheme="majorHAnsi" w:hAnsiTheme="majorHAnsi" w:cstheme="majorHAnsi"/>
                <w:sz w:val="16"/>
                <w:szCs w:val="16"/>
              </w:rPr>
            </w:pPr>
            <w:r>
              <w:rPr>
                <w:rFonts w:asciiTheme="majorHAnsi" w:hAnsiTheme="majorHAnsi" w:cstheme="majorHAnsi"/>
                <w:sz w:val="16"/>
                <w:szCs w:val="16"/>
              </w:rPr>
              <w:t>s</w:t>
            </w:r>
            <w:r w:rsidRPr="00A13ED8">
              <w:rPr>
                <w:rFonts w:asciiTheme="majorHAnsi" w:hAnsiTheme="majorHAnsi" w:cstheme="majorHAnsi"/>
                <w:sz w:val="16"/>
                <w:szCs w:val="16"/>
              </w:rPr>
              <w:t xml:space="preserve">ervice providers applying for </w:t>
            </w:r>
            <w:r>
              <w:rPr>
                <w:rFonts w:asciiTheme="majorHAnsi" w:hAnsiTheme="majorHAnsi" w:cstheme="majorHAnsi"/>
                <w:sz w:val="16"/>
                <w:szCs w:val="16"/>
              </w:rPr>
              <w:t xml:space="preserve">an exemption from regulation, or from the </w:t>
            </w:r>
            <w:r w:rsidR="00531979">
              <w:rPr>
                <w:rFonts w:asciiTheme="majorHAnsi" w:hAnsiTheme="majorHAnsi" w:cstheme="majorHAnsi"/>
                <w:sz w:val="16"/>
                <w:szCs w:val="16"/>
              </w:rPr>
              <w:t>stronger</w:t>
            </w:r>
            <w:r>
              <w:rPr>
                <w:rFonts w:asciiTheme="majorHAnsi" w:hAnsiTheme="majorHAnsi" w:cstheme="majorHAnsi"/>
                <w:sz w:val="16"/>
                <w:szCs w:val="16"/>
              </w:rPr>
              <w:t xml:space="preserve"> form of regulation </w:t>
            </w:r>
            <w:r w:rsidRPr="00A13ED8">
              <w:rPr>
                <w:rFonts w:asciiTheme="majorHAnsi" w:hAnsiTheme="majorHAnsi" w:cstheme="majorHAnsi"/>
                <w:sz w:val="16"/>
                <w:szCs w:val="16"/>
              </w:rPr>
              <w:t>(e.g. to remove regulation under Option 2</w:t>
            </w:r>
            <w:r>
              <w:rPr>
                <w:rFonts w:asciiTheme="majorHAnsi" w:hAnsiTheme="majorHAnsi" w:cstheme="majorHAnsi"/>
                <w:sz w:val="16"/>
                <w:szCs w:val="16"/>
              </w:rPr>
              <w:t>,</w:t>
            </w:r>
            <w:r w:rsidRPr="00A13ED8">
              <w:rPr>
                <w:rFonts w:asciiTheme="majorHAnsi" w:hAnsiTheme="majorHAnsi" w:cstheme="majorHAnsi"/>
                <w:sz w:val="16"/>
                <w:szCs w:val="16"/>
              </w:rPr>
              <w:t xml:space="preserve"> or to obtain a greenfield exemption under options 2, 3A, and 3B)</w:t>
            </w:r>
            <w:r>
              <w:rPr>
                <w:rFonts w:asciiTheme="majorHAnsi" w:hAnsiTheme="majorHAnsi" w:cstheme="majorHAnsi"/>
                <w:sz w:val="16"/>
                <w:szCs w:val="16"/>
              </w:rPr>
              <w:t>;</w:t>
            </w:r>
          </w:p>
          <w:p w14:paraId="47988FD3" w14:textId="6F773841" w:rsidR="00D77DE1" w:rsidRDefault="00D77DE1" w:rsidP="000A3668">
            <w:pPr>
              <w:pStyle w:val="TableBullet10"/>
              <w:numPr>
                <w:ilvl w:val="0"/>
                <w:numId w:val="90"/>
              </w:numPr>
              <w:spacing w:before="20" w:after="20" w:line="240" w:lineRule="auto"/>
              <w:ind w:left="442" w:hanging="357"/>
              <w:rPr>
                <w:rFonts w:asciiTheme="majorHAnsi" w:hAnsiTheme="majorHAnsi" w:cstheme="majorHAnsi"/>
                <w:sz w:val="16"/>
                <w:szCs w:val="16"/>
              </w:rPr>
            </w:pPr>
            <w:r>
              <w:rPr>
                <w:rFonts w:asciiTheme="majorHAnsi" w:hAnsiTheme="majorHAnsi" w:cstheme="majorHAnsi"/>
                <w:sz w:val="16"/>
                <w:szCs w:val="16"/>
              </w:rPr>
              <w:t>s</w:t>
            </w:r>
            <w:r w:rsidRPr="00A13ED8">
              <w:rPr>
                <w:rFonts w:asciiTheme="majorHAnsi" w:hAnsiTheme="majorHAnsi" w:cstheme="majorHAnsi"/>
                <w:sz w:val="16"/>
                <w:szCs w:val="16"/>
              </w:rPr>
              <w:t xml:space="preserve">hippers applying </w:t>
            </w:r>
            <w:r w:rsidR="00DF5469">
              <w:rPr>
                <w:rFonts w:asciiTheme="majorHAnsi" w:hAnsiTheme="majorHAnsi" w:cstheme="majorHAnsi"/>
                <w:sz w:val="16"/>
                <w:szCs w:val="16"/>
              </w:rPr>
              <w:t xml:space="preserve">to access </w:t>
            </w:r>
            <w:r w:rsidRPr="00A13ED8">
              <w:rPr>
                <w:rFonts w:asciiTheme="majorHAnsi" w:hAnsiTheme="majorHAnsi" w:cstheme="majorHAnsi"/>
                <w:sz w:val="16"/>
                <w:szCs w:val="16"/>
              </w:rPr>
              <w:t xml:space="preserve">pipelines that are not voluntarily providing </w:t>
            </w:r>
            <w:r w:rsidR="00120E27">
              <w:rPr>
                <w:rFonts w:asciiTheme="majorHAnsi" w:hAnsiTheme="majorHAnsi" w:cstheme="majorHAnsi"/>
                <w:sz w:val="16"/>
                <w:szCs w:val="16"/>
              </w:rPr>
              <w:t>3</w:t>
            </w:r>
            <w:r w:rsidR="00120E27" w:rsidRPr="00120E27">
              <w:rPr>
                <w:rFonts w:asciiTheme="majorHAnsi" w:hAnsiTheme="majorHAnsi" w:cstheme="majorHAnsi"/>
                <w:sz w:val="16"/>
                <w:szCs w:val="16"/>
                <w:vertAlign w:val="superscript"/>
              </w:rPr>
              <w:t>rd</w:t>
            </w:r>
            <w:r w:rsidR="00120E27">
              <w:rPr>
                <w:rFonts w:asciiTheme="majorHAnsi" w:hAnsiTheme="majorHAnsi" w:cstheme="majorHAnsi"/>
                <w:sz w:val="16"/>
                <w:szCs w:val="16"/>
              </w:rPr>
              <w:t xml:space="preserve"> </w:t>
            </w:r>
            <w:r w:rsidRPr="00A13ED8">
              <w:rPr>
                <w:rFonts w:asciiTheme="majorHAnsi" w:hAnsiTheme="majorHAnsi" w:cstheme="majorHAnsi"/>
                <w:sz w:val="16"/>
                <w:szCs w:val="16"/>
              </w:rPr>
              <w:t>party access (options 2 and 3A)</w:t>
            </w:r>
            <w:r>
              <w:rPr>
                <w:rFonts w:asciiTheme="majorHAnsi" w:hAnsiTheme="majorHAnsi" w:cstheme="majorHAnsi"/>
                <w:sz w:val="16"/>
                <w:szCs w:val="16"/>
              </w:rPr>
              <w:t xml:space="preserve">; </w:t>
            </w:r>
          </w:p>
          <w:p w14:paraId="42D263D9" w14:textId="77777777" w:rsidR="00D77DE1" w:rsidRPr="00A13ED8" w:rsidRDefault="00D77DE1" w:rsidP="000A3668">
            <w:pPr>
              <w:pStyle w:val="TableBullet10"/>
              <w:numPr>
                <w:ilvl w:val="0"/>
                <w:numId w:val="90"/>
              </w:numPr>
              <w:spacing w:before="20" w:after="20" w:line="240" w:lineRule="auto"/>
              <w:ind w:left="442" w:hanging="357"/>
              <w:rPr>
                <w:rFonts w:asciiTheme="majorHAnsi" w:hAnsiTheme="majorHAnsi" w:cstheme="majorHAnsi"/>
                <w:sz w:val="16"/>
                <w:szCs w:val="16"/>
              </w:rPr>
            </w:pPr>
            <w:r>
              <w:rPr>
                <w:rFonts w:asciiTheme="majorHAnsi" w:hAnsiTheme="majorHAnsi" w:cstheme="majorHAnsi"/>
                <w:sz w:val="16"/>
                <w:szCs w:val="16"/>
              </w:rPr>
              <w:t>service providers or shippers applying for a change in the form of regulation applying to a pipeline; and</w:t>
            </w:r>
          </w:p>
          <w:p w14:paraId="1C4D5FA4" w14:textId="77777777" w:rsidR="00D77DE1" w:rsidRPr="00A13ED8" w:rsidRDefault="00D77DE1" w:rsidP="000A3668">
            <w:pPr>
              <w:pStyle w:val="TableBullet10"/>
              <w:numPr>
                <w:ilvl w:val="0"/>
                <w:numId w:val="90"/>
              </w:numPr>
              <w:spacing w:before="20" w:after="20" w:line="240" w:lineRule="auto"/>
              <w:ind w:left="442" w:hanging="357"/>
              <w:rPr>
                <w:rFonts w:asciiTheme="majorHAnsi" w:hAnsiTheme="majorHAnsi" w:cstheme="majorHAnsi"/>
                <w:sz w:val="16"/>
                <w:szCs w:val="16"/>
              </w:rPr>
            </w:pPr>
            <w:r>
              <w:rPr>
                <w:rFonts w:asciiTheme="majorHAnsi" w:hAnsiTheme="majorHAnsi" w:cstheme="majorHAnsi"/>
                <w:sz w:val="16"/>
                <w:szCs w:val="16"/>
              </w:rPr>
              <w:t>s</w:t>
            </w:r>
            <w:r w:rsidRPr="00A13ED8">
              <w:rPr>
                <w:rFonts w:asciiTheme="majorHAnsi" w:hAnsiTheme="majorHAnsi" w:cstheme="majorHAnsi"/>
                <w:sz w:val="16"/>
                <w:szCs w:val="16"/>
              </w:rPr>
              <w:t xml:space="preserve">ervice providers and shippers remaining in the same regulatory category </w:t>
            </w:r>
            <w:r>
              <w:rPr>
                <w:rFonts w:asciiTheme="majorHAnsi" w:hAnsiTheme="majorHAnsi" w:cstheme="majorHAnsi"/>
                <w:sz w:val="16"/>
                <w:szCs w:val="16"/>
              </w:rPr>
              <w:t xml:space="preserve">(i.e. </w:t>
            </w:r>
            <w:r w:rsidRPr="00A13ED8">
              <w:rPr>
                <w:rFonts w:asciiTheme="majorHAnsi" w:hAnsiTheme="majorHAnsi" w:cstheme="majorHAnsi"/>
                <w:sz w:val="16"/>
                <w:szCs w:val="16"/>
              </w:rPr>
              <w:t xml:space="preserve">because under each </w:t>
            </w:r>
            <w:r>
              <w:rPr>
                <w:rFonts w:asciiTheme="majorHAnsi" w:hAnsiTheme="majorHAnsi" w:cstheme="majorHAnsi"/>
                <w:sz w:val="16"/>
                <w:szCs w:val="16"/>
              </w:rPr>
              <w:t xml:space="preserve">reform </w:t>
            </w:r>
            <w:r w:rsidRPr="00A13ED8">
              <w:rPr>
                <w:rFonts w:asciiTheme="majorHAnsi" w:hAnsiTheme="majorHAnsi" w:cstheme="majorHAnsi"/>
                <w:sz w:val="16"/>
                <w:szCs w:val="16"/>
              </w:rPr>
              <w:t>option there would be some changes to each form of regulation</w:t>
            </w:r>
            <w:r>
              <w:rPr>
                <w:rFonts w:asciiTheme="majorHAnsi" w:hAnsiTheme="majorHAnsi" w:cstheme="majorHAnsi"/>
                <w:sz w:val="16"/>
                <w:szCs w:val="16"/>
              </w:rPr>
              <w:t>)</w:t>
            </w:r>
            <w:r w:rsidRPr="00A13ED8">
              <w:rPr>
                <w:rFonts w:asciiTheme="majorHAnsi" w:hAnsiTheme="majorHAnsi" w:cstheme="majorHAnsi"/>
                <w:sz w:val="16"/>
                <w:szCs w:val="16"/>
              </w:rPr>
              <w:t>.</w:t>
            </w:r>
          </w:p>
          <w:p w14:paraId="5F5AC7F4" w14:textId="77777777" w:rsidR="00D77DE1" w:rsidRPr="00A13ED8" w:rsidRDefault="00D77DE1" w:rsidP="00065554">
            <w:pPr>
              <w:pStyle w:val="TableBullet10"/>
              <w:numPr>
                <w:ilvl w:val="0"/>
                <w:numId w:val="0"/>
              </w:numPr>
              <w:spacing w:before="20" w:after="20" w:line="240" w:lineRule="auto"/>
              <w:ind w:left="85"/>
              <w:rPr>
                <w:rFonts w:asciiTheme="majorHAnsi" w:hAnsiTheme="majorHAnsi" w:cstheme="majorHAnsi"/>
                <w:sz w:val="16"/>
                <w:szCs w:val="16"/>
              </w:rPr>
            </w:pPr>
            <w:r>
              <w:rPr>
                <w:rFonts w:asciiTheme="majorHAnsi" w:hAnsiTheme="majorHAnsi" w:cstheme="majorHAnsi"/>
                <w:sz w:val="16"/>
                <w:szCs w:val="16"/>
              </w:rPr>
              <w:t xml:space="preserve">While the regulator’s costs for items (a)-(c) have been taken into account, it </w:t>
            </w:r>
            <w:r w:rsidRPr="00A13ED8">
              <w:rPr>
                <w:rFonts w:asciiTheme="majorHAnsi" w:hAnsiTheme="majorHAnsi" w:cstheme="majorHAnsi"/>
                <w:sz w:val="16"/>
                <w:szCs w:val="16"/>
              </w:rPr>
              <w:t xml:space="preserve">was not possible to </w:t>
            </w:r>
            <w:r>
              <w:rPr>
                <w:rFonts w:asciiTheme="majorHAnsi" w:hAnsiTheme="majorHAnsi" w:cstheme="majorHAnsi"/>
                <w:sz w:val="16"/>
                <w:szCs w:val="16"/>
              </w:rPr>
              <w:t xml:space="preserve">quantify the </w:t>
            </w:r>
            <w:r w:rsidRPr="00A13ED8">
              <w:rPr>
                <w:rFonts w:asciiTheme="majorHAnsi" w:hAnsiTheme="majorHAnsi" w:cstheme="majorHAnsi"/>
                <w:sz w:val="16"/>
                <w:szCs w:val="16"/>
              </w:rPr>
              <w:t>costs</w:t>
            </w:r>
            <w:r>
              <w:rPr>
                <w:rFonts w:asciiTheme="majorHAnsi" w:hAnsiTheme="majorHAnsi" w:cstheme="majorHAnsi"/>
                <w:sz w:val="16"/>
                <w:szCs w:val="16"/>
              </w:rPr>
              <w:t xml:space="preserve"> that shippers or service providers would incur. Nor </w:t>
            </w:r>
            <w:r w:rsidR="00965183">
              <w:rPr>
                <w:rFonts w:asciiTheme="majorHAnsi" w:hAnsiTheme="majorHAnsi" w:cstheme="majorHAnsi"/>
                <w:sz w:val="16"/>
                <w:szCs w:val="16"/>
              </w:rPr>
              <w:t xml:space="preserve">was </w:t>
            </w:r>
            <w:r>
              <w:rPr>
                <w:rFonts w:asciiTheme="majorHAnsi" w:hAnsiTheme="majorHAnsi" w:cstheme="majorHAnsi"/>
                <w:sz w:val="16"/>
                <w:szCs w:val="16"/>
              </w:rPr>
              <w:t xml:space="preserve">it possible to quantity the costs associated with (d). These costs </w:t>
            </w:r>
            <w:r w:rsidRPr="00A13ED8">
              <w:rPr>
                <w:rFonts w:asciiTheme="majorHAnsi" w:hAnsiTheme="majorHAnsi" w:cstheme="majorHAnsi"/>
                <w:sz w:val="16"/>
                <w:szCs w:val="16"/>
              </w:rPr>
              <w:t xml:space="preserve">have </w:t>
            </w:r>
            <w:r>
              <w:rPr>
                <w:rFonts w:asciiTheme="majorHAnsi" w:hAnsiTheme="majorHAnsi" w:cstheme="majorHAnsi"/>
                <w:sz w:val="16"/>
                <w:szCs w:val="16"/>
              </w:rPr>
              <w:t xml:space="preserve">therefore </w:t>
            </w:r>
            <w:r w:rsidRPr="00A13ED8">
              <w:rPr>
                <w:rFonts w:asciiTheme="majorHAnsi" w:hAnsiTheme="majorHAnsi" w:cstheme="majorHAnsi"/>
                <w:sz w:val="16"/>
                <w:szCs w:val="16"/>
              </w:rPr>
              <w:t xml:space="preserve">been considered qualitatively. </w:t>
            </w:r>
          </w:p>
        </w:tc>
        <w:tc>
          <w:tcPr>
            <w:tcW w:w="593" w:type="pct"/>
          </w:tcPr>
          <w:p w14:paraId="38B5D061" w14:textId="77777777" w:rsidR="00D77DE1" w:rsidRPr="00A13ED8" w:rsidRDefault="00D77DE1" w:rsidP="00065554">
            <w:pPr>
              <w:pStyle w:val="TableBullet10"/>
              <w:numPr>
                <w:ilvl w:val="0"/>
                <w:numId w:val="0"/>
              </w:numPr>
              <w:spacing w:before="20" w:after="20" w:line="240" w:lineRule="auto"/>
              <w:ind w:left="85"/>
              <w:rPr>
                <w:rFonts w:asciiTheme="majorHAnsi" w:hAnsiTheme="majorHAnsi" w:cstheme="majorHAnsi"/>
                <w:sz w:val="16"/>
                <w:szCs w:val="16"/>
              </w:rPr>
            </w:pPr>
            <w:r w:rsidRPr="00A13ED8">
              <w:rPr>
                <w:rFonts w:asciiTheme="majorHAnsi" w:hAnsiTheme="majorHAnsi" w:cstheme="majorHAnsi"/>
                <w:sz w:val="16"/>
                <w:szCs w:val="16"/>
              </w:rPr>
              <w:t xml:space="preserve">Service providers and shippers </w:t>
            </w:r>
          </w:p>
        </w:tc>
        <w:tc>
          <w:tcPr>
            <w:tcW w:w="644" w:type="pct"/>
          </w:tcPr>
          <w:p w14:paraId="3207F2EE" w14:textId="77777777" w:rsidR="00D77DE1" w:rsidRPr="00A13ED8" w:rsidRDefault="00D77DE1" w:rsidP="00065554">
            <w:pPr>
              <w:pStyle w:val="TableBullet10"/>
              <w:numPr>
                <w:ilvl w:val="0"/>
                <w:numId w:val="0"/>
              </w:numPr>
              <w:spacing w:before="20" w:after="20" w:line="247" w:lineRule="auto"/>
              <w:ind w:left="85"/>
              <w:rPr>
                <w:rFonts w:asciiTheme="majorHAnsi" w:hAnsiTheme="majorHAnsi" w:cstheme="majorHAnsi"/>
                <w:sz w:val="16"/>
                <w:szCs w:val="16"/>
              </w:rPr>
            </w:pPr>
            <w:r w:rsidRPr="00A13ED8">
              <w:rPr>
                <w:rFonts w:asciiTheme="majorHAnsi" w:hAnsiTheme="majorHAnsi" w:cstheme="majorHAnsi"/>
                <w:sz w:val="16"/>
                <w:szCs w:val="16"/>
              </w:rPr>
              <w:t>Qualitatively</w:t>
            </w:r>
          </w:p>
        </w:tc>
      </w:tr>
      <w:tr w:rsidR="003D5DE0" w:rsidRPr="00A13ED8" w14:paraId="491FFAA9" w14:textId="77777777" w:rsidTr="00375C40">
        <w:trPr>
          <w:cnfStyle w:val="000000010000" w:firstRow="0" w:lastRow="0" w:firstColumn="0" w:lastColumn="0" w:oddVBand="0" w:evenVBand="0" w:oddHBand="0" w:evenHBand="1" w:firstRowFirstColumn="0" w:firstRowLastColumn="0" w:lastRowFirstColumn="0" w:lastRowLastColumn="0"/>
        </w:trPr>
        <w:tc>
          <w:tcPr>
            <w:tcW w:w="5000" w:type="pct"/>
            <w:gridSpan w:val="6"/>
            <w:shd w:val="clear" w:color="auto" w:fill="65697F" w:themeFill="background2" w:themeFillShade="80"/>
          </w:tcPr>
          <w:p w14:paraId="5FE757CB" w14:textId="77777777" w:rsidR="003D5DE0" w:rsidRPr="00A13ED8" w:rsidRDefault="003D5DE0" w:rsidP="00065554">
            <w:pPr>
              <w:pStyle w:val="TableBullet10"/>
              <w:keepNext/>
              <w:numPr>
                <w:ilvl w:val="0"/>
                <w:numId w:val="0"/>
              </w:numPr>
              <w:spacing w:before="20" w:after="20" w:line="247" w:lineRule="auto"/>
              <w:ind w:left="312" w:hanging="227"/>
              <w:jc w:val="center"/>
              <w:rPr>
                <w:rFonts w:asciiTheme="majorHAnsi" w:hAnsiTheme="majorHAnsi" w:cstheme="majorHAnsi"/>
                <w:b/>
                <w:bCs/>
                <w:color w:val="FFFFFF" w:themeColor="background1"/>
                <w:sz w:val="16"/>
                <w:szCs w:val="16"/>
              </w:rPr>
            </w:pPr>
            <w:r w:rsidRPr="00A13ED8">
              <w:rPr>
                <w:rFonts w:asciiTheme="majorHAnsi" w:hAnsiTheme="majorHAnsi" w:cstheme="majorHAnsi"/>
                <w:b/>
                <w:bCs/>
                <w:color w:val="FFFFFF" w:themeColor="background1"/>
                <w:sz w:val="16"/>
                <w:szCs w:val="16"/>
              </w:rPr>
              <w:t xml:space="preserve">Benefits </w:t>
            </w:r>
          </w:p>
        </w:tc>
      </w:tr>
      <w:tr w:rsidR="00D77DE1" w:rsidRPr="00A13ED8" w14:paraId="3FD95CD9" w14:textId="77777777" w:rsidTr="00375C40">
        <w:trPr>
          <w:gridAfter w:val="1"/>
          <w:wAfter w:w="5" w:type="pct"/>
        </w:trPr>
        <w:tc>
          <w:tcPr>
            <w:tcW w:w="198" w:type="pct"/>
          </w:tcPr>
          <w:p w14:paraId="6ADFFF28" w14:textId="77777777" w:rsidR="00D77DE1" w:rsidRDefault="00D77DE1" w:rsidP="00DF5469">
            <w:pPr>
              <w:pStyle w:val="TableBodyText"/>
              <w:spacing w:before="20" w:after="0" w:line="240" w:lineRule="auto"/>
              <w:rPr>
                <w:rFonts w:asciiTheme="majorHAnsi" w:hAnsiTheme="majorHAnsi" w:cstheme="majorHAnsi"/>
                <w:bCs/>
                <w:sz w:val="16"/>
                <w:szCs w:val="16"/>
              </w:rPr>
            </w:pPr>
            <w:r>
              <w:rPr>
                <w:rFonts w:asciiTheme="majorHAnsi" w:hAnsiTheme="majorHAnsi" w:cstheme="majorHAnsi"/>
                <w:bCs/>
                <w:sz w:val="16"/>
                <w:szCs w:val="16"/>
              </w:rPr>
              <w:t>(g)</w:t>
            </w:r>
          </w:p>
        </w:tc>
        <w:tc>
          <w:tcPr>
            <w:tcW w:w="594" w:type="pct"/>
          </w:tcPr>
          <w:p w14:paraId="2E4C9299" w14:textId="77777777" w:rsidR="00D77DE1" w:rsidRPr="00A13ED8" w:rsidRDefault="00D77DE1" w:rsidP="00DF5469">
            <w:pPr>
              <w:pStyle w:val="TableBodyText"/>
              <w:spacing w:before="20" w:after="0" w:line="240" w:lineRule="auto"/>
              <w:rPr>
                <w:rFonts w:asciiTheme="majorHAnsi" w:hAnsiTheme="majorHAnsi" w:cstheme="majorHAnsi"/>
                <w:bCs/>
                <w:sz w:val="16"/>
                <w:szCs w:val="16"/>
              </w:rPr>
            </w:pPr>
            <w:r w:rsidRPr="00A13ED8">
              <w:rPr>
                <w:rFonts w:asciiTheme="majorHAnsi" w:hAnsiTheme="majorHAnsi" w:cstheme="majorHAnsi"/>
                <w:bCs/>
                <w:sz w:val="16"/>
                <w:szCs w:val="16"/>
              </w:rPr>
              <w:t xml:space="preserve">Productivity </w:t>
            </w:r>
            <w:r>
              <w:rPr>
                <w:rFonts w:asciiTheme="majorHAnsi" w:hAnsiTheme="majorHAnsi" w:cstheme="majorHAnsi"/>
                <w:bCs/>
                <w:sz w:val="16"/>
                <w:szCs w:val="16"/>
              </w:rPr>
              <w:t xml:space="preserve">and efficiency </w:t>
            </w:r>
            <w:r w:rsidRPr="00A13ED8">
              <w:rPr>
                <w:rFonts w:asciiTheme="majorHAnsi" w:hAnsiTheme="majorHAnsi" w:cstheme="majorHAnsi"/>
                <w:bCs/>
                <w:sz w:val="16"/>
                <w:szCs w:val="16"/>
              </w:rPr>
              <w:t xml:space="preserve">benefits from lower transport costs arising from more pipelines moving to </w:t>
            </w:r>
            <w:r w:rsidR="00531979">
              <w:rPr>
                <w:rFonts w:asciiTheme="majorHAnsi" w:hAnsiTheme="majorHAnsi" w:cstheme="majorHAnsi"/>
                <w:bCs/>
                <w:sz w:val="16"/>
                <w:szCs w:val="16"/>
              </w:rPr>
              <w:t>stronger</w:t>
            </w:r>
            <w:r w:rsidRPr="00A13ED8">
              <w:rPr>
                <w:rFonts w:asciiTheme="majorHAnsi" w:hAnsiTheme="majorHAnsi" w:cstheme="majorHAnsi"/>
                <w:bCs/>
                <w:sz w:val="16"/>
                <w:szCs w:val="16"/>
              </w:rPr>
              <w:t xml:space="preserve"> regulation</w:t>
            </w:r>
          </w:p>
        </w:tc>
        <w:tc>
          <w:tcPr>
            <w:tcW w:w="2966" w:type="pct"/>
          </w:tcPr>
          <w:p w14:paraId="4AA0D52B" w14:textId="77777777" w:rsidR="00D77DE1" w:rsidRPr="00A13ED8" w:rsidRDefault="00D77DE1" w:rsidP="00DF5469">
            <w:pPr>
              <w:pStyle w:val="TableBodyText"/>
              <w:spacing w:before="20" w:after="0" w:line="240" w:lineRule="auto"/>
              <w:rPr>
                <w:rFonts w:asciiTheme="majorHAnsi" w:hAnsiTheme="majorHAnsi" w:cstheme="majorHAnsi"/>
                <w:sz w:val="16"/>
                <w:szCs w:val="16"/>
              </w:rPr>
            </w:pPr>
            <w:r w:rsidRPr="00A13ED8">
              <w:rPr>
                <w:rFonts w:asciiTheme="majorHAnsi" w:hAnsiTheme="majorHAnsi" w:cstheme="majorHAnsi"/>
                <w:sz w:val="16"/>
                <w:szCs w:val="16"/>
              </w:rPr>
              <w:t xml:space="preserve">Under all of the reform options, a number of pipelines </w:t>
            </w:r>
            <w:r>
              <w:rPr>
                <w:rFonts w:asciiTheme="majorHAnsi" w:hAnsiTheme="majorHAnsi" w:cstheme="majorHAnsi"/>
                <w:sz w:val="16"/>
                <w:szCs w:val="16"/>
              </w:rPr>
              <w:t>would</w:t>
            </w:r>
            <w:r w:rsidRPr="00A13ED8">
              <w:rPr>
                <w:rFonts w:asciiTheme="majorHAnsi" w:hAnsiTheme="majorHAnsi" w:cstheme="majorHAnsi"/>
                <w:sz w:val="16"/>
                <w:szCs w:val="16"/>
              </w:rPr>
              <w:t xml:space="preserve"> shift into the </w:t>
            </w:r>
            <w:r w:rsidR="00531979">
              <w:rPr>
                <w:rFonts w:asciiTheme="majorHAnsi" w:hAnsiTheme="majorHAnsi" w:cstheme="majorHAnsi"/>
                <w:sz w:val="16"/>
                <w:szCs w:val="16"/>
              </w:rPr>
              <w:t>stronger</w:t>
            </w:r>
            <w:r w:rsidRPr="00A13ED8">
              <w:rPr>
                <w:rFonts w:asciiTheme="majorHAnsi" w:hAnsiTheme="majorHAnsi" w:cstheme="majorHAnsi"/>
                <w:sz w:val="16"/>
                <w:szCs w:val="16"/>
              </w:rPr>
              <w:t xml:space="preserve"> form of regulation. This shift </w:t>
            </w:r>
            <w:r>
              <w:rPr>
                <w:rFonts w:asciiTheme="majorHAnsi" w:hAnsiTheme="majorHAnsi" w:cstheme="majorHAnsi"/>
                <w:sz w:val="16"/>
                <w:szCs w:val="16"/>
              </w:rPr>
              <w:t>would</w:t>
            </w:r>
            <w:r w:rsidRPr="00A13ED8">
              <w:rPr>
                <w:rFonts w:asciiTheme="majorHAnsi" w:hAnsiTheme="majorHAnsi" w:cstheme="majorHAnsi"/>
                <w:sz w:val="16"/>
                <w:szCs w:val="16"/>
              </w:rPr>
              <w:t xml:space="preserve"> mean that </w:t>
            </w:r>
            <w:r>
              <w:rPr>
                <w:rFonts w:asciiTheme="majorHAnsi" w:hAnsiTheme="majorHAnsi" w:cstheme="majorHAnsi"/>
                <w:sz w:val="16"/>
                <w:szCs w:val="16"/>
              </w:rPr>
              <w:t>a greater number of</w:t>
            </w:r>
            <w:r w:rsidRPr="00A13ED8">
              <w:rPr>
                <w:rFonts w:asciiTheme="majorHAnsi" w:hAnsiTheme="majorHAnsi" w:cstheme="majorHAnsi"/>
                <w:sz w:val="16"/>
                <w:szCs w:val="16"/>
              </w:rPr>
              <w:t xml:space="preserve"> services become ‘reference services’ </w:t>
            </w:r>
            <w:r>
              <w:rPr>
                <w:rFonts w:asciiTheme="majorHAnsi" w:hAnsiTheme="majorHAnsi" w:cstheme="majorHAnsi"/>
                <w:sz w:val="16"/>
                <w:szCs w:val="16"/>
              </w:rPr>
              <w:t xml:space="preserve">with </w:t>
            </w:r>
            <w:r w:rsidRPr="00A13ED8">
              <w:rPr>
                <w:rFonts w:asciiTheme="majorHAnsi" w:hAnsiTheme="majorHAnsi" w:cstheme="majorHAnsi"/>
                <w:sz w:val="16"/>
                <w:szCs w:val="16"/>
              </w:rPr>
              <w:t xml:space="preserve">prices subject to regulatory approval (either by the AER or </w:t>
            </w:r>
            <w:r>
              <w:rPr>
                <w:rFonts w:asciiTheme="majorHAnsi" w:hAnsiTheme="majorHAnsi" w:cstheme="majorHAnsi"/>
                <w:sz w:val="16"/>
                <w:szCs w:val="16"/>
              </w:rPr>
              <w:t xml:space="preserve">the </w:t>
            </w:r>
            <w:r w:rsidRPr="00A13ED8">
              <w:rPr>
                <w:rFonts w:asciiTheme="majorHAnsi" w:hAnsiTheme="majorHAnsi" w:cstheme="majorHAnsi"/>
                <w:sz w:val="16"/>
                <w:szCs w:val="16"/>
              </w:rPr>
              <w:t xml:space="preserve">ERA </w:t>
            </w:r>
            <w:r>
              <w:rPr>
                <w:rFonts w:asciiTheme="majorHAnsi" w:hAnsiTheme="majorHAnsi" w:cstheme="majorHAnsi"/>
                <w:sz w:val="16"/>
                <w:szCs w:val="16"/>
              </w:rPr>
              <w:t xml:space="preserve">in </w:t>
            </w:r>
            <w:r w:rsidRPr="00A13ED8">
              <w:rPr>
                <w:rFonts w:asciiTheme="majorHAnsi" w:hAnsiTheme="majorHAnsi" w:cstheme="majorHAnsi"/>
                <w:sz w:val="16"/>
                <w:szCs w:val="16"/>
              </w:rPr>
              <w:t xml:space="preserve">WA). As commercial rates of return are generally higher than the average regulatory rate of return, this would cause a reduction in the revenues earned by service providers that move into the </w:t>
            </w:r>
            <w:r w:rsidR="00531979">
              <w:rPr>
                <w:rFonts w:asciiTheme="majorHAnsi" w:hAnsiTheme="majorHAnsi" w:cstheme="majorHAnsi"/>
                <w:sz w:val="16"/>
                <w:szCs w:val="16"/>
              </w:rPr>
              <w:t>stronger</w:t>
            </w:r>
            <w:r w:rsidRPr="00A13ED8">
              <w:rPr>
                <w:rFonts w:asciiTheme="majorHAnsi" w:hAnsiTheme="majorHAnsi" w:cstheme="majorHAnsi"/>
                <w:sz w:val="16"/>
                <w:szCs w:val="16"/>
              </w:rPr>
              <w:t xml:space="preserve"> form of regulation from the provision of reference services</w:t>
            </w:r>
            <w:r>
              <w:rPr>
                <w:rFonts w:asciiTheme="majorHAnsi" w:hAnsiTheme="majorHAnsi" w:cstheme="majorHAnsi"/>
                <w:sz w:val="16"/>
                <w:szCs w:val="16"/>
              </w:rPr>
              <w:t xml:space="preserve"> and lower transportation costs on these pipelines. Lower transportation costs </w:t>
            </w:r>
            <w:r w:rsidRPr="00A13ED8">
              <w:rPr>
                <w:rFonts w:asciiTheme="majorHAnsi" w:hAnsiTheme="majorHAnsi" w:cstheme="majorHAnsi"/>
                <w:sz w:val="16"/>
                <w:szCs w:val="16"/>
              </w:rPr>
              <w:t>would</w:t>
            </w:r>
            <w:r>
              <w:rPr>
                <w:rFonts w:asciiTheme="majorHAnsi" w:hAnsiTheme="majorHAnsi" w:cstheme="majorHAnsi"/>
                <w:sz w:val="16"/>
                <w:szCs w:val="16"/>
              </w:rPr>
              <w:t>,</w:t>
            </w:r>
            <w:r w:rsidRPr="00A13ED8">
              <w:rPr>
                <w:rFonts w:asciiTheme="majorHAnsi" w:hAnsiTheme="majorHAnsi" w:cstheme="majorHAnsi"/>
                <w:sz w:val="16"/>
                <w:szCs w:val="16"/>
              </w:rPr>
              <w:t xml:space="preserve"> in turn</w:t>
            </w:r>
            <w:r>
              <w:rPr>
                <w:rFonts w:asciiTheme="majorHAnsi" w:hAnsiTheme="majorHAnsi" w:cstheme="majorHAnsi"/>
                <w:sz w:val="16"/>
                <w:szCs w:val="16"/>
              </w:rPr>
              <w:t xml:space="preserve">, give rise to economy-wide productivity benefits and result in more efficient use of and investment in these pipelines. </w:t>
            </w:r>
          </w:p>
        </w:tc>
        <w:tc>
          <w:tcPr>
            <w:tcW w:w="593" w:type="pct"/>
          </w:tcPr>
          <w:p w14:paraId="171EA771" w14:textId="77777777" w:rsidR="00D77DE1" w:rsidRPr="00A13ED8" w:rsidRDefault="00D77DE1" w:rsidP="00DF5469">
            <w:pPr>
              <w:pStyle w:val="TableBodyText"/>
              <w:spacing w:before="20" w:after="0" w:line="240" w:lineRule="auto"/>
              <w:rPr>
                <w:rFonts w:asciiTheme="majorHAnsi" w:hAnsiTheme="majorHAnsi" w:cstheme="majorHAnsi"/>
                <w:sz w:val="16"/>
                <w:szCs w:val="16"/>
              </w:rPr>
            </w:pPr>
            <w:r w:rsidRPr="00A13ED8">
              <w:rPr>
                <w:rFonts w:asciiTheme="majorHAnsi" w:hAnsiTheme="majorHAnsi" w:cstheme="majorHAnsi"/>
                <w:sz w:val="16"/>
                <w:szCs w:val="16"/>
              </w:rPr>
              <w:t xml:space="preserve">Service providers, shippers and the broader economy </w:t>
            </w:r>
          </w:p>
        </w:tc>
        <w:tc>
          <w:tcPr>
            <w:tcW w:w="644" w:type="pct"/>
          </w:tcPr>
          <w:p w14:paraId="0E0A6535" w14:textId="77777777" w:rsidR="00D77DE1" w:rsidRPr="0066792E" w:rsidRDefault="00D77DE1" w:rsidP="00DF5469">
            <w:pPr>
              <w:pStyle w:val="TableBodyText"/>
              <w:spacing w:before="20" w:after="0" w:line="240" w:lineRule="auto"/>
              <w:rPr>
                <w:rFonts w:asciiTheme="majorHAnsi" w:hAnsiTheme="majorHAnsi" w:cstheme="majorHAnsi"/>
                <w:color w:val="0033CC"/>
                <w:sz w:val="16"/>
                <w:szCs w:val="16"/>
              </w:rPr>
            </w:pPr>
            <w:r w:rsidRPr="0066792E">
              <w:rPr>
                <w:rFonts w:asciiTheme="majorHAnsi" w:hAnsiTheme="majorHAnsi" w:cstheme="majorHAnsi"/>
                <w:color w:val="0033CC"/>
                <w:sz w:val="16"/>
                <w:szCs w:val="16"/>
              </w:rPr>
              <w:t>Quantitatively</w:t>
            </w:r>
          </w:p>
        </w:tc>
      </w:tr>
      <w:tr w:rsidR="00D77DE1" w:rsidRPr="00A13ED8" w14:paraId="56D666A4" w14:textId="77777777" w:rsidTr="00375C40">
        <w:trPr>
          <w:gridAfter w:val="1"/>
          <w:cnfStyle w:val="000000010000" w:firstRow="0" w:lastRow="0" w:firstColumn="0" w:lastColumn="0" w:oddVBand="0" w:evenVBand="0" w:oddHBand="0" w:evenHBand="1" w:firstRowFirstColumn="0" w:firstRowLastColumn="0" w:lastRowFirstColumn="0" w:lastRowLastColumn="0"/>
          <w:wAfter w:w="5" w:type="pct"/>
        </w:trPr>
        <w:tc>
          <w:tcPr>
            <w:tcW w:w="198" w:type="pct"/>
          </w:tcPr>
          <w:p w14:paraId="10CBCC53" w14:textId="77777777" w:rsidR="00D77DE1" w:rsidRDefault="00D77DE1" w:rsidP="00E131F4">
            <w:pPr>
              <w:pStyle w:val="TableBodyText"/>
              <w:spacing w:before="20" w:after="0" w:line="240" w:lineRule="auto"/>
              <w:rPr>
                <w:rFonts w:asciiTheme="majorHAnsi" w:hAnsiTheme="majorHAnsi" w:cstheme="majorHAnsi"/>
                <w:bCs/>
                <w:sz w:val="16"/>
                <w:szCs w:val="16"/>
              </w:rPr>
            </w:pPr>
            <w:r>
              <w:rPr>
                <w:rFonts w:asciiTheme="majorHAnsi" w:hAnsiTheme="majorHAnsi" w:cstheme="majorHAnsi"/>
                <w:bCs/>
                <w:sz w:val="16"/>
                <w:szCs w:val="16"/>
              </w:rPr>
              <w:lastRenderedPageBreak/>
              <w:t>(h)</w:t>
            </w:r>
          </w:p>
        </w:tc>
        <w:tc>
          <w:tcPr>
            <w:tcW w:w="594" w:type="pct"/>
          </w:tcPr>
          <w:p w14:paraId="756A374F" w14:textId="77777777" w:rsidR="00D77DE1" w:rsidRPr="00A13ED8" w:rsidRDefault="00D77DE1" w:rsidP="00DF5469">
            <w:pPr>
              <w:pStyle w:val="TableBodyText"/>
              <w:spacing w:before="20" w:after="20"/>
              <w:rPr>
                <w:rFonts w:asciiTheme="majorHAnsi" w:hAnsiTheme="majorHAnsi" w:cstheme="majorHAnsi"/>
                <w:bCs/>
                <w:sz w:val="16"/>
                <w:szCs w:val="16"/>
              </w:rPr>
            </w:pPr>
            <w:r w:rsidRPr="00A13ED8">
              <w:rPr>
                <w:rFonts w:asciiTheme="majorHAnsi" w:hAnsiTheme="majorHAnsi" w:cstheme="majorHAnsi"/>
                <w:bCs/>
                <w:sz w:val="16"/>
                <w:szCs w:val="16"/>
              </w:rPr>
              <w:t xml:space="preserve">Productivity </w:t>
            </w:r>
            <w:r>
              <w:rPr>
                <w:rFonts w:asciiTheme="majorHAnsi" w:hAnsiTheme="majorHAnsi" w:cstheme="majorHAnsi"/>
                <w:bCs/>
                <w:sz w:val="16"/>
                <w:szCs w:val="16"/>
              </w:rPr>
              <w:t xml:space="preserve">and efficiency </w:t>
            </w:r>
            <w:r w:rsidRPr="00A13ED8">
              <w:rPr>
                <w:rFonts w:asciiTheme="majorHAnsi" w:hAnsiTheme="majorHAnsi" w:cstheme="majorHAnsi"/>
                <w:bCs/>
                <w:sz w:val="16"/>
                <w:szCs w:val="16"/>
              </w:rPr>
              <w:t>benefits from other changes to the regulatory framework that result in lower transport</w:t>
            </w:r>
            <w:r>
              <w:rPr>
                <w:rFonts w:asciiTheme="majorHAnsi" w:hAnsiTheme="majorHAnsi" w:cstheme="majorHAnsi"/>
                <w:bCs/>
                <w:sz w:val="16"/>
                <w:szCs w:val="16"/>
              </w:rPr>
              <w:t xml:space="preserve">ation </w:t>
            </w:r>
            <w:r w:rsidRPr="00A13ED8">
              <w:rPr>
                <w:rFonts w:asciiTheme="majorHAnsi" w:hAnsiTheme="majorHAnsi" w:cstheme="majorHAnsi"/>
                <w:bCs/>
                <w:sz w:val="16"/>
                <w:szCs w:val="16"/>
              </w:rPr>
              <w:t xml:space="preserve">costs </w:t>
            </w:r>
            <w:r>
              <w:rPr>
                <w:rFonts w:asciiTheme="majorHAnsi" w:hAnsiTheme="majorHAnsi" w:cstheme="majorHAnsi"/>
                <w:bCs/>
                <w:sz w:val="16"/>
                <w:szCs w:val="16"/>
              </w:rPr>
              <w:t xml:space="preserve">on pipelines subject to </w:t>
            </w:r>
            <w:r w:rsidR="00531979">
              <w:rPr>
                <w:rFonts w:asciiTheme="majorHAnsi" w:hAnsiTheme="majorHAnsi" w:cstheme="majorHAnsi"/>
                <w:bCs/>
                <w:sz w:val="16"/>
                <w:szCs w:val="16"/>
              </w:rPr>
              <w:t>lighter</w:t>
            </w:r>
            <w:r>
              <w:rPr>
                <w:rFonts w:asciiTheme="majorHAnsi" w:hAnsiTheme="majorHAnsi" w:cstheme="majorHAnsi"/>
                <w:bCs/>
                <w:sz w:val="16"/>
                <w:szCs w:val="16"/>
              </w:rPr>
              <w:t xml:space="preserve"> regulation </w:t>
            </w:r>
          </w:p>
        </w:tc>
        <w:tc>
          <w:tcPr>
            <w:tcW w:w="2966" w:type="pct"/>
          </w:tcPr>
          <w:p w14:paraId="06D8C385" w14:textId="77777777" w:rsidR="00D77DE1" w:rsidRPr="00A13ED8" w:rsidRDefault="00D77DE1" w:rsidP="00DF5469">
            <w:pPr>
              <w:pStyle w:val="TableBodyText"/>
              <w:spacing w:before="20" w:after="20"/>
              <w:rPr>
                <w:rFonts w:asciiTheme="majorHAnsi" w:hAnsiTheme="majorHAnsi" w:cstheme="majorHAnsi"/>
                <w:sz w:val="16"/>
                <w:szCs w:val="16"/>
              </w:rPr>
            </w:pPr>
            <w:r w:rsidRPr="00A13ED8">
              <w:rPr>
                <w:rFonts w:asciiTheme="majorHAnsi" w:hAnsiTheme="majorHAnsi" w:cstheme="majorHAnsi"/>
                <w:sz w:val="16"/>
                <w:szCs w:val="16"/>
              </w:rPr>
              <w:t xml:space="preserve">Several measures proposed as part of reform options 3A, 3B and 4 (e.g. increased monitoring by the regulator of the behaviour of service provides, improved information disclosure, strengthened credibility of the threat of arbitration by smaller shippers and dynamic market power measures) </w:t>
            </w:r>
            <w:r>
              <w:rPr>
                <w:rFonts w:asciiTheme="majorHAnsi" w:hAnsiTheme="majorHAnsi" w:cstheme="majorHAnsi"/>
                <w:sz w:val="16"/>
                <w:szCs w:val="16"/>
              </w:rPr>
              <w:t xml:space="preserve">are intended to pose more of a constraint on exercises of static and dynamic market power by service providers. They </w:t>
            </w:r>
            <w:r w:rsidRPr="00A13ED8">
              <w:rPr>
                <w:rFonts w:asciiTheme="majorHAnsi" w:hAnsiTheme="majorHAnsi" w:cstheme="majorHAnsi"/>
                <w:sz w:val="16"/>
                <w:szCs w:val="16"/>
              </w:rPr>
              <w:t xml:space="preserve">can </w:t>
            </w:r>
            <w:r>
              <w:rPr>
                <w:rFonts w:asciiTheme="majorHAnsi" w:hAnsiTheme="majorHAnsi" w:cstheme="majorHAnsi"/>
                <w:sz w:val="16"/>
                <w:szCs w:val="16"/>
              </w:rPr>
              <w:t xml:space="preserve">therefore </w:t>
            </w:r>
            <w:r w:rsidRPr="00A13ED8">
              <w:rPr>
                <w:rFonts w:asciiTheme="majorHAnsi" w:hAnsiTheme="majorHAnsi" w:cstheme="majorHAnsi"/>
                <w:sz w:val="16"/>
                <w:szCs w:val="16"/>
              </w:rPr>
              <w:t xml:space="preserve">be expected to place downward pressure on </w:t>
            </w:r>
            <w:r>
              <w:rPr>
                <w:rFonts w:asciiTheme="majorHAnsi" w:hAnsiTheme="majorHAnsi" w:cstheme="majorHAnsi"/>
                <w:sz w:val="16"/>
                <w:szCs w:val="16"/>
              </w:rPr>
              <w:t xml:space="preserve">the prices charged by service providers subject to the </w:t>
            </w:r>
            <w:r w:rsidR="00531979">
              <w:rPr>
                <w:rFonts w:asciiTheme="majorHAnsi" w:hAnsiTheme="majorHAnsi" w:cstheme="majorHAnsi"/>
                <w:sz w:val="16"/>
                <w:szCs w:val="16"/>
              </w:rPr>
              <w:t>lighter</w:t>
            </w:r>
            <w:r>
              <w:rPr>
                <w:rFonts w:asciiTheme="majorHAnsi" w:hAnsiTheme="majorHAnsi" w:cstheme="majorHAnsi"/>
                <w:sz w:val="16"/>
                <w:szCs w:val="16"/>
              </w:rPr>
              <w:t xml:space="preserve"> form of regulation. Lower transportation costs would, in turn, </w:t>
            </w:r>
            <w:r w:rsidRPr="00A13ED8">
              <w:rPr>
                <w:rFonts w:asciiTheme="majorHAnsi" w:hAnsiTheme="majorHAnsi" w:cstheme="majorHAnsi"/>
                <w:sz w:val="16"/>
                <w:szCs w:val="16"/>
              </w:rPr>
              <w:t xml:space="preserve">give rise to </w:t>
            </w:r>
            <w:r>
              <w:rPr>
                <w:rFonts w:asciiTheme="majorHAnsi" w:hAnsiTheme="majorHAnsi" w:cstheme="majorHAnsi"/>
                <w:sz w:val="16"/>
                <w:szCs w:val="16"/>
              </w:rPr>
              <w:t xml:space="preserve">economy-wide </w:t>
            </w:r>
            <w:r w:rsidRPr="00A13ED8">
              <w:rPr>
                <w:rFonts w:asciiTheme="majorHAnsi" w:hAnsiTheme="majorHAnsi" w:cstheme="majorHAnsi"/>
                <w:sz w:val="16"/>
                <w:szCs w:val="16"/>
              </w:rPr>
              <w:t>productivity benefits</w:t>
            </w:r>
            <w:r>
              <w:rPr>
                <w:rFonts w:asciiTheme="majorHAnsi" w:hAnsiTheme="majorHAnsi" w:cstheme="majorHAnsi"/>
                <w:sz w:val="16"/>
                <w:szCs w:val="16"/>
              </w:rPr>
              <w:t xml:space="preserve"> and result in more efficient use of and investment in these pipelines.</w:t>
            </w:r>
          </w:p>
          <w:p w14:paraId="44D1757F" w14:textId="77777777" w:rsidR="00D77DE1" w:rsidRPr="00A13ED8" w:rsidRDefault="00D77DE1" w:rsidP="00DF5469">
            <w:pPr>
              <w:pStyle w:val="TableBodyText"/>
              <w:spacing w:before="20" w:after="20"/>
              <w:rPr>
                <w:rFonts w:asciiTheme="majorHAnsi" w:hAnsiTheme="majorHAnsi" w:cstheme="majorHAnsi"/>
                <w:sz w:val="16"/>
                <w:szCs w:val="16"/>
              </w:rPr>
            </w:pPr>
            <w:r>
              <w:rPr>
                <w:rFonts w:asciiTheme="majorHAnsi" w:hAnsiTheme="majorHAnsi" w:cstheme="majorHAnsi"/>
                <w:sz w:val="16"/>
                <w:szCs w:val="16"/>
              </w:rPr>
              <w:t xml:space="preserve">In contrast to item (g) where it was possible to develop an estimate of the effect that the movement to the </w:t>
            </w:r>
            <w:r w:rsidR="00531979">
              <w:rPr>
                <w:rFonts w:asciiTheme="majorHAnsi" w:hAnsiTheme="majorHAnsi" w:cstheme="majorHAnsi"/>
                <w:sz w:val="16"/>
                <w:szCs w:val="16"/>
              </w:rPr>
              <w:t>stronger</w:t>
            </w:r>
            <w:r>
              <w:rPr>
                <w:rFonts w:asciiTheme="majorHAnsi" w:hAnsiTheme="majorHAnsi" w:cstheme="majorHAnsi"/>
                <w:sz w:val="16"/>
                <w:szCs w:val="16"/>
              </w:rPr>
              <w:t xml:space="preserve"> form of regulation would have on prices, i</w:t>
            </w:r>
            <w:r w:rsidRPr="00A13ED8">
              <w:rPr>
                <w:rFonts w:asciiTheme="majorHAnsi" w:hAnsiTheme="majorHAnsi" w:cstheme="majorHAnsi"/>
                <w:sz w:val="16"/>
                <w:szCs w:val="16"/>
              </w:rPr>
              <w:t xml:space="preserve">t has not been possible to quantify </w:t>
            </w:r>
            <w:r>
              <w:rPr>
                <w:rFonts w:asciiTheme="majorHAnsi" w:hAnsiTheme="majorHAnsi" w:cstheme="majorHAnsi"/>
                <w:sz w:val="16"/>
                <w:szCs w:val="16"/>
              </w:rPr>
              <w:t xml:space="preserve">the effect that the measures in options 3A, 3B and 4 would have on prices on pipelines subject to the </w:t>
            </w:r>
            <w:r w:rsidR="00531979">
              <w:rPr>
                <w:rFonts w:asciiTheme="majorHAnsi" w:hAnsiTheme="majorHAnsi" w:cstheme="majorHAnsi"/>
                <w:sz w:val="16"/>
                <w:szCs w:val="16"/>
              </w:rPr>
              <w:t>lighter</w:t>
            </w:r>
            <w:r>
              <w:rPr>
                <w:rFonts w:asciiTheme="majorHAnsi" w:hAnsiTheme="majorHAnsi" w:cstheme="majorHAnsi"/>
                <w:sz w:val="16"/>
                <w:szCs w:val="16"/>
              </w:rPr>
              <w:t xml:space="preserve"> form of regulation. These benefits </w:t>
            </w:r>
            <w:r w:rsidRPr="00A13ED8">
              <w:rPr>
                <w:rFonts w:asciiTheme="majorHAnsi" w:hAnsiTheme="majorHAnsi" w:cstheme="majorHAnsi"/>
                <w:sz w:val="16"/>
                <w:szCs w:val="16"/>
              </w:rPr>
              <w:t xml:space="preserve">have </w:t>
            </w:r>
            <w:r>
              <w:rPr>
                <w:rFonts w:asciiTheme="majorHAnsi" w:hAnsiTheme="majorHAnsi" w:cstheme="majorHAnsi"/>
                <w:sz w:val="16"/>
                <w:szCs w:val="16"/>
              </w:rPr>
              <w:t xml:space="preserve">therefore </w:t>
            </w:r>
            <w:r w:rsidRPr="00A13ED8">
              <w:rPr>
                <w:rFonts w:asciiTheme="majorHAnsi" w:hAnsiTheme="majorHAnsi" w:cstheme="majorHAnsi"/>
                <w:sz w:val="16"/>
                <w:szCs w:val="16"/>
              </w:rPr>
              <w:t xml:space="preserve">been assessed qualitatively. </w:t>
            </w:r>
          </w:p>
        </w:tc>
        <w:tc>
          <w:tcPr>
            <w:tcW w:w="593" w:type="pct"/>
          </w:tcPr>
          <w:p w14:paraId="32955B1C" w14:textId="77777777" w:rsidR="00D77DE1" w:rsidRPr="00A13ED8" w:rsidRDefault="00D77DE1" w:rsidP="00E131F4">
            <w:pPr>
              <w:pStyle w:val="TableBullet10"/>
              <w:numPr>
                <w:ilvl w:val="0"/>
                <w:numId w:val="0"/>
              </w:numPr>
              <w:spacing w:before="20" w:after="0" w:line="240" w:lineRule="auto"/>
              <w:ind w:left="85"/>
              <w:rPr>
                <w:rFonts w:asciiTheme="majorHAnsi" w:hAnsiTheme="majorHAnsi" w:cstheme="majorHAnsi"/>
                <w:sz w:val="16"/>
                <w:szCs w:val="16"/>
              </w:rPr>
            </w:pPr>
            <w:r w:rsidRPr="00A13ED8">
              <w:rPr>
                <w:rFonts w:asciiTheme="majorHAnsi" w:hAnsiTheme="majorHAnsi" w:cstheme="majorHAnsi"/>
                <w:sz w:val="16"/>
                <w:szCs w:val="16"/>
              </w:rPr>
              <w:t>Service providers, shippers and the broader economy</w:t>
            </w:r>
          </w:p>
        </w:tc>
        <w:tc>
          <w:tcPr>
            <w:tcW w:w="644" w:type="pct"/>
          </w:tcPr>
          <w:p w14:paraId="26D51013" w14:textId="77777777" w:rsidR="00D77DE1" w:rsidRPr="00A13ED8" w:rsidRDefault="00D77DE1" w:rsidP="00E131F4">
            <w:pPr>
              <w:pStyle w:val="TableBullet10"/>
              <w:numPr>
                <w:ilvl w:val="0"/>
                <w:numId w:val="0"/>
              </w:numPr>
              <w:spacing w:before="20" w:after="0" w:line="240" w:lineRule="auto"/>
              <w:ind w:left="85"/>
              <w:rPr>
                <w:rFonts w:asciiTheme="majorHAnsi" w:hAnsiTheme="majorHAnsi" w:cstheme="majorHAnsi"/>
                <w:sz w:val="16"/>
                <w:szCs w:val="16"/>
              </w:rPr>
            </w:pPr>
            <w:r w:rsidRPr="00A13ED8">
              <w:rPr>
                <w:rFonts w:asciiTheme="majorHAnsi" w:hAnsiTheme="majorHAnsi" w:cstheme="majorHAnsi"/>
                <w:sz w:val="16"/>
                <w:szCs w:val="16"/>
              </w:rPr>
              <w:t>Qualitatively</w:t>
            </w:r>
          </w:p>
        </w:tc>
      </w:tr>
      <w:tr w:rsidR="00D77DE1" w:rsidRPr="00A13ED8" w14:paraId="6EB9BD58" w14:textId="77777777" w:rsidTr="00375C40">
        <w:trPr>
          <w:gridAfter w:val="1"/>
          <w:wAfter w:w="5" w:type="pct"/>
        </w:trPr>
        <w:tc>
          <w:tcPr>
            <w:tcW w:w="198" w:type="pct"/>
          </w:tcPr>
          <w:p w14:paraId="7A2C9530" w14:textId="77777777" w:rsidR="00D77DE1" w:rsidRDefault="00D77DE1" w:rsidP="00E131F4">
            <w:pPr>
              <w:pStyle w:val="TableBodyText"/>
              <w:spacing w:before="20" w:after="0" w:line="240" w:lineRule="auto"/>
              <w:rPr>
                <w:rFonts w:asciiTheme="majorHAnsi" w:hAnsiTheme="majorHAnsi" w:cstheme="majorHAnsi"/>
                <w:bCs/>
                <w:sz w:val="16"/>
                <w:szCs w:val="16"/>
              </w:rPr>
            </w:pPr>
            <w:r>
              <w:rPr>
                <w:rFonts w:asciiTheme="majorHAnsi" w:hAnsiTheme="majorHAnsi" w:cstheme="majorHAnsi"/>
                <w:bCs/>
                <w:sz w:val="16"/>
                <w:szCs w:val="16"/>
              </w:rPr>
              <w:t>(i)</w:t>
            </w:r>
          </w:p>
        </w:tc>
        <w:tc>
          <w:tcPr>
            <w:tcW w:w="594" w:type="pct"/>
          </w:tcPr>
          <w:p w14:paraId="1B645D0F" w14:textId="5F1F7252" w:rsidR="00D77DE1" w:rsidRPr="00A13ED8" w:rsidRDefault="00D77DE1" w:rsidP="00DF5469">
            <w:pPr>
              <w:pStyle w:val="TableBodyText"/>
              <w:spacing w:before="20" w:after="20"/>
              <w:rPr>
                <w:rFonts w:asciiTheme="majorHAnsi" w:hAnsiTheme="majorHAnsi" w:cstheme="majorHAnsi"/>
                <w:bCs/>
                <w:sz w:val="16"/>
                <w:szCs w:val="16"/>
              </w:rPr>
            </w:pPr>
            <w:r>
              <w:rPr>
                <w:rFonts w:asciiTheme="majorHAnsi" w:hAnsiTheme="majorHAnsi" w:cstheme="majorHAnsi"/>
                <w:bCs/>
                <w:sz w:val="16"/>
                <w:szCs w:val="16"/>
              </w:rPr>
              <w:t>Productivity</w:t>
            </w:r>
            <w:r w:rsidR="00495F2A">
              <w:rPr>
                <w:rFonts w:asciiTheme="majorHAnsi" w:hAnsiTheme="majorHAnsi" w:cstheme="majorHAnsi"/>
                <w:bCs/>
                <w:sz w:val="16"/>
                <w:szCs w:val="16"/>
              </w:rPr>
              <w:t xml:space="preserve"> and efficiency</w:t>
            </w:r>
            <w:r>
              <w:rPr>
                <w:rFonts w:asciiTheme="majorHAnsi" w:hAnsiTheme="majorHAnsi" w:cstheme="majorHAnsi"/>
                <w:bCs/>
                <w:sz w:val="16"/>
                <w:szCs w:val="16"/>
              </w:rPr>
              <w:t xml:space="preserve"> b</w:t>
            </w:r>
            <w:r w:rsidRPr="00A13ED8">
              <w:rPr>
                <w:rFonts w:asciiTheme="majorHAnsi" w:hAnsiTheme="majorHAnsi" w:cstheme="majorHAnsi"/>
                <w:bCs/>
                <w:sz w:val="16"/>
                <w:szCs w:val="16"/>
              </w:rPr>
              <w:t xml:space="preserve">enefits from </w:t>
            </w:r>
            <w:r>
              <w:rPr>
                <w:rFonts w:asciiTheme="majorHAnsi" w:hAnsiTheme="majorHAnsi" w:cstheme="majorHAnsi"/>
                <w:bCs/>
                <w:sz w:val="16"/>
                <w:szCs w:val="16"/>
              </w:rPr>
              <w:t xml:space="preserve">improved access to </w:t>
            </w:r>
            <w:r w:rsidRPr="00A13ED8">
              <w:rPr>
                <w:rFonts w:asciiTheme="majorHAnsi" w:hAnsiTheme="majorHAnsi" w:cstheme="majorHAnsi"/>
                <w:bCs/>
                <w:sz w:val="16"/>
                <w:szCs w:val="16"/>
              </w:rPr>
              <w:t xml:space="preserve">pipelines </w:t>
            </w:r>
            <w:r>
              <w:rPr>
                <w:rFonts w:asciiTheme="majorHAnsi" w:hAnsiTheme="majorHAnsi" w:cstheme="majorHAnsi"/>
                <w:bCs/>
                <w:sz w:val="16"/>
                <w:szCs w:val="16"/>
              </w:rPr>
              <w:t xml:space="preserve">that would </w:t>
            </w:r>
            <w:r w:rsidR="00120E27">
              <w:rPr>
                <w:rFonts w:asciiTheme="majorHAnsi" w:hAnsiTheme="majorHAnsi" w:cstheme="majorHAnsi"/>
                <w:bCs/>
                <w:sz w:val="16"/>
                <w:szCs w:val="16"/>
              </w:rPr>
              <w:t xml:space="preserve">o/wise </w:t>
            </w:r>
            <w:r>
              <w:rPr>
                <w:rFonts w:asciiTheme="majorHAnsi" w:hAnsiTheme="majorHAnsi" w:cstheme="majorHAnsi"/>
                <w:bCs/>
                <w:sz w:val="16"/>
                <w:szCs w:val="16"/>
              </w:rPr>
              <w:t>be exempt from regulation</w:t>
            </w:r>
          </w:p>
        </w:tc>
        <w:tc>
          <w:tcPr>
            <w:tcW w:w="2966" w:type="pct"/>
          </w:tcPr>
          <w:p w14:paraId="7452BD6C" w14:textId="77777777" w:rsidR="00D77DE1" w:rsidRPr="00A13ED8" w:rsidRDefault="00D77DE1" w:rsidP="00DF5469">
            <w:pPr>
              <w:pStyle w:val="TableBodyText"/>
              <w:spacing w:before="20" w:after="20"/>
              <w:rPr>
                <w:rFonts w:asciiTheme="majorHAnsi" w:hAnsiTheme="majorHAnsi" w:cstheme="majorHAnsi"/>
                <w:sz w:val="16"/>
                <w:szCs w:val="16"/>
              </w:rPr>
            </w:pPr>
            <w:r>
              <w:rPr>
                <w:rFonts w:asciiTheme="majorHAnsi" w:hAnsiTheme="majorHAnsi" w:cstheme="majorHAnsi"/>
                <w:sz w:val="16"/>
                <w:szCs w:val="16"/>
              </w:rPr>
              <w:t>T</w:t>
            </w:r>
            <w:r w:rsidRPr="00A13ED8">
              <w:rPr>
                <w:rFonts w:asciiTheme="majorHAnsi" w:hAnsiTheme="majorHAnsi" w:cstheme="majorHAnsi"/>
                <w:sz w:val="16"/>
                <w:szCs w:val="16"/>
              </w:rPr>
              <w:t>he replacement of the coverage test with the market power-NGO test under options 2 and 3A</w:t>
            </w:r>
            <w:r>
              <w:rPr>
                <w:rFonts w:asciiTheme="majorHAnsi" w:hAnsiTheme="majorHAnsi" w:cstheme="majorHAnsi"/>
                <w:sz w:val="16"/>
                <w:szCs w:val="16"/>
              </w:rPr>
              <w:t xml:space="preserve"> and the movement to an open access model under options 3B and 4</w:t>
            </w:r>
            <w:r w:rsidRPr="00A13ED8">
              <w:rPr>
                <w:rFonts w:asciiTheme="majorHAnsi" w:hAnsiTheme="majorHAnsi" w:cstheme="majorHAnsi"/>
                <w:sz w:val="16"/>
                <w:szCs w:val="16"/>
              </w:rPr>
              <w:t xml:space="preserve">, is </w:t>
            </w:r>
            <w:r>
              <w:rPr>
                <w:rFonts w:asciiTheme="majorHAnsi" w:hAnsiTheme="majorHAnsi" w:cstheme="majorHAnsi"/>
                <w:sz w:val="16"/>
                <w:szCs w:val="16"/>
              </w:rPr>
              <w:t>expected to improve the ability of shippers to access pipelines that are not currently providing third party access</w:t>
            </w:r>
            <w:r w:rsidR="00F7134F">
              <w:rPr>
                <w:rFonts w:asciiTheme="majorHAnsi" w:hAnsiTheme="majorHAnsi" w:cstheme="majorHAnsi"/>
                <w:sz w:val="16"/>
                <w:szCs w:val="16"/>
              </w:rPr>
              <w:t xml:space="preserve">, which could </w:t>
            </w:r>
            <w:r w:rsidR="00495F2A">
              <w:rPr>
                <w:rFonts w:asciiTheme="majorHAnsi" w:hAnsiTheme="majorHAnsi" w:cstheme="majorHAnsi"/>
                <w:sz w:val="16"/>
                <w:szCs w:val="16"/>
              </w:rPr>
              <w:t xml:space="preserve">to varying extents </w:t>
            </w:r>
            <w:r w:rsidR="00F7134F">
              <w:rPr>
                <w:rFonts w:asciiTheme="majorHAnsi" w:hAnsiTheme="majorHAnsi" w:cstheme="majorHAnsi"/>
                <w:sz w:val="16"/>
                <w:szCs w:val="16"/>
              </w:rPr>
              <w:t>result in more efficient use of and investment in these pipelines</w:t>
            </w:r>
            <w:r>
              <w:rPr>
                <w:rFonts w:asciiTheme="majorHAnsi" w:hAnsiTheme="majorHAnsi" w:cstheme="majorHAnsi"/>
                <w:sz w:val="16"/>
                <w:szCs w:val="16"/>
              </w:rPr>
              <w:t xml:space="preserve">. The application of the </w:t>
            </w:r>
            <w:r w:rsidR="00531979">
              <w:rPr>
                <w:rFonts w:asciiTheme="majorHAnsi" w:hAnsiTheme="majorHAnsi" w:cstheme="majorHAnsi"/>
                <w:sz w:val="16"/>
                <w:szCs w:val="16"/>
              </w:rPr>
              <w:t>lighter</w:t>
            </w:r>
            <w:r>
              <w:rPr>
                <w:rFonts w:asciiTheme="majorHAnsi" w:hAnsiTheme="majorHAnsi" w:cstheme="majorHAnsi"/>
                <w:sz w:val="16"/>
                <w:szCs w:val="16"/>
              </w:rPr>
              <w:t xml:space="preserve"> form of regulation to these pipelines may also </w:t>
            </w:r>
            <w:r w:rsidRPr="00A13ED8">
              <w:rPr>
                <w:rFonts w:asciiTheme="majorHAnsi" w:hAnsiTheme="majorHAnsi" w:cstheme="majorHAnsi"/>
                <w:sz w:val="16"/>
                <w:szCs w:val="16"/>
              </w:rPr>
              <w:t>result in lower transportation costs</w:t>
            </w:r>
            <w:r>
              <w:rPr>
                <w:rFonts w:asciiTheme="majorHAnsi" w:hAnsiTheme="majorHAnsi" w:cstheme="majorHAnsi"/>
                <w:sz w:val="16"/>
                <w:szCs w:val="16"/>
              </w:rPr>
              <w:t xml:space="preserve"> and economy-wide productivity benefits</w:t>
            </w:r>
            <w:r w:rsidRPr="00A13ED8">
              <w:rPr>
                <w:rFonts w:asciiTheme="majorHAnsi" w:hAnsiTheme="majorHAnsi" w:cstheme="majorHAnsi"/>
                <w:sz w:val="16"/>
                <w:szCs w:val="16"/>
              </w:rPr>
              <w:t xml:space="preserve">. </w:t>
            </w:r>
          </w:p>
          <w:p w14:paraId="2539C22F" w14:textId="77777777" w:rsidR="00D77DE1" w:rsidRPr="00A13ED8" w:rsidRDefault="00D77DE1" w:rsidP="00DF5469">
            <w:pPr>
              <w:pStyle w:val="TableBodyText"/>
              <w:spacing w:before="20" w:after="20"/>
              <w:rPr>
                <w:rFonts w:asciiTheme="majorHAnsi" w:hAnsiTheme="majorHAnsi" w:cstheme="majorHAnsi"/>
                <w:sz w:val="16"/>
                <w:szCs w:val="16"/>
              </w:rPr>
            </w:pPr>
            <w:r>
              <w:rPr>
                <w:rFonts w:asciiTheme="majorHAnsi" w:hAnsiTheme="majorHAnsi" w:cstheme="majorHAnsi"/>
                <w:sz w:val="16"/>
                <w:szCs w:val="16"/>
              </w:rPr>
              <w:t>Like item (h) i</w:t>
            </w:r>
            <w:r w:rsidRPr="00A13ED8">
              <w:rPr>
                <w:rFonts w:asciiTheme="majorHAnsi" w:hAnsiTheme="majorHAnsi" w:cstheme="majorHAnsi"/>
                <w:sz w:val="16"/>
                <w:szCs w:val="16"/>
              </w:rPr>
              <w:t xml:space="preserve">t has not been possible to quantify </w:t>
            </w:r>
            <w:r>
              <w:rPr>
                <w:rFonts w:asciiTheme="majorHAnsi" w:hAnsiTheme="majorHAnsi" w:cstheme="majorHAnsi"/>
                <w:sz w:val="16"/>
                <w:szCs w:val="16"/>
              </w:rPr>
              <w:t xml:space="preserve">the </w:t>
            </w:r>
            <w:r w:rsidRPr="00A13ED8">
              <w:rPr>
                <w:rFonts w:asciiTheme="majorHAnsi" w:hAnsiTheme="majorHAnsi" w:cstheme="majorHAnsi"/>
                <w:sz w:val="16"/>
                <w:szCs w:val="16"/>
              </w:rPr>
              <w:t>benefits</w:t>
            </w:r>
            <w:r>
              <w:rPr>
                <w:rFonts w:asciiTheme="majorHAnsi" w:hAnsiTheme="majorHAnsi" w:cstheme="majorHAnsi"/>
                <w:sz w:val="16"/>
                <w:szCs w:val="16"/>
              </w:rPr>
              <w:t xml:space="preserve"> associated with pipelines that are not currently providing third party access being required to do so</w:t>
            </w:r>
            <w:r w:rsidRPr="00A13ED8">
              <w:rPr>
                <w:rFonts w:asciiTheme="majorHAnsi" w:hAnsiTheme="majorHAnsi" w:cstheme="majorHAnsi"/>
                <w:sz w:val="16"/>
                <w:szCs w:val="16"/>
              </w:rPr>
              <w:t>, so they have been assessed qualitatively.</w:t>
            </w:r>
          </w:p>
        </w:tc>
        <w:tc>
          <w:tcPr>
            <w:tcW w:w="593" w:type="pct"/>
          </w:tcPr>
          <w:p w14:paraId="33DB58EC" w14:textId="77777777" w:rsidR="00D77DE1" w:rsidRPr="00A13ED8" w:rsidRDefault="00D77DE1" w:rsidP="00E131F4">
            <w:pPr>
              <w:pStyle w:val="TableBullet10"/>
              <w:numPr>
                <w:ilvl w:val="0"/>
                <w:numId w:val="0"/>
              </w:numPr>
              <w:spacing w:before="20" w:after="0" w:line="240" w:lineRule="auto"/>
              <w:ind w:left="85"/>
              <w:rPr>
                <w:rFonts w:asciiTheme="majorHAnsi" w:hAnsiTheme="majorHAnsi" w:cstheme="majorHAnsi"/>
                <w:sz w:val="16"/>
                <w:szCs w:val="16"/>
              </w:rPr>
            </w:pPr>
            <w:r w:rsidRPr="00A13ED8">
              <w:rPr>
                <w:rFonts w:asciiTheme="majorHAnsi" w:hAnsiTheme="majorHAnsi" w:cstheme="majorHAnsi"/>
                <w:sz w:val="16"/>
                <w:szCs w:val="16"/>
              </w:rPr>
              <w:t>Service providers</w:t>
            </w:r>
            <w:r>
              <w:rPr>
                <w:rFonts w:asciiTheme="majorHAnsi" w:hAnsiTheme="majorHAnsi" w:cstheme="majorHAnsi"/>
                <w:sz w:val="16"/>
                <w:szCs w:val="16"/>
              </w:rPr>
              <w:t>,</w:t>
            </w:r>
            <w:r w:rsidRPr="00A13ED8">
              <w:rPr>
                <w:rFonts w:asciiTheme="majorHAnsi" w:hAnsiTheme="majorHAnsi" w:cstheme="majorHAnsi"/>
                <w:sz w:val="16"/>
                <w:szCs w:val="16"/>
              </w:rPr>
              <w:t xml:space="preserve"> shippers </w:t>
            </w:r>
            <w:r>
              <w:rPr>
                <w:rFonts w:asciiTheme="majorHAnsi" w:hAnsiTheme="majorHAnsi" w:cstheme="majorHAnsi"/>
                <w:sz w:val="16"/>
                <w:szCs w:val="16"/>
              </w:rPr>
              <w:t>and the broader economy</w:t>
            </w:r>
          </w:p>
        </w:tc>
        <w:tc>
          <w:tcPr>
            <w:tcW w:w="644" w:type="pct"/>
          </w:tcPr>
          <w:p w14:paraId="00EF1308" w14:textId="77777777" w:rsidR="00D77DE1" w:rsidRPr="00A13ED8" w:rsidRDefault="00D77DE1" w:rsidP="00E131F4">
            <w:pPr>
              <w:pStyle w:val="TableBullet10"/>
              <w:numPr>
                <w:ilvl w:val="0"/>
                <w:numId w:val="0"/>
              </w:numPr>
              <w:spacing w:before="20" w:after="0" w:line="240" w:lineRule="auto"/>
              <w:ind w:left="85"/>
              <w:rPr>
                <w:rFonts w:asciiTheme="majorHAnsi" w:hAnsiTheme="majorHAnsi" w:cstheme="majorHAnsi"/>
                <w:sz w:val="16"/>
                <w:szCs w:val="16"/>
              </w:rPr>
            </w:pPr>
            <w:r w:rsidRPr="00A13ED8">
              <w:rPr>
                <w:rFonts w:asciiTheme="majorHAnsi" w:hAnsiTheme="majorHAnsi" w:cstheme="majorHAnsi"/>
                <w:sz w:val="16"/>
                <w:szCs w:val="16"/>
              </w:rPr>
              <w:t>Qualitatively</w:t>
            </w:r>
          </w:p>
        </w:tc>
      </w:tr>
      <w:tr w:rsidR="00D77DE1" w:rsidRPr="00A13ED8" w14:paraId="48151E1C" w14:textId="77777777" w:rsidTr="00375C40">
        <w:trPr>
          <w:gridAfter w:val="1"/>
          <w:cnfStyle w:val="000000010000" w:firstRow="0" w:lastRow="0" w:firstColumn="0" w:lastColumn="0" w:oddVBand="0" w:evenVBand="0" w:oddHBand="0" w:evenHBand="1" w:firstRowFirstColumn="0" w:firstRowLastColumn="0" w:lastRowFirstColumn="0" w:lastRowLastColumn="0"/>
          <w:wAfter w:w="5" w:type="pct"/>
        </w:trPr>
        <w:tc>
          <w:tcPr>
            <w:tcW w:w="198" w:type="pct"/>
          </w:tcPr>
          <w:p w14:paraId="66A1D5F3" w14:textId="77777777" w:rsidR="00D77DE1" w:rsidRPr="00215EF6" w:rsidRDefault="00D77DE1" w:rsidP="00E131F4">
            <w:pPr>
              <w:pStyle w:val="TableBodyText"/>
              <w:spacing w:before="20" w:after="0" w:line="240" w:lineRule="auto"/>
              <w:rPr>
                <w:rFonts w:asciiTheme="majorHAnsi" w:hAnsiTheme="majorHAnsi" w:cstheme="majorHAnsi"/>
                <w:bCs/>
                <w:sz w:val="16"/>
                <w:szCs w:val="16"/>
              </w:rPr>
            </w:pPr>
            <w:r>
              <w:rPr>
                <w:rFonts w:asciiTheme="majorHAnsi" w:hAnsiTheme="majorHAnsi" w:cstheme="majorHAnsi"/>
                <w:bCs/>
                <w:sz w:val="16"/>
                <w:szCs w:val="16"/>
              </w:rPr>
              <w:t>(j)</w:t>
            </w:r>
          </w:p>
        </w:tc>
        <w:tc>
          <w:tcPr>
            <w:tcW w:w="594" w:type="pct"/>
          </w:tcPr>
          <w:p w14:paraId="6999AFC1" w14:textId="049F0C5A" w:rsidR="00D77DE1" w:rsidRPr="00DC74CC" w:rsidRDefault="00D77DE1" w:rsidP="00DF5469">
            <w:pPr>
              <w:pStyle w:val="TableBodyText"/>
              <w:spacing w:before="20" w:after="20"/>
              <w:rPr>
                <w:rFonts w:asciiTheme="majorHAnsi" w:hAnsiTheme="majorHAnsi" w:cstheme="majorHAnsi"/>
                <w:bCs/>
                <w:sz w:val="16"/>
                <w:szCs w:val="16"/>
              </w:rPr>
            </w:pPr>
            <w:r w:rsidRPr="00DC74CC">
              <w:rPr>
                <w:rFonts w:asciiTheme="majorHAnsi" w:hAnsiTheme="majorHAnsi" w:cstheme="majorHAnsi"/>
                <w:bCs/>
                <w:sz w:val="16"/>
                <w:szCs w:val="16"/>
              </w:rPr>
              <w:t>Facilitating more efficient investment in upstream and downstream facilities as a result of lower transportation costs</w:t>
            </w:r>
            <w:r w:rsidR="00A80B7C">
              <w:rPr>
                <w:rFonts w:asciiTheme="majorHAnsi" w:hAnsiTheme="majorHAnsi" w:cstheme="majorHAnsi"/>
                <w:bCs/>
                <w:sz w:val="16"/>
                <w:szCs w:val="16"/>
              </w:rPr>
              <w:t xml:space="preserve"> and better access </w:t>
            </w:r>
            <w:r w:rsidR="000A21FD">
              <w:rPr>
                <w:rFonts w:asciiTheme="majorHAnsi" w:hAnsiTheme="majorHAnsi" w:cstheme="majorHAnsi"/>
                <w:bCs/>
                <w:sz w:val="16"/>
                <w:szCs w:val="16"/>
              </w:rPr>
              <w:t xml:space="preserve">to pipelines that would not </w:t>
            </w:r>
            <w:r w:rsidR="00120E27">
              <w:rPr>
                <w:rFonts w:asciiTheme="majorHAnsi" w:hAnsiTheme="majorHAnsi" w:cstheme="majorHAnsi"/>
                <w:bCs/>
                <w:sz w:val="16"/>
                <w:szCs w:val="16"/>
              </w:rPr>
              <w:t xml:space="preserve">o/wise </w:t>
            </w:r>
            <w:r w:rsidR="000A21FD">
              <w:rPr>
                <w:rFonts w:asciiTheme="majorHAnsi" w:hAnsiTheme="majorHAnsi" w:cstheme="majorHAnsi"/>
                <w:bCs/>
                <w:sz w:val="16"/>
                <w:szCs w:val="16"/>
              </w:rPr>
              <w:t xml:space="preserve">provide third party access </w:t>
            </w:r>
          </w:p>
        </w:tc>
        <w:tc>
          <w:tcPr>
            <w:tcW w:w="2966" w:type="pct"/>
          </w:tcPr>
          <w:p w14:paraId="47F86F35" w14:textId="77777777" w:rsidR="00D77DE1" w:rsidRPr="00DC74CC" w:rsidRDefault="00D77DE1" w:rsidP="00DF5469">
            <w:pPr>
              <w:pStyle w:val="TableBodyText"/>
              <w:spacing w:before="20" w:after="20"/>
              <w:rPr>
                <w:rFonts w:asciiTheme="majorHAnsi" w:hAnsiTheme="majorHAnsi" w:cstheme="majorHAnsi"/>
                <w:sz w:val="16"/>
                <w:szCs w:val="16"/>
              </w:rPr>
            </w:pPr>
            <w:r w:rsidRPr="00DC74CC">
              <w:rPr>
                <w:rFonts w:asciiTheme="majorHAnsi" w:hAnsiTheme="majorHAnsi" w:cstheme="majorHAnsi"/>
                <w:sz w:val="16"/>
                <w:szCs w:val="16"/>
              </w:rPr>
              <w:t>The ACCC’s 2016 Gas Inquiry noted that excessive transportation charges could result in lower than efficient levels of investment in exploration and reserves development, as well as investment in downstream facilities that</w:t>
            </w:r>
            <w:r w:rsidRPr="00DC74CC">
              <w:rPr>
                <w:rFonts w:asciiTheme="majorHAnsi" w:hAnsiTheme="majorHAnsi" w:cstheme="majorHAnsi"/>
                <w:spacing w:val="-27"/>
                <w:sz w:val="16"/>
                <w:szCs w:val="16"/>
              </w:rPr>
              <w:t xml:space="preserve"> </w:t>
            </w:r>
            <w:r w:rsidRPr="00DC74CC">
              <w:rPr>
                <w:rFonts w:asciiTheme="majorHAnsi" w:hAnsiTheme="majorHAnsi" w:cstheme="majorHAnsi"/>
                <w:sz w:val="16"/>
                <w:szCs w:val="16"/>
              </w:rPr>
              <w:t xml:space="preserve">use gas. A reduction in transportation charges on those pipelines that are subject to the </w:t>
            </w:r>
            <w:r w:rsidR="00531979">
              <w:rPr>
                <w:rFonts w:asciiTheme="majorHAnsi" w:hAnsiTheme="majorHAnsi" w:cstheme="majorHAnsi"/>
                <w:sz w:val="16"/>
                <w:szCs w:val="16"/>
              </w:rPr>
              <w:t>stronger</w:t>
            </w:r>
            <w:r w:rsidRPr="00DC74CC">
              <w:rPr>
                <w:rFonts w:asciiTheme="majorHAnsi" w:hAnsiTheme="majorHAnsi" w:cstheme="majorHAnsi"/>
                <w:sz w:val="16"/>
                <w:szCs w:val="16"/>
              </w:rPr>
              <w:t xml:space="preserve"> or </w:t>
            </w:r>
            <w:r w:rsidR="00531979">
              <w:rPr>
                <w:rFonts w:asciiTheme="majorHAnsi" w:hAnsiTheme="majorHAnsi" w:cstheme="majorHAnsi"/>
                <w:sz w:val="16"/>
                <w:szCs w:val="16"/>
              </w:rPr>
              <w:t>lighter</w:t>
            </w:r>
            <w:r w:rsidRPr="00DC74CC">
              <w:rPr>
                <w:rFonts w:asciiTheme="majorHAnsi" w:hAnsiTheme="majorHAnsi" w:cstheme="majorHAnsi"/>
                <w:sz w:val="16"/>
                <w:szCs w:val="16"/>
              </w:rPr>
              <w:t xml:space="preserve"> forms of regulation</w:t>
            </w:r>
            <w:r w:rsidR="0053694C">
              <w:rPr>
                <w:rFonts w:asciiTheme="majorHAnsi" w:hAnsiTheme="majorHAnsi" w:cstheme="majorHAnsi"/>
                <w:sz w:val="16"/>
                <w:szCs w:val="16"/>
              </w:rPr>
              <w:t xml:space="preserve"> and improved access to pipelines that would not otherwise voluntarily provide third party access</w:t>
            </w:r>
            <w:r w:rsidRPr="00DC74CC">
              <w:rPr>
                <w:rFonts w:asciiTheme="majorHAnsi" w:hAnsiTheme="majorHAnsi" w:cstheme="majorHAnsi"/>
                <w:sz w:val="16"/>
                <w:szCs w:val="16"/>
              </w:rPr>
              <w:t xml:space="preserve"> could therefore </w:t>
            </w:r>
            <w:r w:rsidR="002E7951" w:rsidRPr="00DC74CC">
              <w:rPr>
                <w:rFonts w:asciiTheme="majorHAnsi" w:hAnsiTheme="majorHAnsi" w:cstheme="majorHAnsi"/>
                <w:sz w:val="16"/>
                <w:szCs w:val="16"/>
              </w:rPr>
              <w:t xml:space="preserve">result in more efficient </w:t>
            </w:r>
            <w:r w:rsidRPr="00DC74CC">
              <w:rPr>
                <w:rFonts w:asciiTheme="majorHAnsi" w:hAnsiTheme="majorHAnsi" w:cstheme="majorHAnsi"/>
                <w:sz w:val="16"/>
                <w:szCs w:val="16"/>
              </w:rPr>
              <w:t xml:space="preserve">investment in upstream </w:t>
            </w:r>
            <w:r w:rsidR="00416FBB" w:rsidRPr="00DC74CC">
              <w:rPr>
                <w:rFonts w:asciiTheme="majorHAnsi" w:hAnsiTheme="majorHAnsi" w:cstheme="majorHAnsi"/>
                <w:sz w:val="16"/>
                <w:szCs w:val="16"/>
              </w:rPr>
              <w:t>and downstream facilities</w:t>
            </w:r>
            <w:r w:rsidR="006146C8" w:rsidRPr="00DC74CC">
              <w:rPr>
                <w:rFonts w:asciiTheme="majorHAnsi" w:hAnsiTheme="majorHAnsi" w:cstheme="majorHAnsi"/>
                <w:sz w:val="16"/>
                <w:szCs w:val="16"/>
              </w:rPr>
              <w:t xml:space="preserve"> and, in turn, more efficient levels of gas production and consumption. </w:t>
            </w:r>
          </w:p>
          <w:p w14:paraId="20CF13E8" w14:textId="77777777" w:rsidR="00A208D5" w:rsidRPr="00DC74CC" w:rsidRDefault="00DC74CC" w:rsidP="00DF5469">
            <w:pPr>
              <w:pStyle w:val="TableBodyText"/>
              <w:spacing w:before="20" w:after="20"/>
              <w:rPr>
                <w:rFonts w:asciiTheme="majorHAnsi" w:hAnsiTheme="majorHAnsi" w:cstheme="majorHAnsi"/>
                <w:sz w:val="16"/>
                <w:szCs w:val="16"/>
              </w:rPr>
            </w:pPr>
            <w:r>
              <w:rPr>
                <w:sz w:val="16"/>
                <w:szCs w:val="16"/>
              </w:rPr>
              <w:t>A similar</w:t>
            </w:r>
            <w:r w:rsidR="00A208D5" w:rsidRPr="00DC74CC">
              <w:rPr>
                <w:sz w:val="16"/>
                <w:szCs w:val="16"/>
              </w:rPr>
              <w:t xml:space="preserve"> point was </w:t>
            </w:r>
            <w:r w:rsidR="004B75A2" w:rsidRPr="00DC74CC">
              <w:rPr>
                <w:sz w:val="16"/>
                <w:szCs w:val="16"/>
              </w:rPr>
              <w:t xml:space="preserve">made </w:t>
            </w:r>
            <w:r w:rsidR="00A208D5" w:rsidRPr="00DC74CC">
              <w:rPr>
                <w:sz w:val="16"/>
                <w:szCs w:val="16"/>
              </w:rPr>
              <w:t xml:space="preserve">by a number of stakeholders, who noted that lower transportation costs </w:t>
            </w:r>
            <w:r w:rsidR="004B75A2" w:rsidRPr="00DC74CC">
              <w:rPr>
                <w:sz w:val="16"/>
                <w:szCs w:val="16"/>
              </w:rPr>
              <w:t xml:space="preserve">could result in </w:t>
            </w:r>
            <w:r w:rsidRPr="00DC74CC">
              <w:rPr>
                <w:sz w:val="16"/>
                <w:szCs w:val="16"/>
              </w:rPr>
              <w:t>greater levels of upstream investment and production</w:t>
            </w:r>
            <w:r w:rsidR="00E131F4">
              <w:rPr>
                <w:sz w:val="16"/>
                <w:szCs w:val="16"/>
              </w:rPr>
              <w:t xml:space="preserve"> because it would result in </w:t>
            </w:r>
            <w:r w:rsidR="00E131F4" w:rsidRPr="00DC74CC">
              <w:rPr>
                <w:sz w:val="16"/>
                <w:szCs w:val="16"/>
              </w:rPr>
              <w:t>some gas fields becoming economically feasible to develop</w:t>
            </w:r>
            <w:r w:rsidR="00A208D5" w:rsidRPr="00DC74CC">
              <w:rPr>
                <w:sz w:val="16"/>
                <w:szCs w:val="16"/>
              </w:rPr>
              <w:t>.</w:t>
            </w:r>
          </w:p>
          <w:p w14:paraId="433B61FB" w14:textId="77777777" w:rsidR="00D77DE1" w:rsidRPr="00DC74CC" w:rsidRDefault="00D77DE1" w:rsidP="00DF5469">
            <w:pPr>
              <w:pStyle w:val="TableBodyText"/>
              <w:spacing w:before="20" w:after="20"/>
              <w:rPr>
                <w:rFonts w:asciiTheme="majorHAnsi" w:hAnsiTheme="majorHAnsi" w:cstheme="majorHAnsi"/>
                <w:sz w:val="16"/>
                <w:szCs w:val="16"/>
              </w:rPr>
            </w:pPr>
            <w:r w:rsidRPr="00DC74CC">
              <w:rPr>
                <w:rFonts w:asciiTheme="majorHAnsi" w:hAnsiTheme="majorHAnsi" w:cstheme="majorHAnsi"/>
                <w:sz w:val="16"/>
                <w:szCs w:val="16"/>
              </w:rPr>
              <w:t>It has not been possible to quantify these benefits, so they have been assessed qualitatively.</w:t>
            </w:r>
          </w:p>
        </w:tc>
        <w:tc>
          <w:tcPr>
            <w:tcW w:w="593" w:type="pct"/>
          </w:tcPr>
          <w:p w14:paraId="582AA496" w14:textId="77777777" w:rsidR="00D77DE1" w:rsidRPr="00A13ED8" w:rsidRDefault="00D77DE1" w:rsidP="00E131F4">
            <w:pPr>
              <w:pStyle w:val="TableBullet10"/>
              <w:numPr>
                <w:ilvl w:val="0"/>
                <w:numId w:val="0"/>
              </w:numPr>
              <w:spacing w:before="20" w:after="0" w:line="240" w:lineRule="auto"/>
              <w:ind w:left="85"/>
              <w:rPr>
                <w:rFonts w:asciiTheme="majorHAnsi" w:hAnsiTheme="majorHAnsi" w:cstheme="majorHAnsi"/>
                <w:sz w:val="16"/>
                <w:szCs w:val="16"/>
              </w:rPr>
            </w:pPr>
            <w:r w:rsidRPr="00A13ED8">
              <w:rPr>
                <w:rFonts w:asciiTheme="majorHAnsi" w:hAnsiTheme="majorHAnsi" w:cstheme="majorHAnsi"/>
                <w:sz w:val="16"/>
                <w:szCs w:val="16"/>
              </w:rPr>
              <w:t xml:space="preserve">Shippers and the broader economy </w:t>
            </w:r>
          </w:p>
        </w:tc>
        <w:tc>
          <w:tcPr>
            <w:tcW w:w="644" w:type="pct"/>
          </w:tcPr>
          <w:p w14:paraId="76F8F67D" w14:textId="77777777" w:rsidR="00D77DE1" w:rsidRPr="00A13ED8" w:rsidRDefault="00D77DE1" w:rsidP="00E131F4">
            <w:pPr>
              <w:pStyle w:val="TableBullet10"/>
              <w:numPr>
                <w:ilvl w:val="0"/>
                <w:numId w:val="0"/>
              </w:numPr>
              <w:spacing w:before="20" w:after="0" w:line="240" w:lineRule="auto"/>
              <w:ind w:left="85"/>
              <w:rPr>
                <w:rFonts w:asciiTheme="majorHAnsi" w:hAnsiTheme="majorHAnsi" w:cstheme="majorHAnsi"/>
                <w:sz w:val="16"/>
                <w:szCs w:val="16"/>
              </w:rPr>
            </w:pPr>
            <w:r w:rsidRPr="00A13ED8">
              <w:rPr>
                <w:rFonts w:asciiTheme="majorHAnsi" w:hAnsiTheme="majorHAnsi" w:cstheme="majorHAnsi"/>
                <w:sz w:val="16"/>
                <w:szCs w:val="16"/>
              </w:rPr>
              <w:t>Qualitatively</w:t>
            </w:r>
          </w:p>
        </w:tc>
      </w:tr>
      <w:tr w:rsidR="00D77DE1" w:rsidRPr="00A13ED8" w14:paraId="3D1D3FD0" w14:textId="77777777" w:rsidTr="00375C40">
        <w:trPr>
          <w:gridAfter w:val="1"/>
          <w:wAfter w:w="5" w:type="pct"/>
        </w:trPr>
        <w:tc>
          <w:tcPr>
            <w:tcW w:w="198" w:type="pct"/>
          </w:tcPr>
          <w:p w14:paraId="6D30E605" w14:textId="77777777" w:rsidR="00D77DE1" w:rsidRPr="00215EF6" w:rsidRDefault="00D77DE1" w:rsidP="00E131F4">
            <w:pPr>
              <w:pStyle w:val="TableBodyText"/>
              <w:spacing w:before="20" w:after="0" w:line="240" w:lineRule="auto"/>
              <w:rPr>
                <w:rFonts w:asciiTheme="majorHAnsi" w:hAnsiTheme="majorHAnsi" w:cstheme="majorHAnsi"/>
                <w:bCs/>
                <w:sz w:val="16"/>
                <w:szCs w:val="16"/>
              </w:rPr>
            </w:pPr>
            <w:r>
              <w:rPr>
                <w:rFonts w:asciiTheme="majorHAnsi" w:hAnsiTheme="majorHAnsi" w:cstheme="majorHAnsi"/>
                <w:bCs/>
                <w:sz w:val="16"/>
                <w:szCs w:val="16"/>
              </w:rPr>
              <w:t>(k)</w:t>
            </w:r>
          </w:p>
        </w:tc>
        <w:tc>
          <w:tcPr>
            <w:tcW w:w="594" w:type="pct"/>
          </w:tcPr>
          <w:p w14:paraId="07F54375" w14:textId="77777777" w:rsidR="00D77DE1" w:rsidRPr="00215EF6" w:rsidRDefault="00D77DE1" w:rsidP="00DF5469">
            <w:pPr>
              <w:pStyle w:val="TableBodyText"/>
              <w:spacing w:before="20" w:after="20"/>
              <w:rPr>
                <w:rFonts w:asciiTheme="majorHAnsi" w:hAnsiTheme="majorHAnsi" w:cstheme="majorHAnsi"/>
                <w:bCs/>
                <w:sz w:val="16"/>
                <w:szCs w:val="16"/>
              </w:rPr>
            </w:pPr>
            <w:r w:rsidRPr="00215EF6">
              <w:rPr>
                <w:rFonts w:asciiTheme="majorHAnsi" w:hAnsiTheme="majorHAnsi" w:cstheme="majorHAnsi"/>
                <w:bCs/>
                <w:sz w:val="16"/>
                <w:szCs w:val="16"/>
              </w:rPr>
              <w:t xml:space="preserve">Reduced </w:t>
            </w:r>
            <w:r w:rsidR="00DA008F">
              <w:rPr>
                <w:rFonts w:asciiTheme="majorHAnsi" w:hAnsiTheme="majorHAnsi" w:cstheme="majorHAnsi"/>
                <w:bCs/>
                <w:sz w:val="16"/>
                <w:szCs w:val="16"/>
              </w:rPr>
              <w:t xml:space="preserve">information asymmetries and </w:t>
            </w:r>
            <w:r w:rsidRPr="00215EF6">
              <w:rPr>
                <w:rFonts w:asciiTheme="majorHAnsi" w:hAnsiTheme="majorHAnsi" w:cstheme="majorHAnsi"/>
                <w:bCs/>
                <w:sz w:val="16"/>
                <w:szCs w:val="16"/>
              </w:rPr>
              <w:t>search and transaction costs from improved information provision</w:t>
            </w:r>
          </w:p>
        </w:tc>
        <w:tc>
          <w:tcPr>
            <w:tcW w:w="2966" w:type="pct"/>
          </w:tcPr>
          <w:p w14:paraId="672999DF" w14:textId="77777777" w:rsidR="00D77DE1" w:rsidRPr="00215EF6" w:rsidRDefault="00D77DE1" w:rsidP="00DF5469">
            <w:pPr>
              <w:pStyle w:val="TableBodyText"/>
              <w:spacing w:before="20" w:after="20"/>
              <w:rPr>
                <w:rFonts w:asciiTheme="majorHAnsi" w:hAnsiTheme="majorHAnsi" w:cstheme="majorHAnsi"/>
                <w:sz w:val="16"/>
                <w:szCs w:val="16"/>
              </w:rPr>
            </w:pPr>
            <w:r w:rsidRPr="00215EF6">
              <w:rPr>
                <w:rFonts w:asciiTheme="majorHAnsi" w:hAnsiTheme="majorHAnsi" w:cstheme="majorHAnsi"/>
                <w:sz w:val="16"/>
                <w:szCs w:val="16"/>
              </w:rPr>
              <w:t xml:space="preserve">The requirement for service providers to: </w:t>
            </w:r>
          </w:p>
          <w:p w14:paraId="4200ECF5" w14:textId="77777777" w:rsidR="00D77DE1" w:rsidRPr="00215EF6" w:rsidRDefault="00D77DE1" w:rsidP="00DF5469">
            <w:pPr>
              <w:pStyle w:val="TableBullet10"/>
              <w:spacing w:before="20" w:after="20"/>
              <w:rPr>
                <w:sz w:val="16"/>
                <w:szCs w:val="16"/>
              </w:rPr>
            </w:pPr>
            <w:r w:rsidRPr="00215EF6">
              <w:rPr>
                <w:sz w:val="16"/>
                <w:szCs w:val="16"/>
              </w:rPr>
              <w:t>disclose additional information under all of the reform options is expected to assist shippers when considering whether to seek access to a pipeline and when negotiating with service providers</w:t>
            </w:r>
            <w:r w:rsidR="00CE5BD5">
              <w:rPr>
                <w:sz w:val="16"/>
                <w:szCs w:val="16"/>
              </w:rPr>
              <w:t>,</w:t>
            </w:r>
            <w:r w:rsidRPr="00215EF6">
              <w:rPr>
                <w:sz w:val="16"/>
                <w:szCs w:val="16"/>
              </w:rPr>
              <w:t xml:space="preserve"> by reducing the information asymmetries and search and transaction costs they would otherwise face</w:t>
            </w:r>
            <w:r>
              <w:rPr>
                <w:sz w:val="16"/>
                <w:szCs w:val="16"/>
              </w:rPr>
              <w:t>; and</w:t>
            </w:r>
          </w:p>
          <w:p w14:paraId="388F50E4" w14:textId="77777777" w:rsidR="00D77DE1" w:rsidRPr="00215EF6" w:rsidRDefault="00D77DE1" w:rsidP="00DF5469">
            <w:pPr>
              <w:pStyle w:val="TableBullet10"/>
              <w:spacing w:before="20" w:after="20"/>
              <w:rPr>
                <w:sz w:val="16"/>
                <w:szCs w:val="16"/>
              </w:rPr>
            </w:pPr>
            <w:r>
              <w:rPr>
                <w:sz w:val="16"/>
                <w:szCs w:val="16"/>
              </w:rPr>
              <w:t>i</w:t>
            </w:r>
            <w:r w:rsidRPr="00215EF6">
              <w:rPr>
                <w:sz w:val="16"/>
                <w:szCs w:val="16"/>
              </w:rPr>
              <w:t xml:space="preserve">mprove the quality, reliability, usability and accessibility of information under options 3A, 3B and 4 is also expected to reduce the information asymmetries faced by shippers and their search and transaction costs. </w:t>
            </w:r>
          </w:p>
          <w:p w14:paraId="6D1F0528" w14:textId="77777777" w:rsidR="00D77DE1" w:rsidRPr="00215EF6" w:rsidRDefault="00261087" w:rsidP="00DF5469">
            <w:pPr>
              <w:pStyle w:val="TableBodyText"/>
              <w:spacing w:before="20" w:after="20"/>
              <w:rPr>
                <w:rFonts w:asciiTheme="majorHAnsi" w:hAnsiTheme="majorHAnsi" w:cstheme="majorHAnsi"/>
                <w:sz w:val="16"/>
                <w:szCs w:val="16"/>
              </w:rPr>
            </w:pPr>
            <w:r>
              <w:rPr>
                <w:rFonts w:asciiTheme="majorHAnsi" w:hAnsiTheme="majorHAnsi" w:cstheme="majorHAnsi"/>
                <w:sz w:val="16"/>
                <w:szCs w:val="16"/>
              </w:rPr>
              <w:t>T</w:t>
            </w:r>
            <w:r w:rsidR="00D77DE1" w:rsidRPr="00215EF6">
              <w:rPr>
                <w:rFonts w:asciiTheme="majorHAnsi" w:hAnsiTheme="majorHAnsi" w:cstheme="majorHAnsi"/>
                <w:sz w:val="16"/>
                <w:szCs w:val="16"/>
              </w:rPr>
              <w:t>he reduction in information asymmetries</w:t>
            </w:r>
            <w:r>
              <w:rPr>
                <w:rFonts w:asciiTheme="majorHAnsi" w:hAnsiTheme="majorHAnsi" w:cstheme="majorHAnsi"/>
                <w:sz w:val="16"/>
                <w:szCs w:val="16"/>
              </w:rPr>
              <w:t xml:space="preserve"> and search and transaction costs, is expected to </w:t>
            </w:r>
            <w:r w:rsidR="00BC4674">
              <w:rPr>
                <w:rFonts w:asciiTheme="majorHAnsi" w:hAnsiTheme="majorHAnsi" w:cstheme="majorHAnsi"/>
                <w:sz w:val="16"/>
                <w:szCs w:val="16"/>
              </w:rPr>
              <w:t xml:space="preserve">facilitate more effective </w:t>
            </w:r>
            <w:r w:rsidR="00006ACF">
              <w:rPr>
                <w:rFonts w:asciiTheme="majorHAnsi" w:hAnsiTheme="majorHAnsi" w:cstheme="majorHAnsi"/>
                <w:sz w:val="16"/>
                <w:szCs w:val="16"/>
              </w:rPr>
              <w:t xml:space="preserve">and timely </w:t>
            </w:r>
            <w:r w:rsidR="00BC4674">
              <w:rPr>
                <w:rFonts w:asciiTheme="majorHAnsi" w:hAnsiTheme="majorHAnsi" w:cstheme="majorHAnsi"/>
                <w:sz w:val="16"/>
                <w:szCs w:val="16"/>
              </w:rPr>
              <w:t>negotiations</w:t>
            </w:r>
            <w:r w:rsidR="00D77DE1" w:rsidRPr="00215EF6">
              <w:rPr>
                <w:rFonts w:asciiTheme="majorHAnsi" w:hAnsiTheme="majorHAnsi" w:cstheme="majorHAnsi"/>
                <w:sz w:val="16"/>
                <w:szCs w:val="16"/>
              </w:rPr>
              <w:t xml:space="preserve"> </w:t>
            </w:r>
            <w:r w:rsidR="00006ACF">
              <w:rPr>
                <w:rFonts w:asciiTheme="majorHAnsi" w:hAnsiTheme="majorHAnsi" w:cstheme="majorHAnsi"/>
                <w:sz w:val="16"/>
                <w:szCs w:val="16"/>
              </w:rPr>
              <w:t xml:space="preserve">between service provides and shippers, aid the price discovery process </w:t>
            </w:r>
            <w:r w:rsidR="00D77DE1" w:rsidRPr="00215EF6">
              <w:rPr>
                <w:rFonts w:asciiTheme="majorHAnsi" w:hAnsiTheme="majorHAnsi" w:cstheme="majorHAnsi"/>
                <w:sz w:val="16"/>
                <w:szCs w:val="16"/>
              </w:rPr>
              <w:t xml:space="preserve">and </w:t>
            </w:r>
            <w:r w:rsidR="00D77DE1">
              <w:rPr>
                <w:rFonts w:asciiTheme="majorHAnsi" w:hAnsiTheme="majorHAnsi" w:cstheme="majorHAnsi"/>
                <w:sz w:val="16"/>
                <w:szCs w:val="16"/>
              </w:rPr>
              <w:t xml:space="preserve">result in </w:t>
            </w:r>
            <w:r w:rsidR="00D77DE1" w:rsidRPr="00215EF6">
              <w:rPr>
                <w:rFonts w:asciiTheme="majorHAnsi" w:hAnsiTheme="majorHAnsi" w:cstheme="majorHAnsi"/>
                <w:sz w:val="16"/>
                <w:szCs w:val="16"/>
              </w:rPr>
              <w:t xml:space="preserve">pipeline services </w:t>
            </w:r>
            <w:r w:rsidR="00D77DE1">
              <w:rPr>
                <w:rFonts w:asciiTheme="majorHAnsi" w:hAnsiTheme="majorHAnsi" w:cstheme="majorHAnsi"/>
                <w:sz w:val="16"/>
                <w:szCs w:val="16"/>
              </w:rPr>
              <w:t xml:space="preserve">being </w:t>
            </w:r>
            <w:r w:rsidR="00D77DE1" w:rsidRPr="00215EF6">
              <w:rPr>
                <w:rFonts w:asciiTheme="majorHAnsi" w:hAnsiTheme="majorHAnsi" w:cstheme="majorHAnsi"/>
                <w:sz w:val="16"/>
                <w:szCs w:val="16"/>
              </w:rPr>
              <w:t>allocated in a more efficient manner</w:t>
            </w:r>
            <w:r w:rsidR="00DA008F">
              <w:rPr>
                <w:rFonts w:asciiTheme="majorHAnsi" w:hAnsiTheme="majorHAnsi" w:cstheme="majorHAnsi"/>
                <w:sz w:val="16"/>
                <w:szCs w:val="16"/>
              </w:rPr>
              <w:t xml:space="preserve"> (i.e. reduce deadweight loss)</w:t>
            </w:r>
            <w:r w:rsidR="00D77DE1">
              <w:rPr>
                <w:rFonts w:asciiTheme="majorHAnsi" w:hAnsiTheme="majorHAnsi" w:cstheme="majorHAnsi"/>
                <w:sz w:val="16"/>
                <w:szCs w:val="16"/>
              </w:rPr>
              <w:t xml:space="preserve">. </w:t>
            </w:r>
          </w:p>
          <w:p w14:paraId="5A15B090" w14:textId="77777777" w:rsidR="00D77DE1" w:rsidRPr="00215EF6" w:rsidRDefault="00D77DE1" w:rsidP="00DF5469">
            <w:pPr>
              <w:pStyle w:val="TableBodyText"/>
              <w:spacing w:before="20" w:after="20"/>
              <w:rPr>
                <w:rFonts w:asciiTheme="majorHAnsi" w:hAnsiTheme="majorHAnsi" w:cstheme="majorHAnsi"/>
                <w:sz w:val="16"/>
                <w:szCs w:val="16"/>
              </w:rPr>
            </w:pPr>
            <w:r w:rsidRPr="00215EF6">
              <w:rPr>
                <w:rFonts w:asciiTheme="majorHAnsi" w:hAnsiTheme="majorHAnsi" w:cstheme="majorHAnsi"/>
                <w:sz w:val="16"/>
                <w:szCs w:val="16"/>
              </w:rPr>
              <w:t>It has not been possible to quantify these benefits, so they have been assessed qualitatively.</w:t>
            </w:r>
          </w:p>
        </w:tc>
        <w:tc>
          <w:tcPr>
            <w:tcW w:w="593" w:type="pct"/>
          </w:tcPr>
          <w:p w14:paraId="0D2366D9" w14:textId="77777777" w:rsidR="00D77DE1" w:rsidRPr="00A13ED8" w:rsidRDefault="00D77DE1" w:rsidP="00E131F4">
            <w:pPr>
              <w:pStyle w:val="TableBullet10"/>
              <w:numPr>
                <w:ilvl w:val="0"/>
                <w:numId w:val="0"/>
              </w:numPr>
              <w:spacing w:before="20" w:after="0" w:line="240" w:lineRule="auto"/>
              <w:ind w:left="85"/>
              <w:rPr>
                <w:rFonts w:asciiTheme="majorHAnsi" w:hAnsiTheme="majorHAnsi" w:cstheme="majorHAnsi"/>
                <w:sz w:val="16"/>
                <w:szCs w:val="16"/>
              </w:rPr>
            </w:pPr>
            <w:r w:rsidRPr="00A13ED8">
              <w:rPr>
                <w:rFonts w:asciiTheme="majorHAnsi" w:hAnsiTheme="majorHAnsi" w:cstheme="majorHAnsi"/>
                <w:sz w:val="16"/>
                <w:szCs w:val="16"/>
              </w:rPr>
              <w:t xml:space="preserve">Shippers and the broader economy </w:t>
            </w:r>
          </w:p>
        </w:tc>
        <w:tc>
          <w:tcPr>
            <w:tcW w:w="644" w:type="pct"/>
          </w:tcPr>
          <w:p w14:paraId="222D40D7" w14:textId="77777777" w:rsidR="00D77DE1" w:rsidRPr="00A13ED8" w:rsidRDefault="00D77DE1" w:rsidP="00E131F4">
            <w:pPr>
              <w:pStyle w:val="TableBullet10"/>
              <w:numPr>
                <w:ilvl w:val="0"/>
                <w:numId w:val="0"/>
              </w:numPr>
              <w:spacing w:before="20" w:after="0" w:line="240" w:lineRule="auto"/>
              <w:ind w:left="85"/>
              <w:rPr>
                <w:rFonts w:asciiTheme="majorHAnsi" w:hAnsiTheme="majorHAnsi" w:cstheme="majorHAnsi"/>
                <w:sz w:val="16"/>
                <w:szCs w:val="16"/>
              </w:rPr>
            </w:pPr>
            <w:r w:rsidRPr="00A13ED8">
              <w:rPr>
                <w:rFonts w:asciiTheme="majorHAnsi" w:hAnsiTheme="majorHAnsi" w:cstheme="majorHAnsi"/>
                <w:sz w:val="16"/>
                <w:szCs w:val="16"/>
              </w:rPr>
              <w:t>Qualitatively</w:t>
            </w:r>
          </w:p>
        </w:tc>
      </w:tr>
      <w:tr w:rsidR="00D77DE1" w:rsidRPr="00A13ED8" w14:paraId="07610381" w14:textId="77777777" w:rsidTr="00375C40">
        <w:trPr>
          <w:gridAfter w:val="1"/>
          <w:cnfStyle w:val="000000010000" w:firstRow="0" w:lastRow="0" w:firstColumn="0" w:lastColumn="0" w:oddVBand="0" w:evenVBand="0" w:oddHBand="0" w:evenHBand="1" w:firstRowFirstColumn="0" w:firstRowLastColumn="0" w:lastRowFirstColumn="0" w:lastRowLastColumn="0"/>
          <w:wAfter w:w="5" w:type="pct"/>
          <w:trHeight w:val="332"/>
        </w:trPr>
        <w:tc>
          <w:tcPr>
            <w:tcW w:w="198" w:type="pct"/>
          </w:tcPr>
          <w:p w14:paraId="2625E1E2" w14:textId="77777777" w:rsidR="00D77DE1" w:rsidRDefault="00D77DE1" w:rsidP="00E131F4">
            <w:pPr>
              <w:pStyle w:val="TableBodyText"/>
              <w:spacing w:before="20" w:after="0" w:line="240" w:lineRule="auto"/>
              <w:rPr>
                <w:rFonts w:asciiTheme="majorHAnsi" w:hAnsiTheme="majorHAnsi" w:cstheme="majorHAnsi"/>
                <w:bCs/>
                <w:sz w:val="16"/>
                <w:szCs w:val="16"/>
              </w:rPr>
            </w:pPr>
            <w:r>
              <w:rPr>
                <w:rFonts w:asciiTheme="majorHAnsi" w:hAnsiTheme="majorHAnsi" w:cstheme="majorHAnsi"/>
                <w:bCs/>
                <w:sz w:val="16"/>
                <w:szCs w:val="16"/>
              </w:rPr>
              <w:t>(l)</w:t>
            </w:r>
          </w:p>
        </w:tc>
        <w:tc>
          <w:tcPr>
            <w:tcW w:w="594" w:type="pct"/>
          </w:tcPr>
          <w:p w14:paraId="16577458" w14:textId="77777777" w:rsidR="00D77DE1" w:rsidRPr="00A13ED8" w:rsidRDefault="00D77DE1" w:rsidP="00DF5469">
            <w:pPr>
              <w:pStyle w:val="TableBodyText"/>
              <w:spacing w:before="20" w:after="20"/>
              <w:rPr>
                <w:rFonts w:asciiTheme="majorHAnsi" w:hAnsiTheme="majorHAnsi" w:cstheme="majorHAnsi"/>
                <w:bCs/>
                <w:sz w:val="16"/>
                <w:szCs w:val="16"/>
              </w:rPr>
            </w:pPr>
            <w:r w:rsidRPr="00A13ED8">
              <w:rPr>
                <w:rFonts w:asciiTheme="majorHAnsi" w:hAnsiTheme="majorHAnsi" w:cstheme="majorHAnsi"/>
                <w:bCs/>
                <w:sz w:val="16"/>
                <w:szCs w:val="16"/>
              </w:rPr>
              <w:t xml:space="preserve">Simplification of the regulatory </w:t>
            </w:r>
            <w:r>
              <w:rPr>
                <w:rFonts w:asciiTheme="majorHAnsi" w:hAnsiTheme="majorHAnsi" w:cstheme="majorHAnsi"/>
                <w:bCs/>
                <w:sz w:val="16"/>
                <w:szCs w:val="16"/>
              </w:rPr>
              <w:t>framework</w:t>
            </w:r>
          </w:p>
        </w:tc>
        <w:tc>
          <w:tcPr>
            <w:tcW w:w="2966" w:type="pct"/>
          </w:tcPr>
          <w:p w14:paraId="34171442" w14:textId="77777777" w:rsidR="00D77DE1" w:rsidRPr="00A13ED8" w:rsidRDefault="00D77DE1" w:rsidP="00DF5469">
            <w:pPr>
              <w:pStyle w:val="TableBodyText"/>
              <w:spacing w:before="20" w:after="20"/>
              <w:rPr>
                <w:rFonts w:asciiTheme="majorHAnsi" w:hAnsiTheme="majorHAnsi" w:cstheme="majorHAnsi"/>
                <w:sz w:val="16"/>
                <w:szCs w:val="16"/>
              </w:rPr>
            </w:pPr>
            <w:r w:rsidRPr="00A13ED8">
              <w:rPr>
                <w:rFonts w:asciiTheme="majorHAnsi" w:hAnsiTheme="majorHAnsi" w:cstheme="majorHAnsi"/>
                <w:sz w:val="16"/>
                <w:szCs w:val="16"/>
              </w:rPr>
              <w:t xml:space="preserve">The simplification of the regulatory </w:t>
            </w:r>
            <w:r>
              <w:rPr>
                <w:rFonts w:asciiTheme="majorHAnsi" w:hAnsiTheme="majorHAnsi" w:cstheme="majorHAnsi"/>
                <w:sz w:val="16"/>
                <w:szCs w:val="16"/>
              </w:rPr>
              <w:t>framework</w:t>
            </w:r>
            <w:r w:rsidRPr="00A13ED8">
              <w:rPr>
                <w:rFonts w:asciiTheme="majorHAnsi" w:hAnsiTheme="majorHAnsi" w:cstheme="majorHAnsi"/>
                <w:sz w:val="16"/>
                <w:szCs w:val="16"/>
              </w:rPr>
              <w:t xml:space="preserve"> under the reform options </w:t>
            </w:r>
            <w:r>
              <w:rPr>
                <w:rFonts w:asciiTheme="majorHAnsi" w:hAnsiTheme="majorHAnsi" w:cstheme="majorHAnsi"/>
                <w:sz w:val="16"/>
                <w:szCs w:val="16"/>
              </w:rPr>
              <w:t xml:space="preserve">(e.g. as a result of </w:t>
            </w:r>
            <w:r w:rsidR="009661B3">
              <w:rPr>
                <w:rFonts w:asciiTheme="majorHAnsi" w:hAnsiTheme="majorHAnsi" w:cstheme="majorHAnsi"/>
                <w:sz w:val="16"/>
                <w:szCs w:val="16"/>
              </w:rPr>
              <w:t xml:space="preserve">the removal of the coverage test, </w:t>
            </w:r>
            <w:r>
              <w:rPr>
                <w:rFonts w:asciiTheme="majorHAnsi" w:hAnsiTheme="majorHAnsi" w:cstheme="majorHAnsi"/>
                <w:sz w:val="16"/>
                <w:szCs w:val="16"/>
              </w:rPr>
              <w:t xml:space="preserve">moving to two forms of regulation, according a single organisation responsibility for making decisions </w:t>
            </w:r>
            <w:r w:rsidR="009661B3">
              <w:rPr>
                <w:rFonts w:asciiTheme="majorHAnsi" w:hAnsiTheme="majorHAnsi" w:cstheme="majorHAnsi"/>
                <w:sz w:val="16"/>
                <w:szCs w:val="16"/>
              </w:rPr>
              <w:t xml:space="preserve">on how and when to regulate, </w:t>
            </w:r>
            <w:r>
              <w:rPr>
                <w:rFonts w:asciiTheme="majorHAnsi" w:hAnsiTheme="majorHAnsi" w:cstheme="majorHAnsi"/>
                <w:sz w:val="16"/>
                <w:szCs w:val="16"/>
              </w:rPr>
              <w:t xml:space="preserve">and adopting a single negotiation framework) </w:t>
            </w:r>
            <w:r w:rsidRPr="00A13ED8">
              <w:rPr>
                <w:rFonts w:asciiTheme="majorHAnsi" w:hAnsiTheme="majorHAnsi" w:cstheme="majorHAnsi"/>
                <w:sz w:val="16"/>
                <w:szCs w:val="16"/>
              </w:rPr>
              <w:t>is expected to give rise to some cost savings for service providers</w:t>
            </w:r>
            <w:r>
              <w:rPr>
                <w:rFonts w:asciiTheme="majorHAnsi" w:hAnsiTheme="majorHAnsi" w:cstheme="majorHAnsi"/>
                <w:sz w:val="16"/>
                <w:szCs w:val="16"/>
              </w:rPr>
              <w:t>,</w:t>
            </w:r>
            <w:r w:rsidRPr="00A13ED8">
              <w:rPr>
                <w:rFonts w:asciiTheme="majorHAnsi" w:hAnsiTheme="majorHAnsi" w:cstheme="majorHAnsi"/>
                <w:sz w:val="16"/>
                <w:szCs w:val="16"/>
              </w:rPr>
              <w:t xml:space="preserve"> shippers</w:t>
            </w:r>
            <w:r>
              <w:rPr>
                <w:rFonts w:asciiTheme="majorHAnsi" w:hAnsiTheme="majorHAnsi" w:cstheme="majorHAnsi"/>
                <w:sz w:val="16"/>
                <w:szCs w:val="16"/>
              </w:rPr>
              <w:t xml:space="preserve"> and regulators</w:t>
            </w:r>
            <w:r w:rsidRPr="00A13ED8">
              <w:rPr>
                <w:rFonts w:asciiTheme="majorHAnsi" w:hAnsiTheme="majorHAnsi" w:cstheme="majorHAnsi"/>
                <w:sz w:val="16"/>
                <w:szCs w:val="16"/>
              </w:rPr>
              <w:t xml:space="preserve">, the benefits of which </w:t>
            </w:r>
            <w:r>
              <w:rPr>
                <w:rFonts w:asciiTheme="majorHAnsi" w:hAnsiTheme="majorHAnsi" w:cstheme="majorHAnsi"/>
                <w:sz w:val="16"/>
                <w:szCs w:val="16"/>
              </w:rPr>
              <w:t>should</w:t>
            </w:r>
            <w:r w:rsidRPr="00A13ED8">
              <w:rPr>
                <w:rFonts w:asciiTheme="majorHAnsi" w:hAnsiTheme="majorHAnsi" w:cstheme="majorHAnsi"/>
                <w:sz w:val="16"/>
                <w:szCs w:val="16"/>
              </w:rPr>
              <w:t xml:space="preserve"> flow through to the broader economy. It has not been possible to quantify these benefits, so they have been assessed qualitatively.</w:t>
            </w:r>
          </w:p>
        </w:tc>
        <w:tc>
          <w:tcPr>
            <w:tcW w:w="593" w:type="pct"/>
          </w:tcPr>
          <w:p w14:paraId="7470FBF8" w14:textId="77777777" w:rsidR="00D77DE1" w:rsidRPr="00A13ED8" w:rsidRDefault="00D77DE1" w:rsidP="00E131F4">
            <w:pPr>
              <w:pStyle w:val="TableBullet10"/>
              <w:numPr>
                <w:ilvl w:val="0"/>
                <w:numId w:val="0"/>
              </w:numPr>
              <w:spacing w:before="20" w:after="0" w:line="240" w:lineRule="auto"/>
              <w:ind w:left="85"/>
              <w:rPr>
                <w:rFonts w:asciiTheme="majorHAnsi" w:hAnsiTheme="majorHAnsi" w:cstheme="majorHAnsi"/>
                <w:sz w:val="16"/>
                <w:szCs w:val="16"/>
              </w:rPr>
            </w:pPr>
            <w:r w:rsidRPr="00A13ED8">
              <w:rPr>
                <w:rFonts w:asciiTheme="majorHAnsi" w:hAnsiTheme="majorHAnsi" w:cstheme="majorHAnsi"/>
                <w:sz w:val="16"/>
                <w:szCs w:val="16"/>
              </w:rPr>
              <w:t>Service providers, shippers</w:t>
            </w:r>
            <w:r>
              <w:rPr>
                <w:rFonts w:asciiTheme="majorHAnsi" w:hAnsiTheme="majorHAnsi" w:cstheme="majorHAnsi"/>
                <w:sz w:val="16"/>
                <w:szCs w:val="16"/>
              </w:rPr>
              <w:t>, regulators</w:t>
            </w:r>
            <w:r w:rsidRPr="00A13ED8">
              <w:rPr>
                <w:rFonts w:asciiTheme="majorHAnsi" w:hAnsiTheme="majorHAnsi" w:cstheme="majorHAnsi"/>
                <w:sz w:val="16"/>
                <w:szCs w:val="16"/>
              </w:rPr>
              <w:t xml:space="preserve"> and the broader economy </w:t>
            </w:r>
          </w:p>
        </w:tc>
        <w:tc>
          <w:tcPr>
            <w:tcW w:w="644" w:type="pct"/>
          </w:tcPr>
          <w:p w14:paraId="2D7F4AB0" w14:textId="77777777" w:rsidR="00D77DE1" w:rsidRPr="00A13ED8" w:rsidRDefault="00D77DE1" w:rsidP="00E131F4">
            <w:pPr>
              <w:pStyle w:val="TableBullet10"/>
              <w:numPr>
                <w:ilvl w:val="0"/>
                <w:numId w:val="0"/>
              </w:numPr>
              <w:spacing w:before="20" w:after="0" w:line="240" w:lineRule="auto"/>
              <w:ind w:left="85"/>
              <w:rPr>
                <w:rFonts w:asciiTheme="majorHAnsi" w:hAnsiTheme="majorHAnsi" w:cstheme="majorHAnsi"/>
                <w:sz w:val="16"/>
                <w:szCs w:val="16"/>
              </w:rPr>
            </w:pPr>
            <w:r w:rsidRPr="00A13ED8">
              <w:rPr>
                <w:rFonts w:asciiTheme="majorHAnsi" w:hAnsiTheme="majorHAnsi" w:cstheme="majorHAnsi"/>
                <w:sz w:val="16"/>
                <w:szCs w:val="16"/>
              </w:rPr>
              <w:t>Qualitatively</w:t>
            </w:r>
          </w:p>
        </w:tc>
      </w:tr>
    </w:tbl>
    <w:p w14:paraId="2FD01CDE" w14:textId="77777777" w:rsidR="006242D2" w:rsidRPr="000A21FD" w:rsidRDefault="006242D2" w:rsidP="004E5785">
      <w:pPr>
        <w:pStyle w:val="BodyText"/>
        <w:spacing w:before="0" w:line="240" w:lineRule="auto"/>
        <w:ind w:right="85"/>
        <w:rPr>
          <w:sz w:val="2"/>
          <w:szCs w:val="2"/>
        </w:rPr>
      </w:pPr>
    </w:p>
    <w:p w14:paraId="5DF0428B" w14:textId="77777777" w:rsidR="006242D2" w:rsidRPr="000A21FD" w:rsidRDefault="006242D2" w:rsidP="00AD0AEC">
      <w:pPr>
        <w:pStyle w:val="BodyText"/>
        <w:rPr>
          <w:sz w:val="2"/>
          <w:szCs w:val="2"/>
        </w:rPr>
        <w:sectPr w:rsidR="006242D2" w:rsidRPr="000A21FD" w:rsidSect="00DF5469">
          <w:pgSz w:w="16839" w:h="11907" w:orient="landscape" w:code="9"/>
          <w:pgMar w:top="1134" w:right="1418" w:bottom="568" w:left="1701" w:header="567" w:footer="171" w:gutter="0"/>
          <w:cols w:space="708"/>
          <w:docGrid w:linePitch="360"/>
        </w:sectPr>
      </w:pPr>
    </w:p>
    <w:p w14:paraId="6535BCCA" w14:textId="77777777" w:rsidR="009B6680" w:rsidRDefault="009B6680" w:rsidP="009B178C">
      <w:pPr>
        <w:pStyle w:val="Heading6"/>
        <w:spacing w:before="0" w:after="0"/>
      </w:pPr>
      <w:r>
        <w:lastRenderedPageBreak/>
        <w:t>Scenarios</w:t>
      </w:r>
      <w:r w:rsidR="002E3A6C">
        <w:t xml:space="preserve"> and sensitivities</w:t>
      </w:r>
      <w:r>
        <w:t xml:space="preserve"> tested</w:t>
      </w:r>
    </w:p>
    <w:p w14:paraId="5998799B" w14:textId="77777777" w:rsidR="009B6680" w:rsidRDefault="009B6680" w:rsidP="009B178C">
      <w:pPr>
        <w:pStyle w:val="BodyText"/>
        <w:keepNext/>
        <w:spacing w:before="120"/>
        <w:rPr>
          <w:lang w:eastAsia="en-US"/>
        </w:rPr>
      </w:pPr>
      <w:r>
        <w:rPr>
          <w:lang w:eastAsia="en-US"/>
        </w:rPr>
        <w:t xml:space="preserve">As noted above, it has been necessary to make assumptions about </w:t>
      </w:r>
      <w:r w:rsidR="00064CDF">
        <w:rPr>
          <w:lang w:eastAsia="en-US"/>
        </w:rPr>
        <w:t xml:space="preserve">how many pipelines </w:t>
      </w:r>
      <w:r w:rsidR="00B910E5">
        <w:rPr>
          <w:lang w:eastAsia="en-US"/>
        </w:rPr>
        <w:t>would</w:t>
      </w:r>
      <w:r w:rsidR="00064CDF">
        <w:rPr>
          <w:lang w:eastAsia="en-US"/>
        </w:rPr>
        <w:t xml:space="preserve"> be subject to </w:t>
      </w:r>
      <w:r w:rsidR="00BF562C">
        <w:rPr>
          <w:lang w:eastAsia="en-US"/>
        </w:rPr>
        <w:t>the alternative forms of regulation, or exempt from regulation under the four reform options. It has also been necessary to make assumptions about</w:t>
      </w:r>
      <w:r w:rsidR="003150BE">
        <w:rPr>
          <w:lang w:eastAsia="en-US"/>
        </w:rPr>
        <w:t xml:space="preserve"> the impact that</w:t>
      </w:r>
      <w:r w:rsidR="00BF562C">
        <w:rPr>
          <w:lang w:eastAsia="en-US"/>
        </w:rPr>
        <w:t>:</w:t>
      </w:r>
    </w:p>
    <w:p w14:paraId="497E228C" w14:textId="77777777" w:rsidR="00BF562C" w:rsidRDefault="00BF562C" w:rsidP="00AD36B8">
      <w:pPr>
        <w:pStyle w:val="ListBullet"/>
        <w:rPr>
          <w:lang w:eastAsia="en-US"/>
        </w:rPr>
      </w:pPr>
      <w:r>
        <w:rPr>
          <w:lang w:eastAsia="en-US"/>
        </w:rPr>
        <w:t xml:space="preserve">the movement of a number of pipelines to the </w:t>
      </w:r>
      <w:r w:rsidR="00531979">
        <w:rPr>
          <w:lang w:eastAsia="en-US"/>
        </w:rPr>
        <w:t>stronger</w:t>
      </w:r>
      <w:r>
        <w:rPr>
          <w:lang w:eastAsia="en-US"/>
        </w:rPr>
        <w:t xml:space="preserve"> form of regulation </w:t>
      </w:r>
      <w:r w:rsidR="00B910E5">
        <w:rPr>
          <w:lang w:eastAsia="en-US"/>
        </w:rPr>
        <w:t>would</w:t>
      </w:r>
      <w:r>
        <w:rPr>
          <w:lang w:eastAsia="en-US"/>
        </w:rPr>
        <w:t xml:space="preserve"> have on </w:t>
      </w:r>
      <w:r w:rsidR="003150BE">
        <w:rPr>
          <w:lang w:eastAsia="en-US"/>
        </w:rPr>
        <w:t xml:space="preserve">transportation costs </w:t>
      </w:r>
      <w:r>
        <w:rPr>
          <w:lang w:eastAsia="en-US"/>
        </w:rPr>
        <w:t>on those pipelines</w:t>
      </w:r>
      <w:r w:rsidR="003150BE">
        <w:rPr>
          <w:lang w:eastAsia="en-US"/>
        </w:rPr>
        <w:t xml:space="preserve">; and </w:t>
      </w:r>
    </w:p>
    <w:p w14:paraId="07003CA4" w14:textId="77777777" w:rsidR="003150BE" w:rsidRDefault="003150BE" w:rsidP="00AD36B8">
      <w:pPr>
        <w:pStyle w:val="ListBullet"/>
        <w:rPr>
          <w:lang w:eastAsia="en-US"/>
        </w:rPr>
      </w:pPr>
      <w:r>
        <w:rPr>
          <w:lang w:eastAsia="en-US"/>
        </w:rPr>
        <w:t>the reduction in some of the barriers to accessing the dispute resolution mechanism</w:t>
      </w:r>
      <w:r w:rsidR="0041254B">
        <w:rPr>
          <w:lang w:eastAsia="en-US"/>
        </w:rPr>
        <w:t xml:space="preserve">s (e.g. through additional measures to assist smaller shippers and the reform of the full regulation dispute resolution mechanism) </w:t>
      </w:r>
      <w:r w:rsidR="00B910E5">
        <w:rPr>
          <w:lang w:eastAsia="en-US"/>
        </w:rPr>
        <w:t>would</w:t>
      </w:r>
      <w:r>
        <w:rPr>
          <w:lang w:eastAsia="en-US"/>
        </w:rPr>
        <w:t xml:space="preserve"> have on </w:t>
      </w:r>
      <w:r w:rsidR="0041254B">
        <w:rPr>
          <w:lang w:eastAsia="en-US"/>
        </w:rPr>
        <w:t xml:space="preserve">the number of disputes. </w:t>
      </w:r>
    </w:p>
    <w:p w14:paraId="2F2302A5" w14:textId="77777777" w:rsidR="0041254B" w:rsidRDefault="006D7CDE" w:rsidP="009B6680">
      <w:pPr>
        <w:pStyle w:val="BodyText"/>
        <w:rPr>
          <w:lang w:eastAsia="en-US"/>
        </w:rPr>
      </w:pPr>
      <w:r>
        <w:rPr>
          <w:lang w:eastAsia="en-US"/>
        </w:rPr>
        <w:t xml:space="preserve">Given the uncertainty </w:t>
      </w:r>
      <w:r w:rsidR="007201E5">
        <w:rPr>
          <w:lang w:eastAsia="en-US"/>
        </w:rPr>
        <w:t xml:space="preserve">surrounding these matters, the following scenarios have been </w:t>
      </w:r>
      <w:r w:rsidR="008652D6">
        <w:rPr>
          <w:lang w:eastAsia="en-US"/>
        </w:rPr>
        <w:t>tested through the CBA</w:t>
      </w:r>
      <w:r w:rsidR="007201E5">
        <w:rPr>
          <w:lang w:eastAsia="en-US"/>
        </w:rPr>
        <w:t xml:space="preserve">: </w:t>
      </w:r>
    </w:p>
    <w:p w14:paraId="6D294E14" w14:textId="77777777" w:rsidR="007D0D1A" w:rsidRDefault="007201E5" w:rsidP="00AD36B8">
      <w:pPr>
        <w:pStyle w:val="ListBullet"/>
      </w:pPr>
      <w:r w:rsidRPr="00611CCA">
        <w:rPr>
          <w:b/>
          <w:bCs/>
        </w:rPr>
        <w:t>Scenario 1 (High impact):</w:t>
      </w:r>
      <w:r>
        <w:t xml:space="preserve"> This scenario assumes</w:t>
      </w:r>
      <w:r w:rsidR="007D0D1A">
        <w:t>:</w:t>
      </w:r>
      <w:r>
        <w:t xml:space="preserve"> </w:t>
      </w:r>
    </w:p>
    <w:p w14:paraId="64A542CF" w14:textId="35A9F13F" w:rsidR="007D0D1A" w:rsidRDefault="00612E4F" w:rsidP="00AD36B8">
      <w:pPr>
        <w:pStyle w:val="ListBullet2"/>
      </w:pPr>
      <w:r>
        <w:t xml:space="preserve">a greater proportion of pipelines move to the </w:t>
      </w:r>
      <w:r w:rsidR="00531979">
        <w:t>stronger</w:t>
      </w:r>
      <w:r>
        <w:t xml:space="preserve"> form of regulation </w:t>
      </w:r>
      <w:r w:rsidR="00B00691">
        <w:t xml:space="preserve">(10%) </w:t>
      </w:r>
      <w:r w:rsidR="00544484">
        <w:t xml:space="preserve">and currently exempt pipelines become subject to the new </w:t>
      </w:r>
      <w:r w:rsidR="00531979">
        <w:t>lighter</w:t>
      </w:r>
      <w:r w:rsidR="00544484">
        <w:t xml:space="preserve"> form of </w:t>
      </w:r>
      <w:r w:rsidR="007201E5">
        <w:t xml:space="preserve">regulation </w:t>
      </w:r>
      <w:r w:rsidR="00B00691">
        <w:t xml:space="preserve">(10-15%) </w:t>
      </w:r>
      <w:r w:rsidR="00544484">
        <w:t xml:space="preserve">(see </w:t>
      </w:r>
      <w:r w:rsidR="00544484">
        <w:fldChar w:fldCharType="begin" w:fldLock="1"/>
      </w:r>
      <w:r w:rsidR="00544484">
        <w:instrText xml:space="preserve"> REF _Ref50033892 \h </w:instrText>
      </w:r>
      <w:r w:rsidR="00544484">
        <w:fldChar w:fldCharType="separate"/>
      </w:r>
      <w:r w:rsidR="00036405">
        <w:t xml:space="preserve">Table </w:t>
      </w:r>
      <w:r w:rsidR="00036405">
        <w:rPr>
          <w:noProof/>
        </w:rPr>
        <w:t>9</w:t>
      </w:r>
      <w:r w:rsidR="00036405">
        <w:t>.</w:t>
      </w:r>
      <w:r w:rsidR="00036405">
        <w:rPr>
          <w:noProof/>
        </w:rPr>
        <w:t>2</w:t>
      </w:r>
      <w:r w:rsidR="00544484">
        <w:fldChar w:fldCharType="end"/>
      </w:r>
      <w:r w:rsidR="00544484">
        <w:t xml:space="preserve"> and </w:t>
      </w:r>
      <w:r w:rsidR="00544484">
        <w:fldChar w:fldCharType="begin" w:fldLock="1"/>
      </w:r>
      <w:r w:rsidR="00544484">
        <w:instrText xml:space="preserve"> REF _Ref50033903 \h </w:instrText>
      </w:r>
      <w:r w:rsidR="00544484">
        <w:fldChar w:fldCharType="separate"/>
      </w:r>
      <w:r w:rsidR="00036405">
        <w:t xml:space="preserve">Table </w:t>
      </w:r>
      <w:r w:rsidR="00036405">
        <w:rPr>
          <w:noProof/>
        </w:rPr>
        <w:t>9</w:t>
      </w:r>
      <w:r w:rsidR="00036405">
        <w:t>.</w:t>
      </w:r>
      <w:r w:rsidR="00036405">
        <w:rPr>
          <w:noProof/>
        </w:rPr>
        <w:t>3</w:t>
      </w:r>
      <w:r w:rsidR="00544484">
        <w:fldChar w:fldCharType="end"/>
      </w:r>
      <w:r w:rsidR="00544484">
        <w:t>)</w:t>
      </w:r>
      <w:r w:rsidR="007D0D1A">
        <w:t>;</w:t>
      </w:r>
    </w:p>
    <w:p w14:paraId="3300EE9E" w14:textId="1ABDA4E6" w:rsidR="007408E9" w:rsidRDefault="007408E9" w:rsidP="00AD36B8">
      <w:pPr>
        <w:pStyle w:val="ListBullet2"/>
      </w:pPr>
      <w:r>
        <w:t xml:space="preserve">transportation costs </w:t>
      </w:r>
      <w:r w:rsidR="00544484">
        <w:t xml:space="preserve">on those </w:t>
      </w:r>
      <w:r w:rsidR="007201E5">
        <w:t xml:space="preserve">pipelines </w:t>
      </w:r>
      <w:r w:rsidR="00544484">
        <w:t xml:space="preserve">moving </w:t>
      </w:r>
      <w:r w:rsidR="007201E5">
        <w:t xml:space="preserve">to the </w:t>
      </w:r>
      <w:r w:rsidR="00531979">
        <w:t>stronger</w:t>
      </w:r>
      <w:r w:rsidR="007201E5">
        <w:t xml:space="preserve"> form of regulation</w:t>
      </w:r>
      <w:r w:rsidR="007D0D1A">
        <w:t xml:space="preserve"> </w:t>
      </w:r>
      <w:r>
        <w:t>fall on average by 12%</w:t>
      </w:r>
      <w:r w:rsidR="00370905">
        <w:rPr>
          <w:rFonts w:ascii="ZWAdobeF" w:hAnsi="ZWAdobeF" w:cs="ZWAdobeF"/>
          <w:sz w:val="2"/>
          <w:szCs w:val="2"/>
        </w:rPr>
        <w:t>192F</w:t>
      </w:r>
      <w:r>
        <w:rPr>
          <w:rStyle w:val="FootnoteReference"/>
        </w:rPr>
        <w:footnoteReference w:id="194"/>
      </w:r>
      <w:r>
        <w:t xml:space="preserve"> (</w:t>
      </w:r>
      <w:r w:rsidR="007D0D1A">
        <w:t xml:space="preserve">see </w:t>
      </w:r>
      <w:r w:rsidR="00B759A3">
        <w:t xml:space="preserve">Appendix </w:t>
      </w:r>
      <w:r>
        <w:t xml:space="preserve">D.2 </w:t>
      </w:r>
      <w:r w:rsidR="007D0D1A">
        <w:t>for more detail</w:t>
      </w:r>
      <w:r w:rsidR="009158FC">
        <w:t xml:space="preserve"> on how this has been estimated</w:t>
      </w:r>
      <w:r w:rsidR="007D0D1A">
        <w:t>)</w:t>
      </w:r>
      <w:r>
        <w:t>; and</w:t>
      </w:r>
    </w:p>
    <w:p w14:paraId="45CF010F" w14:textId="77777777" w:rsidR="007201E5" w:rsidRDefault="007201E5" w:rsidP="00AD36B8">
      <w:pPr>
        <w:pStyle w:val="ListBullet2"/>
      </w:pPr>
      <w:r>
        <w:t xml:space="preserve">an </w:t>
      </w:r>
      <w:r w:rsidR="007408E9">
        <w:t xml:space="preserve">additional </w:t>
      </w:r>
      <w:r w:rsidR="00B00691">
        <w:t xml:space="preserve">dispute </w:t>
      </w:r>
      <w:r w:rsidR="00907BE2">
        <w:t>would</w:t>
      </w:r>
      <w:r w:rsidR="00B00691">
        <w:t xml:space="preserve"> occur every two years</w:t>
      </w:r>
      <w:r w:rsidR="00B759A3">
        <w:t xml:space="preserve">, which equates to an additional </w:t>
      </w:r>
      <w:r w:rsidR="00B00691">
        <w:t xml:space="preserve">10 </w:t>
      </w:r>
      <w:r w:rsidR="00B759A3">
        <w:t xml:space="preserve">disputes </w:t>
      </w:r>
      <w:r w:rsidR="00B00691">
        <w:t>over the 20-year appraisal period</w:t>
      </w:r>
      <w:r w:rsidR="00B759A3">
        <w:t xml:space="preserve"> (</w:t>
      </w:r>
      <w:r w:rsidR="003F2FE5">
        <w:t xml:space="preserve">note that since the regulatory framework was introduced in 1997 there has only been one arbitration, so </w:t>
      </w:r>
      <w:r w:rsidR="00CF295F">
        <w:t xml:space="preserve">from a cost perspective </w:t>
      </w:r>
      <w:r w:rsidR="003F2FE5">
        <w:t xml:space="preserve">this </w:t>
      </w:r>
      <w:r w:rsidR="00CF295F">
        <w:t xml:space="preserve">can be viewed as </w:t>
      </w:r>
      <w:r w:rsidR="003F2FE5">
        <w:t xml:space="preserve">a </w:t>
      </w:r>
      <w:r w:rsidR="0056602F">
        <w:t xml:space="preserve">highly </w:t>
      </w:r>
      <w:r w:rsidR="003F2FE5">
        <w:t>conservative assumption</w:t>
      </w:r>
      <w:r w:rsidR="00B00691">
        <w:t>)</w:t>
      </w:r>
      <w:r>
        <w:t>.</w:t>
      </w:r>
    </w:p>
    <w:p w14:paraId="3168783D" w14:textId="77777777" w:rsidR="00B00691" w:rsidRDefault="007201E5" w:rsidP="00AD36B8">
      <w:pPr>
        <w:pStyle w:val="ListBullet"/>
      </w:pPr>
      <w:r w:rsidRPr="00611CCA">
        <w:rPr>
          <w:b/>
          <w:bCs/>
        </w:rPr>
        <w:t>Scenario 2 (Low impact):</w:t>
      </w:r>
      <w:r>
        <w:t xml:space="preserve"> This scenario assumes</w:t>
      </w:r>
      <w:r w:rsidR="00B00691">
        <w:t>:</w:t>
      </w:r>
    </w:p>
    <w:p w14:paraId="0FD98332" w14:textId="249BB9B9" w:rsidR="00B00691" w:rsidRDefault="00B00691" w:rsidP="00AD36B8">
      <w:pPr>
        <w:pStyle w:val="ListBullet2"/>
      </w:pPr>
      <w:r>
        <w:t xml:space="preserve">a smaller proportion of pipelines move to the </w:t>
      </w:r>
      <w:r w:rsidR="00531979">
        <w:t>stronger</w:t>
      </w:r>
      <w:r>
        <w:t xml:space="preserve"> form of regulation (5%) and currently exempt pipelines become subject to the new </w:t>
      </w:r>
      <w:r w:rsidR="00531979">
        <w:t>lighter</w:t>
      </w:r>
      <w:r>
        <w:t xml:space="preserve"> form of regulation (5-8%) (see </w:t>
      </w:r>
      <w:r>
        <w:fldChar w:fldCharType="begin" w:fldLock="1"/>
      </w:r>
      <w:r>
        <w:instrText xml:space="preserve"> REF _Ref50033892 \h </w:instrText>
      </w:r>
      <w:r>
        <w:fldChar w:fldCharType="separate"/>
      </w:r>
      <w:r w:rsidR="00036405">
        <w:t xml:space="preserve">Table </w:t>
      </w:r>
      <w:r w:rsidR="00036405">
        <w:rPr>
          <w:noProof/>
        </w:rPr>
        <w:t>9</w:t>
      </w:r>
      <w:r w:rsidR="00036405">
        <w:t>.</w:t>
      </w:r>
      <w:r w:rsidR="00036405">
        <w:rPr>
          <w:noProof/>
        </w:rPr>
        <w:t>2</w:t>
      </w:r>
      <w:r>
        <w:fldChar w:fldCharType="end"/>
      </w:r>
      <w:r>
        <w:t xml:space="preserve"> and </w:t>
      </w:r>
      <w:r>
        <w:fldChar w:fldCharType="begin" w:fldLock="1"/>
      </w:r>
      <w:r>
        <w:instrText xml:space="preserve"> REF _Ref50033903 \h </w:instrText>
      </w:r>
      <w:r>
        <w:fldChar w:fldCharType="separate"/>
      </w:r>
      <w:r w:rsidR="00036405">
        <w:t xml:space="preserve">Table </w:t>
      </w:r>
      <w:r w:rsidR="00036405">
        <w:rPr>
          <w:noProof/>
        </w:rPr>
        <w:t>9</w:t>
      </w:r>
      <w:r w:rsidR="00036405">
        <w:t>.</w:t>
      </w:r>
      <w:r w:rsidR="00036405">
        <w:rPr>
          <w:noProof/>
        </w:rPr>
        <w:t>3</w:t>
      </w:r>
      <w:r>
        <w:fldChar w:fldCharType="end"/>
      </w:r>
      <w:r>
        <w:t>);</w:t>
      </w:r>
      <w:r w:rsidR="00284465">
        <w:t xml:space="preserve"> and</w:t>
      </w:r>
    </w:p>
    <w:p w14:paraId="268AD022" w14:textId="77777777" w:rsidR="009158FC" w:rsidRDefault="00B00691" w:rsidP="00AD36B8">
      <w:pPr>
        <w:pStyle w:val="ListBullet2"/>
      </w:pPr>
      <w:r>
        <w:t xml:space="preserve">transportation costs on those pipelines moving to the </w:t>
      </w:r>
      <w:r w:rsidR="00531979">
        <w:t>lighter</w:t>
      </w:r>
      <w:r>
        <w:t xml:space="preserve"> form of regulation fall on </w:t>
      </w:r>
      <w:r w:rsidR="007201E5">
        <w:t xml:space="preserve">average </w:t>
      </w:r>
      <w:r>
        <w:t xml:space="preserve">by </w:t>
      </w:r>
      <w:r w:rsidR="007201E5">
        <w:t>5</w:t>
      </w:r>
      <w:r>
        <w:t>%</w:t>
      </w:r>
      <w:r w:rsidR="009158FC">
        <w:t xml:space="preserve"> (this is </w:t>
      </w:r>
      <w:r w:rsidR="007201E5">
        <w:t>based on the lower bound of a range of values suggested by stakeholders during consultation</w:t>
      </w:r>
      <w:r w:rsidR="009158FC">
        <w:t>)</w:t>
      </w:r>
      <w:r w:rsidR="00284465">
        <w:t>.</w:t>
      </w:r>
    </w:p>
    <w:p w14:paraId="365F8051" w14:textId="77777777" w:rsidR="005B747C" w:rsidRDefault="00A36F28" w:rsidP="009B6680">
      <w:pPr>
        <w:pStyle w:val="BodyText"/>
        <w:rPr>
          <w:lang w:eastAsia="en-US"/>
        </w:rPr>
      </w:pPr>
      <w:r>
        <w:rPr>
          <w:lang w:eastAsia="en-US"/>
        </w:rPr>
        <w:t xml:space="preserve">To test the sensitivity of the quantitative </w:t>
      </w:r>
      <w:r w:rsidR="00C222C3">
        <w:rPr>
          <w:lang w:eastAsia="en-US"/>
        </w:rPr>
        <w:t xml:space="preserve">aspects of the CBA to the </w:t>
      </w:r>
      <w:r w:rsidR="005B747C">
        <w:rPr>
          <w:lang w:eastAsia="en-US"/>
        </w:rPr>
        <w:t xml:space="preserve">assumptions made about the </w:t>
      </w:r>
      <w:r w:rsidR="00C222C3">
        <w:rPr>
          <w:lang w:eastAsia="en-US"/>
        </w:rPr>
        <w:t xml:space="preserve">appraisal period and discount rates, four </w:t>
      </w:r>
      <w:r w:rsidR="005B747C">
        <w:rPr>
          <w:lang w:eastAsia="en-US"/>
        </w:rPr>
        <w:t>sensitivities have been tested:</w:t>
      </w:r>
    </w:p>
    <w:p w14:paraId="08CA86B6" w14:textId="77777777" w:rsidR="00963805" w:rsidRDefault="00963805" w:rsidP="00AD36B8">
      <w:pPr>
        <w:pStyle w:val="ListBullet"/>
        <w:rPr>
          <w:rFonts w:ascii="Symbol" w:hAnsi="Symbol"/>
        </w:rPr>
      </w:pPr>
      <w:r>
        <w:t>Sensitivity 1: 10-year appraisal period (instead of 20</w:t>
      </w:r>
      <w:r>
        <w:rPr>
          <w:spacing w:val="-11"/>
        </w:rPr>
        <w:t xml:space="preserve"> </w:t>
      </w:r>
      <w:r>
        <w:t>years)</w:t>
      </w:r>
      <w:r w:rsidR="0042509D">
        <w:t>;</w:t>
      </w:r>
    </w:p>
    <w:p w14:paraId="5C9E9B14" w14:textId="77777777" w:rsidR="00963805" w:rsidRDefault="00963805" w:rsidP="00AD36B8">
      <w:pPr>
        <w:pStyle w:val="ListBullet"/>
        <w:rPr>
          <w:rFonts w:ascii="Symbol" w:hAnsi="Symbol"/>
        </w:rPr>
      </w:pPr>
      <w:r>
        <w:t>Sensitivity 2: 15-year appraisal period (instead of 20</w:t>
      </w:r>
      <w:r>
        <w:rPr>
          <w:spacing w:val="-12"/>
        </w:rPr>
        <w:t xml:space="preserve"> </w:t>
      </w:r>
      <w:r>
        <w:t>years)</w:t>
      </w:r>
      <w:r w:rsidR="0042509D">
        <w:t>;</w:t>
      </w:r>
    </w:p>
    <w:p w14:paraId="4BB0397D" w14:textId="77777777" w:rsidR="00963805" w:rsidRDefault="00963805" w:rsidP="00AD36B8">
      <w:pPr>
        <w:pStyle w:val="ListBullet"/>
        <w:rPr>
          <w:rFonts w:ascii="Symbol" w:hAnsi="Symbol"/>
        </w:rPr>
      </w:pPr>
      <w:r>
        <w:t xml:space="preserve">Sensitivity 3: </w:t>
      </w:r>
      <w:r w:rsidR="001509DA">
        <w:t>3</w:t>
      </w:r>
      <w:r w:rsidR="001C579C">
        <w:t>%</w:t>
      </w:r>
      <w:r>
        <w:t xml:space="preserve"> </w:t>
      </w:r>
      <w:r w:rsidR="001C579C">
        <w:t xml:space="preserve">discount rate </w:t>
      </w:r>
      <w:r>
        <w:t>(instead of 7</w:t>
      </w:r>
      <w:r w:rsidR="001C579C">
        <w:t>%</w:t>
      </w:r>
      <w:r>
        <w:t>)</w:t>
      </w:r>
      <w:r w:rsidR="0042509D">
        <w:t xml:space="preserve">; and </w:t>
      </w:r>
    </w:p>
    <w:p w14:paraId="429A477A" w14:textId="77777777" w:rsidR="00963805" w:rsidRDefault="00963805" w:rsidP="00AD36B8">
      <w:pPr>
        <w:pStyle w:val="ListBullet"/>
        <w:rPr>
          <w:rFonts w:ascii="Symbol" w:hAnsi="Symbol"/>
        </w:rPr>
      </w:pPr>
      <w:r>
        <w:t>Sensitivity 4: 10</w:t>
      </w:r>
      <w:r w:rsidR="001C579C">
        <w:t>%</w:t>
      </w:r>
      <w:r>
        <w:t xml:space="preserve"> discount rate (instead of 7</w:t>
      </w:r>
      <w:r w:rsidR="001C579C">
        <w:t>%</w:t>
      </w:r>
      <w:r>
        <w:t>)</w:t>
      </w:r>
      <w:r w:rsidR="0042509D">
        <w:t>.</w:t>
      </w:r>
    </w:p>
    <w:p w14:paraId="33B4EFB5" w14:textId="77777777" w:rsidR="00717668" w:rsidRDefault="00717668" w:rsidP="00717668">
      <w:pPr>
        <w:pStyle w:val="Heading3"/>
      </w:pPr>
      <w:r>
        <w:t>Results of the CBA</w:t>
      </w:r>
    </w:p>
    <w:p w14:paraId="3F5CCB2B" w14:textId="2BA287C6" w:rsidR="001C34D4" w:rsidRDefault="004F4449" w:rsidP="001C34D4">
      <w:pPr>
        <w:pStyle w:val="BodyText"/>
      </w:pPr>
      <w:r>
        <w:t xml:space="preserve">The results of both the quantitative and qualitative </w:t>
      </w:r>
      <w:r w:rsidR="00AE1AA0">
        <w:t xml:space="preserve">aspects of the CBA are set out in summary form in </w:t>
      </w:r>
      <w:r w:rsidR="006B525B">
        <w:fldChar w:fldCharType="begin" w:fldLock="1"/>
      </w:r>
      <w:r w:rsidR="006B525B">
        <w:instrText xml:space="preserve"> REF _Ref50207772 \h </w:instrText>
      </w:r>
      <w:r w:rsidR="006B525B">
        <w:fldChar w:fldCharType="separate"/>
      </w:r>
      <w:r w:rsidR="00036405">
        <w:t xml:space="preserve">Table </w:t>
      </w:r>
      <w:r w:rsidR="00036405">
        <w:rPr>
          <w:noProof/>
        </w:rPr>
        <w:t>9</w:t>
      </w:r>
      <w:r w:rsidR="00036405">
        <w:t>.</w:t>
      </w:r>
      <w:r w:rsidR="00036405">
        <w:rPr>
          <w:noProof/>
        </w:rPr>
        <w:t>5</w:t>
      </w:r>
      <w:r w:rsidR="006B525B">
        <w:fldChar w:fldCharType="end"/>
      </w:r>
      <w:r w:rsidR="00AE1AA0">
        <w:t>.</w:t>
      </w:r>
      <w:r w:rsidR="006B525B">
        <w:t xml:space="preserve"> </w:t>
      </w:r>
      <w:r w:rsidR="00187CC3">
        <w:t xml:space="preserve">For those costs and benefits </w:t>
      </w:r>
      <w:r w:rsidR="00C2412E">
        <w:t xml:space="preserve">that </w:t>
      </w:r>
      <w:r w:rsidR="00850978">
        <w:t xml:space="preserve">it was not possible to </w:t>
      </w:r>
      <w:r w:rsidR="00850978">
        <w:lastRenderedPageBreak/>
        <w:t xml:space="preserve">quantify, rankings have been used </w:t>
      </w:r>
      <w:r w:rsidR="00C2412E">
        <w:t xml:space="preserve">to distinguish between the options, with </w:t>
      </w:r>
      <w:r w:rsidR="001D3ED0">
        <w:t>a ranking of 1 implying the most favourable impact</w:t>
      </w:r>
      <w:r w:rsidR="001D3ED0">
        <w:rPr>
          <w:sz w:val="14"/>
          <w:szCs w:val="14"/>
        </w:rPr>
        <w:t xml:space="preserve"> </w:t>
      </w:r>
      <w:r w:rsidR="001D3ED0">
        <w:t>and 5 the most negative impact.</w:t>
      </w:r>
      <w:r w:rsidR="001C34D4">
        <w:t xml:space="preserve">  When more </w:t>
      </w:r>
      <w:r w:rsidR="007F25DC">
        <w:t xml:space="preserve">than one </w:t>
      </w:r>
      <w:r w:rsidR="001C34D4">
        <w:t xml:space="preserve">option </w:t>
      </w:r>
      <w:r w:rsidR="007F25DC">
        <w:t xml:space="preserve">is </w:t>
      </w:r>
      <w:r w:rsidR="001C34D4">
        <w:t xml:space="preserve">found to have the same impact, they </w:t>
      </w:r>
      <w:r w:rsidR="00A8001B">
        <w:t>have been</w:t>
      </w:r>
      <w:r w:rsidR="001C34D4">
        <w:t xml:space="preserve"> given the same ranking.  </w:t>
      </w:r>
    </w:p>
    <w:p w14:paraId="65EB1759" w14:textId="11B167F3" w:rsidR="004D30E2" w:rsidRDefault="004D30E2" w:rsidP="004D30E2">
      <w:pPr>
        <w:pStyle w:val="BodyText"/>
      </w:pPr>
      <w:r w:rsidRPr="00E31887">
        <w:t xml:space="preserve">Because of the data constraints, the rankings </w:t>
      </w:r>
      <w:r>
        <w:t xml:space="preserve">in </w:t>
      </w:r>
      <w:r>
        <w:fldChar w:fldCharType="begin" w:fldLock="1"/>
      </w:r>
      <w:r>
        <w:instrText xml:space="preserve"> REF _Ref50207772 \h </w:instrText>
      </w:r>
      <w:r>
        <w:fldChar w:fldCharType="separate"/>
      </w:r>
      <w:r w:rsidR="00036405">
        <w:t xml:space="preserve">Table </w:t>
      </w:r>
      <w:r w:rsidR="00036405">
        <w:rPr>
          <w:noProof/>
        </w:rPr>
        <w:t>9</w:t>
      </w:r>
      <w:r w:rsidR="00036405">
        <w:t>.</w:t>
      </w:r>
      <w:r w:rsidR="00036405">
        <w:rPr>
          <w:noProof/>
        </w:rPr>
        <w:t>5</w:t>
      </w:r>
      <w:r>
        <w:fldChar w:fldCharType="end"/>
      </w:r>
      <w:r>
        <w:t xml:space="preserve"> </w:t>
      </w:r>
      <w:r w:rsidRPr="00E31887">
        <w:t xml:space="preserve">are unweighted (i.e. each impact category is treated as equal). In practice, this </w:t>
      </w:r>
      <w:r>
        <w:t xml:space="preserve">is unlikely to </w:t>
      </w:r>
      <w:r w:rsidRPr="00E31887">
        <w:t xml:space="preserve">be the case. </w:t>
      </w:r>
      <w:r>
        <w:t xml:space="preserve">For example, the productivity and efficiency benefits flowing from lower transportation costs on pipelines subject to lighter regulation (item (h)) and the benefits associated with more efficient investment in upstream and downstream facilities are expected to be significant. The additional administrative costs associated with regulatory change (item (f)) and the cost savings from the simplification of the regulatory framework (item (l)), on the other hand, are expected to be relatively small. Some care must therefore be taken when interpreting the results. </w:t>
      </w:r>
    </w:p>
    <w:p w14:paraId="06EB8C4C" w14:textId="1D20523B" w:rsidR="004D30E2" w:rsidRDefault="004D30E2" w:rsidP="004D30E2">
      <w:pPr>
        <w:pStyle w:val="BodyText"/>
      </w:pPr>
      <w:r>
        <w:t xml:space="preserve">Setting this aside, as </w:t>
      </w:r>
      <w:r>
        <w:fldChar w:fldCharType="begin" w:fldLock="1"/>
      </w:r>
      <w:r>
        <w:instrText xml:space="preserve"> REF _Ref50207772 \h </w:instrText>
      </w:r>
      <w:r>
        <w:fldChar w:fldCharType="separate"/>
      </w:r>
      <w:r w:rsidR="00036405">
        <w:t xml:space="preserve">Table </w:t>
      </w:r>
      <w:r w:rsidR="00036405">
        <w:rPr>
          <w:noProof/>
        </w:rPr>
        <w:t>9</w:t>
      </w:r>
      <w:r w:rsidR="00036405">
        <w:t>.</w:t>
      </w:r>
      <w:r w:rsidR="00036405">
        <w:rPr>
          <w:noProof/>
        </w:rPr>
        <w:t>5</w:t>
      </w:r>
      <w:r>
        <w:fldChar w:fldCharType="end"/>
      </w:r>
      <w:r>
        <w:t xml:space="preserve"> shows, on a quantitative basis Option 2 is estimated to yield a marginally higher net economy-wide benefit than the other reform options. On a qualitative basis, however, options 3A, 3B and 4 are expected to give rise to greater benefits than Option 2 because they include a number of measures that are intended to:</w:t>
      </w:r>
    </w:p>
    <w:p w14:paraId="157206B8" w14:textId="77777777" w:rsidR="004D30E2" w:rsidRDefault="004D30E2" w:rsidP="00AD36B8">
      <w:pPr>
        <w:pStyle w:val="ListBullet"/>
      </w:pPr>
      <w:r>
        <w:t xml:space="preserve">pose more of a constraint on exercises of both static and dynamic market power by </w:t>
      </w:r>
      <w:r w:rsidRPr="00B830A8">
        <w:t>service providers</w:t>
      </w:r>
      <w:r>
        <w:t xml:space="preserve"> subject to the lighter and stronger forms of regulation</w:t>
      </w:r>
      <w:r w:rsidRPr="00B830A8">
        <w:t>;</w:t>
      </w:r>
    </w:p>
    <w:p w14:paraId="527882C8" w14:textId="77777777" w:rsidR="004D30E2" w:rsidRPr="00B830A8" w:rsidRDefault="004D30E2" w:rsidP="00AD36B8">
      <w:pPr>
        <w:pStyle w:val="ListBullet"/>
      </w:pPr>
      <w:r>
        <w:t>make it easier for shippers to access pipelines that would otherwise be exempt from regulation;</w:t>
      </w:r>
      <w:r w:rsidRPr="00B830A8">
        <w:t xml:space="preserve"> </w:t>
      </w:r>
    </w:p>
    <w:p w14:paraId="743E0680" w14:textId="77777777" w:rsidR="004D30E2" w:rsidRDefault="004D30E2" w:rsidP="00AD36B8">
      <w:pPr>
        <w:pStyle w:val="ListBullet"/>
      </w:pPr>
      <w:r>
        <w:t>improve the quality, reliability, usability and accessibility of information published by service providers, which should, in turn, result in lower search and transaction costs and more efficient decisions being made; and</w:t>
      </w:r>
    </w:p>
    <w:p w14:paraId="0A8C4029" w14:textId="77777777" w:rsidR="004D30E2" w:rsidRDefault="004D30E2" w:rsidP="00AD36B8">
      <w:pPr>
        <w:pStyle w:val="ListBullet"/>
      </w:pPr>
      <w:r>
        <w:t xml:space="preserve">further simplify the regulatory framework. </w:t>
      </w:r>
    </w:p>
    <w:p w14:paraId="4186087C" w14:textId="77777777" w:rsidR="004D30E2" w:rsidRDefault="004D30E2" w:rsidP="004D30E2">
      <w:pPr>
        <w:pStyle w:val="BodyText"/>
        <w:spacing w:after="200"/>
      </w:pPr>
      <w:r>
        <w:t xml:space="preserve">Further detail on the quantitative and qualitative aspects of the CBA is provided below. </w:t>
      </w:r>
    </w:p>
    <w:p w14:paraId="4E00619A" w14:textId="77777777" w:rsidR="004D30E2" w:rsidRDefault="004D30E2" w:rsidP="001C34D4">
      <w:pPr>
        <w:pStyle w:val="BodyText"/>
      </w:pPr>
    </w:p>
    <w:p w14:paraId="7FAD21A4" w14:textId="77777777" w:rsidR="00F83063" w:rsidRDefault="00F83063" w:rsidP="001C34D4">
      <w:pPr>
        <w:pStyle w:val="BodyText"/>
      </w:pPr>
    </w:p>
    <w:p w14:paraId="2FF08278" w14:textId="77777777" w:rsidR="00F83063" w:rsidRDefault="00F83063" w:rsidP="001C34D4">
      <w:pPr>
        <w:pStyle w:val="BodyText"/>
        <w:sectPr w:rsidR="00F83063" w:rsidSect="003B45FF">
          <w:headerReference w:type="default" r:id="rId80"/>
          <w:footerReference w:type="default" r:id="rId81"/>
          <w:pgSz w:w="11907" w:h="16839" w:code="9"/>
          <w:pgMar w:top="1361" w:right="1418" w:bottom="992" w:left="1701" w:header="567" w:footer="397" w:gutter="0"/>
          <w:cols w:space="708"/>
          <w:docGrid w:linePitch="360"/>
        </w:sectPr>
      </w:pPr>
    </w:p>
    <w:p w14:paraId="38CA1308" w14:textId="64C2D7DB" w:rsidR="009B178C" w:rsidRDefault="009B178C" w:rsidP="009B178C">
      <w:pPr>
        <w:pStyle w:val="Caption"/>
        <w:spacing w:before="0" w:after="0"/>
      </w:pPr>
      <w:bookmarkStart w:id="213" w:name="_Ref50207772"/>
      <w:r>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9</w:t>
      </w:r>
      <w:r w:rsidR="00F323B2">
        <w:rPr>
          <w:noProof/>
        </w:rPr>
        <w:fldChar w:fldCharType="end"/>
      </w:r>
      <w:r>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5</w:t>
      </w:r>
      <w:r w:rsidR="00F323B2">
        <w:rPr>
          <w:noProof/>
        </w:rPr>
        <w:fldChar w:fldCharType="end"/>
      </w:r>
      <w:bookmarkEnd w:id="213"/>
      <w:r>
        <w:t>: Summary of CBA results over 20-year appraisal period (Central case)</w:t>
      </w:r>
    </w:p>
    <w:tbl>
      <w:tblPr>
        <w:tblW w:w="5000" w:type="pct"/>
        <w:tblBorders>
          <w:top w:val="single" w:sz="4" w:space="0" w:color="auto"/>
          <w:bottom w:val="single" w:sz="6" w:space="0" w:color="7C7C7C"/>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07"/>
        <w:gridCol w:w="2624"/>
        <w:gridCol w:w="1823"/>
        <w:gridCol w:w="1613"/>
        <w:gridCol w:w="1613"/>
        <w:gridCol w:w="1613"/>
        <w:gridCol w:w="1613"/>
        <w:gridCol w:w="1614"/>
      </w:tblGrid>
      <w:tr w:rsidR="009B178C" w:rsidRPr="004D30E2" w14:paraId="02263788" w14:textId="77777777" w:rsidTr="009B178C">
        <w:trPr>
          <w:trHeight w:val="294"/>
        </w:trPr>
        <w:tc>
          <w:tcPr>
            <w:tcW w:w="849" w:type="dxa"/>
            <w:shd w:val="clear" w:color="auto" w:fill="002060"/>
          </w:tcPr>
          <w:p w14:paraId="3B48E0CA" w14:textId="77777777" w:rsidR="009B178C" w:rsidRPr="004D30E2" w:rsidRDefault="009B178C" w:rsidP="004D30E2">
            <w:pPr>
              <w:pStyle w:val="TableParagraph"/>
              <w:keepNext/>
              <w:spacing w:before="20" w:after="20"/>
              <w:ind w:left="119"/>
              <w:rPr>
                <w:b/>
                <w:color w:val="FFFFFF" w:themeColor="background1"/>
                <w:sz w:val="16"/>
                <w:szCs w:val="16"/>
              </w:rPr>
            </w:pPr>
            <w:r w:rsidRPr="004D30E2">
              <w:rPr>
                <w:b/>
                <w:color w:val="FFFFFF" w:themeColor="background1"/>
                <w:sz w:val="16"/>
                <w:szCs w:val="16"/>
              </w:rPr>
              <w:t>Table 9.4 reference</w:t>
            </w:r>
          </w:p>
        </w:tc>
        <w:tc>
          <w:tcPr>
            <w:tcW w:w="3127" w:type="dxa"/>
            <w:gridSpan w:val="2"/>
            <w:shd w:val="clear" w:color="auto" w:fill="002060"/>
          </w:tcPr>
          <w:p w14:paraId="75E478C6" w14:textId="77777777" w:rsidR="009B178C" w:rsidRPr="004D30E2" w:rsidRDefault="009B178C" w:rsidP="004D30E2">
            <w:pPr>
              <w:pStyle w:val="TableParagraph"/>
              <w:keepNext/>
              <w:spacing w:before="20" w:after="20"/>
              <w:ind w:left="119"/>
              <w:rPr>
                <w:b/>
                <w:color w:val="FFFFFF" w:themeColor="background1"/>
                <w:sz w:val="16"/>
                <w:szCs w:val="16"/>
              </w:rPr>
            </w:pPr>
            <w:r w:rsidRPr="004D30E2">
              <w:rPr>
                <w:b/>
                <w:color w:val="FFFFFF" w:themeColor="background1"/>
                <w:sz w:val="16"/>
                <w:szCs w:val="16"/>
              </w:rPr>
              <w:t>Impact type</w:t>
            </w:r>
          </w:p>
        </w:tc>
        <w:tc>
          <w:tcPr>
            <w:tcW w:w="1134" w:type="dxa"/>
            <w:shd w:val="clear" w:color="auto" w:fill="002060"/>
          </w:tcPr>
          <w:p w14:paraId="58FA4A80" w14:textId="77777777" w:rsidR="009B178C" w:rsidRPr="004D30E2" w:rsidRDefault="009B178C" w:rsidP="004D30E2">
            <w:pPr>
              <w:pStyle w:val="TableParagraph"/>
              <w:keepNext/>
              <w:spacing w:before="20" w:after="20"/>
              <w:ind w:right="288" w:firstLine="4"/>
              <w:jc w:val="center"/>
              <w:rPr>
                <w:b/>
                <w:color w:val="FFFFFF" w:themeColor="background1"/>
                <w:sz w:val="16"/>
                <w:szCs w:val="16"/>
              </w:rPr>
            </w:pPr>
            <w:r w:rsidRPr="004D30E2">
              <w:rPr>
                <w:b/>
                <w:color w:val="FFFFFF" w:themeColor="background1"/>
                <w:sz w:val="16"/>
                <w:szCs w:val="16"/>
              </w:rPr>
              <w:t>Option 1</w:t>
            </w:r>
          </w:p>
        </w:tc>
        <w:tc>
          <w:tcPr>
            <w:tcW w:w="1134" w:type="dxa"/>
            <w:shd w:val="clear" w:color="auto" w:fill="002060"/>
          </w:tcPr>
          <w:p w14:paraId="1508F309" w14:textId="77777777" w:rsidR="009B178C" w:rsidRPr="004D30E2" w:rsidRDefault="009B178C" w:rsidP="004D30E2">
            <w:pPr>
              <w:pStyle w:val="TableParagraph"/>
              <w:keepNext/>
              <w:spacing w:before="20" w:after="20"/>
              <w:ind w:right="139" w:firstLine="4"/>
              <w:jc w:val="center"/>
              <w:rPr>
                <w:b/>
                <w:color w:val="FFFFFF" w:themeColor="background1"/>
                <w:sz w:val="16"/>
                <w:szCs w:val="16"/>
              </w:rPr>
            </w:pPr>
            <w:r w:rsidRPr="004D30E2">
              <w:rPr>
                <w:b/>
                <w:color w:val="FFFFFF" w:themeColor="background1"/>
                <w:sz w:val="16"/>
                <w:szCs w:val="16"/>
              </w:rPr>
              <w:t>Option 2</w:t>
            </w:r>
          </w:p>
        </w:tc>
        <w:tc>
          <w:tcPr>
            <w:tcW w:w="1134" w:type="dxa"/>
            <w:shd w:val="clear" w:color="auto" w:fill="002060"/>
          </w:tcPr>
          <w:p w14:paraId="13604E47" w14:textId="77777777" w:rsidR="009B178C" w:rsidRPr="004D30E2" w:rsidRDefault="009B178C" w:rsidP="004D30E2">
            <w:pPr>
              <w:pStyle w:val="TableParagraph"/>
              <w:keepNext/>
              <w:spacing w:before="20" w:after="20"/>
              <w:jc w:val="center"/>
              <w:rPr>
                <w:b/>
                <w:color w:val="FFFFFF" w:themeColor="background1"/>
                <w:sz w:val="16"/>
                <w:szCs w:val="16"/>
              </w:rPr>
            </w:pPr>
            <w:r w:rsidRPr="004D30E2">
              <w:rPr>
                <w:b/>
                <w:color w:val="FFFFFF" w:themeColor="background1"/>
                <w:sz w:val="16"/>
                <w:szCs w:val="16"/>
              </w:rPr>
              <w:t>Option 3A</w:t>
            </w:r>
          </w:p>
        </w:tc>
        <w:tc>
          <w:tcPr>
            <w:tcW w:w="1134" w:type="dxa"/>
            <w:shd w:val="clear" w:color="auto" w:fill="002060"/>
          </w:tcPr>
          <w:p w14:paraId="70A7C17F" w14:textId="77777777" w:rsidR="009B178C" w:rsidRPr="004D30E2" w:rsidRDefault="009B178C" w:rsidP="004D30E2">
            <w:pPr>
              <w:pStyle w:val="TableParagraph"/>
              <w:keepNext/>
              <w:spacing w:before="20" w:after="20"/>
              <w:jc w:val="center"/>
              <w:rPr>
                <w:b/>
                <w:color w:val="FFFFFF" w:themeColor="background1"/>
                <w:sz w:val="16"/>
                <w:szCs w:val="16"/>
              </w:rPr>
            </w:pPr>
            <w:r w:rsidRPr="004D30E2">
              <w:rPr>
                <w:b/>
                <w:color w:val="FFFFFF" w:themeColor="background1"/>
                <w:sz w:val="16"/>
                <w:szCs w:val="16"/>
              </w:rPr>
              <w:t>Option 3B</w:t>
            </w:r>
          </w:p>
        </w:tc>
        <w:tc>
          <w:tcPr>
            <w:tcW w:w="1134" w:type="dxa"/>
            <w:shd w:val="clear" w:color="auto" w:fill="002060"/>
          </w:tcPr>
          <w:p w14:paraId="6EB71ED1" w14:textId="77777777" w:rsidR="009B178C" w:rsidRPr="004D30E2" w:rsidRDefault="009B178C" w:rsidP="004D30E2">
            <w:pPr>
              <w:pStyle w:val="TableParagraph"/>
              <w:keepNext/>
              <w:spacing w:before="20" w:after="20"/>
              <w:jc w:val="center"/>
              <w:rPr>
                <w:b/>
                <w:color w:val="FFFFFF" w:themeColor="background1"/>
                <w:sz w:val="16"/>
                <w:szCs w:val="16"/>
              </w:rPr>
            </w:pPr>
            <w:r w:rsidRPr="004D30E2">
              <w:rPr>
                <w:b/>
                <w:color w:val="FFFFFF" w:themeColor="background1"/>
                <w:sz w:val="16"/>
                <w:szCs w:val="16"/>
              </w:rPr>
              <w:t>Option 4</w:t>
            </w:r>
          </w:p>
        </w:tc>
      </w:tr>
      <w:tr w:rsidR="009B178C" w:rsidRPr="004D30E2" w14:paraId="50B58C88" w14:textId="77777777" w:rsidTr="009B178C">
        <w:trPr>
          <w:trHeight w:val="294"/>
        </w:trPr>
        <w:tc>
          <w:tcPr>
            <w:tcW w:w="9647" w:type="dxa"/>
            <w:gridSpan w:val="8"/>
            <w:tcBorders>
              <w:bottom w:val="single" w:sz="4" w:space="0" w:color="auto"/>
            </w:tcBorders>
            <w:shd w:val="clear" w:color="auto" w:fill="000000" w:themeFill="text1"/>
          </w:tcPr>
          <w:p w14:paraId="0F2D1CC6" w14:textId="77777777" w:rsidR="009B178C" w:rsidRPr="004D30E2" w:rsidRDefault="009B178C" w:rsidP="004D30E2">
            <w:pPr>
              <w:pStyle w:val="TableParagraph"/>
              <w:keepNext/>
              <w:spacing w:before="20" w:after="20"/>
              <w:jc w:val="center"/>
              <w:rPr>
                <w:b/>
                <w:bCs/>
                <w:sz w:val="16"/>
                <w:szCs w:val="16"/>
              </w:rPr>
            </w:pPr>
            <w:r w:rsidRPr="004D30E2">
              <w:rPr>
                <w:b/>
                <w:bCs/>
                <w:sz w:val="16"/>
                <w:szCs w:val="16"/>
              </w:rPr>
              <w:t>Quantified net economic benefits</w:t>
            </w:r>
          </w:p>
        </w:tc>
      </w:tr>
      <w:tr w:rsidR="009B178C" w:rsidRPr="004D30E2" w14:paraId="6CEA8CE3" w14:textId="77777777" w:rsidTr="00185137">
        <w:trPr>
          <w:trHeight w:val="510"/>
        </w:trPr>
        <w:tc>
          <w:tcPr>
            <w:tcW w:w="849" w:type="dxa"/>
            <w:vMerge w:val="restart"/>
            <w:vAlign w:val="center"/>
          </w:tcPr>
          <w:p w14:paraId="5FDD1B84" w14:textId="77777777" w:rsidR="009B178C" w:rsidRPr="004D30E2" w:rsidRDefault="009B178C" w:rsidP="004D30E2">
            <w:pPr>
              <w:pStyle w:val="TableParagraph"/>
              <w:keepNext/>
              <w:spacing w:before="20" w:after="20"/>
              <w:ind w:left="85"/>
              <w:rPr>
                <w:sz w:val="16"/>
                <w:szCs w:val="16"/>
              </w:rPr>
            </w:pPr>
            <w:r w:rsidRPr="004D30E2">
              <w:rPr>
                <w:sz w:val="16"/>
                <w:szCs w:val="16"/>
              </w:rPr>
              <w:t xml:space="preserve">Item (g) - </w:t>
            </w:r>
            <w:r w:rsidRPr="004D30E2">
              <w:rPr>
                <w:sz w:val="16"/>
                <w:szCs w:val="16"/>
              </w:rPr>
              <w:br/>
              <w:t>[items (a):(d)]</w:t>
            </w:r>
          </w:p>
        </w:tc>
        <w:tc>
          <w:tcPr>
            <w:tcW w:w="1845" w:type="dxa"/>
            <w:vMerge w:val="restart"/>
            <w:vAlign w:val="center"/>
          </w:tcPr>
          <w:p w14:paraId="40757630" w14:textId="77777777" w:rsidR="009B178C" w:rsidRPr="004D30E2" w:rsidRDefault="009B178C" w:rsidP="004D30E2">
            <w:pPr>
              <w:pStyle w:val="TableParagraph"/>
              <w:keepNext/>
              <w:spacing w:before="20" w:after="20"/>
              <w:ind w:left="85"/>
              <w:rPr>
                <w:sz w:val="16"/>
                <w:szCs w:val="16"/>
              </w:rPr>
            </w:pPr>
            <w:r w:rsidRPr="004D30E2">
              <w:rPr>
                <w:sz w:val="16"/>
                <w:szCs w:val="16"/>
              </w:rPr>
              <w:t>Net economy-wide benefits</w:t>
            </w:r>
            <w:r w:rsidRPr="004D30E2">
              <w:rPr>
                <w:sz w:val="16"/>
                <w:szCs w:val="16"/>
              </w:rPr>
              <w:br/>
              <w:t>(NPV, 2020 dollars)</w:t>
            </w:r>
            <w:r w:rsidRPr="004D30E2">
              <w:rPr>
                <w:sz w:val="16"/>
                <w:szCs w:val="16"/>
                <w:vertAlign w:val="superscript"/>
              </w:rPr>
              <w:t>a,b</w:t>
            </w:r>
            <w:r w:rsidRPr="004D30E2">
              <w:rPr>
                <w:sz w:val="16"/>
                <w:szCs w:val="16"/>
              </w:rPr>
              <w:t xml:space="preserve"> </w:t>
            </w:r>
          </w:p>
        </w:tc>
        <w:tc>
          <w:tcPr>
            <w:tcW w:w="1277" w:type="dxa"/>
            <w:vAlign w:val="center"/>
          </w:tcPr>
          <w:p w14:paraId="7543E41B" w14:textId="77777777" w:rsidR="009B178C" w:rsidRPr="004D30E2" w:rsidRDefault="009B178C" w:rsidP="004D30E2">
            <w:pPr>
              <w:pStyle w:val="TableParagraph"/>
              <w:keepNext/>
              <w:spacing w:before="20" w:after="20"/>
              <w:ind w:left="85"/>
              <w:rPr>
                <w:sz w:val="16"/>
                <w:szCs w:val="16"/>
              </w:rPr>
            </w:pPr>
            <w:r w:rsidRPr="004D30E2">
              <w:rPr>
                <w:sz w:val="16"/>
                <w:szCs w:val="16"/>
              </w:rPr>
              <w:t>Scenario 1</w:t>
            </w:r>
            <w:r w:rsidR="00185137">
              <w:rPr>
                <w:sz w:val="16"/>
                <w:szCs w:val="16"/>
              </w:rPr>
              <w:t xml:space="preserve">: </w:t>
            </w:r>
            <w:r w:rsidRPr="004D30E2">
              <w:rPr>
                <w:sz w:val="16"/>
                <w:szCs w:val="16"/>
              </w:rPr>
              <w:t>High Impact</w:t>
            </w:r>
          </w:p>
        </w:tc>
        <w:tc>
          <w:tcPr>
            <w:tcW w:w="1134" w:type="dxa"/>
            <w:shd w:val="clear" w:color="auto" w:fill="F8D4D1"/>
          </w:tcPr>
          <w:p w14:paraId="4892C363" w14:textId="77777777" w:rsidR="009B178C" w:rsidRPr="004D30E2" w:rsidRDefault="009B178C" w:rsidP="004D30E2">
            <w:pPr>
              <w:pStyle w:val="TableParagraph"/>
              <w:keepNext/>
              <w:spacing w:before="20" w:after="20"/>
              <w:jc w:val="center"/>
              <w:rPr>
                <w:sz w:val="16"/>
                <w:szCs w:val="16"/>
              </w:rPr>
            </w:pPr>
            <w:r w:rsidRPr="004D30E2">
              <w:rPr>
                <w:sz w:val="16"/>
                <w:szCs w:val="16"/>
              </w:rPr>
              <w:t>$0</w:t>
            </w:r>
          </w:p>
        </w:tc>
        <w:tc>
          <w:tcPr>
            <w:tcW w:w="1134" w:type="dxa"/>
            <w:shd w:val="clear" w:color="auto" w:fill="DDEDD3"/>
          </w:tcPr>
          <w:p w14:paraId="415E963D" w14:textId="77777777" w:rsidR="009B178C" w:rsidRPr="004D30E2" w:rsidRDefault="009B178C" w:rsidP="004D30E2">
            <w:pPr>
              <w:pStyle w:val="TableParagraph"/>
              <w:keepNext/>
              <w:spacing w:before="20" w:after="20"/>
              <w:jc w:val="center"/>
              <w:rPr>
                <w:sz w:val="16"/>
                <w:szCs w:val="16"/>
              </w:rPr>
            </w:pPr>
            <w:r w:rsidRPr="004D30E2">
              <w:rPr>
                <w:sz w:val="16"/>
                <w:szCs w:val="16"/>
              </w:rPr>
              <w:t>$1,216.1 m</w:t>
            </w:r>
          </w:p>
        </w:tc>
        <w:tc>
          <w:tcPr>
            <w:tcW w:w="1134" w:type="dxa"/>
            <w:shd w:val="clear" w:color="auto" w:fill="FFEFCC"/>
          </w:tcPr>
          <w:p w14:paraId="64B683DD" w14:textId="77777777" w:rsidR="009B178C" w:rsidRPr="004D30E2" w:rsidRDefault="009B178C" w:rsidP="004D30E2">
            <w:pPr>
              <w:pStyle w:val="TableParagraph"/>
              <w:keepNext/>
              <w:spacing w:before="20" w:after="20"/>
              <w:jc w:val="center"/>
              <w:rPr>
                <w:sz w:val="16"/>
                <w:szCs w:val="16"/>
              </w:rPr>
            </w:pPr>
            <w:r w:rsidRPr="004D30E2">
              <w:rPr>
                <w:sz w:val="16"/>
                <w:szCs w:val="16"/>
              </w:rPr>
              <w:t>$1,185.3 m</w:t>
            </w:r>
          </w:p>
        </w:tc>
        <w:tc>
          <w:tcPr>
            <w:tcW w:w="1134" w:type="dxa"/>
            <w:shd w:val="clear" w:color="auto" w:fill="FDD7C3"/>
          </w:tcPr>
          <w:p w14:paraId="48EDB018" w14:textId="77777777" w:rsidR="009B178C" w:rsidRPr="004D30E2" w:rsidRDefault="009B178C" w:rsidP="004D30E2">
            <w:pPr>
              <w:pStyle w:val="TableParagraph"/>
              <w:keepNext/>
              <w:spacing w:before="20" w:after="20"/>
              <w:jc w:val="center"/>
              <w:rPr>
                <w:sz w:val="16"/>
                <w:szCs w:val="16"/>
              </w:rPr>
            </w:pPr>
            <w:r w:rsidRPr="004D30E2">
              <w:rPr>
                <w:sz w:val="16"/>
                <w:szCs w:val="16"/>
              </w:rPr>
              <w:t>$1,179.8 m</w:t>
            </w:r>
          </w:p>
        </w:tc>
        <w:tc>
          <w:tcPr>
            <w:tcW w:w="1134" w:type="dxa"/>
            <w:shd w:val="clear" w:color="auto" w:fill="F7DCE0"/>
          </w:tcPr>
          <w:p w14:paraId="61895764" w14:textId="77777777" w:rsidR="009B178C" w:rsidRPr="004D30E2" w:rsidRDefault="009B178C" w:rsidP="004D30E2">
            <w:pPr>
              <w:pStyle w:val="TableParagraph"/>
              <w:keepNext/>
              <w:spacing w:before="20" w:after="20"/>
              <w:jc w:val="center"/>
              <w:rPr>
                <w:sz w:val="16"/>
                <w:szCs w:val="16"/>
              </w:rPr>
            </w:pPr>
            <w:r w:rsidRPr="004D30E2">
              <w:rPr>
                <w:sz w:val="16"/>
                <w:szCs w:val="16"/>
              </w:rPr>
              <w:t>$1,177.1 m</w:t>
            </w:r>
          </w:p>
        </w:tc>
      </w:tr>
      <w:tr w:rsidR="009B178C" w:rsidRPr="004D30E2" w14:paraId="2EA466BB" w14:textId="77777777" w:rsidTr="00185137">
        <w:trPr>
          <w:trHeight w:val="510"/>
        </w:trPr>
        <w:tc>
          <w:tcPr>
            <w:tcW w:w="849" w:type="dxa"/>
            <w:vMerge/>
          </w:tcPr>
          <w:p w14:paraId="7D2BE070" w14:textId="77777777" w:rsidR="009B178C" w:rsidRPr="004D30E2" w:rsidRDefault="009B178C" w:rsidP="004D30E2">
            <w:pPr>
              <w:pStyle w:val="TableParagraph"/>
              <w:keepNext/>
              <w:spacing w:before="20" w:after="20"/>
              <w:ind w:left="85"/>
              <w:rPr>
                <w:sz w:val="16"/>
                <w:szCs w:val="16"/>
              </w:rPr>
            </w:pPr>
          </w:p>
        </w:tc>
        <w:tc>
          <w:tcPr>
            <w:tcW w:w="1845" w:type="dxa"/>
            <w:vMerge/>
          </w:tcPr>
          <w:p w14:paraId="174E322F" w14:textId="77777777" w:rsidR="009B178C" w:rsidRPr="004D30E2" w:rsidRDefault="009B178C" w:rsidP="004D30E2">
            <w:pPr>
              <w:pStyle w:val="TableParagraph"/>
              <w:keepNext/>
              <w:spacing w:before="20" w:after="20"/>
              <w:ind w:left="85"/>
              <w:rPr>
                <w:sz w:val="16"/>
                <w:szCs w:val="16"/>
              </w:rPr>
            </w:pPr>
          </w:p>
        </w:tc>
        <w:tc>
          <w:tcPr>
            <w:tcW w:w="1277" w:type="dxa"/>
            <w:vAlign w:val="center"/>
          </w:tcPr>
          <w:p w14:paraId="2DE7F48A" w14:textId="77777777" w:rsidR="009B178C" w:rsidRPr="004D30E2" w:rsidRDefault="009B178C" w:rsidP="004D30E2">
            <w:pPr>
              <w:pStyle w:val="TableParagraph"/>
              <w:keepNext/>
              <w:spacing w:before="20" w:after="20"/>
              <w:ind w:left="85"/>
              <w:rPr>
                <w:sz w:val="16"/>
                <w:szCs w:val="16"/>
              </w:rPr>
            </w:pPr>
            <w:r w:rsidRPr="004D30E2">
              <w:rPr>
                <w:sz w:val="16"/>
                <w:szCs w:val="16"/>
              </w:rPr>
              <w:t>Scenario 2</w:t>
            </w:r>
            <w:r w:rsidR="00185137">
              <w:rPr>
                <w:sz w:val="16"/>
                <w:szCs w:val="16"/>
              </w:rPr>
              <w:t>:</w:t>
            </w:r>
            <w:r w:rsidRPr="004D30E2">
              <w:rPr>
                <w:sz w:val="16"/>
                <w:szCs w:val="16"/>
              </w:rPr>
              <w:t xml:space="preserve"> Low Impact</w:t>
            </w:r>
          </w:p>
        </w:tc>
        <w:tc>
          <w:tcPr>
            <w:tcW w:w="1134" w:type="dxa"/>
            <w:shd w:val="clear" w:color="auto" w:fill="F8D4D1"/>
          </w:tcPr>
          <w:p w14:paraId="369D2634" w14:textId="77777777" w:rsidR="009B178C" w:rsidRPr="004D30E2" w:rsidRDefault="009B178C" w:rsidP="004D30E2">
            <w:pPr>
              <w:pStyle w:val="TableParagraph"/>
              <w:keepNext/>
              <w:spacing w:before="20" w:after="20"/>
              <w:jc w:val="center"/>
              <w:rPr>
                <w:sz w:val="16"/>
                <w:szCs w:val="16"/>
              </w:rPr>
            </w:pPr>
            <w:r w:rsidRPr="004D30E2">
              <w:rPr>
                <w:sz w:val="16"/>
                <w:szCs w:val="16"/>
              </w:rPr>
              <w:t>$0</w:t>
            </w:r>
          </w:p>
        </w:tc>
        <w:tc>
          <w:tcPr>
            <w:tcW w:w="1134" w:type="dxa"/>
            <w:shd w:val="clear" w:color="auto" w:fill="DDEDD3"/>
          </w:tcPr>
          <w:p w14:paraId="45CF6B16" w14:textId="77777777" w:rsidR="009B178C" w:rsidRPr="004D30E2" w:rsidRDefault="009B178C" w:rsidP="004D30E2">
            <w:pPr>
              <w:pStyle w:val="TableParagraph"/>
              <w:keepNext/>
              <w:spacing w:before="20" w:after="20"/>
              <w:jc w:val="center"/>
              <w:rPr>
                <w:sz w:val="16"/>
                <w:szCs w:val="16"/>
              </w:rPr>
            </w:pPr>
            <w:r w:rsidRPr="004D30E2">
              <w:rPr>
                <w:sz w:val="16"/>
                <w:szCs w:val="16"/>
              </w:rPr>
              <w:t>$263.3 m</w:t>
            </w:r>
          </w:p>
        </w:tc>
        <w:tc>
          <w:tcPr>
            <w:tcW w:w="1134" w:type="dxa"/>
            <w:shd w:val="clear" w:color="auto" w:fill="FFEFCC"/>
          </w:tcPr>
          <w:p w14:paraId="414C0ECC" w14:textId="77777777" w:rsidR="009B178C" w:rsidRPr="004D30E2" w:rsidRDefault="009B178C" w:rsidP="004D30E2">
            <w:pPr>
              <w:pStyle w:val="TableParagraph"/>
              <w:keepNext/>
              <w:spacing w:before="20" w:after="20"/>
              <w:jc w:val="center"/>
              <w:rPr>
                <w:sz w:val="16"/>
                <w:szCs w:val="16"/>
              </w:rPr>
            </w:pPr>
            <w:r w:rsidRPr="004D30E2">
              <w:rPr>
                <w:sz w:val="16"/>
                <w:szCs w:val="16"/>
              </w:rPr>
              <w:t>$238.4 m</w:t>
            </w:r>
          </w:p>
        </w:tc>
        <w:tc>
          <w:tcPr>
            <w:tcW w:w="1134" w:type="dxa"/>
            <w:shd w:val="clear" w:color="auto" w:fill="FDD7C3"/>
          </w:tcPr>
          <w:p w14:paraId="1DE07FDA" w14:textId="77777777" w:rsidR="009B178C" w:rsidRPr="004D30E2" w:rsidRDefault="009B178C" w:rsidP="004D30E2">
            <w:pPr>
              <w:pStyle w:val="TableParagraph"/>
              <w:keepNext/>
              <w:spacing w:before="20" w:after="20"/>
              <w:jc w:val="center"/>
              <w:rPr>
                <w:sz w:val="16"/>
                <w:szCs w:val="16"/>
              </w:rPr>
            </w:pPr>
            <w:r w:rsidRPr="004D30E2">
              <w:rPr>
                <w:sz w:val="16"/>
                <w:szCs w:val="16"/>
              </w:rPr>
              <w:t>$234.7 m</w:t>
            </w:r>
          </w:p>
        </w:tc>
        <w:tc>
          <w:tcPr>
            <w:tcW w:w="1134" w:type="dxa"/>
            <w:shd w:val="clear" w:color="auto" w:fill="F7DCE0"/>
          </w:tcPr>
          <w:p w14:paraId="48959C92" w14:textId="77777777" w:rsidR="009B178C" w:rsidRPr="004D30E2" w:rsidRDefault="009B178C" w:rsidP="004D30E2">
            <w:pPr>
              <w:pStyle w:val="TableParagraph"/>
              <w:keepNext/>
              <w:spacing w:before="20" w:after="20"/>
              <w:jc w:val="center"/>
              <w:rPr>
                <w:sz w:val="16"/>
                <w:szCs w:val="16"/>
              </w:rPr>
            </w:pPr>
            <w:r w:rsidRPr="004D30E2">
              <w:rPr>
                <w:sz w:val="16"/>
                <w:szCs w:val="16"/>
              </w:rPr>
              <w:t>$232.2 m</w:t>
            </w:r>
          </w:p>
        </w:tc>
      </w:tr>
      <w:tr w:rsidR="009B178C" w:rsidRPr="004D30E2" w14:paraId="1F2F9CC1" w14:textId="77777777" w:rsidTr="009B178C">
        <w:trPr>
          <w:trHeight w:val="296"/>
        </w:trPr>
        <w:tc>
          <w:tcPr>
            <w:tcW w:w="9647" w:type="dxa"/>
            <w:gridSpan w:val="8"/>
            <w:tcBorders>
              <w:bottom w:val="single" w:sz="4" w:space="0" w:color="auto"/>
            </w:tcBorders>
            <w:shd w:val="clear" w:color="auto" w:fill="000000" w:themeFill="text1"/>
          </w:tcPr>
          <w:p w14:paraId="7405D7AA" w14:textId="77777777" w:rsidR="009B178C" w:rsidRPr="004D30E2" w:rsidRDefault="009B178C" w:rsidP="004D30E2">
            <w:pPr>
              <w:pStyle w:val="TableParagraph"/>
              <w:keepNext/>
              <w:spacing w:before="20" w:after="20"/>
              <w:jc w:val="center"/>
              <w:rPr>
                <w:b/>
                <w:bCs/>
                <w:sz w:val="16"/>
                <w:szCs w:val="16"/>
              </w:rPr>
            </w:pPr>
            <w:r w:rsidRPr="004D30E2">
              <w:rPr>
                <w:b/>
                <w:bCs/>
                <w:sz w:val="16"/>
                <w:szCs w:val="16"/>
              </w:rPr>
              <w:t>Qualitative costs and benefits</w:t>
            </w:r>
          </w:p>
        </w:tc>
      </w:tr>
      <w:tr w:rsidR="009B178C" w:rsidRPr="004D30E2" w14:paraId="31520486" w14:textId="77777777" w:rsidTr="009B178C">
        <w:trPr>
          <w:trHeight w:val="296"/>
        </w:trPr>
        <w:tc>
          <w:tcPr>
            <w:tcW w:w="9647" w:type="dxa"/>
            <w:gridSpan w:val="8"/>
            <w:shd w:val="clear" w:color="auto" w:fill="D9D9D9"/>
          </w:tcPr>
          <w:p w14:paraId="009D65AB" w14:textId="77777777" w:rsidR="009B178C" w:rsidRPr="004D30E2" w:rsidRDefault="009B178C" w:rsidP="004D30E2">
            <w:pPr>
              <w:pStyle w:val="TableParagraph"/>
              <w:keepNext/>
              <w:spacing w:before="20" w:after="20"/>
              <w:jc w:val="center"/>
              <w:rPr>
                <w:b/>
                <w:bCs/>
                <w:sz w:val="16"/>
                <w:szCs w:val="16"/>
              </w:rPr>
            </w:pPr>
            <w:r w:rsidRPr="004D30E2">
              <w:rPr>
                <w:b/>
                <w:bCs/>
                <w:sz w:val="16"/>
                <w:szCs w:val="16"/>
              </w:rPr>
              <w:t>Costs</w:t>
            </w:r>
          </w:p>
        </w:tc>
      </w:tr>
      <w:tr w:rsidR="009B178C" w:rsidRPr="004D30E2" w14:paraId="46F822A9" w14:textId="77777777" w:rsidTr="00000AC7">
        <w:trPr>
          <w:trHeight w:val="511"/>
        </w:trPr>
        <w:tc>
          <w:tcPr>
            <w:tcW w:w="849" w:type="dxa"/>
          </w:tcPr>
          <w:p w14:paraId="32845363" w14:textId="77777777" w:rsidR="009B178C" w:rsidRPr="004D30E2" w:rsidRDefault="009B178C" w:rsidP="004D30E2">
            <w:pPr>
              <w:pStyle w:val="TableParagraph"/>
              <w:keepNext/>
              <w:spacing w:before="20" w:after="20"/>
              <w:ind w:left="85"/>
              <w:rPr>
                <w:sz w:val="16"/>
                <w:szCs w:val="16"/>
              </w:rPr>
            </w:pPr>
            <w:r w:rsidRPr="004D30E2">
              <w:rPr>
                <w:sz w:val="16"/>
                <w:szCs w:val="16"/>
              </w:rPr>
              <w:t>Item (e)</w:t>
            </w:r>
          </w:p>
        </w:tc>
        <w:tc>
          <w:tcPr>
            <w:tcW w:w="1845" w:type="dxa"/>
          </w:tcPr>
          <w:p w14:paraId="197FBF9E" w14:textId="77777777" w:rsidR="009B178C" w:rsidRPr="004D30E2" w:rsidRDefault="009B178C" w:rsidP="004D30E2">
            <w:pPr>
              <w:pStyle w:val="TableParagraph"/>
              <w:keepNext/>
              <w:spacing w:before="20" w:after="20"/>
              <w:ind w:left="85"/>
              <w:rPr>
                <w:sz w:val="16"/>
                <w:szCs w:val="16"/>
              </w:rPr>
            </w:pPr>
            <w:r w:rsidRPr="004D30E2">
              <w:rPr>
                <w:sz w:val="16"/>
                <w:szCs w:val="16"/>
              </w:rPr>
              <w:t xml:space="preserve">Impact on pipeline investment </w:t>
            </w:r>
            <w:r w:rsidR="00FC1793">
              <w:rPr>
                <w:sz w:val="16"/>
                <w:szCs w:val="16"/>
              </w:rPr>
              <w:t>arising as a result of lower rates of return</w:t>
            </w:r>
          </w:p>
        </w:tc>
        <w:tc>
          <w:tcPr>
            <w:tcW w:w="1277" w:type="dxa"/>
            <w:vAlign w:val="center"/>
          </w:tcPr>
          <w:p w14:paraId="54E6C688" w14:textId="77777777" w:rsidR="009B178C" w:rsidRPr="004D30E2" w:rsidRDefault="009B178C" w:rsidP="004D30E2">
            <w:pPr>
              <w:pStyle w:val="TableParagraph"/>
              <w:keepNext/>
              <w:spacing w:before="20" w:after="20"/>
              <w:ind w:left="85"/>
              <w:rPr>
                <w:sz w:val="16"/>
                <w:szCs w:val="16"/>
              </w:rPr>
            </w:pPr>
            <w:r w:rsidRPr="004D30E2">
              <w:rPr>
                <w:sz w:val="16"/>
                <w:szCs w:val="16"/>
              </w:rPr>
              <w:t>Small to negligible cost</w:t>
            </w:r>
          </w:p>
        </w:tc>
        <w:tc>
          <w:tcPr>
            <w:tcW w:w="1134" w:type="dxa"/>
            <w:tcBorders>
              <w:bottom w:val="single" w:sz="4" w:space="0" w:color="auto"/>
              <w:right w:val="single" w:sz="4" w:space="0" w:color="auto"/>
            </w:tcBorders>
            <w:shd w:val="clear" w:color="auto" w:fill="DDEDD3"/>
            <w:vAlign w:val="center"/>
          </w:tcPr>
          <w:p w14:paraId="345B4575" w14:textId="77777777" w:rsidR="009B178C" w:rsidRPr="004D30E2" w:rsidRDefault="00000AC7" w:rsidP="004D30E2">
            <w:pPr>
              <w:pStyle w:val="TableParagraph"/>
              <w:keepNext/>
              <w:spacing w:before="20" w:after="20"/>
              <w:ind w:firstLine="120"/>
              <w:jc w:val="center"/>
              <w:rPr>
                <w:sz w:val="16"/>
                <w:szCs w:val="16"/>
              </w:rPr>
            </w:pPr>
            <w:r>
              <w:rPr>
                <w:sz w:val="16"/>
                <w:szCs w:val="16"/>
              </w:rPr>
              <w:t>1</w:t>
            </w:r>
          </w:p>
        </w:tc>
        <w:tc>
          <w:tcPr>
            <w:tcW w:w="1134" w:type="dxa"/>
            <w:tcBorders>
              <w:left w:val="single" w:sz="4" w:space="0" w:color="auto"/>
              <w:bottom w:val="single" w:sz="4" w:space="0" w:color="auto"/>
              <w:right w:val="single" w:sz="4" w:space="0" w:color="auto"/>
            </w:tcBorders>
            <w:shd w:val="clear" w:color="auto" w:fill="DDEDD3"/>
            <w:vAlign w:val="center"/>
          </w:tcPr>
          <w:p w14:paraId="2C8466D5" w14:textId="77777777" w:rsidR="009B178C" w:rsidRPr="004D30E2" w:rsidRDefault="009B178C" w:rsidP="004D30E2">
            <w:pPr>
              <w:pStyle w:val="TableParagraph"/>
              <w:keepNext/>
              <w:spacing w:before="20" w:after="20"/>
              <w:ind w:firstLine="120"/>
              <w:jc w:val="center"/>
              <w:rPr>
                <w:sz w:val="16"/>
                <w:szCs w:val="16"/>
              </w:rPr>
            </w:pPr>
            <w:r w:rsidRPr="004D30E2">
              <w:rPr>
                <w:sz w:val="16"/>
                <w:szCs w:val="16"/>
              </w:rPr>
              <w:t xml:space="preserve">1 </w:t>
            </w:r>
          </w:p>
        </w:tc>
        <w:tc>
          <w:tcPr>
            <w:tcW w:w="1134" w:type="dxa"/>
            <w:tcBorders>
              <w:left w:val="single" w:sz="4" w:space="0" w:color="auto"/>
              <w:bottom w:val="single" w:sz="4" w:space="0" w:color="auto"/>
              <w:right w:val="single" w:sz="4" w:space="0" w:color="auto"/>
            </w:tcBorders>
            <w:shd w:val="clear" w:color="auto" w:fill="DDEDD3"/>
            <w:vAlign w:val="center"/>
          </w:tcPr>
          <w:p w14:paraId="6E69BE3C" w14:textId="77777777" w:rsidR="009B178C" w:rsidRPr="004D30E2" w:rsidRDefault="00000AC7" w:rsidP="004D30E2">
            <w:pPr>
              <w:pStyle w:val="TableParagraph"/>
              <w:keepNext/>
              <w:spacing w:before="20" w:after="20"/>
              <w:ind w:firstLine="120"/>
              <w:jc w:val="center"/>
              <w:rPr>
                <w:sz w:val="16"/>
                <w:szCs w:val="16"/>
              </w:rPr>
            </w:pPr>
            <w:r>
              <w:rPr>
                <w:sz w:val="16"/>
                <w:szCs w:val="16"/>
              </w:rPr>
              <w:t>1</w:t>
            </w:r>
          </w:p>
        </w:tc>
        <w:tc>
          <w:tcPr>
            <w:tcW w:w="1134" w:type="dxa"/>
            <w:tcBorders>
              <w:left w:val="single" w:sz="4" w:space="0" w:color="auto"/>
              <w:bottom w:val="single" w:sz="4" w:space="0" w:color="auto"/>
            </w:tcBorders>
            <w:shd w:val="clear" w:color="auto" w:fill="DDEDD3"/>
            <w:vAlign w:val="center"/>
          </w:tcPr>
          <w:p w14:paraId="69B4013A" w14:textId="77777777" w:rsidR="009B178C" w:rsidRPr="004D30E2" w:rsidRDefault="00000AC7" w:rsidP="004D30E2">
            <w:pPr>
              <w:pStyle w:val="TableParagraph"/>
              <w:keepNext/>
              <w:spacing w:before="20" w:after="20"/>
              <w:ind w:firstLine="120"/>
              <w:jc w:val="center"/>
              <w:rPr>
                <w:sz w:val="16"/>
                <w:szCs w:val="16"/>
              </w:rPr>
            </w:pPr>
            <w:r>
              <w:rPr>
                <w:sz w:val="16"/>
                <w:szCs w:val="16"/>
              </w:rPr>
              <w:t>1</w:t>
            </w:r>
          </w:p>
        </w:tc>
        <w:tc>
          <w:tcPr>
            <w:tcW w:w="1134" w:type="dxa"/>
            <w:tcBorders>
              <w:bottom w:val="single" w:sz="4" w:space="0" w:color="auto"/>
              <w:right w:val="nil"/>
            </w:tcBorders>
            <w:shd w:val="clear" w:color="auto" w:fill="F8D4D1"/>
            <w:vAlign w:val="center"/>
          </w:tcPr>
          <w:p w14:paraId="399FEA9C" w14:textId="77777777" w:rsidR="009B178C" w:rsidRPr="004D30E2" w:rsidRDefault="009B178C" w:rsidP="004D30E2">
            <w:pPr>
              <w:pStyle w:val="TableParagraph"/>
              <w:keepNext/>
              <w:spacing w:before="20" w:after="20"/>
              <w:ind w:firstLine="120"/>
              <w:jc w:val="center"/>
              <w:rPr>
                <w:sz w:val="16"/>
                <w:szCs w:val="16"/>
              </w:rPr>
            </w:pPr>
            <w:r w:rsidRPr="004D30E2">
              <w:rPr>
                <w:sz w:val="16"/>
                <w:szCs w:val="16"/>
              </w:rPr>
              <w:t>5</w:t>
            </w:r>
          </w:p>
        </w:tc>
      </w:tr>
      <w:tr w:rsidR="009B178C" w:rsidRPr="004D30E2" w14:paraId="55525B88" w14:textId="77777777" w:rsidTr="00000AC7">
        <w:trPr>
          <w:trHeight w:val="510"/>
        </w:trPr>
        <w:tc>
          <w:tcPr>
            <w:tcW w:w="849" w:type="dxa"/>
            <w:tcBorders>
              <w:top w:val="single" w:sz="4" w:space="0" w:color="auto"/>
            </w:tcBorders>
          </w:tcPr>
          <w:p w14:paraId="38568BE1" w14:textId="77777777" w:rsidR="009B178C" w:rsidRPr="004D30E2" w:rsidRDefault="009B178C" w:rsidP="004D30E2">
            <w:pPr>
              <w:pStyle w:val="TableParagraph"/>
              <w:keepNext/>
              <w:spacing w:before="20" w:after="20"/>
              <w:ind w:left="85"/>
              <w:rPr>
                <w:sz w:val="16"/>
                <w:szCs w:val="16"/>
              </w:rPr>
            </w:pPr>
            <w:r w:rsidRPr="004D30E2">
              <w:rPr>
                <w:sz w:val="16"/>
                <w:szCs w:val="16"/>
              </w:rPr>
              <w:t>Item (f)</w:t>
            </w:r>
          </w:p>
        </w:tc>
        <w:tc>
          <w:tcPr>
            <w:tcW w:w="1845" w:type="dxa"/>
            <w:tcBorders>
              <w:top w:val="single" w:sz="4" w:space="0" w:color="auto"/>
            </w:tcBorders>
          </w:tcPr>
          <w:p w14:paraId="6B411273" w14:textId="77777777" w:rsidR="009B178C" w:rsidRPr="004D30E2" w:rsidRDefault="009B178C" w:rsidP="004D30E2">
            <w:pPr>
              <w:pStyle w:val="TableParagraph"/>
              <w:keepNext/>
              <w:spacing w:before="20" w:after="20"/>
              <w:ind w:left="85"/>
              <w:rPr>
                <w:sz w:val="16"/>
                <w:szCs w:val="16"/>
              </w:rPr>
            </w:pPr>
            <w:r w:rsidRPr="004D30E2">
              <w:rPr>
                <w:sz w:val="16"/>
                <w:szCs w:val="16"/>
              </w:rPr>
              <w:t>Additional administrative costs associated with regulatory change</w:t>
            </w:r>
          </w:p>
        </w:tc>
        <w:tc>
          <w:tcPr>
            <w:tcW w:w="1277" w:type="dxa"/>
            <w:tcBorders>
              <w:top w:val="single" w:sz="4" w:space="0" w:color="auto"/>
            </w:tcBorders>
            <w:vAlign w:val="center"/>
          </w:tcPr>
          <w:p w14:paraId="3A6DAC34" w14:textId="77777777" w:rsidR="009B178C" w:rsidRPr="004D30E2" w:rsidRDefault="009B178C" w:rsidP="004D30E2">
            <w:pPr>
              <w:pStyle w:val="TableParagraph"/>
              <w:keepNext/>
              <w:spacing w:before="20" w:after="20"/>
              <w:ind w:left="85"/>
              <w:rPr>
                <w:sz w:val="16"/>
                <w:szCs w:val="16"/>
              </w:rPr>
            </w:pPr>
            <w:r w:rsidRPr="004D30E2">
              <w:rPr>
                <w:sz w:val="16"/>
                <w:szCs w:val="16"/>
              </w:rPr>
              <w:t>Small cost</w:t>
            </w:r>
          </w:p>
        </w:tc>
        <w:tc>
          <w:tcPr>
            <w:tcW w:w="1134" w:type="dxa"/>
            <w:tcBorders>
              <w:top w:val="single" w:sz="4" w:space="0" w:color="auto"/>
            </w:tcBorders>
            <w:shd w:val="clear" w:color="auto" w:fill="DDEDD3"/>
            <w:vAlign w:val="center"/>
          </w:tcPr>
          <w:p w14:paraId="1C742C6C" w14:textId="77777777" w:rsidR="009B178C" w:rsidRPr="004D30E2" w:rsidRDefault="009B178C" w:rsidP="004D30E2">
            <w:pPr>
              <w:pStyle w:val="TableParagraph"/>
              <w:keepNext/>
              <w:spacing w:before="20" w:after="20"/>
              <w:ind w:firstLine="120"/>
              <w:jc w:val="center"/>
              <w:rPr>
                <w:sz w:val="16"/>
                <w:szCs w:val="16"/>
              </w:rPr>
            </w:pPr>
            <w:r w:rsidRPr="004D30E2">
              <w:rPr>
                <w:sz w:val="16"/>
                <w:szCs w:val="16"/>
              </w:rPr>
              <w:t xml:space="preserve">1 </w:t>
            </w:r>
          </w:p>
        </w:tc>
        <w:tc>
          <w:tcPr>
            <w:tcW w:w="1134" w:type="dxa"/>
            <w:tcBorders>
              <w:top w:val="single" w:sz="4" w:space="0" w:color="auto"/>
            </w:tcBorders>
            <w:shd w:val="clear" w:color="auto" w:fill="F8D4D1"/>
            <w:vAlign w:val="center"/>
          </w:tcPr>
          <w:p w14:paraId="2FD8E36F" w14:textId="77777777" w:rsidR="009B178C" w:rsidRPr="004D30E2" w:rsidRDefault="009B178C" w:rsidP="004D30E2">
            <w:pPr>
              <w:pStyle w:val="TableParagraph"/>
              <w:keepNext/>
              <w:spacing w:before="20" w:after="20"/>
              <w:ind w:firstLine="122"/>
              <w:jc w:val="center"/>
              <w:rPr>
                <w:sz w:val="16"/>
                <w:szCs w:val="16"/>
              </w:rPr>
            </w:pPr>
            <w:r w:rsidRPr="004D30E2">
              <w:rPr>
                <w:sz w:val="16"/>
                <w:szCs w:val="16"/>
              </w:rPr>
              <w:t xml:space="preserve">5 </w:t>
            </w:r>
          </w:p>
        </w:tc>
        <w:tc>
          <w:tcPr>
            <w:tcW w:w="1134" w:type="dxa"/>
            <w:tcBorders>
              <w:top w:val="single" w:sz="4" w:space="0" w:color="auto"/>
              <w:bottom w:val="single" w:sz="4" w:space="0" w:color="auto"/>
            </w:tcBorders>
            <w:shd w:val="clear" w:color="auto" w:fill="FDD7C3"/>
            <w:vAlign w:val="center"/>
          </w:tcPr>
          <w:p w14:paraId="2E99D5A5" w14:textId="77777777" w:rsidR="009B178C" w:rsidRPr="004D30E2" w:rsidRDefault="009B178C" w:rsidP="004D30E2">
            <w:pPr>
              <w:pStyle w:val="TableParagraph"/>
              <w:keepNext/>
              <w:spacing w:before="20" w:after="20"/>
              <w:ind w:firstLine="120"/>
              <w:jc w:val="center"/>
              <w:rPr>
                <w:sz w:val="16"/>
                <w:szCs w:val="16"/>
              </w:rPr>
            </w:pPr>
            <w:r w:rsidRPr="004D30E2">
              <w:rPr>
                <w:sz w:val="16"/>
                <w:szCs w:val="16"/>
              </w:rPr>
              <w:t xml:space="preserve">3 </w:t>
            </w:r>
          </w:p>
        </w:tc>
        <w:tc>
          <w:tcPr>
            <w:tcW w:w="1134" w:type="dxa"/>
            <w:tcBorders>
              <w:top w:val="single" w:sz="4" w:space="0" w:color="auto"/>
            </w:tcBorders>
            <w:shd w:val="clear" w:color="auto" w:fill="FFEFCC"/>
            <w:vAlign w:val="center"/>
          </w:tcPr>
          <w:p w14:paraId="5EA5D6E2" w14:textId="77777777" w:rsidR="009B178C" w:rsidRPr="004D30E2" w:rsidRDefault="009B178C" w:rsidP="004D30E2">
            <w:pPr>
              <w:pStyle w:val="TableParagraph"/>
              <w:keepNext/>
              <w:spacing w:before="20" w:after="20"/>
              <w:ind w:firstLine="120"/>
              <w:jc w:val="center"/>
              <w:rPr>
                <w:sz w:val="16"/>
                <w:szCs w:val="16"/>
              </w:rPr>
            </w:pPr>
            <w:r w:rsidRPr="004D30E2">
              <w:rPr>
                <w:sz w:val="16"/>
                <w:szCs w:val="16"/>
              </w:rPr>
              <w:t xml:space="preserve">2 </w:t>
            </w:r>
          </w:p>
        </w:tc>
        <w:tc>
          <w:tcPr>
            <w:tcW w:w="1134" w:type="dxa"/>
            <w:tcBorders>
              <w:top w:val="single" w:sz="4" w:space="0" w:color="auto"/>
            </w:tcBorders>
            <w:shd w:val="clear" w:color="auto" w:fill="F7DCE0"/>
            <w:vAlign w:val="center"/>
          </w:tcPr>
          <w:p w14:paraId="1B3181EF" w14:textId="77777777" w:rsidR="009B178C" w:rsidRPr="004D30E2" w:rsidRDefault="009B178C" w:rsidP="004D30E2">
            <w:pPr>
              <w:pStyle w:val="TableParagraph"/>
              <w:keepNext/>
              <w:spacing w:before="20" w:after="20"/>
              <w:ind w:firstLine="120"/>
              <w:jc w:val="center"/>
              <w:rPr>
                <w:sz w:val="16"/>
                <w:szCs w:val="16"/>
              </w:rPr>
            </w:pPr>
            <w:r w:rsidRPr="004D30E2">
              <w:rPr>
                <w:sz w:val="16"/>
                <w:szCs w:val="16"/>
              </w:rPr>
              <w:t xml:space="preserve">4 </w:t>
            </w:r>
          </w:p>
        </w:tc>
      </w:tr>
      <w:tr w:rsidR="009B178C" w:rsidRPr="004D30E2" w14:paraId="139DF1C1" w14:textId="77777777" w:rsidTr="009B178C">
        <w:trPr>
          <w:trHeight w:val="296"/>
        </w:trPr>
        <w:tc>
          <w:tcPr>
            <w:tcW w:w="9647" w:type="dxa"/>
            <w:gridSpan w:val="8"/>
            <w:shd w:val="clear" w:color="auto" w:fill="D9D9D9"/>
          </w:tcPr>
          <w:p w14:paraId="538E429A" w14:textId="77777777" w:rsidR="009B178C" w:rsidRPr="004D30E2" w:rsidRDefault="009B178C" w:rsidP="004D30E2">
            <w:pPr>
              <w:pStyle w:val="TableParagraph"/>
              <w:keepNext/>
              <w:spacing w:before="20" w:after="20"/>
              <w:jc w:val="center"/>
              <w:rPr>
                <w:b/>
                <w:bCs/>
                <w:sz w:val="16"/>
                <w:szCs w:val="16"/>
              </w:rPr>
            </w:pPr>
            <w:r w:rsidRPr="004D30E2">
              <w:rPr>
                <w:b/>
                <w:bCs/>
                <w:sz w:val="16"/>
                <w:szCs w:val="16"/>
              </w:rPr>
              <w:t>Benefits</w:t>
            </w:r>
          </w:p>
        </w:tc>
      </w:tr>
      <w:tr w:rsidR="009B178C" w:rsidRPr="004D30E2" w14:paraId="7AD257F4" w14:textId="77777777" w:rsidTr="009B178C">
        <w:trPr>
          <w:trHeight w:val="726"/>
        </w:trPr>
        <w:tc>
          <w:tcPr>
            <w:tcW w:w="849" w:type="dxa"/>
          </w:tcPr>
          <w:p w14:paraId="2D502A7E" w14:textId="77777777" w:rsidR="009B178C" w:rsidRPr="004D30E2" w:rsidRDefault="009B178C" w:rsidP="004D30E2">
            <w:pPr>
              <w:pStyle w:val="TableParagraph"/>
              <w:keepNext/>
              <w:spacing w:before="20" w:after="20"/>
              <w:ind w:left="85"/>
              <w:rPr>
                <w:sz w:val="16"/>
                <w:szCs w:val="16"/>
              </w:rPr>
            </w:pPr>
            <w:r w:rsidRPr="004D30E2">
              <w:rPr>
                <w:sz w:val="16"/>
                <w:szCs w:val="16"/>
              </w:rPr>
              <w:t>Item (h)</w:t>
            </w:r>
          </w:p>
        </w:tc>
        <w:tc>
          <w:tcPr>
            <w:tcW w:w="1845" w:type="dxa"/>
          </w:tcPr>
          <w:p w14:paraId="777AF225" w14:textId="77777777" w:rsidR="009B178C" w:rsidRPr="004D30E2" w:rsidRDefault="009B178C" w:rsidP="004D30E2">
            <w:pPr>
              <w:pStyle w:val="TableParagraph"/>
              <w:keepNext/>
              <w:spacing w:before="20" w:after="20"/>
              <w:ind w:left="85"/>
              <w:rPr>
                <w:sz w:val="16"/>
                <w:szCs w:val="16"/>
              </w:rPr>
            </w:pPr>
            <w:r w:rsidRPr="004D30E2">
              <w:rPr>
                <w:sz w:val="16"/>
                <w:szCs w:val="16"/>
              </w:rPr>
              <w:t xml:space="preserve">Productivity and efficiency benefits (including more efficient use of and investment in pipelines) from other measures that lead to lower transport costs on pipelines subject to the new lighter regulation </w:t>
            </w:r>
          </w:p>
        </w:tc>
        <w:tc>
          <w:tcPr>
            <w:tcW w:w="1277" w:type="dxa"/>
            <w:vAlign w:val="center"/>
          </w:tcPr>
          <w:p w14:paraId="42A8757E" w14:textId="77777777" w:rsidR="009B178C" w:rsidRPr="004D30E2" w:rsidRDefault="009B178C" w:rsidP="004D30E2">
            <w:pPr>
              <w:pStyle w:val="TableParagraph"/>
              <w:keepNext/>
              <w:spacing w:before="20" w:after="20"/>
              <w:ind w:left="85"/>
              <w:rPr>
                <w:sz w:val="16"/>
                <w:szCs w:val="16"/>
              </w:rPr>
            </w:pPr>
            <w:r w:rsidRPr="004D30E2">
              <w:rPr>
                <w:sz w:val="16"/>
                <w:szCs w:val="16"/>
              </w:rPr>
              <w:t>Significant benefit</w:t>
            </w:r>
          </w:p>
        </w:tc>
        <w:tc>
          <w:tcPr>
            <w:tcW w:w="1134" w:type="dxa"/>
            <w:tcBorders>
              <w:bottom w:val="single" w:sz="4" w:space="0" w:color="auto"/>
            </w:tcBorders>
            <w:shd w:val="clear" w:color="auto" w:fill="F8D4D1"/>
            <w:vAlign w:val="center"/>
          </w:tcPr>
          <w:p w14:paraId="53B04CF2"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5 </w:t>
            </w:r>
          </w:p>
        </w:tc>
        <w:tc>
          <w:tcPr>
            <w:tcW w:w="1134" w:type="dxa"/>
            <w:tcBorders>
              <w:bottom w:val="single" w:sz="4" w:space="0" w:color="auto"/>
            </w:tcBorders>
            <w:shd w:val="clear" w:color="auto" w:fill="F7DCE0"/>
            <w:vAlign w:val="center"/>
          </w:tcPr>
          <w:p w14:paraId="2D84C884"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4 </w:t>
            </w:r>
          </w:p>
        </w:tc>
        <w:tc>
          <w:tcPr>
            <w:tcW w:w="1134" w:type="dxa"/>
            <w:tcBorders>
              <w:bottom w:val="single" w:sz="4" w:space="0" w:color="auto"/>
            </w:tcBorders>
            <w:shd w:val="clear" w:color="auto" w:fill="DDEDD3"/>
            <w:vAlign w:val="center"/>
          </w:tcPr>
          <w:p w14:paraId="5A0D394F"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1 </w:t>
            </w:r>
          </w:p>
        </w:tc>
        <w:tc>
          <w:tcPr>
            <w:tcW w:w="1134" w:type="dxa"/>
            <w:tcBorders>
              <w:bottom w:val="single" w:sz="4" w:space="0" w:color="auto"/>
            </w:tcBorders>
            <w:shd w:val="clear" w:color="auto" w:fill="DDEDD3"/>
            <w:vAlign w:val="center"/>
          </w:tcPr>
          <w:p w14:paraId="485C5EDF"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1 </w:t>
            </w:r>
          </w:p>
        </w:tc>
        <w:tc>
          <w:tcPr>
            <w:tcW w:w="1134" w:type="dxa"/>
            <w:tcBorders>
              <w:bottom w:val="single" w:sz="4" w:space="0" w:color="auto"/>
            </w:tcBorders>
            <w:shd w:val="clear" w:color="auto" w:fill="DDEDD3"/>
            <w:vAlign w:val="center"/>
          </w:tcPr>
          <w:p w14:paraId="1AB05C51"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1 </w:t>
            </w:r>
          </w:p>
        </w:tc>
      </w:tr>
      <w:tr w:rsidR="009B178C" w:rsidRPr="004D30E2" w14:paraId="657D491E" w14:textId="77777777" w:rsidTr="009B178C">
        <w:trPr>
          <w:trHeight w:val="726"/>
        </w:trPr>
        <w:tc>
          <w:tcPr>
            <w:tcW w:w="849" w:type="dxa"/>
            <w:tcBorders>
              <w:top w:val="single" w:sz="4" w:space="0" w:color="auto"/>
            </w:tcBorders>
          </w:tcPr>
          <w:p w14:paraId="7285253F" w14:textId="77777777" w:rsidR="009B178C" w:rsidRPr="004D30E2" w:rsidRDefault="009B178C" w:rsidP="004D30E2">
            <w:pPr>
              <w:pStyle w:val="TableParagraph"/>
              <w:keepNext/>
              <w:spacing w:before="20" w:after="20"/>
              <w:ind w:left="85"/>
              <w:rPr>
                <w:sz w:val="16"/>
                <w:szCs w:val="16"/>
              </w:rPr>
            </w:pPr>
            <w:r w:rsidRPr="004D30E2">
              <w:rPr>
                <w:sz w:val="16"/>
                <w:szCs w:val="16"/>
              </w:rPr>
              <w:t>Item (i)</w:t>
            </w:r>
          </w:p>
        </w:tc>
        <w:tc>
          <w:tcPr>
            <w:tcW w:w="1845" w:type="dxa"/>
            <w:tcBorders>
              <w:top w:val="single" w:sz="4" w:space="0" w:color="auto"/>
            </w:tcBorders>
          </w:tcPr>
          <w:p w14:paraId="78F2DA98" w14:textId="77777777" w:rsidR="009B178C" w:rsidRPr="004D30E2" w:rsidRDefault="009B178C" w:rsidP="004D30E2">
            <w:pPr>
              <w:pStyle w:val="TableParagraph"/>
              <w:keepNext/>
              <w:spacing w:before="20" w:after="20"/>
              <w:ind w:left="85"/>
              <w:rPr>
                <w:sz w:val="16"/>
                <w:szCs w:val="16"/>
              </w:rPr>
            </w:pPr>
            <w:r w:rsidRPr="004D30E2">
              <w:rPr>
                <w:rFonts w:asciiTheme="majorHAnsi" w:hAnsiTheme="majorHAnsi" w:cstheme="majorHAnsi"/>
                <w:bCs/>
                <w:sz w:val="16"/>
                <w:szCs w:val="16"/>
              </w:rPr>
              <w:t xml:space="preserve">Productivity and efficiency benefits </w:t>
            </w:r>
            <w:r w:rsidRPr="004D30E2">
              <w:rPr>
                <w:sz w:val="16"/>
                <w:szCs w:val="16"/>
              </w:rPr>
              <w:t xml:space="preserve">(including more efficient use of and investment in pipelines) </w:t>
            </w:r>
            <w:r w:rsidRPr="004D30E2">
              <w:rPr>
                <w:rFonts w:asciiTheme="majorHAnsi" w:hAnsiTheme="majorHAnsi" w:cstheme="majorHAnsi"/>
                <w:bCs/>
                <w:sz w:val="16"/>
                <w:szCs w:val="16"/>
              </w:rPr>
              <w:t xml:space="preserve">from improved access to pipelines that would otherwise not provide third party access </w:t>
            </w:r>
          </w:p>
        </w:tc>
        <w:tc>
          <w:tcPr>
            <w:tcW w:w="1277" w:type="dxa"/>
            <w:tcBorders>
              <w:top w:val="single" w:sz="4" w:space="0" w:color="auto"/>
            </w:tcBorders>
            <w:vAlign w:val="center"/>
          </w:tcPr>
          <w:p w14:paraId="17B8EB0A" w14:textId="77777777" w:rsidR="009B178C" w:rsidRPr="004D30E2" w:rsidRDefault="009B178C" w:rsidP="004D30E2">
            <w:pPr>
              <w:pStyle w:val="TableParagraph"/>
              <w:keepNext/>
              <w:spacing w:before="20" w:after="20"/>
              <w:ind w:left="85"/>
              <w:rPr>
                <w:sz w:val="16"/>
                <w:szCs w:val="16"/>
              </w:rPr>
            </w:pPr>
            <w:r w:rsidRPr="004D30E2">
              <w:rPr>
                <w:sz w:val="16"/>
                <w:szCs w:val="16"/>
              </w:rPr>
              <w:t>Moderate benefit</w:t>
            </w:r>
          </w:p>
        </w:tc>
        <w:tc>
          <w:tcPr>
            <w:tcW w:w="1134" w:type="dxa"/>
            <w:tcBorders>
              <w:top w:val="single" w:sz="4" w:space="0" w:color="auto"/>
              <w:bottom w:val="single" w:sz="4" w:space="0" w:color="auto"/>
            </w:tcBorders>
            <w:shd w:val="clear" w:color="auto" w:fill="F8D4D1"/>
            <w:vAlign w:val="center"/>
          </w:tcPr>
          <w:p w14:paraId="2C1D8ED0" w14:textId="77777777" w:rsidR="009B178C" w:rsidRPr="004D30E2" w:rsidRDefault="009B178C" w:rsidP="004D30E2">
            <w:pPr>
              <w:pStyle w:val="TableParagraph"/>
              <w:keepNext/>
              <w:spacing w:before="20" w:after="20"/>
              <w:jc w:val="center"/>
              <w:rPr>
                <w:sz w:val="16"/>
                <w:szCs w:val="16"/>
              </w:rPr>
            </w:pPr>
            <w:r w:rsidRPr="004D30E2">
              <w:rPr>
                <w:sz w:val="16"/>
                <w:szCs w:val="16"/>
              </w:rPr>
              <w:t>5</w:t>
            </w:r>
          </w:p>
        </w:tc>
        <w:tc>
          <w:tcPr>
            <w:tcW w:w="1134" w:type="dxa"/>
            <w:tcBorders>
              <w:top w:val="single" w:sz="4" w:space="0" w:color="auto"/>
              <w:bottom w:val="single" w:sz="4" w:space="0" w:color="auto"/>
            </w:tcBorders>
            <w:shd w:val="clear" w:color="auto" w:fill="FDD7C3"/>
            <w:vAlign w:val="center"/>
          </w:tcPr>
          <w:p w14:paraId="04FC938A" w14:textId="77777777" w:rsidR="009B178C" w:rsidRPr="004D30E2" w:rsidRDefault="009B178C" w:rsidP="004D30E2">
            <w:pPr>
              <w:pStyle w:val="TableParagraph"/>
              <w:keepNext/>
              <w:spacing w:before="20" w:after="20"/>
              <w:jc w:val="center"/>
              <w:rPr>
                <w:sz w:val="16"/>
                <w:szCs w:val="16"/>
              </w:rPr>
            </w:pPr>
            <w:r w:rsidRPr="004D30E2">
              <w:rPr>
                <w:sz w:val="16"/>
                <w:szCs w:val="16"/>
              </w:rPr>
              <w:t>3</w:t>
            </w:r>
          </w:p>
        </w:tc>
        <w:tc>
          <w:tcPr>
            <w:tcW w:w="1134" w:type="dxa"/>
            <w:tcBorders>
              <w:bottom w:val="single" w:sz="4" w:space="0" w:color="auto"/>
              <w:right w:val="single" w:sz="4" w:space="0" w:color="auto"/>
            </w:tcBorders>
            <w:shd w:val="clear" w:color="auto" w:fill="FDD7C3"/>
            <w:vAlign w:val="center"/>
          </w:tcPr>
          <w:p w14:paraId="68B4BDAB" w14:textId="77777777" w:rsidR="009B178C" w:rsidRPr="004D30E2" w:rsidRDefault="009B178C" w:rsidP="004D30E2">
            <w:pPr>
              <w:pStyle w:val="TableParagraph"/>
              <w:keepNext/>
              <w:spacing w:before="20" w:after="20"/>
              <w:jc w:val="center"/>
              <w:rPr>
                <w:sz w:val="16"/>
                <w:szCs w:val="16"/>
              </w:rPr>
            </w:pPr>
            <w:r w:rsidRPr="004D30E2">
              <w:rPr>
                <w:sz w:val="16"/>
                <w:szCs w:val="16"/>
              </w:rPr>
              <w:t>3</w:t>
            </w:r>
          </w:p>
        </w:tc>
        <w:tc>
          <w:tcPr>
            <w:tcW w:w="1134" w:type="dxa"/>
            <w:tcBorders>
              <w:left w:val="single" w:sz="4" w:space="0" w:color="auto"/>
              <w:bottom w:val="single" w:sz="4" w:space="0" w:color="auto"/>
            </w:tcBorders>
            <w:shd w:val="clear" w:color="auto" w:fill="DDEDD3"/>
            <w:vAlign w:val="center"/>
          </w:tcPr>
          <w:p w14:paraId="78DD2D39" w14:textId="77777777" w:rsidR="009B178C" w:rsidRPr="004D30E2" w:rsidRDefault="009B178C" w:rsidP="004D30E2">
            <w:pPr>
              <w:pStyle w:val="TableParagraph"/>
              <w:keepNext/>
              <w:spacing w:before="20" w:after="20"/>
              <w:jc w:val="center"/>
              <w:rPr>
                <w:sz w:val="16"/>
                <w:szCs w:val="16"/>
              </w:rPr>
            </w:pPr>
            <w:r w:rsidRPr="004D30E2">
              <w:rPr>
                <w:sz w:val="16"/>
                <w:szCs w:val="16"/>
              </w:rPr>
              <w:t>1</w:t>
            </w:r>
          </w:p>
        </w:tc>
        <w:tc>
          <w:tcPr>
            <w:tcW w:w="1134" w:type="dxa"/>
            <w:tcBorders>
              <w:bottom w:val="single" w:sz="4" w:space="0" w:color="auto"/>
            </w:tcBorders>
            <w:shd w:val="clear" w:color="auto" w:fill="DDEDD3"/>
            <w:vAlign w:val="center"/>
          </w:tcPr>
          <w:p w14:paraId="581CD752" w14:textId="77777777" w:rsidR="009B178C" w:rsidRPr="004D30E2" w:rsidRDefault="009B178C" w:rsidP="004D30E2">
            <w:pPr>
              <w:pStyle w:val="TableParagraph"/>
              <w:keepNext/>
              <w:spacing w:before="20" w:after="20"/>
              <w:jc w:val="center"/>
              <w:rPr>
                <w:sz w:val="16"/>
                <w:szCs w:val="16"/>
              </w:rPr>
            </w:pPr>
            <w:r w:rsidRPr="004D30E2">
              <w:rPr>
                <w:sz w:val="16"/>
                <w:szCs w:val="16"/>
              </w:rPr>
              <w:t>1</w:t>
            </w:r>
          </w:p>
        </w:tc>
      </w:tr>
      <w:tr w:rsidR="009B178C" w:rsidRPr="004D30E2" w14:paraId="385453EC" w14:textId="77777777" w:rsidTr="009B178C">
        <w:trPr>
          <w:trHeight w:val="577"/>
        </w:trPr>
        <w:tc>
          <w:tcPr>
            <w:tcW w:w="849" w:type="dxa"/>
          </w:tcPr>
          <w:p w14:paraId="126AE60F" w14:textId="77777777" w:rsidR="009B178C" w:rsidRPr="004D30E2" w:rsidRDefault="009B178C" w:rsidP="004D30E2">
            <w:pPr>
              <w:pStyle w:val="TableParagraph"/>
              <w:keepNext/>
              <w:spacing w:before="20" w:after="20"/>
              <w:ind w:left="85"/>
              <w:rPr>
                <w:sz w:val="16"/>
                <w:szCs w:val="16"/>
              </w:rPr>
            </w:pPr>
            <w:r w:rsidRPr="004D30E2">
              <w:rPr>
                <w:sz w:val="16"/>
                <w:szCs w:val="16"/>
              </w:rPr>
              <w:t>Item (j)</w:t>
            </w:r>
          </w:p>
        </w:tc>
        <w:tc>
          <w:tcPr>
            <w:tcW w:w="1845" w:type="dxa"/>
          </w:tcPr>
          <w:p w14:paraId="2A087EFA" w14:textId="77777777" w:rsidR="009B178C" w:rsidRPr="004D30E2" w:rsidRDefault="009B178C" w:rsidP="004D30E2">
            <w:pPr>
              <w:pStyle w:val="TableParagraph"/>
              <w:keepNext/>
              <w:spacing w:before="20" w:after="20"/>
              <w:ind w:left="85"/>
              <w:rPr>
                <w:sz w:val="16"/>
                <w:szCs w:val="16"/>
              </w:rPr>
            </w:pPr>
            <w:r w:rsidRPr="004D30E2">
              <w:rPr>
                <w:sz w:val="16"/>
                <w:szCs w:val="16"/>
              </w:rPr>
              <w:t xml:space="preserve">More efficient investment in upstream &amp; downstream facilities as a result of lower transport costs </w:t>
            </w:r>
            <w:r w:rsidR="0053694C">
              <w:rPr>
                <w:sz w:val="16"/>
                <w:szCs w:val="16"/>
              </w:rPr>
              <w:t xml:space="preserve">and access to pipelines that would not otherwise provide access </w:t>
            </w:r>
          </w:p>
        </w:tc>
        <w:tc>
          <w:tcPr>
            <w:tcW w:w="1277" w:type="dxa"/>
            <w:vAlign w:val="center"/>
          </w:tcPr>
          <w:p w14:paraId="22FC1922" w14:textId="77777777" w:rsidR="009B178C" w:rsidRPr="004D30E2" w:rsidRDefault="009B178C" w:rsidP="004D30E2">
            <w:pPr>
              <w:pStyle w:val="TableParagraph"/>
              <w:keepNext/>
              <w:spacing w:before="20" w:after="20"/>
              <w:ind w:left="85"/>
              <w:rPr>
                <w:sz w:val="16"/>
                <w:szCs w:val="16"/>
              </w:rPr>
            </w:pPr>
            <w:r w:rsidRPr="004D30E2">
              <w:rPr>
                <w:sz w:val="16"/>
                <w:szCs w:val="16"/>
              </w:rPr>
              <w:t>Significant benefit</w:t>
            </w:r>
          </w:p>
        </w:tc>
        <w:tc>
          <w:tcPr>
            <w:tcW w:w="1134" w:type="dxa"/>
            <w:tcBorders>
              <w:top w:val="single" w:sz="4" w:space="0" w:color="auto"/>
            </w:tcBorders>
            <w:shd w:val="clear" w:color="auto" w:fill="F8D4D1"/>
            <w:vAlign w:val="center"/>
          </w:tcPr>
          <w:p w14:paraId="3C5CFECD"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5 </w:t>
            </w:r>
          </w:p>
        </w:tc>
        <w:tc>
          <w:tcPr>
            <w:tcW w:w="1134" w:type="dxa"/>
            <w:tcBorders>
              <w:top w:val="single" w:sz="4" w:space="0" w:color="auto"/>
            </w:tcBorders>
            <w:shd w:val="clear" w:color="auto" w:fill="F7DCE0"/>
            <w:vAlign w:val="center"/>
          </w:tcPr>
          <w:p w14:paraId="56A7C2F5"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4 </w:t>
            </w:r>
          </w:p>
        </w:tc>
        <w:tc>
          <w:tcPr>
            <w:tcW w:w="1134" w:type="dxa"/>
            <w:tcBorders>
              <w:top w:val="single" w:sz="4" w:space="0" w:color="auto"/>
              <w:bottom w:val="single" w:sz="4" w:space="0" w:color="auto"/>
            </w:tcBorders>
            <w:shd w:val="clear" w:color="auto" w:fill="DDEDD3"/>
            <w:vAlign w:val="center"/>
          </w:tcPr>
          <w:p w14:paraId="7CEF0B97"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1 </w:t>
            </w:r>
          </w:p>
        </w:tc>
        <w:tc>
          <w:tcPr>
            <w:tcW w:w="1134" w:type="dxa"/>
            <w:tcBorders>
              <w:top w:val="single" w:sz="4" w:space="0" w:color="auto"/>
              <w:bottom w:val="single" w:sz="4" w:space="0" w:color="auto"/>
            </w:tcBorders>
            <w:shd w:val="clear" w:color="auto" w:fill="DDEDD3"/>
            <w:vAlign w:val="center"/>
          </w:tcPr>
          <w:p w14:paraId="799C90D8" w14:textId="77777777" w:rsidR="009B178C" w:rsidRPr="004D30E2" w:rsidRDefault="009B178C" w:rsidP="004D30E2">
            <w:pPr>
              <w:pStyle w:val="TableParagraph"/>
              <w:keepNext/>
              <w:spacing w:before="20" w:after="20"/>
              <w:jc w:val="center"/>
              <w:rPr>
                <w:sz w:val="16"/>
                <w:szCs w:val="16"/>
              </w:rPr>
            </w:pPr>
            <w:r w:rsidRPr="004D30E2">
              <w:rPr>
                <w:sz w:val="16"/>
                <w:szCs w:val="16"/>
              </w:rPr>
              <w:t>1</w:t>
            </w:r>
          </w:p>
        </w:tc>
        <w:tc>
          <w:tcPr>
            <w:tcW w:w="1134" w:type="dxa"/>
            <w:tcBorders>
              <w:top w:val="single" w:sz="4" w:space="0" w:color="auto"/>
              <w:bottom w:val="single" w:sz="4" w:space="0" w:color="auto"/>
            </w:tcBorders>
            <w:shd w:val="clear" w:color="auto" w:fill="DDEDD3"/>
            <w:vAlign w:val="center"/>
          </w:tcPr>
          <w:p w14:paraId="066DAB61" w14:textId="77777777" w:rsidR="009B178C" w:rsidRPr="004D30E2" w:rsidRDefault="009B178C" w:rsidP="004D30E2">
            <w:pPr>
              <w:pStyle w:val="TableParagraph"/>
              <w:keepNext/>
              <w:spacing w:before="20" w:after="20"/>
              <w:jc w:val="center"/>
              <w:rPr>
                <w:sz w:val="16"/>
                <w:szCs w:val="16"/>
              </w:rPr>
            </w:pPr>
            <w:r w:rsidRPr="004D30E2">
              <w:rPr>
                <w:sz w:val="16"/>
                <w:szCs w:val="16"/>
              </w:rPr>
              <w:t>1</w:t>
            </w:r>
          </w:p>
        </w:tc>
      </w:tr>
      <w:tr w:rsidR="009B178C" w:rsidRPr="004D30E2" w14:paraId="2D95B397" w14:textId="77777777" w:rsidTr="009B178C">
        <w:trPr>
          <w:trHeight w:val="510"/>
        </w:trPr>
        <w:tc>
          <w:tcPr>
            <w:tcW w:w="849" w:type="dxa"/>
          </w:tcPr>
          <w:p w14:paraId="16245A9B" w14:textId="77777777" w:rsidR="009B178C" w:rsidRPr="004D30E2" w:rsidRDefault="009B178C" w:rsidP="004D30E2">
            <w:pPr>
              <w:pStyle w:val="TableParagraph"/>
              <w:keepNext/>
              <w:spacing w:before="20" w:after="20"/>
              <w:ind w:left="85"/>
              <w:rPr>
                <w:sz w:val="16"/>
                <w:szCs w:val="16"/>
              </w:rPr>
            </w:pPr>
            <w:r w:rsidRPr="004D30E2">
              <w:rPr>
                <w:sz w:val="16"/>
                <w:szCs w:val="16"/>
              </w:rPr>
              <w:t>Item (k)</w:t>
            </w:r>
          </w:p>
        </w:tc>
        <w:tc>
          <w:tcPr>
            <w:tcW w:w="1845" w:type="dxa"/>
          </w:tcPr>
          <w:p w14:paraId="0BB4A5EF" w14:textId="77777777" w:rsidR="009B178C" w:rsidRPr="004D30E2" w:rsidRDefault="009B178C" w:rsidP="004D30E2">
            <w:pPr>
              <w:pStyle w:val="TableParagraph"/>
              <w:keepNext/>
              <w:spacing w:before="20" w:after="20"/>
              <w:ind w:left="85"/>
              <w:rPr>
                <w:sz w:val="16"/>
                <w:szCs w:val="16"/>
              </w:rPr>
            </w:pPr>
            <w:r w:rsidRPr="004D30E2">
              <w:rPr>
                <w:rFonts w:asciiTheme="majorHAnsi" w:hAnsiTheme="majorHAnsi" w:cstheme="majorHAnsi"/>
                <w:bCs/>
                <w:sz w:val="16"/>
                <w:szCs w:val="16"/>
              </w:rPr>
              <w:t xml:space="preserve">Reduced search and transaction costs from improved information </w:t>
            </w:r>
          </w:p>
        </w:tc>
        <w:tc>
          <w:tcPr>
            <w:tcW w:w="1277" w:type="dxa"/>
            <w:vAlign w:val="center"/>
          </w:tcPr>
          <w:p w14:paraId="2C4E6917" w14:textId="77777777" w:rsidR="009B178C" w:rsidRPr="004D30E2" w:rsidRDefault="009B178C" w:rsidP="004D30E2">
            <w:pPr>
              <w:pStyle w:val="TableParagraph"/>
              <w:keepNext/>
              <w:spacing w:before="20" w:after="20"/>
              <w:ind w:left="85"/>
              <w:rPr>
                <w:sz w:val="16"/>
                <w:szCs w:val="16"/>
              </w:rPr>
            </w:pPr>
            <w:r w:rsidRPr="004D30E2">
              <w:rPr>
                <w:sz w:val="16"/>
                <w:szCs w:val="16"/>
              </w:rPr>
              <w:t>Moderate benefit</w:t>
            </w:r>
          </w:p>
        </w:tc>
        <w:tc>
          <w:tcPr>
            <w:tcW w:w="1134" w:type="dxa"/>
            <w:shd w:val="clear" w:color="auto" w:fill="F8D4D1"/>
            <w:vAlign w:val="center"/>
          </w:tcPr>
          <w:p w14:paraId="572251B9"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5 </w:t>
            </w:r>
          </w:p>
        </w:tc>
        <w:tc>
          <w:tcPr>
            <w:tcW w:w="1134" w:type="dxa"/>
            <w:shd w:val="clear" w:color="auto" w:fill="F7DCE0"/>
            <w:vAlign w:val="center"/>
          </w:tcPr>
          <w:p w14:paraId="5AA61327"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4 </w:t>
            </w:r>
          </w:p>
        </w:tc>
        <w:tc>
          <w:tcPr>
            <w:tcW w:w="1134" w:type="dxa"/>
            <w:tcBorders>
              <w:top w:val="single" w:sz="4" w:space="0" w:color="auto"/>
            </w:tcBorders>
            <w:shd w:val="clear" w:color="auto" w:fill="DDEDD3"/>
            <w:vAlign w:val="center"/>
          </w:tcPr>
          <w:p w14:paraId="30399D0E"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1 </w:t>
            </w:r>
          </w:p>
        </w:tc>
        <w:tc>
          <w:tcPr>
            <w:tcW w:w="1134" w:type="dxa"/>
            <w:tcBorders>
              <w:top w:val="single" w:sz="4" w:space="0" w:color="auto"/>
            </w:tcBorders>
            <w:shd w:val="clear" w:color="auto" w:fill="DDEDD3"/>
            <w:vAlign w:val="center"/>
          </w:tcPr>
          <w:p w14:paraId="2D4AEC6B"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1 </w:t>
            </w:r>
          </w:p>
        </w:tc>
        <w:tc>
          <w:tcPr>
            <w:tcW w:w="1134" w:type="dxa"/>
            <w:tcBorders>
              <w:top w:val="single" w:sz="4" w:space="0" w:color="auto"/>
            </w:tcBorders>
            <w:shd w:val="clear" w:color="auto" w:fill="DDEDD3"/>
            <w:vAlign w:val="center"/>
          </w:tcPr>
          <w:p w14:paraId="2E5C7F8B"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1 </w:t>
            </w:r>
          </w:p>
        </w:tc>
      </w:tr>
      <w:tr w:rsidR="009B178C" w:rsidRPr="004D30E2" w14:paraId="6DE682ED" w14:textId="77777777" w:rsidTr="009B178C">
        <w:trPr>
          <w:trHeight w:val="510"/>
        </w:trPr>
        <w:tc>
          <w:tcPr>
            <w:tcW w:w="849" w:type="dxa"/>
          </w:tcPr>
          <w:p w14:paraId="63177541" w14:textId="77777777" w:rsidR="009B178C" w:rsidRPr="004D30E2" w:rsidRDefault="009B178C" w:rsidP="004D30E2">
            <w:pPr>
              <w:pStyle w:val="TableParagraph"/>
              <w:keepNext/>
              <w:spacing w:before="20" w:after="20"/>
              <w:ind w:left="85"/>
              <w:rPr>
                <w:sz w:val="16"/>
                <w:szCs w:val="16"/>
              </w:rPr>
            </w:pPr>
            <w:r w:rsidRPr="004D30E2">
              <w:rPr>
                <w:sz w:val="16"/>
                <w:szCs w:val="16"/>
              </w:rPr>
              <w:t>Item (l)</w:t>
            </w:r>
          </w:p>
        </w:tc>
        <w:tc>
          <w:tcPr>
            <w:tcW w:w="1845" w:type="dxa"/>
          </w:tcPr>
          <w:p w14:paraId="15FA30CF" w14:textId="77777777" w:rsidR="009B178C" w:rsidRPr="004D30E2" w:rsidRDefault="009B178C" w:rsidP="004D30E2">
            <w:pPr>
              <w:pStyle w:val="TableParagraph"/>
              <w:keepNext/>
              <w:spacing w:before="20" w:after="20"/>
              <w:ind w:left="85"/>
              <w:rPr>
                <w:sz w:val="16"/>
                <w:szCs w:val="16"/>
              </w:rPr>
            </w:pPr>
            <w:r w:rsidRPr="004D30E2">
              <w:rPr>
                <w:sz w:val="16"/>
                <w:szCs w:val="16"/>
              </w:rPr>
              <w:t>Cost savings from simplifying the regulatory framework</w:t>
            </w:r>
          </w:p>
        </w:tc>
        <w:tc>
          <w:tcPr>
            <w:tcW w:w="1277" w:type="dxa"/>
            <w:vAlign w:val="center"/>
          </w:tcPr>
          <w:p w14:paraId="3A2F21C8" w14:textId="77777777" w:rsidR="009B178C" w:rsidRPr="004D30E2" w:rsidRDefault="009B178C" w:rsidP="004D30E2">
            <w:pPr>
              <w:pStyle w:val="TableParagraph"/>
              <w:keepNext/>
              <w:spacing w:before="20" w:after="20"/>
              <w:ind w:left="85"/>
              <w:rPr>
                <w:sz w:val="16"/>
                <w:szCs w:val="16"/>
              </w:rPr>
            </w:pPr>
            <w:r w:rsidRPr="004D30E2">
              <w:rPr>
                <w:sz w:val="16"/>
                <w:szCs w:val="16"/>
              </w:rPr>
              <w:t>Small benefit</w:t>
            </w:r>
          </w:p>
        </w:tc>
        <w:tc>
          <w:tcPr>
            <w:tcW w:w="1134" w:type="dxa"/>
            <w:shd w:val="clear" w:color="auto" w:fill="F8D4D1"/>
            <w:vAlign w:val="center"/>
          </w:tcPr>
          <w:p w14:paraId="3D2FD26B"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5 </w:t>
            </w:r>
          </w:p>
        </w:tc>
        <w:tc>
          <w:tcPr>
            <w:tcW w:w="1134" w:type="dxa"/>
            <w:shd w:val="clear" w:color="auto" w:fill="F7DCE0"/>
            <w:vAlign w:val="center"/>
          </w:tcPr>
          <w:p w14:paraId="6EA827C3"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4 </w:t>
            </w:r>
          </w:p>
        </w:tc>
        <w:tc>
          <w:tcPr>
            <w:tcW w:w="1134" w:type="dxa"/>
            <w:shd w:val="clear" w:color="auto" w:fill="FFEFCC"/>
            <w:vAlign w:val="center"/>
          </w:tcPr>
          <w:p w14:paraId="440A5C53"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2 </w:t>
            </w:r>
          </w:p>
        </w:tc>
        <w:tc>
          <w:tcPr>
            <w:tcW w:w="1134" w:type="dxa"/>
            <w:shd w:val="clear" w:color="auto" w:fill="DDEDD3"/>
            <w:vAlign w:val="center"/>
          </w:tcPr>
          <w:p w14:paraId="5C84B8FD"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1 </w:t>
            </w:r>
          </w:p>
        </w:tc>
        <w:tc>
          <w:tcPr>
            <w:tcW w:w="1134" w:type="dxa"/>
            <w:shd w:val="clear" w:color="auto" w:fill="FDD7C3"/>
            <w:vAlign w:val="center"/>
          </w:tcPr>
          <w:p w14:paraId="6AB99DC5" w14:textId="77777777" w:rsidR="009B178C" w:rsidRPr="004D30E2" w:rsidRDefault="009B178C" w:rsidP="004D30E2">
            <w:pPr>
              <w:pStyle w:val="TableParagraph"/>
              <w:keepNext/>
              <w:spacing w:before="20" w:after="20"/>
              <w:jc w:val="center"/>
              <w:rPr>
                <w:sz w:val="16"/>
                <w:szCs w:val="16"/>
              </w:rPr>
            </w:pPr>
            <w:r w:rsidRPr="004D30E2">
              <w:rPr>
                <w:sz w:val="16"/>
                <w:szCs w:val="16"/>
              </w:rPr>
              <w:t xml:space="preserve">3 </w:t>
            </w:r>
          </w:p>
        </w:tc>
      </w:tr>
    </w:tbl>
    <w:p w14:paraId="3F39C1AC" w14:textId="77777777" w:rsidR="009B178C" w:rsidRDefault="009B178C" w:rsidP="00FC1793">
      <w:pPr>
        <w:pStyle w:val="BodyText"/>
        <w:spacing w:before="0" w:after="0" w:line="240" w:lineRule="auto"/>
      </w:pPr>
      <w:r w:rsidRPr="007F7F29">
        <w:rPr>
          <w:sz w:val="16"/>
          <w:szCs w:val="16"/>
        </w:rPr>
        <w:t>Source: PwC for quantified net economic benefits.</w:t>
      </w:r>
      <w:r w:rsidRPr="004509D1">
        <w:rPr>
          <w:sz w:val="16"/>
          <w:szCs w:val="16"/>
        </w:rPr>
        <w:br/>
        <w:t xml:space="preserve">Notes: </w:t>
      </w:r>
      <w:r w:rsidR="0053694C">
        <w:rPr>
          <w:sz w:val="16"/>
          <w:szCs w:val="16"/>
        </w:rPr>
        <w:t xml:space="preserve"> </w:t>
      </w:r>
      <w:r w:rsidRPr="004509D1">
        <w:rPr>
          <w:sz w:val="16"/>
          <w:szCs w:val="16"/>
        </w:rPr>
        <w:t xml:space="preserve">(a) </w:t>
      </w:r>
      <w:r w:rsidRPr="004509D1">
        <w:rPr>
          <w:sz w:val="16"/>
        </w:rPr>
        <w:t xml:space="preserve">NPV calculated for a 20-year period with a 7% discount rate. </w:t>
      </w:r>
      <w:r>
        <w:rPr>
          <w:sz w:val="16"/>
        </w:rPr>
        <w:br/>
        <w:t>(b) T</w:t>
      </w:r>
      <w:r w:rsidRPr="004509D1">
        <w:rPr>
          <w:sz w:val="16"/>
        </w:rPr>
        <w:t xml:space="preserve">he net economy-wide benefits </w:t>
      </w:r>
      <w:r w:rsidRPr="002D271F">
        <w:rPr>
          <w:sz w:val="16"/>
        </w:rPr>
        <w:t xml:space="preserve">represents the net increase in economic welfare arising as a result of the broader productivity benefit associated with lower transportation costs on those additional pipelines that become subject to the </w:t>
      </w:r>
      <w:r>
        <w:rPr>
          <w:sz w:val="16"/>
        </w:rPr>
        <w:t>stronger</w:t>
      </w:r>
      <w:r w:rsidRPr="002D271F">
        <w:rPr>
          <w:sz w:val="16"/>
        </w:rPr>
        <w:t xml:space="preserve"> form of regulation, offset by the increased direct costs for service providers, shippers and regulators.</w:t>
      </w:r>
      <w:r w:rsidRPr="002D271F">
        <w:rPr>
          <w:sz w:val="16"/>
        </w:rPr>
        <w:br/>
        <w:t>(</w:t>
      </w:r>
      <w:r>
        <w:rPr>
          <w:sz w:val="16"/>
        </w:rPr>
        <w:t>c</w:t>
      </w:r>
      <w:r w:rsidRPr="002D271F">
        <w:rPr>
          <w:sz w:val="16"/>
        </w:rPr>
        <w:t>) This</w:t>
      </w:r>
      <w:r w:rsidRPr="002D271F">
        <w:rPr>
          <w:spacing w:val="-1"/>
          <w:sz w:val="16"/>
        </w:rPr>
        <w:t xml:space="preserve"> </w:t>
      </w:r>
      <w:r w:rsidRPr="002D271F">
        <w:rPr>
          <w:sz w:val="16"/>
        </w:rPr>
        <w:t>includes</w:t>
      </w:r>
      <w:r w:rsidRPr="002D271F">
        <w:rPr>
          <w:spacing w:val="-3"/>
          <w:sz w:val="16"/>
        </w:rPr>
        <w:t xml:space="preserve"> </w:t>
      </w:r>
      <w:r w:rsidRPr="002D271F">
        <w:rPr>
          <w:sz w:val="16"/>
        </w:rPr>
        <w:t>the</w:t>
      </w:r>
      <w:r w:rsidRPr="002D271F">
        <w:rPr>
          <w:spacing w:val="-5"/>
          <w:sz w:val="16"/>
        </w:rPr>
        <w:t xml:space="preserve"> </w:t>
      </w:r>
      <w:r w:rsidRPr="002D271F">
        <w:rPr>
          <w:sz w:val="16"/>
        </w:rPr>
        <w:t>benefits</w:t>
      </w:r>
      <w:r w:rsidRPr="002D271F">
        <w:rPr>
          <w:spacing w:val="-2"/>
          <w:sz w:val="16"/>
        </w:rPr>
        <w:t xml:space="preserve"> </w:t>
      </w:r>
      <w:r w:rsidRPr="002D271F">
        <w:rPr>
          <w:sz w:val="16"/>
        </w:rPr>
        <w:t>associated</w:t>
      </w:r>
      <w:r w:rsidRPr="002D271F">
        <w:rPr>
          <w:spacing w:val="-2"/>
          <w:sz w:val="16"/>
        </w:rPr>
        <w:t xml:space="preserve"> </w:t>
      </w:r>
      <w:r w:rsidRPr="002D271F">
        <w:rPr>
          <w:sz w:val="16"/>
        </w:rPr>
        <w:t>with</w:t>
      </w:r>
      <w:r w:rsidRPr="002D271F">
        <w:rPr>
          <w:spacing w:val="-5"/>
          <w:sz w:val="16"/>
        </w:rPr>
        <w:t xml:space="preserve"> </w:t>
      </w:r>
      <w:r w:rsidRPr="002D271F">
        <w:rPr>
          <w:sz w:val="16"/>
        </w:rPr>
        <w:t>increased</w:t>
      </w:r>
      <w:r w:rsidRPr="002D271F">
        <w:rPr>
          <w:spacing w:val="-2"/>
          <w:sz w:val="16"/>
        </w:rPr>
        <w:t xml:space="preserve"> </w:t>
      </w:r>
      <w:r w:rsidRPr="002D271F">
        <w:rPr>
          <w:sz w:val="16"/>
        </w:rPr>
        <w:t>monitoring</w:t>
      </w:r>
      <w:r w:rsidRPr="002D271F">
        <w:rPr>
          <w:spacing w:val="-3"/>
          <w:sz w:val="16"/>
        </w:rPr>
        <w:t xml:space="preserve"> </w:t>
      </w:r>
      <w:r w:rsidRPr="002D271F">
        <w:rPr>
          <w:sz w:val="16"/>
        </w:rPr>
        <w:t>by</w:t>
      </w:r>
      <w:r w:rsidRPr="002D271F">
        <w:rPr>
          <w:spacing w:val="-3"/>
          <w:sz w:val="16"/>
        </w:rPr>
        <w:t xml:space="preserve"> </w:t>
      </w:r>
      <w:r w:rsidRPr="002D271F">
        <w:rPr>
          <w:sz w:val="16"/>
        </w:rPr>
        <w:t>the</w:t>
      </w:r>
      <w:r w:rsidRPr="002D271F">
        <w:rPr>
          <w:spacing w:val="-2"/>
          <w:sz w:val="16"/>
        </w:rPr>
        <w:t xml:space="preserve"> </w:t>
      </w:r>
      <w:r w:rsidRPr="002D271F">
        <w:rPr>
          <w:sz w:val="16"/>
        </w:rPr>
        <w:t>regulator</w:t>
      </w:r>
      <w:r w:rsidRPr="002D271F">
        <w:rPr>
          <w:spacing w:val="-3"/>
          <w:sz w:val="16"/>
        </w:rPr>
        <w:t xml:space="preserve"> </w:t>
      </w:r>
      <w:r w:rsidRPr="002D271F">
        <w:rPr>
          <w:sz w:val="16"/>
        </w:rPr>
        <w:t>of</w:t>
      </w:r>
      <w:r w:rsidRPr="002D271F">
        <w:rPr>
          <w:spacing w:val="-1"/>
          <w:sz w:val="16"/>
        </w:rPr>
        <w:t xml:space="preserve"> </w:t>
      </w:r>
      <w:r w:rsidRPr="002D271F">
        <w:rPr>
          <w:sz w:val="16"/>
        </w:rPr>
        <w:t>the</w:t>
      </w:r>
      <w:r w:rsidRPr="002D271F">
        <w:rPr>
          <w:spacing w:val="-4"/>
          <w:sz w:val="16"/>
        </w:rPr>
        <w:t xml:space="preserve"> </w:t>
      </w:r>
      <w:r w:rsidRPr="002D271F">
        <w:rPr>
          <w:sz w:val="16"/>
        </w:rPr>
        <w:t>behaviour</w:t>
      </w:r>
      <w:r w:rsidRPr="002D271F">
        <w:rPr>
          <w:spacing w:val="-3"/>
          <w:sz w:val="16"/>
        </w:rPr>
        <w:t xml:space="preserve"> </w:t>
      </w:r>
      <w:r w:rsidRPr="002D271F">
        <w:rPr>
          <w:sz w:val="16"/>
        </w:rPr>
        <w:t>of</w:t>
      </w:r>
      <w:r w:rsidRPr="002D271F">
        <w:rPr>
          <w:spacing w:val="-3"/>
          <w:sz w:val="16"/>
        </w:rPr>
        <w:t xml:space="preserve"> </w:t>
      </w:r>
      <w:r w:rsidRPr="002D271F">
        <w:rPr>
          <w:sz w:val="16"/>
        </w:rPr>
        <w:t>service</w:t>
      </w:r>
      <w:r w:rsidRPr="002D271F">
        <w:rPr>
          <w:spacing w:val="-4"/>
          <w:sz w:val="16"/>
        </w:rPr>
        <w:t xml:space="preserve"> </w:t>
      </w:r>
      <w:r w:rsidRPr="002D271F">
        <w:rPr>
          <w:sz w:val="16"/>
        </w:rPr>
        <w:t>providers, strengthening the credibility of the threat of arbitration by smaller shippers</w:t>
      </w:r>
      <w:r>
        <w:rPr>
          <w:sz w:val="16"/>
        </w:rPr>
        <w:t>,</w:t>
      </w:r>
      <w:r w:rsidRPr="002D271F">
        <w:rPr>
          <w:sz w:val="16"/>
        </w:rPr>
        <w:t xml:space="preserve"> </w:t>
      </w:r>
      <w:r>
        <w:rPr>
          <w:sz w:val="16"/>
        </w:rPr>
        <w:t xml:space="preserve">improved information disclosure and </w:t>
      </w:r>
      <w:r w:rsidRPr="002D271F">
        <w:rPr>
          <w:sz w:val="16"/>
        </w:rPr>
        <w:t>the implementation of measures to facilitate more competition for the development of new capacity through the use of measures to address dynamic market power under options 3A, 3B and 4.</w:t>
      </w:r>
      <w:r w:rsidR="004D30E2">
        <w:rPr>
          <w:sz w:val="16"/>
        </w:rPr>
        <w:t xml:space="preserve"> </w:t>
      </w:r>
    </w:p>
    <w:p w14:paraId="25C7BBD4" w14:textId="77777777" w:rsidR="009B178C" w:rsidRDefault="009B178C" w:rsidP="00FC1793">
      <w:pPr>
        <w:pStyle w:val="BodyText"/>
        <w:spacing w:before="0" w:after="0" w:line="240" w:lineRule="auto"/>
        <w:sectPr w:rsidR="009B178C" w:rsidSect="0053694C">
          <w:pgSz w:w="16839" w:h="11907" w:orient="landscape" w:code="9"/>
          <w:pgMar w:top="1134" w:right="1418" w:bottom="709" w:left="1701" w:header="567" w:footer="397" w:gutter="0"/>
          <w:cols w:space="708"/>
          <w:docGrid w:linePitch="360"/>
        </w:sectPr>
      </w:pPr>
    </w:p>
    <w:p w14:paraId="7A7D6D68" w14:textId="77777777" w:rsidR="00B3536F" w:rsidRDefault="00B3536F" w:rsidP="00FE6919">
      <w:pPr>
        <w:pStyle w:val="Heading4"/>
        <w:spacing w:before="120" w:after="120"/>
      </w:pPr>
      <w:r>
        <w:lastRenderedPageBreak/>
        <w:t>Quantitative results</w:t>
      </w:r>
    </w:p>
    <w:p w14:paraId="38DB343B" w14:textId="3A3827BA" w:rsidR="008D101E" w:rsidRDefault="008D101E" w:rsidP="00A30526">
      <w:pPr>
        <w:pStyle w:val="BodyText"/>
      </w:pPr>
      <w:r>
        <w:fldChar w:fldCharType="begin" w:fldLock="1"/>
      </w:r>
      <w:r>
        <w:instrText xml:space="preserve"> REF _Ref50211553 \h </w:instrText>
      </w:r>
      <w:r>
        <w:fldChar w:fldCharType="separate"/>
      </w:r>
      <w:r w:rsidR="00036405" w:rsidRPr="008E6AF0">
        <w:t xml:space="preserve">Table </w:t>
      </w:r>
      <w:r w:rsidR="00036405">
        <w:rPr>
          <w:noProof/>
        </w:rPr>
        <w:t>9</w:t>
      </w:r>
      <w:r w:rsidR="00036405">
        <w:t>.</w:t>
      </w:r>
      <w:r w:rsidR="00036405">
        <w:rPr>
          <w:noProof/>
        </w:rPr>
        <w:t>6</w:t>
      </w:r>
      <w:r>
        <w:fldChar w:fldCharType="end"/>
      </w:r>
      <w:r>
        <w:t xml:space="preserve"> provides a summary of the </w:t>
      </w:r>
      <w:r w:rsidR="00D169B1">
        <w:t>results of the quantitative analysis undertaken by PwC</w:t>
      </w:r>
      <w:r w:rsidR="00DA1800">
        <w:t xml:space="preserve"> under the central case</w:t>
      </w:r>
      <w:r>
        <w:t xml:space="preserve">. </w:t>
      </w:r>
      <w:r w:rsidR="00AC4F28">
        <w:t xml:space="preserve">A more detailed explanation of these results can be found in Appendix </w:t>
      </w:r>
      <w:r w:rsidR="00EB605A">
        <w:t xml:space="preserve">D. </w:t>
      </w:r>
    </w:p>
    <w:p w14:paraId="4C6F823E" w14:textId="269F47FC" w:rsidR="0062433D" w:rsidRPr="008E6AF0" w:rsidRDefault="0062433D" w:rsidP="006165C9">
      <w:pPr>
        <w:pStyle w:val="Caption"/>
        <w:spacing w:before="120" w:after="0"/>
      </w:pPr>
      <w:bookmarkStart w:id="214" w:name="_Ref50211553"/>
      <w:r w:rsidRPr="008E6AF0">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9</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6</w:t>
      </w:r>
      <w:r w:rsidR="00F323B2">
        <w:rPr>
          <w:noProof/>
        </w:rPr>
        <w:fldChar w:fldCharType="end"/>
      </w:r>
      <w:bookmarkEnd w:id="214"/>
      <w:r w:rsidRPr="008E6AF0">
        <w:t>: Quantified costs and net economy-wide benefits over 20 years, by reform option ($m, NPV, 2020 dollars)</w:t>
      </w:r>
      <w:r w:rsidRPr="004A0D8B">
        <w:rPr>
          <w:vertAlign w:val="superscript"/>
        </w:rPr>
        <w:t>a</w:t>
      </w:r>
      <w:r w:rsidRPr="008E6AF0">
        <w:t xml:space="preserve"> </w:t>
      </w:r>
    </w:p>
    <w:tbl>
      <w:tblPr>
        <w:tblStyle w:val="TableGrid"/>
        <w:tblW w:w="5000" w:type="pct"/>
        <w:tblLook w:val="0420" w:firstRow="1" w:lastRow="0" w:firstColumn="0" w:lastColumn="0" w:noHBand="0" w:noVBand="1"/>
      </w:tblPr>
      <w:tblGrid>
        <w:gridCol w:w="1843"/>
        <w:gridCol w:w="1487"/>
        <w:gridCol w:w="1238"/>
        <w:gridCol w:w="1498"/>
        <w:gridCol w:w="1397"/>
        <w:gridCol w:w="1315"/>
      </w:tblGrid>
      <w:tr w:rsidR="00787C90" w:rsidRPr="007E0A3F" w14:paraId="34A986FE" w14:textId="77777777" w:rsidTr="00787C90">
        <w:trPr>
          <w:cnfStyle w:val="100000000000" w:firstRow="1" w:lastRow="0" w:firstColumn="0" w:lastColumn="0" w:oddVBand="0" w:evenVBand="0" w:oddHBand="0" w:evenHBand="0" w:firstRowFirstColumn="0" w:firstRowLastColumn="0" w:lastRowFirstColumn="0" w:lastRowLastColumn="0"/>
          <w:tblHeader/>
        </w:trPr>
        <w:tc>
          <w:tcPr>
            <w:tcW w:w="1050"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2060"/>
          </w:tcPr>
          <w:p w14:paraId="6CE450F3" w14:textId="77777777" w:rsidR="00787C90" w:rsidRPr="007E0A3F" w:rsidRDefault="00787C90" w:rsidP="006165C9">
            <w:pPr>
              <w:pStyle w:val="TableHeading"/>
              <w:keepNext/>
              <w:spacing w:before="20" w:after="20" w:line="252" w:lineRule="auto"/>
            </w:pPr>
            <w:r w:rsidRPr="007E0A3F">
              <w:t>Options</w:t>
            </w:r>
          </w:p>
        </w:tc>
        <w:tc>
          <w:tcPr>
            <w:tcW w:w="3201"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0E025E9C" w14:textId="77777777" w:rsidR="00787C90" w:rsidRPr="007E0A3F" w:rsidRDefault="00787C90" w:rsidP="006165C9">
            <w:pPr>
              <w:pStyle w:val="TableHeading"/>
              <w:keepNext/>
              <w:spacing w:before="20" w:after="20" w:line="252" w:lineRule="auto"/>
              <w:jc w:val="center"/>
            </w:pPr>
            <w:r>
              <w:t>Direct costs</w:t>
            </w:r>
          </w:p>
        </w:tc>
        <w:tc>
          <w:tcPr>
            <w:tcW w:w="750"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002060"/>
          </w:tcPr>
          <w:p w14:paraId="0BF4428B" w14:textId="77777777" w:rsidR="00787C90" w:rsidRPr="007E0A3F" w:rsidRDefault="00787C90" w:rsidP="006165C9">
            <w:pPr>
              <w:pStyle w:val="TableHeading"/>
              <w:keepNext/>
              <w:spacing w:before="20" w:after="20" w:line="252" w:lineRule="auto"/>
              <w:jc w:val="center"/>
            </w:pPr>
            <w:r w:rsidRPr="007E0A3F">
              <w:t>Net economy- wide benefits</w:t>
            </w:r>
            <w:r w:rsidR="00F80310">
              <w:rPr>
                <w:vertAlign w:val="superscript"/>
              </w:rPr>
              <w:t>e</w:t>
            </w:r>
          </w:p>
        </w:tc>
      </w:tr>
      <w:tr w:rsidR="00787C90" w:rsidRPr="007E0A3F" w14:paraId="5A1AC376" w14:textId="77777777" w:rsidTr="00787C90">
        <w:trPr>
          <w:cnfStyle w:val="100000000000" w:firstRow="1" w:lastRow="0" w:firstColumn="0" w:lastColumn="0" w:oddVBand="0" w:evenVBand="0" w:oddHBand="0" w:evenHBand="0" w:firstRowFirstColumn="0" w:firstRowLastColumn="0" w:lastRowFirstColumn="0" w:lastRowLastColumn="0"/>
          <w:tblHeader/>
        </w:trPr>
        <w:tc>
          <w:tcPr>
            <w:tcW w:w="1050" w:type="pct"/>
            <w:vMerge/>
            <w:tcBorders>
              <w:left w:val="single" w:sz="4" w:space="0" w:color="FFFFFF" w:themeColor="background1"/>
              <w:right w:val="single" w:sz="4" w:space="0" w:color="FFFFFF" w:themeColor="background1"/>
            </w:tcBorders>
          </w:tcPr>
          <w:p w14:paraId="66AC9676" w14:textId="77777777" w:rsidR="00787C90" w:rsidRPr="007E0A3F" w:rsidRDefault="00787C90" w:rsidP="006165C9">
            <w:pPr>
              <w:pStyle w:val="TableHeading"/>
              <w:keepNext/>
              <w:spacing w:before="20" w:after="20" w:line="252" w:lineRule="auto"/>
            </w:pPr>
          </w:p>
        </w:tc>
        <w:tc>
          <w:tcPr>
            <w:tcW w:w="8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0615250E" w14:textId="77777777" w:rsidR="00787C90" w:rsidRPr="007E0A3F" w:rsidRDefault="00787C90" w:rsidP="006165C9">
            <w:pPr>
              <w:pStyle w:val="TableHeading"/>
              <w:keepNext/>
              <w:spacing w:before="20" w:after="20" w:line="252" w:lineRule="auto"/>
              <w:jc w:val="center"/>
            </w:pPr>
            <w:r w:rsidRPr="007E0A3F">
              <w:t>Service provider costs</w:t>
            </w:r>
            <w:r w:rsidR="00F80310" w:rsidRPr="00F80310">
              <w:rPr>
                <w:vertAlign w:val="superscript"/>
              </w:rPr>
              <w:t>b</w:t>
            </w:r>
          </w:p>
        </w:tc>
        <w:tc>
          <w:tcPr>
            <w:tcW w:w="7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43B4B0C" w14:textId="77777777" w:rsidR="00787C90" w:rsidRPr="007E0A3F" w:rsidRDefault="00787C90" w:rsidP="006165C9">
            <w:pPr>
              <w:pStyle w:val="TableHeading"/>
              <w:keepNext/>
              <w:spacing w:before="20" w:after="20" w:line="252" w:lineRule="auto"/>
              <w:jc w:val="center"/>
            </w:pPr>
            <w:r w:rsidRPr="007E0A3F">
              <w:t>Shipper costs</w:t>
            </w:r>
            <w:r w:rsidR="00F80310" w:rsidRPr="00F80310">
              <w:rPr>
                <w:vertAlign w:val="superscript"/>
              </w:rPr>
              <w:t>c</w:t>
            </w:r>
          </w:p>
        </w:tc>
        <w:tc>
          <w:tcPr>
            <w:tcW w:w="8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21BAF7B5" w14:textId="77777777" w:rsidR="00787C90" w:rsidRPr="007E0A3F" w:rsidRDefault="00787C90" w:rsidP="006165C9">
            <w:pPr>
              <w:pStyle w:val="TableHeading"/>
              <w:keepNext/>
              <w:spacing w:before="20" w:after="20" w:line="252" w:lineRule="auto"/>
              <w:jc w:val="center"/>
            </w:pPr>
            <w:r w:rsidRPr="007E0A3F">
              <w:t>Regulator costs</w:t>
            </w:r>
            <w:r w:rsidR="00F80310" w:rsidRPr="00F80310">
              <w:rPr>
                <w:vertAlign w:val="superscript"/>
              </w:rPr>
              <w:t>d</w:t>
            </w:r>
          </w:p>
        </w:tc>
        <w:tc>
          <w:tcPr>
            <w:tcW w:w="7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CBDA768" w14:textId="77777777" w:rsidR="00787C90" w:rsidRPr="007E0A3F" w:rsidRDefault="00787C90" w:rsidP="006165C9">
            <w:pPr>
              <w:pStyle w:val="TableHeading"/>
              <w:keepNext/>
              <w:spacing w:before="20" w:after="20" w:line="252" w:lineRule="auto"/>
              <w:jc w:val="center"/>
            </w:pPr>
            <w:r w:rsidRPr="007E0A3F">
              <w:t>Total</w:t>
            </w:r>
          </w:p>
        </w:tc>
        <w:tc>
          <w:tcPr>
            <w:tcW w:w="750" w:type="pct"/>
            <w:vMerge/>
            <w:tcBorders>
              <w:top w:val="single" w:sz="4" w:space="0" w:color="FFFFFF" w:themeColor="background1"/>
              <w:left w:val="single" w:sz="4" w:space="0" w:color="FFFFFF" w:themeColor="background1"/>
              <w:bottom w:val="single" w:sz="4" w:space="0" w:color="FFFFFF" w:themeColor="background1"/>
            </w:tcBorders>
          </w:tcPr>
          <w:p w14:paraId="32CC13A7" w14:textId="77777777" w:rsidR="00787C90" w:rsidRPr="007E0A3F" w:rsidRDefault="00787C90" w:rsidP="006165C9">
            <w:pPr>
              <w:pStyle w:val="TableHeading"/>
              <w:keepNext/>
              <w:spacing w:before="20" w:after="20" w:line="252" w:lineRule="auto"/>
              <w:jc w:val="center"/>
            </w:pPr>
          </w:p>
        </w:tc>
      </w:tr>
      <w:tr w:rsidR="00787C90" w:rsidRPr="007E0A3F" w14:paraId="46038F5F" w14:textId="77777777" w:rsidTr="00787C90">
        <w:trPr>
          <w:cnfStyle w:val="100000000000" w:firstRow="1" w:lastRow="0" w:firstColumn="0" w:lastColumn="0" w:oddVBand="0" w:evenVBand="0" w:oddHBand="0" w:evenHBand="0" w:firstRowFirstColumn="0" w:firstRowLastColumn="0" w:lastRowFirstColumn="0" w:lastRowLastColumn="0"/>
          <w:tblHeader/>
        </w:trPr>
        <w:tc>
          <w:tcPr>
            <w:tcW w:w="1050" w:type="pct"/>
            <w:vMerge/>
            <w:tcBorders>
              <w:left w:val="single" w:sz="4" w:space="0" w:color="FFFFFF" w:themeColor="background1"/>
              <w:bottom w:val="single" w:sz="4" w:space="0" w:color="FFFFFF" w:themeColor="background1"/>
              <w:right w:val="single" w:sz="4" w:space="0" w:color="FFFFFF" w:themeColor="background1"/>
            </w:tcBorders>
          </w:tcPr>
          <w:p w14:paraId="4FC95EE2" w14:textId="77777777" w:rsidR="00787C90" w:rsidRPr="007E0A3F" w:rsidRDefault="00787C90" w:rsidP="006165C9">
            <w:pPr>
              <w:pStyle w:val="TableHeading"/>
              <w:keepNext/>
              <w:spacing w:before="20" w:after="20" w:line="252" w:lineRule="auto"/>
            </w:pPr>
          </w:p>
        </w:tc>
        <w:tc>
          <w:tcPr>
            <w:tcW w:w="8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B49D5D8" w14:textId="77777777" w:rsidR="00787C90" w:rsidRPr="007E0A3F" w:rsidRDefault="00787C90" w:rsidP="006165C9">
            <w:pPr>
              <w:pStyle w:val="TableHeading"/>
              <w:keepNext/>
              <w:spacing w:before="20" w:after="20" w:line="252" w:lineRule="auto"/>
              <w:jc w:val="center"/>
            </w:pPr>
            <w:r>
              <w:t>(</w:t>
            </w:r>
            <w:r w:rsidR="00E370EF">
              <w:t>1</w:t>
            </w:r>
            <w:r>
              <w:t>)</w:t>
            </w:r>
          </w:p>
        </w:tc>
        <w:tc>
          <w:tcPr>
            <w:tcW w:w="7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A9DC630" w14:textId="77777777" w:rsidR="00787C90" w:rsidRPr="007E0A3F" w:rsidRDefault="00787C90" w:rsidP="006165C9">
            <w:pPr>
              <w:pStyle w:val="TableHeading"/>
              <w:keepNext/>
              <w:spacing w:before="20" w:after="20" w:line="252" w:lineRule="auto"/>
              <w:jc w:val="center"/>
            </w:pPr>
            <w:r>
              <w:t>(</w:t>
            </w:r>
            <w:r w:rsidR="00E370EF">
              <w:t>2</w:t>
            </w:r>
            <w:r>
              <w:t>)</w:t>
            </w:r>
          </w:p>
        </w:tc>
        <w:tc>
          <w:tcPr>
            <w:tcW w:w="8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1C9100D" w14:textId="77777777" w:rsidR="00787C90" w:rsidRPr="007E0A3F" w:rsidRDefault="00787C90" w:rsidP="006165C9">
            <w:pPr>
              <w:pStyle w:val="TableHeading"/>
              <w:keepNext/>
              <w:spacing w:before="20" w:after="20" w:line="252" w:lineRule="auto"/>
              <w:jc w:val="center"/>
            </w:pPr>
            <w:r>
              <w:t>(</w:t>
            </w:r>
            <w:r w:rsidR="00E370EF">
              <w:t>3</w:t>
            </w:r>
            <w:r>
              <w:t>)</w:t>
            </w:r>
          </w:p>
        </w:tc>
        <w:tc>
          <w:tcPr>
            <w:tcW w:w="7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979C326" w14:textId="77777777" w:rsidR="00787C90" w:rsidRPr="007E0A3F" w:rsidRDefault="00787C90" w:rsidP="006165C9">
            <w:pPr>
              <w:pStyle w:val="TableHeading"/>
              <w:keepNext/>
              <w:spacing w:before="20" w:after="20" w:line="252" w:lineRule="auto"/>
              <w:jc w:val="center"/>
            </w:pPr>
            <w:r>
              <w:t>(</w:t>
            </w:r>
            <w:r w:rsidR="00E370EF">
              <w:t>4</w:t>
            </w:r>
            <w:r>
              <w:t>)=sum{</w:t>
            </w:r>
            <w:r w:rsidR="00E370EF">
              <w:t>1</w:t>
            </w:r>
            <w:r>
              <w:t>):(</w:t>
            </w:r>
            <w:r w:rsidR="00E370EF">
              <w:t>3</w:t>
            </w:r>
            <w:r>
              <w:t>)</w:t>
            </w:r>
          </w:p>
        </w:tc>
        <w:tc>
          <w:tcPr>
            <w:tcW w:w="750" w:type="pct"/>
            <w:tcBorders>
              <w:top w:val="single" w:sz="4" w:space="0" w:color="FFFFFF" w:themeColor="background1"/>
              <w:left w:val="single" w:sz="4" w:space="0" w:color="FFFFFF" w:themeColor="background1"/>
              <w:bottom w:val="single" w:sz="4" w:space="0" w:color="auto"/>
            </w:tcBorders>
            <w:shd w:val="clear" w:color="auto" w:fill="002060"/>
          </w:tcPr>
          <w:p w14:paraId="5F406F88" w14:textId="77777777" w:rsidR="00787C90" w:rsidRPr="007E0A3F" w:rsidRDefault="00787C90" w:rsidP="006165C9">
            <w:pPr>
              <w:pStyle w:val="TableHeading"/>
              <w:keepNext/>
              <w:spacing w:before="20" w:after="20" w:line="252" w:lineRule="auto"/>
              <w:jc w:val="center"/>
            </w:pPr>
            <w:r>
              <w:t>(</w:t>
            </w:r>
            <w:r w:rsidR="00E370EF">
              <w:t>5</w:t>
            </w:r>
            <w:r>
              <w:t>)</w:t>
            </w:r>
          </w:p>
        </w:tc>
      </w:tr>
      <w:tr w:rsidR="0062433D" w:rsidRPr="008E6AF0" w14:paraId="40C4F3B3" w14:textId="77777777" w:rsidTr="00CF688C">
        <w:tc>
          <w:tcPr>
            <w:tcW w:w="5000" w:type="pct"/>
            <w:gridSpan w:val="6"/>
            <w:shd w:val="clear" w:color="auto" w:fill="65697F" w:themeFill="background2" w:themeFillShade="80"/>
          </w:tcPr>
          <w:p w14:paraId="119FF69F" w14:textId="77777777" w:rsidR="0062433D" w:rsidRPr="008E6AF0" w:rsidRDefault="0062433D" w:rsidP="006165C9">
            <w:pPr>
              <w:pStyle w:val="TableBodyText"/>
              <w:keepNext/>
              <w:spacing w:before="20" w:after="20" w:line="252" w:lineRule="auto"/>
              <w:jc w:val="center"/>
              <w:rPr>
                <w:b/>
                <w:bCs/>
                <w:color w:val="FFFFFF" w:themeColor="background1"/>
              </w:rPr>
            </w:pPr>
            <w:r w:rsidRPr="008E6AF0">
              <w:rPr>
                <w:b/>
                <w:bCs/>
                <w:color w:val="FFFFFF" w:themeColor="background1"/>
              </w:rPr>
              <w:t>Scenario 1 - High Impact</w:t>
            </w:r>
          </w:p>
        </w:tc>
      </w:tr>
      <w:tr w:rsidR="0062433D" w:rsidRPr="007E0A3F" w14:paraId="67262C91" w14:textId="77777777" w:rsidTr="00787C90">
        <w:trPr>
          <w:cnfStyle w:val="000000010000" w:firstRow="0" w:lastRow="0" w:firstColumn="0" w:lastColumn="0" w:oddVBand="0" w:evenVBand="0" w:oddHBand="0" w:evenHBand="1" w:firstRowFirstColumn="0" w:firstRowLastColumn="0" w:lastRowFirstColumn="0" w:lastRowLastColumn="0"/>
        </w:trPr>
        <w:tc>
          <w:tcPr>
            <w:tcW w:w="1050" w:type="pct"/>
          </w:tcPr>
          <w:p w14:paraId="5EC5EDDF" w14:textId="77777777" w:rsidR="0062433D" w:rsidRPr="007E0A3F" w:rsidRDefault="0062433D" w:rsidP="006165C9">
            <w:pPr>
              <w:pStyle w:val="TableBodyText"/>
              <w:keepNext/>
              <w:spacing w:before="20" w:after="20" w:line="252" w:lineRule="auto"/>
            </w:pPr>
            <w:r w:rsidRPr="007E0A3F">
              <w:t>Option 2</w:t>
            </w:r>
          </w:p>
        </w:tc>
        <w:tc>
          <w:tcPr>
            <w:tcW w:w="847" w:type="pct"/>
          </w:tcPr>
          <w:p w14:paraId="6A4367AA" w14:textId="77777777" w:rsidR="0062433D" w:rsidRPr="007E0A3F" w:rsidRDefault="0062433D" w:rsidP="006165C9">
            <w:pPr>
              <w:pStyle w:val="TableBodyText"/>
              <w:keepNext/>
              <w:spacing w:before="20" w:after="20" w:line="252" w:lineRule="auto"/>
              <w:jc w:val="center"/>
            </w:pPr>
            <w:r w:rsidRPr="007E0A3F">
              <w:t>$82.2</w:t>
            </w:r>
          </w:p>
        </w:tc>
        <w:tc>
          <w:tcPr>
            <w:tcW w:w="705" w:type="pct"/>
          </w:tcPr>
          <w:p w14:paraId="36ECD4ED" w14:textId="77777777" w:rsidR="0062433D" w:rsidRPr="007E0A3F" w:rsidRDefault="0062433D" w:rsidP="006165C9">
            <w:pPr>
              <w:pStyle w:val="TableBodyText"/>
              <w:keepNext/>
              <w:spacing w:before="20" w:after="20" w:line="252" w:lineRule="auto"/>
              <w:jc w:val="center"/>
            </w:pPr>
            <w:r w:rsidRPr="007E0A3F">
              <w:t>$8.6</w:t>
            </w:r>
          </w:p>
        </w:tc>
        <w:tc>
          <w:tcPr>
            <w:tcW w:w="853" w:type="pct"/>
          </w:tcPr>
          <w:p w14:paraId="36B15EB7" w14:textId="77777777" w:rsidR="0062433D" w:rsidRPr="007E0A3F" w:rsidRDefault="0062433D" w:rsidP="006165C9">
            <w:pPr>
              <w:pStyle w:val="TableBodyText"/>
              <w:keepNext/>
              <w:spacing w:before="20" w:after="20" w:line="252" w:lineRule="auto"/>
              <w:jc w:val="center"/>
            </w:pPr>
            <w:r w:rsidRPr="007E0A3F">
              <w:t>$37.6</w:t>
            </w:r>
          </w:p>
        </w:tc>
        <w:tc>
          <w:tcPr>
            <w:tcW w:w="795" w:type="pct"/>
          </w:tcPr>
          <w:p w14:paraId="4D8B6B6B" w14:textId="77777777" w:rsidR="0062433D" w:rsidRPr="007E0A3F" w:rsidRDefault="0062433D" w:rsidP="006165C9">
            <w:pPr>
              <w:pStyle w:val="TableBodyText"/>
              <w:keepNext/>
              <w:spacing w:before="20" w:after="20" w:line="252" w:lineRule="auto"/>
              <w:jc w:val="center"/>
            </w:pPr>
            <w:r w:rsidRPr="007E0A3F">
              <w:t>$128.5</w:t>
            </w:r>
          </w:p>
        </w:tc>
        <w:tc>
          <w:tcPr>
            <w:tcW w:w="750" w:type="pct"/>
          </w:tcPr>
          <w:p w14:paraId="78A4D902" w14:textId="77777777" w:rsidR="0062433D" w:rsidRPr="007E0A3F" w:rsidRDefault="0062433D" w:rsidP="006165C9">
            <w:pPr>
              <w:pStyle w:val="TableBodyText"/>
              <w:keepNext/>
              <w:spacing w:before="20" w:after="20" w:line="252" w:lineRule="auto"/>
              <w:jc w:val="center"/>
              <w:rPr>
                <w:b/>
              </w:rPr>
            </w:pPr>
            <w:r w:rsidRPr="007E0A3F">
              <w:rPr>
                <w:b/>
              </w:rPr>
              <w:t>$1,216.1</w:t>
            </w:r>
          </w:p>
        </w:tc>
      </w:tr>
      <w:tr w:rsidR="0033182E" w:rsidRPr="007E0A3F" w14:paraId="4750132A" w14:textId="77777777" w:rsidTr="00787C90">
        <w:tc>
          <w:tcPr>
            <w:tcW w:w="1050" w:type="pct"/>
          </w:tcPr>
          <w:p w14:paraId="3E88A6D8" w14:textId="77777777" w:rsidR="0062433D" w:rsidRPr="007E0A3F" w:rsidRDefault="0062433D" w:rsidP="006165C9">
            <w:pPr>
              <w:pStyle w:val="TableBodyText"/>
              <w:keepNext/>
              <w:spacing w:before="20" w:after="20" w:line="252" w:lineRule="auto"/>
            </w:pPr>
            <w:r w:rsidRPr="007E0A3F">
              <w:t xml:space="preserve">Option </w:t>
            </w:r>
            <w:r>
              <w:t>3</w:t>
            </w:r>
            <w:r w:rsidRPr="007E0A3F">
              <w:t>A</w:t>
            </w:r>
          </w:p>
        </w:tc>
        <w:tc>
          <w:tcPr>
            <w:tcW w:w="847" w:type="pct"/>
          </w:tcPr>
          <w:p w14:paraId="1B758317" w14:textId="77777777" w:rsidR="0062433D" w:rsidRPr="007E0A3F" w:rsidRDefault="0062433D" w:rsidP="006165C9">
            <w:pPr>
              <w:pStyle w:val="TableBodyText"/>
              <w:keepNext/>
              <w:spacing w:before="20" w:after="20" w:line="252" w:lineRule="auto"/>
              <w:jc w:val="center"/>
            </w:pPr>
            <w:r w:rsidRPr="007E0A3F">
              <w:t>$97.1</w:t>
            </w:r>
          </w:p>
        </w:tc>
        <w:tc>
          <w:tcPr>
            <w:tcW w:w="705" w:type="pct"/>
          </w:tcPr>
          <w:p w14:paraId="0632BBF0" w14:textId="77777777" w:rsidR="0062433D" w:rsidRPr="007E0A3F" w:rsidRDefault="0062433D" w:rsidP="006165C9">
            <w:pPr>
              <w:pStyle w:val="TableBodyText"/>
              <w:keepNext/>
              <w:spacing w:before="20" w:after="20" w:line="252" w:lineRule="auto"/>
              <w:jc w:val="center"/>
            </w:pPr>
            <w:r w:rsidRPr="007E0A3F">
              <w:t>$8.6</w:t>
            </w:r>
          </w:p>
        </w:tc>
        <w:tc>
          <w:tcPr>
            <w:tcW w:w="853" w:type="pct"/>
          </w:tcPr>
          <w:p w14:paraId="63608A9A" w14:textId="77777777" w:rsidR="0062433D" w:rsidRPr="007E0A3F" w:rsidRDefault="0062433D" w:rsidP="006165C9">
            <w:pPr>
              <w:pStyle w:val="TableBodyText"/>
              <w:keepNext/>
              <w:spacing w:before="20" w:after="20" w:line="252" w:lineRule="auto"/>
              <w:jc w:val="center"/>
            </w:pPr>
            <w:r w:rsidRPr="007E0A3F">
              <w:t>$57.7</w:t>
            </w:r>
          </w:p>
        </w:tc>
        <w:tc>
          <w:tcPr>
            <w:tcW w:w="795" w:type="pct"/>
          </w:tcPr>
          <w:p w14:paraId="09B21A6E" w14:textId="77777777" w:rsidR="0062433D" w:rsidRPr="007E0A3F" w:rsidRDefault="0062433D" w:rsidP="006165C9">
            <w:pPr>
              <w:pStyle w:val="TableBodyText"/>
              <w:keepNext/>
              <w:spacing w:before="20" w:after="20" w:line="252" w:lineRule="auto"/>
              <w:jc w:val="center"/>
            </w:pPr>
            <w:r w:rsidRPr="007E0A3F">
              <w:t>$163.3</w:t>
            </w:r>
          </w:p>
        </w:tc>
        <w:tc>
          <w:tcPr>
            <w:tcW w:w="750" w:type="pct"/>
          </w:tcPr>
          <w:p w14:paraId="10AC9155" w14:textId="77777777" w:rsidR="0062433D" w:rsidRPr="007E0A3F" w:rsidRDefault="0062433D" w:rsidP="006165C9">
            <w:pPr>
              <w:pStyle w:val="TableBodyText"/>
              <w:keepNext/>
              <w:spacing w:before="20" w:after="20" w:line="252" w:lineRule="auto"/>
              <w:jc w:val="center"/>
              <w:rPr>
                <w:b/>
              </w:rPr>
            </w:pPr>
            <w:r w:rsidRPr="007E0A3F">
              <w:rPr>
                <w:b/>
              </w:rPr>
              <w:t>$1,185.3</w:t>
            </w:r>
          </w:p>
        </w:tc>
      </w:tr>
      <w:tr w:rsidR="0033182E" w:rsidRPr="007E0A3F" w14:paraId="4CC38D12" w14:textId="77777777" w:rsidTr="00787C90">
        <w:trPr>
          <w:cnfStyle w:val="000000010000" w:firstRow="0" w:lastRow="0" w:firstColumn="0" w:lastColumn="0" w:oddVBand="0" w:evenVBand="0" w:oddHBand="0" w:evenHBand="1" w:firstRowFirstColumn="0" w:firstRowLastColumn="0" w:lastRowFirstColumn="0" w:lastRowLastColumn="0"/>
        </w:trPr>
        <w:tc>
          <w:tcPr>
            <w:tcW w:w="1050" w:type="pct"/>
            <w:tcBorders>
              <w:bottom w:val="single" w:sz="4" w:space="0" w:color="auto"/>
            </w:tcBorders>
          </w:tcPr>
          <w:p w14:paraId="65FC0F51" w14:textId="77777777" w:rsidR="0062433D" w:rsidRPr="007E0A3F" w:rsidRDefault="0062433D" w:rsidP="006165C9">
            <w:pPr>
              <w:pStyle w:val="TableBodyText"/>
              <w:keepNext/>
              <w:spacing w:before="20" w:after="20" w:line="252" w:lineRule="auto"/>
            </w:pPr>
            <w:r w:rsidRPr="007E0A3F">
              <w:t xml:space="preserve">Option </w:t>
            </w:r>
            <w:r>
              <w:t>3</w:t>
            </w:r>
            <w:r w:rsidRPr="007E0A3F">
              <w:t>B</w:t>
            </w:r>
          </w:p>
        </w:tc>
        <w:tc>
          <w:tcPr>
            <w:tcW w:w="847" w:type="pct"/>
            <w:tcBorders>
              <w:bottom w:val="single" w:sz="4" w:space="0" w:color="auto"/>
            </w:tcBorders>
          </w:tcPr>
          <w:p w14:paraId="11E48732" w14:textId="77777777" w:rsidR="0062433D" w:rsidRPr="007E0A3F" w:rsidRDefault="0062433D" w:rsidP="006165C9">
            <w:pPr>
              <w:pStyle w:val="TableBodyText"/>
              <w:keepNext/>
              <w:spacing w:before="20" w:after="20" w:line="252" w:lineRule="auto"/>
              <w:jc w:val="center"/>
            </w:pPr>
            <w:r w:rsidRPr="007E0A3F">
              <w:t>$102.7</w:t>
            </w:r>
          </w:p>
        </w:tc>
        <w:tc>
          <w:tcPr>
            <w:tcW w:w="705" w:type="pct"/>
            <w:tcBorders>
              <w:bottom w:val="single" w:sz="4" w:space="0" w:color="auto"/>
            </w:tcBorders>
          </w:tcPr>
          <w:p w14:paraId="07234ACE" w14:textId="77777777" w:rsidR="0062433D" w:rsidRPr="007E0A3F" w:rsidRDefault="0062433D" w:rsidP="006165C9">
            <w:pPr>
              <w:pStyle w:val="TableBodyText"/>
              <w:keepNext/>
              <w:spacing w:before="20" w:after="20" w:line="252" w:lineRule="auto"/>
              <w:jc w:val="center"/>
            </w:pPr>
            <w:r w:rsidRPr="007E0A3F">
              <w:t>$8.6</w:t>
            </w:r>
          </w:p>
        </w:tc>
        <w:tc>
          <w:tcPr>
            <w:tcW w:w="853" w:type="pct"/>
            <w:tcBorders>
              <w:bottom w:val="single" w:sz="4" w:space="0" w:color="auto"/>
            </w:tcBorders>
          </w:tcPr>
          <w:p w14:paraId="6FF978CE" w14:textId="77777777" w:rsidR="0062433D" w:rsidRPr="007E0A3F" w:rsidRDefault="0062433D" w:rsidP="006165C9">
            <w:pPr>
              <w:pStyle w:val="TableBodyText"/>
              <w:keepNext/>
              <w:spacing w:before="20" w:after="20" w:line="252" w:lineRule="auto"/>
              <w:jc w:val="center"/>
            </w:pPr>
            <w:r w:rsidRPr="007E0A3F">
              <w:t>$56.9</w:t>
            </w:r>
          </w:p>
        </w:tc>
        <w:tc>
          <w:tcPr>
            <w:tcW w:w="795" w:type="pct"/>
            <w:tcBorders>
              <w:bottom w:val="single" w:sz="4" w:space="0" w:color="auto"/>
            </w:tcBorders>
          </w:tcPr>
          <w:p w14:paraId="509C6AF9" w14:textId="77777777" w:rsidR="0062433D" w:rsidRPr="007E0A3F" w:rsidRDefault="0062433D" w:rsidP="006165C9">
            <w:pPr>
              <w:pStyle w:val="TableBodyText"/>
              <w:keepNext/>
              <w:spacing w:before="20" w:after="20" w:line="252" w:lineRule="auto"/>
              <w:jc w:val="center"/>
            </w:pPr>
            <w:r w:rsidRPr="007E0A3F">
              <w:t>$168.2</w:t>
            </w:r>
          </w:p>
        </w:tc>
        <w:tc>
          <w:tcPr>
            <w:tcW w:w="750" w:type="pct"/>
            <w:tcBorders>
              <w:bottom w:val="single" w:sz="4" w:space="0" w:color="auto"/>
            </w:tcBorders>
          </w:tcPr>
          <w:p w14:paraId="1BC0C147" w14:textId="77777777" w:rsidR="0062433D" w:rsidRPr="007E0A3F" w:rsidRDefault="0062433D" w:rsidP="006165C9">
            <w:pPr>
              <w:pStyle w:val="TableBodyText"/>
              <w:keepNext/>
              <w:spacing w:before="20" w:after="20" w:line="252" w:lineRule="auto"/>
              <w:jc w:val="center"/>
              <w:rPr>
                <w:b/>
              </w:rPr>
            </w:pPr>
            <w:r w:rsidRPr="007E0A3F">
              <w:rPr>
                <w:b/>
              </w:rPr>
              <w:t>$1,179.8</w:t>
            </w:r>
          </w:p>
        </w:tc>
      </w:tr>
      <w:tr w:rsidR="0062433D" w:rsidRPr="007E0A3F" w14:paraId="339E979D" w14:textId="77777777" w:rsidTr="00787C90">
        <w:tc>
          <w:tcPr>
            <w:tcW w:w="1050" w:type="pct"/>
          </w:tcPr>
          <w:p w14:paraId="0507C1EF" w14:textId="77777777" w:rsidR="0062433D" w:rsidRPr="007E0A3F" w:rsidRDefault="0062433D" w:rsidP="006165C9">
            <w:pPr>
              <w:pStyle w:val="TableBodyText"/>
              <w:keepNext/>
              <w:spacing w:before="20" w:after="20" w:line="252" w:lineRule="auto"/>
            </w:pPr>
            <w:r w:rsidRPr="007E0A3F">
              <w:t>Option 4</w:t>
            </w:r>
          </w:p>
        </w:tc>
        <w:tc>
          <w:tcPr>
            <w:tcW w:w="847" w:type="pct"/>
          </w:tcPr>
          <w:p w14:paraId="15A7B1DD" w14:textId="77777777" w:rsidR="0062433D" w:rsidRPr="007E0A3F" w:rsidRDefault="0062433D" w:rsidP="006165C9">
            <w:pPr>
              <w:pStyle w:val="TableBodyText"/>
              <w:keepNext/>
              <w:spacing w:before="20" w:after="20" w:line="252" w:lineRule="auto"/>
              <w:jc w:val="center"/>
            </w:pPr>
            <w:r w:rsidRPr="007E0A3F">
              <w:t>$105.3</w:t>
            </w:r>
            <w:r w:rsidR="00F80310">
              <w:rPr>
                <w:vertAlign w:val="superscript"/>
              </w:rPr>
              <w:t>f</w:t>
            </w:r>
          </w:p>
        </w:tc>
        <w:tc>
          <w:tcPr>
            <w:tcW w:w="705" w:type="pct"/>
          </w:tcPr>
          <w:p w14:paraId="5D5F1C10" w14:textId="77777777" w:rsidR="0062433D" w:rsidRPr="007E0A3F" w:rsidRDefault="0062433D" w:rsidP="006165C9">
            <w:pPr>
              <w:pStyle w:val="TableBodyText"/>
              <w:keepNext/>
              <w:spacing w:before="20" w:after="20" w:line="252" w:lineRule="auto"/>
              <w:jc w:val="center"/>
            </w:pPr>
            <w:r w:rsidRPr="007E0A3F">
              <w:t>$8.6</w:t>
            </w:r>
          </w:p>
        </w:tc>
        <w:tc>
          <w:tcPr>
            <w:tcW w:w="853" w:type="pct"/>
          </w:tcPr>
          <w:p w14:paraId="24C4752B" w14:textId="77777777" w:rsidR="0062433D" w:rsidRPr="007E0A3F" w:rsidRDefault="0062433D" w:rsidP="006165C9">
            <w:pPr>
              <w:pStyle w:val="TableBodyText"/>
              <w:keepNext/>
              <w:spacing w:before="20" w:after="20" w:line="252" w:lineRule="auto"/>
              <w:jc w:val="center"/>
            </w:pPr>
            <w:r w:rsidRPr="007E0A3F">
              <w:t>$57.3</w:t>
            </w:r>
            <w:r w:rsidR="00F80310">
              <w:rPr>
                <w:vertAlign w:val="superscript"/>
              </w:rPr>
              <w:t>f</w:t>
            </w:r>
          </w:p>
        </w:tc>
        <w:tc>
          <w:tcPr>
            <w:tcW w:w="795" w:type="pct"/>
          </w:tcPr>
          <w:p w14:paraId="1FCFC6EB" w14:textId="77777777" w:rsidR="0062433D" w:rsidRPr="007E0A3F" w:rsidRDefault="0062433D" w:rsidP="006165C9">
            <w:pPr>
              <w:pStyle w:val="TableBodyText"/>
              <w:keepNext/>
              <w:spacing w:before="20" w:after="20" w:line="252" w:lineRule="auto"/>
              <w:jc w:val="center"/>
            </w:pPr>
            <w:r w:rsidRPr="007E0A3F">
              <w:t>$171.2</w:t>
            </w:r>
          </w:p>
        </w:tc>
        <w:tc>
          <w:tcPr>
            <w:tcW w:w="750" w:type="pct"/>
          </w:tcPr>
          <w:p w14:paraId="010EE61D" w14:textId="77777777" w:rsidR="0062433D" w:rsidRPr="007E0A3F" w:rsidRDefault="0062433D" w:rsidP="006165C9">
            <w:pPr>
              <w:pStyle w:val="TableBodyText"/>
              <w:keepNext/>
              <w:spacing w:before="20" w:after="20" w:line="252" w:lineRule="auto"/>
              <w:jc w:val="center"/>
              <w:rPr>
                <w:b/>
              </w:rPr>
            </w:pPr>
            <w:r w:rsidRPr="007E0A3F">
              <w:rPr>
                <w:b/>
              </w:rPr>
              <w:t>$1,177.1</w:t>
            </w:r>
          </w:p>
        </w:tc>
      </w:tr>
      <w:tr w:rsidR="0062433D" w:rsidRPr="008E6AF0" w14:paraId="237F7F3B" w14:textId="77777777" w:rsidTr="00CF688C">
        <w:trPr>
          <w:cnfStyle w:val="000000010000" w:firstRow="0" w:lastRow="0" w:firstColumn="0" w:lastColumn="0" w:oddVBand="0" w:evenVBand="0" w:oddHBand="0" w:evenHBand="1" w:firstRowFirstColumn="0" w:firstRowLastColumn="0" w:lastRowFirstColumn="0" w:lastRowLastColumn="0"/>
        </w:trPr>
        <w:tc>
          <w:tcPr>
            <w:tcW w:w="5000" w:type="pct"/>
            <w:gridSpan w:val="6"/>
            <w:shd w:val="clear" w:color="auto" w:fill="65697F" w:themeFill="background2" w:themeFillShade="80"/>
          </w:tcPr>
          <w:p w14:paraId="662B3AE6" w14:textId="77777777" w:rsidR="0062433D" w:rsidRPr="008E6AF0" w:rsidRDefault="0062433D" w:rsidP="006165C9">
            <w:pPr>
              <w:pStyle w:val="TableBodyText"/>
              <w:keepNext/>
              <w:spacing w:before="20" w:after="20" w:line="252" w:lineRule="auto"/>
              <w:jc w:val="center"/>
              <w:rPr>
                <w:b/>
                <w:bCs/>
                <w:color w:val="FFFFFF" w:themeColor="background1"/>
              </w:rPr>
            </w:pPr>
            <w:r w:rsidRPr="008E6AF0">
              <w:rPr>
                <w:b/>
                <w:bCs/>
                <w:color w:val="FFFFFF" w:themeColor="background1"/>
              </w:rPr>
              <w:t>Scenario 2 - Low Impact</w:t>
            </w:r>
          </w:p>
        </w:tc>
      </w:tr>
      <w:tr w:rsidR="0062433D" w:rsidRPr="007E0A3F" w14:paraId="4086FC00" w14:textId="77777777" w:rsidTr="00787C90">
        <w:tc>
          <w:tcPr>
            <w:tcW w:w="1050" w:type="pct"/>
          </w:tcPr>
          <w:p w14:paraId="6D40CB5B" w14:textId="77777777" w:rsidR="0062433D" w:rsidRPr="007E0A3F" w:rsidRDefault="0062433D" w:rsidP="006165C9">
            <w:pPr>
              <w:pStyle w:val="TableBodyText"/>
              <w:keepNext/>
              <w:spacing w:before="20" w:after="20" w:line="252" w:lineRule="auto"/>
            </w:pPr>
            <w:r w:rsidRPr="007E0A3F">
              <w:t>Option 2</w:t>
            </w:r>
          </w:p>
        </w:tc>
        <w:tc>
          <w:tcPr>
            <w:tcW w:w="847" w:type="pct"/>
          </w:tcPr>
          <w:p w14:paraId="69C6427D" w14:textId="77777777" w:rsidR="0062433D" w:rsidRPr="007E0A3F" w:rsidRDefault="0062433D" w:rsidP="006165C9">
            <w:pPr>
              <w:pStyle w:val="TableBodyText"/>
              <w:keepNext/>
              <w:spacing w:before="20" w:after="20" w:line="252" w:lineRule="auto"/>
              <w:jc w:val="center"/>
            </w:pPr>
            <w:r w:rsidRPr="007E0A3F">
              <w:t>$39.9</w:t>
            </w:r>
          </w:p>
        </w:tc>
        <w:tc>
          <w:tcPr>
            <w:tcW w:w="705" w:type="pct"/>
          </w:tcPr>
          <w:p w14:paraId="75F1ACEB" w14:textId="77777777" w:rsidR="0062433D" w:rsidRPr="007E0A3F" w:rsidRDefault="0062433D" w:rsidP="006165C9">
            <w:pPr>
              <w:pStyle w:val="TableBodyText"/>
              <w:keepNext/>
              <w:spacing w:before="20" w:after="20" w:line="252" w:lineRule="auto"/>
              <w:jc w:val="center"/>
            </w:pPr>
            <w:r w:rsidRPr="007E0A3F">
              <w:t>$2.1</w:t>
            </w:r>
          </w:p>
        </w:tc>
        <w:tc>
          <w:tcPr>
            <w:tcW w:w="853" w:type="pct"/>
          </w:tcPr>
          <w:p w14:paraId="5383A8B5" w14:textId="77777777" w:rsidR="0062433D" w:rsidRPr="007E0A3F" w:rsidRDefault="0062433D" w:rsidP="006165C9">
            <w:pPr>
              <w:pStyle w:val="TableBodyText"/>
              <w:keepNext/>
              <w:spacing w:before="20" w:after="20" w:line="252" w:lineRule="auto"/>
              <w:jc w:val="center"/>
            </w:pPr>
            <w:r w:rsidRPr="007E0A3F">
              <w:t>$20.0</w:t>
            </w:r>
          </w:p>
        </w:tc>
        <w:tc>
          <w:tcPr>
            <w:tcW w:w="795" w:type="pct"/>
          </w:tcPr>
          <w:p w14:paraId="7CEC12F9" w14:textId="77777777" w:rsidR="0062433D" w:rsidRPr="007E0A3F" w:rsidRDefault="0062433D" w:rsidP="006165C9">
            <w:pPr>
              <w:pStyle w:val="TableBodyText"/>
              <w:keepNext/>
              <w:spacing w:before="20" w:after="20" w:line="252" w:lineRule="auto"/>
              <w:jc w:val="center"/>
            </w:pPr>
            <w:r w:rsidRPr="007E0A3F">
              <w:t>$61.9</w:t>
            </w:r>
          </w:p>
        </w:tc>
        <w:tc>
          <w:tcPr>
            <w:tcW w:w="750" w:type="pct"/>
          </w:tcPr>
          <w:p w14:paraId="07A0D7E4" w14:textId="77777777" w:rsidR="0062433D" w:rsidRPr="007E0A3F" w:rsidRDefault="0062433D" w:rsidP="006165C9">
            <w:pPr>
              <w:pStyle w:val="TableBodyText"/>
              <w:keepNext/>
              <w:spacing w:before="20" w:after="20" w:line="252" w:lineRule="auto"/>
              <w:jc w:val="center"/>
              <w:rPr>
                <w:b/>
              </w:rPr>
            </w:pPr>
            <w:r w:rsidRPr="007E0A3F">
              <w:rPr>
                <w:b/>
              </w:rPr>
              <w:t>$263.3</w:t>
            </w:r>
          </w:p>
        </w:tc>
      </w:tr>
      <w:tr w:rsidR="0062433D" w:rsidRPr="007E0A3F" w14:paraId="7F260408" w14:textId="77777777" w:rsidTr="00787C90">
        <w:trPr>
          <w:cnfStyle w:val="000000010000" w:firstRow="0" w:lastRow="0" w:firstColumn="0" w:lastColumn="0" w:oddVBand="0" w:evenVBand="0" w:oddHBand="0" w:evenHBand="1" w:firstRowFirstColumn="0" w:firstRowLastColumn="0" w:lastRowFirstColumn="0" w:lastRowLastColumn="0"/>
        </w:trPr>
        <w:tc>
          <w:tcPr>
            <w:tcW w:w="1050" w:type="pct"/>
          </w:tcPr>
          <w:p w14:paraId="157E725B" w14:textId="77777777" w:rsidR="0062433D" w:rsidRPr="007E0A3F" w:rsidRDefault="0062433D" w:rsidP="006165C9">
            <w:pPr>
              <w:pStyle w:val="TableBodyText"/>
              <w:keepNext/>
              <w:spacing w:before="20" w:after="20" w:line="252" w:lineRule="auto"/>
            </w:pPr>
            <w:r w:rsidRPr="007E0A3F">
              <w:t xml:space="preserve">Option </w:t>
            </w:r>
            <w:r>
              <w:t>3</w:t>
            </w:r>
            <w:r w:rsidRPr="007E0A3F">
              <w:t>A</w:t>
            </w:r>
          </w:p>
        </w:tc>
        <w:tc>
          <w:tcPr>
            <w:tcW w:w="847" w:type="pct"/>
          </w:tcPr>
          <w:p w14:paraId="2EF5C52E" w14:textId="77777777" w:rsidR="0062433D" w:rsidRPr="007E0A3F" w:rsidRDefault="0062433D" w:rsidP="006165C9">
            <w:pPr>
              <w:pStyle w:val="TableBodyText"/>
              <w:keepNext/>
              <w:spacing w:before="20" w:after="20" w:line="252" w:lineRule="auto"/>
              <w:jc w:val="center"/>
            </w:pPr>
            <w:r w:rsidRPr="007E0A3F">
              <w:t>$48.1</w:t>
            </w:r>
          </w:p>
        </w:tc>
        <w:tc>
          <w:tcPr>
            <w:tcW w:w="705" w:type="pct"/>
          </w:tcPr>
          <w:p w14:paraId="259A516D" w14:textId="77777777" w:rsidR="0062433D" w:rsidRPr="007E0A3F" w:rsidRDefault="0062433D" w:rsidP="006165C9">
            <w:pPr>
              <w:pStyle w:val="TableBodyText"/>
              <w:keepNext/>
              <w:spacing w:before="20" w:after="20" w:line="252" w:lineRule="auto"/>
              <w:jc w:val="center"/>
            </w:pPr>
            <w:r w:rsidRPr="007E0A3F">
              <w:t>$2.1</w:t>
            </w:r>
          </w:p>
        </w:tc>
        <w:tc>
          <w:tcPr>
            <w:tcW w:w="853" w:type="pct"/>
          </w:tcPr>
          <w:p w14:paraId="2C3282AA" w14:textId="77777777" w:rsidR="0062433D" w:rsidRPr="007E0A3F" w:rsidRDefault="0062433D" w:rsidP="006165C9">
            <w:pPr>
              <w:pStyle w:val="TableBodyText"/>
              <w:keepNext/>
              <w:spacing w:before="20" w:after="20" w:line="252" w:lineRule="auto"/>
              <w:jc w:val="center"/>
            </w:pPr>
            <w:r w:rsidRPr="007E0A3F">
              <w:t>$40.6</w:t>
            </w:r>
          </w:p>
        </w:tc>
        <w:tc>
          <w:tcPr>
            <w:tcW w:w="795" w:type="pct"/>
          </w:tcPr>
          <w:p w14:paraId="28CB72D9" w14:textId="77777777" w:rsidR="0062433D" w:rsidRPr="007E0A3F" w:rsidRDefault="0062433D" w:rsidP="006165C9">
            <w:pPr>
              <w:pStyle w:val="TableBodyText"/>
              <w:keepNext/>
              <w:spacing w:before="20" w:after="20" w:line="252" w:lineRule="auto"/>
              <w:jc w:val="center"/>
            </w:pPr>
            <w:r w:rsidRPr="007E0A3F">
              <w:t>$90.8</w:t>
            </w:r>
          </w:p>
        </w:tc>
        <w:tc>
          <w:tcPr>
            <w:tcW w:w="750" w:type="pct"/>
          </w:tcPr>
          <w:p w14:paraId="2001C66D" w14:textId="77777777" w:rsidR="0062433D" w:rsidRPr="007E0A3F" w:rsidRDefault="0062433D" w:rsidP="006165C9">
            <w:pPr>
              <w:pStyle w:val="TableBodyText"/>
              <w:keepNext/>
              <w:spacing w:before="20" w:after="20" w:line="252" w:lineRule="auto"/>
              <w:jc w:val="center"/>
              <w:rPr>
                <w:b/>
              </w:rPr>
            </w:pPr>
            <w:r w:rsidRPr="007E0A3F">
              <w:rPr>
                <w:b/>
              </w:rPr>
              <w:t>$238.4</w:t>
            </w:r>
          </w:p>
        </w:tc>
      </w:tr>
      <w:tr w:rsidR="0033182E" w:rsidRPr="007E0A3F" w14:paraId="1FB79524" w14:textId="77777777" w:rsidTr="00787C90">
        <w:tc>
          <w:tcPr>
            <w:tcW w:w="1050" w:type="pct"/>
          </w:tcPr>
          <w:p w14:paraId="7075AF33" w14:textId="77777777" w:rsidR="0062433D" w:rsidRPr="007E0A3F" w:rsidRDefault="0062433D" w:rsidP="006165C9">
            <w:pPr>
              <w:pStyle w:val="TableBodyText"/>
              <w:keepNext/>
              <w:spacing w:before="20" w:after="20" w:line="252" w:lineRule="auto"/>
            </w:pPr>
            <w:r w:rsidRPr="007E0A3F">
              <w:t xml:space="preserve">Option </w:t>
            </w:r>
            <w:r>
              <w:t>3</w:t>
            </w:r>
            <w:r w:rsidRPr="007E0A3F">
              <w:t>B</w:t>
            </w:r>
          </w:p>
        </w:tc>
        <w:tc>
          <w:tcPr>
            <w:tcW w:w="847" w:type="pct"/>
          </w:tcPr>
          <w:p w14:paraId="6DCF20F3" w14:textId="77777777" w:rsidR="0062433D" w:rsidRPr="007E0A3F" w:rsidRDefault="0062433D" w:rsidP="006165C9">
            <w:pPr>
              <w:pStyle w:val="TableBodyText"/>
              <w:keepNext/>
              <w:spacing w:before="20" w:after="20" w:line="252" w:lineRule="auto"/>
              <w:jc w:val="center"/>
            </w:pPr>
            <w:r w:rsidRPr="007E0A3F">
              <w:t>$51.9</w:t>
            </w:r>
          </w:p>
        </w:tc>
        <w:tc>
          <w:tcPr>
            <w:tcW w:w="705" w:type="pct"/>
          </w:tcPr>
          <w:p w14:paraId="3E2FF9FF" w14:textId="77777777" w:rsidR="0062433D" w:rsidRPr="007E0A3F" w:rsidRDefault="0062433D" w:rsidP="006165C9">
            <w:pPr>
              <w:pStyle w:val="TableBodyText"/>
              <w:keepNext/>
              <w:spacing w:before="20" w:after="20" w:line="252" w:lineRule="auto"/>
              <w:jc w:val="center"/>
            </w:pPr>
            <w:r w:rsidRPr="007E0A3F">
              <w:t>$2.1</w:t>
            </w:r>
          </w:p>
        </w:tc>
        <w:tc>
          <w:tcPr>
            <w:tcW w:w="853" w:type="pct"/>
          </w:tcPr>
          <w:p w14:paraId="51967EE2" w14:textId="77777777" w:rsidR="0062433D" w:rsidRPr="007E0A3F" w:rsidRDefault="0062433D" w:rsidP="006165C9">
            <w:pPr>
              <w:pStyle w:val="TableBodyText"/>
              <w:keepNext/>
              <w:spacing w:before="20" w:after="20" w:line="252" w:lineRule="auto"/>
              <w:jc w:val="center"/>
            </w:pPr>
            <w:r w:rsidRPr="007E0A3F">
              <w:t>$40.0</w:t>
            </w:r>
          </w:p>
        </w:tc>
        <w:tc>
          <w:tcPr>
            <w:tcW w:w="795" w:type="pct"/>
          </w:tcPr>
          <w:p w14:paraId="158E7660" w14:textId="77777777" w:rsidR="0062433D" w:rsidRPr="007E0A3F" w:rsidRDefault="0062433D" w:rsidP="006165C9">
            <w:pPr>
              <w:pStyle w:val="TableBodyText"/>
              <w:keepNext/>
              <w:spacing w:before="20" w:after="20" w:line="252" w:lineRule="auto"/>
              <w:jc w:val="center"/>
            </w:pPr>
            <w:r w:rsidRPr="007E0A3F">
              <w:t>$94.0</w:t>
            </w:r>
          </w:p>
        </w:tc>
        <w:tc>
          <w:tcPr>
            <w:tcW w:w="750" w:type="pct"/>
          </w:tcPr>
          <w:p w14:paraId="1560054A" w14:textId="77777777" w:rsidR="0062433D" w:rsidRPr="007E0A3F" w:rsidRDefault="0062433D" w:rsidP="006165C9">
            <w:pPr>
              <w:pStyle w:val="TableBodyText"/>
              <w:keepNext/>
              <w:spacing w:before="20" w:after="20" w:line="252" w:lineRule="auto"/>
              <w:jc w:val="center"/>
              <w:rPr>
                <w:b/>
              </w:rPr>
            </w:pPr>
            <w:r w:rsidRPr="007E0A3F">
              <w:rPr>
                <w:b/>
              </w:rPr>
              <w:t>$234.7</w:t>
            </w:r>
          </w:p>
        </w:tc>
      </w:tr>
      <w:tr w:rsidR="0062433D" w:rsidRPr="007E0A3F" w14:paraId="30DF1F35" w14:textId="77777777" w:rsidTr="00787C90">
        <w:trPr>
          <w:cnfStyle w:val="000000010000" w:firstRow="0" w:lastRow="0" w:firstColumn="0" w:lastColumn="0" w:oddVBand="0" w:evenVBand="0" w:oddHBand="0" w:evenHBand="1" w:firstRowFirstColumn="0" w:firstRowLastColumn="0" w:lastRowFirstColumn="0" w:lastRowLastColumn="0"/>
        </w:trPr>
        <w:tc>
          <w:tcPr>
            <w:tcW w:w="1050" w:type="pct"/>
          </w:tcPr>
          <w:p w14:paraId="60E154D3" w14:textId="77777777" w:rsidR="0062433D" w:rsidRPr="007E0A3F" w:rsidRDefault="0062433D" w:rsidP="006165C9">
            <w:pPr>
              <w:pStyle w:val="TableBodyText"/>
              <w:keepNext/>
              <w:spacing w:before="20" w:after="20" w:line="252" w:lineRule="auto"/>
            </w:pPr>
            <w:r w:rsidRPr="007E0A3F">
              <w:t>Option 4</w:t>
            </w:r>
          </w:p>
        </w:tc>
        <w:tc>
          <w:tcPr>
            <w:tcW w:w="847" w:type="pct"/>
          </w:tcPr>
          <w:p w14:paraId="3F801F2F" w14:textId="77777777" w:rsidR="0062433D" w:rsidRPr="007E0A3F" w:rsidRDefault="0062433D" w:rsidP="006165C9">
            <w:pPr>
              <w:pStyle w:val="TableBodyText"/>
              <w:keepNext/>
              <w:spacing w:before="20" w:after="20" w:line="252" w:lineRule="auto"/>
              <w:jc w:val="center"/>
            </w:pPr>
            <w:r w:rsidRPr="007E0A3F">
              <w:t>$54.4</w:t>
            </w:r>
            <w:r w:rsidR="00F80310">
              <w:rPr>
                <w:vertAlign w:val="superscript"/>
              </w:rPr>
              <w:t>f</w:t>
            </w:r>
          </w:p>
        </w:tc>
        <w:tc>
          <w:tcPr>
            <w:tcW w:w="705" w:type="pct"/>
          </w:tcPr>
          <w:p w14:paraId="31392392" w14:textId="77777777" w:rsidR="0062433D" w:rsidRPr="007E0A3F" w:rsidRDefault="0062433D" w:rsidP="006165C9">
            <w:pPr>
              <w:pStyle w:val="TableBodyText"/>
              <w:keepNext/>
              <w:spacing w:before="20" w:after="20" w:line="252" w:lineRule="auto"/>
              <w:jc w:val="center"/>
            </w:pPr>
            <w:r w:rsidRPr="007E0A3F">
              <w:t>$2.1</w:t>
            </w:r>
          </w:p>
        </w:tc>
        <w:tc>
          <w:tcPr>
            <w:tcW w:w="853" w:type="pct"/>
          </w:tcPr>
          <w:p w14:paraId="7816552D" w14:textId="77777777" w:rsidR="0062433D" w:rsidRPr="007E0A3F" w:rsidRDefault="0062433D" w:rsidP="006165C9">
            <w:pPr>
              <w:pStyle w:val="TableBodyText"/>
              <w:keepNext/>
              <w:spacing w:before="20" w:after="20" w:line="252" w:lineRule="auto"/>
              <w:jc w:val="center"/>
            </w:pPr>
            <w:r w:rsidRPr="007E0A3F">
              <w:t>$40.3</w:t>
            </w:r>
            <w:r w:rsidR="00F80310">
              <w:rPr>
                <w:vertAlign w:val="superscript"/>
              </w:rPr>
              <w:t>f</w:t>
            </w:r>
          </w:p>
        </w:tc>
        <w:tc>
          <w:tcPr>
            <w:tcW w:w="795" w:type="pct"/>
          </w:tcPr>
          <w:p w14:paraId="0BCEA7F2" w14:textId="77777777" w:rsidR="0062433D" w:rsidRPr="007E0A3F" w:rsidRDefault="0062433D" w:rsidP="006165C9">
            <w:pPr>
              <w:pStyle w:val="TableBodyText"/>
              <w:keepNext/>
              <w:spacing w:before="20" w:after="20" w:line="252" w:lineRule="auto"/>
              <w:jc w:val="center"/>
            </w:pPr>
            <w:r w:rsidRPr="007E0A3F">
              <w:t>$96.8</w:t>
            </w:r>
          </w:p>
        </w:tc>
        <w:tc>
          <w:tcPr>
            <w:tcW w:w="750" w:type="pct"/>
          </w:tcPr>
          <w:p w14:paraId="120DA77D" w14:textId="77777777" w:rsidR="0062433D" w:rsidRPr="007E0A3F" w:rsidRDefault="0062433D" w:rsidP="006165C9">
            <w:pPr>
              <w:pStyle w:val="TableBodyText"/>
              <w:keepNext/>
              <w:spacing w:before="20" w:after="20" w:line="252" w:lineRule="auto"/>
              <w:jc w:val="center"/>
              <w:rPr>
                <w:b/>
              </w:rPr>
            </w:pPr>
            <w:r w:rsidRPr="007E0A3F">
              <w:rPr>
                <w:b/>
              </w:rPr>
              <w:t>$232.2</w:t>
            </w:r>
          </w:p>
        </w:tc>
      </w:tr>
    </w:tbl>
    <w:p w14:paraId="7ABD01F4" w14:textId="77777777" w:rsidR="0062433D" w:rsidRPr="004A0D8B" w:rsidRDefault="0062433D" w:rsidP="006165C9">
      <w:pPr>
        <w:pStyle w:val="BodyText"/>
        <w:keepNext/>
        <w:spacing w:before="0" w:after="0"/>
        <w:rPr>
          <w:sz w:val="16"/>
        </w:rPr>
      </w:pPr>
      <w:r w:rsidRPr="004A0D8B">
        <w:rPr>
          <w:sz w:val="16"/>
        </w:rPr>
        <w:t>Source: PwC analysis</w:t>
      </w:r>
    </w:p>
    <w:p w14:paraId="4000D557" w14:textId="77777777" w:rsidR="0062433D" w:rsidRDefault="0062433D" w:rsidP="006165C9">
      <w:pPr>
        <w:pStyle w:val="BodyText"/>
        <w:keepNext/>
        <w:spacing w:before="0" w:after="0"/>
        <w:rPr>
          <w:sz w:val="16"/>
        </w:rPr>
      </w:pPr>
      <w:r w:rsidRPr="004A0D8B">
        <w:rPr>
          <w:sz w:val="16"/>
        </w:rPr>
        <w:t xml:space="preserve">Notes: </w:t>
      </w:r>
      <w:r w:rsidRPr="004A0D8B">
        <w:rPr>
          <w:sz w:val="16"/>
        </w:rPr>
        <w:br/>
        <w:t xml:space="preserve">(a) NPV calculated for a 20-year period with a 7% discount rate. </w:t>
      </w:r>
    </w:p>
    <w:p w14:paraId="7B05536D" w14:textId="77777777" w:rsidR="00F80310" w:rsidRDefault="00F80310" w:rsidP="006165C9">
      <w:pPr>
        <w:pStyle w:val="BodyText"/>
        <w:keepNext/>
        <w:spacing w:before="0" w:after="0"/>
        <w:rPr>
          <w:sz w:val="16"/>
        </w:rPr>
      </w:pPr>
      <w:r>
        <w:rPr>
          <w:sz w:val="16"/>
        </w:rPr>
        <w:t>(b)</w:t>
      </w:r>
      <w:r w:rsidR="003A7A7D">
        <w:rPr>
          <w:sz w:val="16"/>
        </w:rPr>
        <w:t xml:space="preserve"> </w:t>
      </w:r>
      <w:r w:rsidR="00437442">
        <w:rPr>
          <w:sz w:val="16"/>
        </w:rPr>
        <w:t>These costs include</w:t>
      </w:r>
      <w:r w:rsidR="00BF0D95">
        <w:rPr>
          <w:sz w:val="16"/>
        </w:rPr>
        <w:t>:</w:t>
      </w:r>
      <w:r w:rsidR="00437442">
        <w:rPr>
          <w:sz w:val="16"/>
        </w:rPr>
        <w:t xml:space="preserve"> the implementation costs associated with service providers moving to the </w:t>
      </w:r>
      <w:r w:rsidR="00531979">
        <w:rPr>
          <w:sz w:val="16"/>
        </w:rPr>
        <w:t>stronger</w:t>
      </w:r>
      <w:r w:rsidR="00437442">
        <w:rPr>
          <w:sz w:val="16"/>
        </w:rPr>
        <w:t xml:space="preserve"> form of regulation ($0.57 m per service provider) and to the </w:t>
      </w:r>
      <w:r w:rsidR="00531979">
        <w:rPr>
          <w:sz w:val="16"/>
        </w:rPr>
        <w:t>lighter</w:t>
      </w:r>
      <w:r w:rsidR="00437442">
        <w:rPr>
          <w:sz w:val="16"/>
        </w:rPr>
        <w:t xml:space="preserve"> form of regulation ($0.24 m per service provider)</w:t>
      </w:r>
      <w:r w:rsidR="00BF0D95">
        <w:rPr>
          <w:sz w:val="16"/>
        </w:rPr>
        <w:t>;</w:t>
      </w:r>
      <w:r w:rsidR="00437442">
        <w:rPr>
          <w:sz w:val="16"/>
        </w:rPr>
        <w:t xml:space="preserve"> </w:t>
      </w:r>
      <w:r w:rsidR="00BF0D95">
        <w:rPr>
          <w:sz w:val="16"/>
        </w:rPr>
        <w:t xml:space="preserve">the </w:t>
      </w:r>
      <w:r w:rsidR="00437442">
        <w:rPr>
          <w:sz w:val="16"/>
        </w:rPr>
        <w:t>access costs</w:t>
      </w:r>
      <w:r w:rsidR="00BF0D95">
        <w:rPr>
          <w:sz w:val="16"/>
        </w:rPr>
        <w:t xml:space="preserve"> associated with </w:t>
      </w:r>
      <w:r w:rsidR="0036773E">
        <w:rPr>
          <w:sz w:val="16"/>
        </w:rPr>
        <w:t xml:space="preserve">moving to the </w:t>
      </w:r>
      <w:r w:rsidR="00531979">
        <w:rPr>
          <w:sz w:val="16"/>
        </w:rPr>
        <w:t>stronger</w:t>
      </w:r>
      <w:r w:rsidR="0036773E">
        <w:rPr>
          <w:sz w:val="16"/>
        </w:rPr>
        <w:t xml:space="preserve"> form of regulation ($2.7 m per </w:t>
      </w:r>
      <w:r w:rsidR="005A1AB7">
        <w:rPr>
          <w:sz w:val="16"/>
        </w:rPr>
        <w:t>AA</w:t>
      </w:r>
      <w:r w:rsidR="0036773E">
        <w:rPr>
          <w:sz w:val="16"/>
        </w:rPr>
        <w:t xml:space="preserve"> every five years) and for those moving to the </w:t>
      </w:r>
      <w:r w:rsidR="00531979">
        <w:rPr>
          <w:sz w:val="16"/>
        </w:rPr>
        <w:t>lighter</w:t>
      </w:r>
      <w:r w:rsidR="0036773E">
        <w:rPr>
          <w:sz w:val="16"/>
        </w:rPr>
        <w:t xml:space="preserve"> form of regulation ($0.04 m per access request); </w:t>
      </w:r>
      <w:r w:rsidR="00BF29F3">
        <w:rPr>
          <w:sz w:val="16"/>
        </w:rPr>
        <w:t xml:space="preserve">the reporting costs associated with moving to the </w:t>
      </w:r>
      <w:r w:rsidR="00531979">
        <w:rPr>
          <w:sz w:val="16"/>
        </w:rPr>
        <w:t>stronger</w:t>
      </w:r>
      <w:r w:rsidR="00BF29F3">
        <w:rPr>
          <w:sz w:val="16"/>
        </w:rPr>
        <w:t xml:space="preserve"> form of regulation ($0.16 m per service provider) and </w:t>
      </w:r>
      <w:r w:rsidR="00CB4D17">
        <w:rPr>
          <w:sz w:val="16"/>
        </w:rPr>
        <w:t xml:space="preserve">the </w:t>
      </w:r>
      <w:r w:rsidR="00531979">
        <w:rPr>
          <w:sz w:val="16"/>
        </w:rPr>
        <w:t>lighter</w:t>
      </w:r>
      <w:r w:rsidR="00CB4D17">
        <w:rPr>
          <w:sz w:val="16"/>
        </w:rPr>
        <w:t xml:space="preserve"> form of regulation (</w:t>
      </w:r>
      <w:r w:rsidR="00BF29F3">
        <w:rPr>
          <w:sz w:val="16"/>
        </w:rPr>
        <w:t xml:space="preserve">$0.1 m </w:t>
      </w:r>
      <w:r w:rsidR="00CB4D17">
        <w:rPr>
          <w:sz w:val="16"/>
        </w:rPr>
        <w:t xml:space="preserve">per service provider); and dispute resolution costs under Scenario 1 ($1.65 m per dispute). </w:t>
      </w:r>
    </w:p>
    <w:p w14:paraId="165E8139" w14:textId="77777777" w:rsidR="00F80310" w:rsidRDefault="00F80310" w:rsidP="006165C9">
      <w:pPr>
        <w:pStyle w:val="BodyText"/>
        <w:keepNext/>
        <w:spacing w:before="0" w:after="0"/>
        <w:rPr>
          <w:sz w:val="16"/>
        </w:rPr>
      </w:pPr>
      <w:r>
        <w:rPr>
          <w:sz w:val="16"/>
        </w:rPr>
        <w:t>(</w:t>
      </w:r>
      <w:r w:rsidR="00CB4D17">
        <w:rPr>
          <w:sz w:val="16"/>
        </w:rPr>
        <w:t>c</w:t>
      </w:r>
      <w:r>
        <w:rPr>
          <w:sz w:val="16"/>
        </w:rPr>
        <w:t>)</w:t>
      </w:r>
      <w:r w:rsidR="00CB4D17">
        <w:rPr>
          <w:sz w:val="16"/>
        </w:rPr>
        <w:t xml:space="preserve"> These costs include: the implementation costs </w:t>
      </w:r>
      <w:r w:rsidR="00AE7167">
        <w:rPr>
          <w:sz w:val="16"/>
        </w:rPr>
        <w:t xml:space="preserve">for those shippers on pipelines that move to the </w:t>
      </w:r>
      <w:r w:rsidR="00531979">
        <w:rPr>
          <w:sz w:val="16"/>
        </w:rPr>
        <w:t>stronger</w:t>
      </w:r>
      <w:r w:rsidR="00AE7167">
        <w:rPr>
          <w:sz w:val="16"/>
        </w:rPr>
        <w:t xml:space="preserve"> form of regulation ($0.08 m per shipper) and </w:t>
      </w:r>
      <w:r w:rsidR="000B572F">
        <w:rPr>
          <w:sz w:val="16"/>
        </w:rPr>
        <w:t>dispute resolution costs under Scenario 1 ($0.86 m per dispute)</w:t>
      </w:r>
    </w:p>
    <w:p w14:paraId="42902EAA" w14:textId="77777777" w:rsidR="000B572F" w:rsidRPr="004A0D8B" w:rsidRDefault="000B572F" w:rsidP="006165C9">
      <w:pPr>
        <w:pStyle w:val="BodyText"/>
        <w:keepNext/>
        <w:spacing w:before="0" w:after="0"/>
      </w:pPr>
      <w:r>
        <w:rPr>
          <w:sz w:val="16"/>
        </w:rPr>
        <w:t xml:space="preserve">(d) These costs include: the implementation costs associated with </w:t>
      </w:r>
      <w:r w:rsidR="00651D63">
        <w:rPr>
          <w:sz w:val="16"/>
        </w:rPr>
        <w:t xml:space="preserve">participants applying for exemptions from regulation, third party access and changes to the form of regulation ($0.46 m per application); the costs of assessing </w:t>
      </w:r>
      <w:r w:rsidR="00BA08AC">
        <w:rPr>
          <w:sz w:val="16"/>
        </w:rPr>
        <w:t xml:space="preserve">those </w:t>
      </w:r>
      <w:r w:rsidR="005A1AB7">
        <w:rPr>
          <w:sz w:val="16"/>
        </w:rPr>
        <w:t>AA</w:t>
      </w:r>
      <w:r w:rsidR="00BA08AC">
        <w:rPr>
          <w:sz w:val="16"/>
        </w:rPr>
        <w:t xml:space="preserve">s prepared by pipelines that move to the </w:t>
      </w:r>
      <w:r w:rsidR="00531979">
        <w:rPr>
          <w:sz w:val="16"/>
        </w:rPr>
        <w:t>stronger</w:t>
      </w:r>
      <w:r w:rsidR="00BA08AC">
        <w:rPr>
          <w:sz w:val="16"/>
        </w:rPr>
        <w:t xml:space="preserve"> form of regulation ($1.47 m per review); the monitoring and referral functions</w:t>
      </w:r>
      <w:r w:rsidR="009856B4">
        <w:rPr>
          <w:sz w:val="16"/>
        </w:rPr>
        <w:t xml:space="preserve"> (</w:t>
      </w:r>
      <w:r w:rsidR="00335228">
        <w:rPr>
          <w:sz w:val="16"/>
        </w:rPr>
        <w:t>$0.0</w:t>
      </w:r>
      <w:r w:rsidR="00F875E5">
        <w:rPr>
          <w:sz w:val="16"/>
        </w:rPr>
        <w:t>16-$0.033</w:t>
      </w:r>
      <w:r w:rsidR="0076409B">
        <w:rPr>
          <w:sz w:val="16"/>
        </w:rPr>
        <w:t>m</w:t>
      </w:r>
      <w:r w:rsidR="00F875E5">
        <w:rPr>
          <w:sz w:val="16"/>
        </w:rPr>
        <w:t xml:space="preserve"> per pipeline)</w:t>
      </w:r>
      <w:r w:rsidR="00BA08AC">
        <w:rPr>
          <w:sz w:val="16"/>
        </w:rPr>
        <w:t xml:space="preserve">; and dispute resolution costs under Scenario 1 ($0.42 m per dispute). </w:t>
      </w:r>
    </w:p>
    <w:p w14:paraId="305B0A1F" w14:textId="77777777" w:rsidR="0062433D" w:rsidRDefault="0062433D" w:rsidP="006165C9">
      <w:pPr>
        <w:pStyle w:val="BodyText"/>
        <w:keepNext/>
        <w:spacing w:before="0" w:after="0"/>
        <w:rPr>
          <w:sz w:val="16"/>
        </w:rPr>
      </w:pPr>
      <w:r w:rsidRPr="004A0D8B">
        <w:rPr>
          <w:sz w:val="16"/>
        </w:rPr>
        <w:t>(</w:t>
      </w:r>
      <w:r w:rsidR="00F80310">
        <w:rPr>
          <w:sz w:val="16"/>
        </w:rPr>
        <w:t>e</w:t>
      </w:r>
      <w:r w:rsidRPr="004A0D8B">
        <w:rPr>
          <w:sz w:val="16"/>
        </w:rPr>
        <w:t xml:space="preserve">) As noted above, the net economy-wide benefits represents the net increase in economic welfare arising as a result of the broader productivity benefit associated with lower transportation costs on those additional pipelines that become subject to the </w:t>
      </w:r>
      <w:r w:rsidR="00531979">
        <w:rPr>
          <w:sz w:val="16"/>
        </w:rPr>
        <w:t>stronger</w:t>
      </w:r>
      <w:r w:rsidRPr="004A0D8B">
        <w:rPr>
          <w:sz w:val="16"/>
        </w:rPr>
        <w:t xml:space="preserve"> form of regulation, offset by the increased direct costs for service providers, shippers and regulators.</w:t>
      </w:r>
    </w:p>
    <w:p w14:paraId="2FA0235A" w14:textId="77777777" w:rsidR="00457CE2" w:rsidRPr="004A0D8B" w:rsidRDefault="00457CE2" w:rsidP="006165C9">
      <w:pPr>
        <w:pStyle w:val="BodyText"/>
        <w:keepNext/>
        <w:spacing w:before="0" w:after="0"/>
        <w:rPr>
          <w:sz w:val="16"/>
        </w:rPr>
      </w:pPr>
      <w:r>
        <w:rPr>
          <w:sz w:val="16"/>
        </w:rPr>
        <w:t>(</w:t>
      </w:r>
      <w:r w:rsidR="00F80310">
        <w:rPr>
          <w:sz w:val="16"/>
        </w:rPr>
        <w:t>f</w:t>
      </w:r>
      <w:r>
        <w:rPr>
          <w:sz w:val="16"/>
        </w:rPr>
        <w:t>) This is higher than the costs under Option 3B, because the movement to direct price control under Option 4 is expected to give rise to higher costs for the service provider and regulator.</w:t>
      </w:r>
    </w:p>
    <w:p w14:paraId="2D78F03D" w14:textId="267DBAE9" w:rsidR="00804EAF" w:rsidRDefault="00E85B1E" w:rsidP="00C2253E">
      <w:pPr>
        <w:pStyle w:val="BodyText"/>
        <w:spacing w:line="259" w:lineRule="auto"/>
      </w:pPr>
      <w:r>
        <w:t xml:space="preserve">As the final column of </w:t>
      </w:r>
      <w:r>
        <w:fldChar w:fldCharType="begin" w:fldLock="1"/>
      </w:r>
      <w:r>
        <w:instrText xml:space="preserve"> REF _Ref50211553 \h </w:instrText>
      </w:r>
      <w:r>
        <w:fldChar w:fldCharType="separate"/>
      </w:r>
      <w:r w:rsidR="00036405" w:rsidRPr="008E6AF0">
        <w:t xml:space="preserve">Table </w:t>
      </w:r>
      <w:r w:rsidR="00036405">
        <w:rPr>
          <w:noProof/>
        </w:rPr>
        <w:t>9</w:t>
      </w:r>
      <w:r w:rsidR="00036405">
        <w:t>.</w:t>
      </w:r>
      <w:r w:rsidR="00036405">
        <w:rPr>
          <w:noProof/>
        </w:rPr>
        <w:t>6</w:t>
      </w:r>
      <w:r>
        <w:fldChar w:fldCharType="end"/>
      </w:r>
      <w:r>
        <w:t xml:space="preserve"> shows, the net economy-wide benefits associated with each of the reform options is quite high</w:t>
      </w:r>
      <w:r w:rsidR="00794F05">
        <w:t xml:space="preserve"> under </w:t>
      </w:r>
      <w:r w:rsidR="00773138">
        <w:t xml:space="preserve">both </w:t>
      </w:r>
      <w:r w:rsidR="00794F05">
        <w:t>scenarios</w:t>
      </w:r>
      <w:r w:rsidR="00773138">
        <w:t xml:space="preserve">, with the benefit </w:t>
      </w:r>
      <w:r w:rsidR="007F1B75">
        <w:t xml:space="preserve">ranging </w:t>
      </w:r>
      <w:r w:rsidR="00804EAF">
        <w:t xml:space="preserve">between </w:t>
      </w:r>
      <w:r w:rsidR="007F1B75">
        <w:t>$1.177</w:t>
      </w:r>
      <w:r w:rsidR="00804EAF">
        <w:t xml:space="preserve"> billion and $</w:t>
      </w:r>
      <w:r w:rsidR="007F1B75">
        <w:t xml:space="preserve">1.216 billion under Scenario 1 – High Impact and </w:t>
      </w:r>
      <w:r w:rsidR="00804EAF">
        <w:t xml:space="preserve">between </w:t>
      </w:r>
      <w:r w:rsidR="007F1B75">
        <w:t>$232</w:t>
      </w:r>
      <w:r w:rsidR="00804EAF">
        <w:t xml:space="preserve"> million and $</w:t>
      </w:r>
      <w:r w:rsidR="007F1B75">
        <w:t xml:space="preserve">263 million </w:t>
      </w:r>
      <w:r w:rsidR="00804EAF">
        <w:t>under Scenario 2 – Low Impact</w:t>
      </w:r>
      <w:r>
        <w:t xml:space="preserve">. </w:t>
      </w:r>
    </w:p>
    <w:p w14:paraId="13A52503" w14:textId="6C60167F" w:rsidR="00E85B1E" w:rsidRDefault="00E85B1E" w:rsidP="00C2253E">
      <w:pPr>
        <w:pStyle w:val="BodyText"/>
        <w:spacing w:line="259" w:lineRule="auto"/>
      </w:pPr>
      <w:r w:rsidRPr="007E0A3F">
        <w:t xml:space="preserve">The </w:t>
      </w:r>
      <w:r w:rsidR="00B837BC">
        <w:t xml:space="preserve">main </w:t>
      </w:r>
      <w:r w:rsidRPr="007E0A3F">
        <w:t xml:space="preserve">driver of this result is the productivity benefit associated with </w:t>
      </w:r>
      <w:r>
        <w:t xml:space="preserve">the reduction in transportation charges that is expected to flow from more pipelines becoming subject to a </w:t>
      </w:r>
      <w:r w:rsidR="00531979">
        <w:t>stronger</w:t>
      </w:r>
      <w:r>
        <w:t xml:space="preserve"> form of regulation. </w:t>
      </w:r>
      <w:r w:rsidRPr="007E0A3F">
        <w:t xml:space="preserve">Because the number of pipelines </w:t>
      </w:r>
      <w:r>
        <w:t>moving</w:t>
      </w:r>
      <w:r w:rsidRPr="007E0A3F">
        <w:t xml:space="preserve"> to the </w:t>
      </w:r>
      <w:r w:rsidR="00531979">
        <w:t>stronger</w:t>
      </w:r>
      <w:r w:rsidRPr="007E0A3F">
        <w:t xml:space="preserve"> form of regulation is assumed to be the same under </w:t>
      </w:r>
      <w:r>
        <w:t xml:space="preserve">all the reform </w:t>
      </w:r>
      <w:r w:rsidRPr="007E0A3F">
        <w:t>options</w:t>
      </w:r>
      <w:r w:rsidR="007950A7">
        <w:t xml:space="preserve"> (see </w:t>
      </w:r>
      <w:r w:rsidR="007950A7">
        <w:fldChar w:fldCharType="begin" w:fldLock="1"/>
      </w:r>
      <w:r w:rsidR="007950A7">
        <w:instrText xml:space="preserve"> REF _Ref50033903 \h </w:instrText>
      </w:r>
      <w:r w:rsidR="007950A7">
        <w:fldChar w:fldCharType="separate"/>
      </w:r>
      <w:r w:rsidR="00036405">
        <w:t xml:space="preserve">Table </w:t>
      </w:r>
      <w:r w:rsidR="00036405">
        <w:rPr>
          <w:noProof/>
        </w:rPr>
        <w:t>9</w:t>
      </w:r>
      <w:r w:rsidR="00036405">
        <w:t>.</w:t>
      </w:r>
      <w:r w:rsidR="00036405">
        <w:rPr>
          <w:noProof/>
        </w:rPr>
        <w:t>3</w:t>
      </w:r>
      <w:r w:rsidR="007950A7">
        <w:fldChar w:fldCharType="end"/>
      </w:r>
      <w:r w:rsidR="007950A7">
        <w:t>)</w:t>
      </w:r>
      <w:r>
        <w:t xml:space="preserve">, </w:t>
      </w:r>
      <w:r w:rsidRPr="007E0A3F">
        <w:t xml:space="preserve">the gross </w:t>
      </w:r>
      <w:r w:rsidR="00FE4ACC">
        <w:t>economy-wide</w:t>
      </w:r>
      <w:r w:rsidRPr="007E0A3F">
        <w:t xml:space="preserve"> benefits are </w:t>
      </w:r>
      <w:r>
        <w:t xml:space="preserve">also </w:t>
      </w:r>
      <w:r w:rsidRPr="007E0A3F">
        <w:t xml:space="preserve">the same across the options. The differences in the net </w:t>
      </w:r>
      <w:r w:rsidR="00FE4ACC">
        <w:t>economy-wide</w:t>
      </w:r>
      <w:r w:rsidRPr="007E0A3F">
        <w:t xml:space="preserve"> benefits therefore reflect the differences in the </w:t>
      </w:r>
      <w:r>
        <w:t>direct</w:t>
      </w:r>
      <w:r w:rsidRPr="007E0A3F">
        <w:t xml:space="preserve"> costs associated with each </w:t>
      </w:r>
      <w:r w:rsidR="00B837BC">
        <w:t xml:space="preserve">reform </w:t>
      </w:r>
      <w:r w:rsidRPr="007E0A3F">
        <w:t>option</w:t>
      </w:r>
      <w:r>
        <w:t xml:space="preserve">. </w:t>
      </w:r>
    </w:p>
    <w:p w14:paraId="41899731" w14:textId="3A312F55" w:rsidR="0009077A" w:rsidRDefault="00E85B1E" w:rsidP="00C2253E">
      <w:pPr>
        <w:pStyle w:val="BodyText"/>
        <w:spacing w:line="259" w:lineRule="auto"/>
      </w:pPr>
      <w:r>
        <w:t xml:space="preserve">The differences between these costs can be seen in </w:t>
      </w:r>
      <w:r w:rsidR="00787C90">
        <w:t xml:space="preserve">columns (a)-(d) in </w:t>
      </w:r>
      <w:r>
        <w:fldChar w:fldCharType="begin" w:fldLock="1"/>
      </w:r>
      <w:r>
        <w:instrText xml:space="preserve"> REF _Ref50211553 \h </w:instrText>
      </w:r>
      <w:r>
        <w:fldChar w:fldCharType="separate"/>
      </w:r>
      <w:r w:rsidR="00036405" w:rsidRPr="008E6AF0">
        <w:t xml:space="preserve">Table </w:t>
      </w:r>
      <w:r w:rsidR="00036405">
        <w:rPr>
          <w:noProof/>
        </w:rPr>
        <w:t>9</w:t>
      </w:r>
      <w:r w:rsidR="00036405">
        <w:t>.</w:t>
      </w:r>
      <w:r w:rsidR="00036405">
        <w:rPr>
          <w:noProof/>
        </w:rPr>
        <w:t>6</w:t>
      </w:r>
      <w:r>
        <w:fldChar w:fldCharType="end"/>
      </w:r>
      <w:r>
        <w:t xml:space="preserve">. </w:t>
      </w:r>
      <w:r w:rsidR="0062433D">
        <w:t xml:space="preserve">As </w:t>
      </w:r>
      <w:r w:rsidR="00450ADE">
        <w:t xml:space="preserve">these columns </w:t>
      </w:r>
      <w:r w:rsidR="0062433D">
        <w:t>show, the</w:t>
      </w:r>
      <w:r w:rsidR="00C336BD">
        <w:t xml:space="preserve"> direct</w:t>
      </w:r>
      <w:r w:rsidR="0062433D">
        <w:t xml:space="preserve"> </w:t>
      </w:r>
      <w:r w:rsidR="00C336BD">
        <w:t xml:space="preserve">costs associated with the reform options are expected to </w:t>
      </w:r>
      <w:r w:rsidR="00C336BD">
        <w:lastRenderedPageBreak/>
        <w:t xml:space="preserve">be lower under Option 2 </w:t>
      </w:r>
      <w:r w:rsidR="005037E5">
        <w:t xml:space="preserve">than </w:t>
      </w:r>
      <w:r w:rsidR="00EE109A">
        <w:t xml:space="preserve">they are under </w:t>
      </w:r>
      <w:r w:rsidR="00257634">
        <w:t>the</w:t>
      </w:r>
      <w:r w:rsidR="005037E5">
        <w:t xml:space="preserve"> other three reform options</w:t>
      </w:r>
      <w:r w:rsidR="00EE109A">
        <w:t>. The reasons for this are that</w:t>
      </w:r>
      <w:r w:rsidR="0009077A">
        <w:t>:</w:t>
      </w:r>
      <w:r w:rsidR="005037E5">
        <w:t xml:space="preserve"> </w:t>
      </w:r>
    </w:p>
    <w:p w14:paraId="567A07FE" w14:textId="281E574A" w:rsidR="0009077A" w:rsidRDefault="005037E5" w:rsidP="00AD36B8">
      <w:pPr>
        <w:pStyle w:val="ListBullet"/>
      </w:pPr>
      <w:r>
        <w:t xml:space="preserve">fewer pipelines are expected to be subject to regulation under </w:t>
      </w:r>
      <w:r w:rsidR="00762A20">
        <w:t>O</w:t>
      </w:r>
      <w:r>
        <w:t xml:space="preserve">ption </w:t>
      </w:r>
      <w:r w:rsidR="00762A20">
        <w:t>2</w:t>
      </w:r>
      <w:r w:rsidR="00E3441B">
        <w:t xml:space="preserve"> </w:t>
      </w:r>
      <w:r w:rsidR="00450ADE">
        <w:t xml:space="preserve">(i.e. </w:t>
      </w:r>
      <w:r w:rsidR="00E3441B">
        <w:t xml:space="preserve">because </w:t>
      </w:r>
      <w:r w:rsidR="00FA4BB4">
        <w:t xml:space="preserve">this option </w:t>
      </w:r>
      <w:r w:rsidR="00546ECF">
        <w:t xml:space="preserve">provides for a full </w:t>
      </w:r>
      <w:r w:rsidR="00E3441B">
        <w:t xml:space="preserve">exemption </w:t>
      </w:r>
      <w:r w:rsidR="00546ECF">
        <w:t>from regulation</w:t>
      </w:r>
      <w:r w:rsidR="00CB438F">
        <w:t xml:space="preserve"> </w:t>
      </w:r>
      <w:r w:rsidR="00450ADE">
        <w:t xml:space="preserve">- </w:t>
      </w:r>
      <w:r>
        <w:t xml:space="preserve">see </w:t>
      </w:r>
      <w:r w:rsidR="00A0578B">
        <w:fldChar w:fldCharType="begin" w:fldLock="1"/>
      </w:r>
      <w:r w:rsidR="00A0578B">
        <w:instrText xml:space="preserve"> REF _Ref50033903 \h </w:instrText>
      </w:r>
      <w:r w:rsidR="00A0578B">
        <w:fldChar w:fldCharType="separate"/>
      </w:r>
      <w:r w:rsidR="00036405">
        <w:t xml:space="preserve">Table </w:t>
      </w:r>
      <w:r w:rsidR="00036405">
        <w:rPr>
          <w:noProof/>
        </w:rPr>
        <w:t>9</w:t>
      </w:r>
      <w:r w:rsidR="00036405">
        <w:t>.</w:t>
      </w:r>
      <w:r w:rsidR="00036405">
        <w:rPr>
          <w:noProof/>
        </w:rPr>
        <w:t>3</w:t>
      </w:r>
      <w:r w:rsidR="00A0578B">
        <w:fldChar w:fldCharType="end"/>
      </w:r>
      <w:r>
        <w:t>)</w:t>
      </w:r>
      <w:r w:rsidR="00FA4BB4">
        <w:t>, which results in lower overall costs for service providers and regulators</w:t>
      </w:r>
      <w:r w:rsidR="0009077A">
        <w:t>;</w:t>
      </w:r>
    </w:p>
    <w:p w14:paraId="22918945" w14:textId="4EB63352" w:rsidR="005037E5" w:rsidRDefault="005037E5" w:rsidP="00AD36B8">
      <w:pPr>
        <w:pStyle w:val="ListBullet"/>
      </w:pPr>
      <w:r>
        <w:t xml:space="preserve">the improvements to information disclosure are not as significant under Option 2 as they are under the other three </w:t>
      </w:r>
      <w:r w:rsidR="0009077A">
        <w:t xml:space="preserve">reform </w:t>
      </w:r>
      <w:r>
        <w:t>options</w:t>
      </w:r>
      <w:r w:rsidR="00CB438F">
        <w:t xml:space="preserve">, </w:t>
      </w:r>
      <w:r w:rsidR="001D40E8">
        <w:t xml:space="preserve">which results in lower </w:t>
      </w:r>
      <w:r w:rsidR="00435A85">
        <w:t xml:space="preserve">reporting </w:t>
      </w:r>
      <w:r w:rsidR="00FA4BB4">
        <w:t xml:space="preserve">costs for </w:t>
      </w:r>
      <w:r w:rsidR="00CB438F">
        <w:t>service provider</w:t>
      </w:r>
      <w:r w:rsidR="00FA4BB4">
        <w:t>s</w:t>
      </w:r>
      <w:r w:rsidR="00C14804">
        <w:t xml:space="preserve"> </w:t>
      </w:r>
      <w:r w:rsidR="00E96B43">
        <w:t>(</w:t>
      </w:r>
      <w:r w:rsidR="00C14804">
        <w:t xml:space="preserve">and </w:t>
      </w:r>
      <w:r w:rsidR="00E96B43">
        <w:t xml:space="preserve">higher search and transaction costs for shippers – see section </w:t>
      </w:r>
      <w:r w:rsidR="00E96B43">
        <w:fldChar w:fldCharType="begin" w:fldLock="1"/>
      </w:r>
      <w:r w:rsidR="00E96B43">
        <w:instrText xml:space="preserve"> REF _Ref52252124 \r \h </w:instrText>
      </w:r>
      <w:r w:rsidR="00E96B43">
        <w:fldChar w:fldCharType="separate"/>
      </w:r>
      <w:r w:rsidR="00036405">
        <w:t>9.2.3.2</w:t>
      </w:r>
      <w:r w:rsidR="00E96B43">
        <w:fldChar w:fldCharType="end"/>
      </w:r>
      <w:r w:rsidR="00E96B43">
        <w:t>)</w:t>
      </w:r>
      <w:r w:rsidR="0009077A">
        <w:t>; and</w:t>
      </w:r>
    </w:p>
    <w:p w14:paraId="444BE86B" w14:textId="77777777" w:rsidR="0009077A" w:rsidRDefault="00762A20" w:rsidP="00AD36B8">
      <w:pPr>
        <w:pStyle w:val="ListBullet"/>
      </w:pPr>
      <w:r>
        <w:t xml:space="preserve">the </w:t>
      </w:r>
      <w:r w:rsidR="00520C88">
        <w:t xml:space="preserve">relevant </w:t>
      </w:r>
      <w:r>
        <w:t xml:space="preserve">regulator is not expected to undertake </w:t>
      </w:r>
      <w:r w:rsidR="00332A80">
        <w:t xml:space="preserve">the same </w:t>
      </w:r>
      <w:r>
        <w:t xml:space="preserve">monitoring and referral functions under </w:t>
      </w:r>
      <w:r w:rsidR="00520C88">
        <w:t>Option 2</w:t>
      </w:r>
      <w:r w:rsidR="00332A80">
        <w:t xml:space="preserve"> as it is under the three reform options</w:t>
      </w:r>
      <w:r w:rsidR="00FA4BB4">
        <w:t xml:space="preserve">, which results in lower </w:t>
      </w:r>
      <w:r w:rsidR="00435A85">
        <w:t xml:space="preserve">monitoring </w:t>
      </w:r>
      <w:r w:rsidR="00FA4BB4">
        <w:t>costs for the regulator</w:t>
      </w:r>
      <w:r w:rsidR="00520C88">
        <w:t xml:space="preserve">. </w:t>
      </w:r>
    </w:p>
    <w:p w14:paraId="2F202E3C" w14:textId="77777777" w:rsidR="0064486E" w:rsidRDefault="006F2834" w:rsidP="00C2253E">
      <w:pPr>
        <w:pStyle w:val="BodyText"/>
        <w:spacing w:line="259" w:lineRule="auto"/>
      </w:pPr>
      <w:r>
        <w:t xml:space="preserve">Of the remaining </w:t>
      </w:r>
      <w:r w:rsidR="00CA0604">
        <w:t>three reform options</w:t>
      </w:r>
      <w:r w:rsidR="0064486E">
        <w:t>:</w:t>
      </w:r>
      <w:r w:rsidR="00CA0604">
        <w:t xml:space="preserve"> </w:t>
      </w:r>
    </w:p>
    <w:p w14:paraId="009A73B7" w14:textId="62C9174D" w:rsidR="0064486E" w:rsidRDefault="00CA0604" w:rsidP="00AD36B8">
      <w:pPr>
        <w:pStyle w:val="ListBullet"/>
      </w:pPr>
      <w:r>
        <w:t xml:space="preserve">Option 3A </w:t>
      </w:r>
      <w:r w:rsidR="006F2834">
        <w:t xml:space="preserve">is </w:t>
      </w:r>
      <w:r>
        <w:t xml:space="preserve">expected to </w:t>
      </w:r>
      <w:r w:rsidR="006F2834">
        <w:t xml:space="preserve">give rise </w:t>
      </w:r>
      <w:r w:rsidR="00744572">
        <w:t>to lower costs than</w:t>
      </w:r>
      <w:r w:rsidR="008504AE">
        <w:t xml:space="preserve"> Option</w:t>
      </w:r>
      <w:r w:rsidR="00744572">
        <w:t xml:space="preserve"> </w:t>
      </w:r>
      <w:r w:rsidR="00466522">
        <w:t xml:space="preserve">3B </w:t>
      </w:r>
      <w:r w:rsidR="006F2834">
        <w:t xml:space="preserve">because fewer pipelines are expected to be subject </w:t>
      </w:r>
      <w:r w:rsidR="00744572">
        <w:t xml:space="preserve">to regulation under </w:t>
      </w:r>
      <w:r w:rsidR="004F1BC8">
        <w:t xml:space="preserve">this option </w:t>
      </w:r>
      <w:r w:rsidR="00421BC3">
        <w:t xml:space="preserve">(see </w:t>
      </w:r>
      <w:r w:rsidR="00A0578B">
        <w:fldChar w:fldCharType="begin" w:fldLock="1"/>
      </w:r>
      <w:r w:rsidR="00A0578B">
        <w:instrText xml:space="preserve"> REF _Ref50033903 \h </w:instrText>
      </w:r>
      <w:r w:rsidR="00A0578B">
        <w:fldChar w:fldCharType="separate"/>
      </w:r>
      <w:r w:rsidR="00036405">
        <w:t xml:space="preserve">Table </w:t>
      </w:r>
      <w:r w:rsidR="00036405">
        <w:rPr>
          <w:noProof/>
        </w:rPr>
        <w:t>9</w:t>
      </w:r>
      <w:r w:rsidR="00036405">
        <w:t>.</w:t>
      </w:r>
      <w:r w:rsidR="00036405">
        <w:rPr>
          <w:noProof/>
        </w:rPr>
        <w:t>3</w:t>
      </w:r>
      <w:r w:rsidR="00A0578B">
        <w:fldChar w:fldCharType="end"/>
      </w:r>
      <w:r w:rsidR="00421BC3">
        <w:t>)</w:t>
      </w:r>
      <w:r w:rsidR="0064486E">
        <w:t>; and</w:t>
      </w:r>
    </w:p>
    <w:p w14:paraId="4055E4A2" w14:textId="786BCD44" w:rsidR="001E53ED" w:rsidRDefault="0064486E" w:rsidP="00AD36B8">
      <w:pPr>
        <w:pStyle w:val="ListBullet"/>
      </w:pPr>
      <w:r>
        <w:t>Option 3B is expected to give rise to lower costs than Option 4</w:t>
      </w:r>
      <w:r w:rsidR="00DC6B19">
        <w:t>,</w:t>
      </w:r>
      <w:r>
        <w:t xml:space="preserve"> because while the </w:t>
      </w:r>
      <w:r w:rsidR="00DC6B19">
        <w:t xml:space="preserve">same </w:t>
      </w:r>
      <w:r>
        <w:t xml:space="preserve">number of pipelines </w:t>
      </w:r>
      <w:r w:rsidR="00DC6B19">
        <w:t xml:space="preserve">are </w:t>
      </w:r>
      <w:r>
        <w:t xml:space="preserve">expected to be subject to regulation under </w:t>
      </w:r>
      <w:r w:rsidR="00E55507">
        <w:t>the two options</w:t>
      </w:r>
      <w:r w:rsidR="00F07A89">
        <w:t xml:space="preserve"> (see</w:t>
      </w:r>
      <w:r w:rsidR="00742236">
        <w:t xml:space="preserve"> </w:t>
      </w:r>
      <w:r w:rsidR="00742236">
        <w:fldChar w:fldCharType="begin" w:fldLock="1"/>
      </w:r>
      <w:r w:rsidR="00742236">
        <w:instrText xml:space="preserve"> REF _Ref50033903 \h </w:instrText>
      </w:r>
      <w:r w:rsidR="00742236">
        <w:fldChar w:fldCharType="separate"/>
      </w:r>
      <w:r w:rsidR="00036405">
        <w:t xml:space="preserve">Table </w:t>
      </w:r>
      <w:r w:rsidR="00036405">
        <w:rPr>
          <w:noProof/>
        </w:rPr>
        <w:t>9</w:t>
      </w:r>
      <w:r w:rsidR="00036405">
        <w:t>.</w:t>
      </w:r>
      <w:r w:rsidR="00036405">
        <w:rPr>
          <w:noProof/>
        </w:rPr>
        <w:t>3</w:t>
      </w:r>
      <w:r w:rsidR="00742236">
        <w:fldChar w:fldCharType="end"/>
      </w:r>
      <w:r w:rsidR="00F07A89">
        <w:t>)</w:t>
      </w:r>
      <w:r w:rsidR="00E55507">
        <w:t xml:space="preserve">, </w:t>
      </w:r>
      <w:r w:rsidR="00E73630">
        <w:t xml:space="preserve">the </w:t>
      </w:r>
      <w:r w:rsidR="00DC6B19">
        <w:t xml:space="preserve">movement to direct price control under Option 4 </w:t>
      </w:r>
      <w:r w:rsidR="00E95FC9">
        <w:t xml:space="preserve">is </w:t>
      </w:r>
      <w:r w:rsidR="00060D95">
        <w:t xml:space="preserve">expected </w:t>
      </w:r>
      <w:r w:rsidR="00255C4A">
        <w:t xml:space="preserve">to give rise to higher costs for the </w:t>
      </w:r>
      <w:r w:rsidR="00E95FC9">
        <w:t xml:space="preserve">both the service provider and </w:t>
      </w:r>
      <w:r w:rsidR="00255C4A">
        <w:t>regulator.</w:t>
      </w:r>
      <w:r w:rsidR="00370905">
        <w:rPr>
          <w:rFonts w:ascii="ZWAdobeF" w:hAnsi="ZWAdobeF" w:cs="ZWAdobeF"/>
          <w:sz w:val="2"/>
          <w:szCs w:val="2"/>
        </w:rPr>
        <w:t>193F</w:t>
      </w:r>
      <w:r w:rsidR="00C30576">
        <w:rPr>
          <w:rStyle w:val="FootnoteReference"/>
        </w:rPr>
        <w:footnoteReference w:id="195"/>
      </w:r>
      <w:r w:rsidR="00255C4A">
        <w:t xml:space="preserve"> </w:t>
      </w:r>
    </w:p>
    <w:p w14:paraId="3A30FAB0" w14:textId="5AAE8F01" w:rsidR="003A71D2" w:rsidRPr="007E0A3F" w:rsidRDefault="00B079C6" w:rsidP="00C2253E">
      <w:pPr>
        <w:pStyle w:val="BodyText"/>
        <w:spacing w:line="259" w:lineRule="auto"/>
      </w:pPr>
      <w:r>
        <w:t xml:space="preserve">Some other more general observations that can be made about the costs set out in </w:t>
      </w:r>
      <w:r>
        <w:fldChar w:fldCharType="begin" w:fldLock="1"/>
      </w:r>
      <w:r>
        <w:instrText xml:space="preserve"> REF _Ref50211553 \h </w:instrText>
      </w:r>
      <w:r>
        <w:fldChar w:fldCharType="separate"/>
      </w:r>
      <w:r w:rsidR="00036405" w:rsidRPr="008E6AF0">
        <w:t xml:space="preserve">Table </w:t>
      </w:r>
      <w:r w:rsidR="00036405">
        <w:rPr>
          <w:noProof/>
        </w:rPr>
        <w:t>9</w:t>
      </w:r>
      <w:r w:rsidR="00036405">
        <w:t>.</w:t>
      </w:r>
      <w:r w:rsidR="00036405">
        <w:rPr>
          <w:noProof/>
        </w:rPr>
        <w:t>6</w:t>
      </w:r>
      <w:r>
        <w:fldChar w:fldCharType="end"/>
      </w:r>
      <w:r>
        <w:t xml:space="preserve"> </w:t>
      </w:r>
      <w:r w:rsidR="00983697">
        <w:t>as they relate to Scenario 1 – High Impact,</w:t>
      </w:r>
      <w:r w:rsidR="00370905">
        <w:rPr>
          <w:rFonts w:ascii="ZWAdobeF" w:hAnsi="ZWAdobeF" w:cs="ZWAdobeF"/>
          <w:sz w:val="2"/>
          <w:szCs w:val="2"/>
        </w:rPr>
        <w:t>194F</w:t>
      </w:r>
      <w:r w:rsidR="000F45D3">
        <w:rPr>
          <w:rStyle w:val="FootnoteReference"/>
        </w:rPr>
        <w:footnoteReference w:id="196"/>
      </w:r>
      <w:r w:rsidR="00983697">
        <w:t xml:space="preserve"> </w:t>
      </w:r>
      <w:r>
        <w:t>are as follows</w:t>
      </w:r>
      <w:r w:rsidR="00983697">
        <w:t>:</w:t>
      </w:r>
    </w:p>
    <w:p w14:paraId="040DFD18" w14:textId="75B10961" w:rsidR="00A345DF" w:rsidRPr="00A345DF" w:rsidRDefault="00A30526" w:rsidP="00AD36B8">
      <w:pPr>
        <w:pStyle w:val="ListBullet"/>
        <w:rPr>
          <w:rFonts w:ascii="Symbol" w:hAnsi="Symbol"/>
          <w:sz w:val="24"/>
        </w:rPr>
      </w:pPr>
      <w:r w:rsidRPr="00983697">
        <w:rPr>
          <w:b/>
          <w:bCs/>
        </w:rPr>
        <w:t>Service provider costs</w:t>
      </w:r>
      <w:r w:rsidRPr="007E0A3F">
        <w:t xml:space="preserve"> account for </w:t>
      </w:r>
      <w:r w:rsidR="009F62B5">
        <w:t xml:space="preserve">the majority </w:t>
      </w:r>
      <w:r w:rsidR="00C47125">
        <w:t xml:space="preserve">of </w:t>
      </w:r>
      <w:r w:rsidR="0054086F">
        <w:t xml:space="preserve">the </w:t>
      </w:r>
      <w:r w:rsidR="00484BF9">
        <w:t>direct</w:t>
      </w:r>
      <w:r w:rsidR="00C47125">
        <w:t xml:space="preserve"> </w:t>
      </w:r>
      <w:r w:rsidRPr="007E0A3F">
        <w:t>costs</w:t>
      </w:r>
      <w:r w:rsidR="00AA3B8A">
        <w:t xml:space="preserve"> (</w:t>
      </w:r>
      <w:r w:rsidR="00826E06">
        <w:t>~</w:t>
      </w:r>
      <w:r w:rsidR="000642C9">
        <w:t xml:space="preserve"> 62</w:t>
      </w:r>
      <w:r w:rsidR="002C442A">
        <w:t>%)</w:t>
      </w:r>
      <w:r w:rsidRPr="007E0A3F">
        <w:t xml:space="preserve">, with access </w:t>
      </w:r>
      <w:r w:rsidR="00A40B46">
        <w:t>costs</w:t>
      </w:r>
      <w:r w:rsidR="00370905">
        <w:rPr>
          <w:rFonts w:ascii="ZWAdobeF" w:hAnsi="ZWAdobeF" w:cs="ZWAdobeF"/>
          <w:sz w:val="2"/>
          <w:szCs w:val="2"/>
        </w:rPr>
        <w:t>195F</w:t>
      </w:r>
      <w:r w:rsidR="00D82147">
        <w:rPr>
          <w:rStyle w:val="FootnoteReference"/>
        </w:rPr>
        <w:footnoteReference w:id="197"/>
      </w:r>
      <w:r w:rsidR="00742236">
        <w:t xml:space="preserve"> accounting for </w:t>
      </w:r>
      <w:r w:rsidR="00B81819">
        <w:t xml:space="preserve">most </w:t>
      </w:r>
      <w:r w:rsidR="00264B53">
        <w:t xml:space="preserve">of </w:t>
      </w:r>
      <w:r w:rsidR="00B81819">
        <w:t xml:space="preserve">the </w:t>
      </w:r>
      <w:r w:rsidR="00264B53">
        <w:t>costs</w:t>
      </w:r>
      <w:r w:rsidR="00484BF9">
        <w:t xml:space="preserve">, </w:t>
      </w:r>
      <w:r w:rsidR="00264B53">
        <w:t xml:space="preserve">followed by </w:t>
      </w:r>
      <w:r w:rsidR="00484BF9">
        <w:t>reporting costs</w:t>
      </w:r>
      <w:r w:rsidR="00B549D2">
        <w:t xml:space="preserve">, </w:t>
      </w:r>
      <w:r w:rsidR="00622891">
        <w:t>dispute resolution related</w:t>
      </w:r>
      <w:r w:rsidR="00C26BC1">
        <w:t xml:space="preserve"> costs</w:t>
      </w:r>
      <w:r w:rsidR="00B549D2">
        <w:t xml:space="preserve"> and </w:t>
      </w:r>
      <w:r w:rsidR="00C26BC1">
        <w:t>implementation costs</w:t>
      </w:r>
      <w:r w:rsidR="00742236">
        <w:t xml:space="preserve">. </w:t>
      </w:r>
      <w:r w:rsidR="002F504D">
        <w:t>As outlined above, t</w:t>
      </w:r>
      <w:r w:rsidRPr="007E0A3F">
        <w:t>he difference in service provider costs across the reform options stems from</w:t>
      </w:r>
      <w:r w:rsidR="00DA0AC7">
        <w:t xml:space="preserve"> differences in</w:t>
      </w:r>
      <w:r w:rsidR="00A345DF">
        <w:t>:</w:t>
      </w:r>
      <w:r w:rsidR="00F86388">
        <w:t xml:space="preserve"> </w:t>
      </w:r>
    </w:p>
    <w:p w14:paraId="27B33C51" w14:textId="3B15BB16" w:rsidR="00A345DF" w:rsidRPr="00A345DF" w:rsidRDefault="00A30526" w:rsidP="00AD36B8">
      <w:pPr>
        <w:pStyle w:val="ListBullet2"/>
        <w:rPr>
          <w:rFonts w:ascii="Symbol" w:hAnsi="Symbol"/>
          <w:sz w:val="24"/>
        </w:rPr>
      </w:pPr>
      <w:r w:rsidRPr="007E0A3F">
        <w:t xml:space="preserve">the number of pipelines that are assumed to be subject to regulation under each </w:t>
      </w:r>
      <w:r w:rsidR="00A5028D">
        <w:t xml:space="preserve">of the reform </w:t>
      </w:r>
      <w:r w:rsidRPr="007E0A3F">
        <w:t>option</w:t>
      </w:r>
      <w:r w:rsidR="00A5028D">
        <w:t xml:space="preserve">s (see </w:t>
      </w:r>
      <w:r w:rsidR="00A5028D">
        <w:fldChar w:fldCharType="begin" w:fldLock="1"/>
      </w:r>
      <w:r w:rsidR="00A5028D">
        <w:instrText xml:space="preserve"> REF _Ref50033903 \h </w:instrText>
      </w:r>
      <w:r w:rsidR="00A5028D">
        <w:fldChar w:fldCharType="separate"/>
      </w:r>
      <w:r w:rsidR="00036405">
        <w:t xml:space="preserve">Table </w:t>
      </w:r>
      <w:r w:rsidR="00036405">
        <w:rPr>
          <w:noProof/>
        </w:rPr>
        <w:t>9</w:t>
      </w:r>
      <w:r w:rsidR="00036405">
        <w:t>.</w:t>
      </w:r>
      <w:r w:rsidR="00036405">
        <w:rPr>
          <w:noProof/>
        </w:rPr>
        <w:t>3</w:t>
      </w:r>
      <w:r w:rsidR="00A5028D">
        <w:fldChar w:fldCharType="end"/>
      </w:r>
      <w:r w:rsidR="00A5028D">
        <w:t>)</w:t>
      </w:r>
      <w:r w:rsidR="00A345DF">
        <w:t>;</w:t>
      </w:r>
      <w:r w:rsidR="00A5028D">
        <w:t xml:space="preserve"> </w:t>
      </w:r>
      <w:r w:rsidR="00F86388">
        <w:t xml:space="preserve">and </w:t>
      </w:r>
    </w:p>
    <w:p w14:paraId="221DA48D" w14:textId="77777777" w:rsidR="00A30526" w:rsidRPr="00A87509" w:rsidRDefault="00DA0AC7" w:rsidP="00AD36B8">
      <w:pPr>
        <w:pStyle w:val="ListBullet2"/>
        <w:rPr>
          <w:rFonts w:ascii="Symbol" w:hAnsi="Symbol"/>
          <w:sz w:val="24"/>
        </w:rPr>
      </w:pPr>
      <w:r>
        <w:t xml:space="preserve">the </w:t>
      </w:r>
      <w:r w:rsidR="00F86388">
        <w:t>information disclosure obligations</w:t>
      </w:r>
      <w:r>
        <w:t xml:space="preserve"> applying to service providers</w:t>
      </w:r>
      <w:r w:rsidR="00ED7828">
        <w:t xml:space="preserve">, </w:t>
      </w:r>
      <w:r w:rsidR="00A87509">
        <w:t xml:space="preserve">with </w:t>
      </w:r>
      <w:r w:rsidR="00ED7828">
        <w:t xml:space="preserve">options 3A, 3B and 4 </w:t>
      </w:r>
      <w:r w:rsidR="00A87509">
        <w:t xml:space="preserve">providing for more improvements in the current disclosure obligations than </w:t>
      </w:r>
      <w:r w:rsidR="00F86388">
        <w:t>Option 2</w:t>
      </w:r>
      <w:r w:rsidR="00794F05">
        <w:t xml:space="preserve">, which </w:t>
      </w:r>
      <w:r w:rsidR="004F1172">
        <w:t xml:space="preserve">gives rise to </w:t>
      </w:r>
      <w:r w:rsidR="00A87509">
        <w:t xml:space="preserve">higher </w:t>
      </w:r>
      <w:r w:rsidR="004F1172">
        <w:t xml:space="preserve">reporting </w:t>
      </w:r>
      <w:r w:rsidR="00A87509">
        <w:t>costs.</w:t>
      </w:r>
    </w:p>
    <w:p w14:paraId="663E86BE" w14:textId="77777777" w:rsidR="001D4578" w:rsidRPr="001D4578" w:rsidRDefault="00A30526" w:rsidP="00AD36B8">
      <w:pPr>
        <w:pStyle w:val="ListBullet"/>
        <w:rPr>
          <w:rFonts w:ascii="Symbol" w:hAnsi="Symbol"/>
          <w:sz w:val="24"/>
        </w:rPr>
      </w:pPr>
      <w:r w:rsidRPr="00983697">
        <w:rPr>
          <w:b/>
          <w:bCs/>
        </w:rPr>
        <w:t>Regulator costs</w:t>
      </w:r>
      <w:r w:rsidRPr="007E0A3F">
        <w:t xml:space="preserve"> are the next largest source of </w:t>
      </w:r>
      <w:r w:rsidR="00AA3B8A">
        <w:t xml:space="preserve">direct </w:t>
      </w:r>
      <w:r w:rsidRPr="007E0A3F">
        <w:t>cost</w:t>
      </w:r>
      <w:r w:rsidR="00AA3B8A">
        <w:t>s</w:t>
      </w:r>
      <w:r w:rsidR="00B0310B">
        <w:t xml:space="preserve"> (</w:t>
      </w:r>
      <w:r w:rsidR="00826E06">
        <w:t>~</w:t>
      </w:r>
      <w:r w:rsidR="000642C9">
        <w:t xml:space="preserve"> 33</w:t>
      </w:r>
      <w:r w:rsidR="004855B9">
        <w:t>%)</w:t>
      </w:r>
      <w:r w:rsidRPr="007E0A3F">
        <w:t xml:space="preserve">, with the costs associated with </w:t>
      </w:r>
      <w:r w:rsidR="00B735F7">
        <w:t xml:space="preserve">assessing </w:t>
      </w:r>
      <w:r w:rsidR="005A1AB7">
        <w:t>AA</w:t>
      </w:r>
      <w:r w:rsidRPr="007E0A3F">
        <w:t xml:space="preserve">s accounting for the majority of </w:t>
      </w:r>
      <w:r w:rsidR="00CA0CBE">
        <w:t xml:space="preserve">these </w:t>
      </w:r>
      <w:r w:rsidRPr="007E0A3F">
        <w:t>costs</w:t>
      </w:r>
      <w:r w:rsidR="009B2B4B">
        <w:t xml:space="preserve">, followed </w:t>
      </w:r>
      <w:r w:rsidR="009D110C">
        <w:t xml:space="preserve">by </w:t>
      </w:r>
      <w:r w:rsidRPr="007E0A3F">
        <w:t xml:space="preserve">monitoring </w:t>
      </w:r>
      <w:r w:rsidR="009D110C">
        <w:t>costs</w:t>
      </w:r>
      <w:r w:rsidR="00CA0CBE">
        <w:t xml:space="preserve">, </w:t>
      </w:r>
      <w:r w:rsidR="00622891">
        <w:t xml:space="preserve">dispute resolution </w:t>
      </w:r>
      <w:r w:rsidR="00CA0CBE">
        <w:t xml:space="preserve">costs </w:t>
      </w:r>
      <w:r w:rsidRPr="007E0A3F">
        <w:t xml:space="preserve">and </w:t>
      </w:r>
      <w:r w:rsidR="001D4578">
        <w:t xml:space="preserve">the costs associated with assessing </w:t>
      </w:r>
      <w:r w:rsidR="00B735F7">
        <w:t xml:space="preserve">applications for </w:t>
      </w:r>
      <w:r w:rsidR="00387FCD">
        <w:t>exemption</w:t>
      </w:r>
      <w:r w:rsidR="00B735F7">
        <w:t>s</w:t>
      </w:r>
      <w:r w:rsidR="00387FCD">
        <w:t xml:space="preserve">, third party access and </w:t>
      </w:r>
      <w:r w:rsidR="000D682C">
        <w:t xml:space="preserve">changes to </w:t>
      </w:r>
      <w:r w:rsidR="00B735F7">
        <w:t xml:space="preserve">the </w:t>
      </w:r>
      <w:r w:rsidR="00387FCD">
        <w:t>form of regulation</w:t>
      </w:r>
      <w:r w:rsidR="00B735F7">
        <w:t xml:space="preserve"> applying to a pipeline</w:t>
      </w:r>
      <w:r w:rsidR="001D4578">
        <w:t>. T</w:t>
      </w:r>
      <w:r w:rsidRPr="007E0A3F">
        <w:t xml:space="preserve">he differences in regulator costs across </w:t>
      </w:r>
      <w:r w:rsidR="001D4578">
        <w:t xml:space="preserve">the reform </w:t>
      </w:r>
      <w:r w:rsidRPr="007E0A3F">
        <w:t>options stem from</w:t>
      </w:r>
      <w:r w:rsidR="00FB0B37">
        <w:t xml:space="preserve"> differences in</w:t>
      </w:r>
      <w:r w:rsidR="001D4578">
        <w:t>:</w:t>
      </w:r>
      <w:r w:rsidRPr="007E0A3F">
        <w:t xml:space="preserve"> </w:t>
      </w:r>
    </w:p>
    <w:p w14:paraId="07C418D8" w14:textId="0F7832C7" w:rsidR="00DA0AC7" w:rsidRPr="00DA0AC7" w:rsidRDefault="001D4578" w:rsidP="00AD36B8">
      <w:pPr>
        <w:pStyle w:val="ListBullet2"/>
        <w:rPr>
          <w:rFonts w:ascii="Symbol" w:hAnsi="Symbol"/>
          <w:sz w:val="24"/>
        </w:rPr>
      </w:pPr>
      <w:r w:rsidRPr="007E0A3F">
        <w:lastRenderedPageBreak/>
        <w:t xml:space="preserve">the number of pipelines that are assumed to be subject to regulation under each </w:t>
      </w:r>
      <w:r>
        <w:t xml:space="preserve">of the reform </w:t>
      </w:r>
      <w:r w:rsidRPr="007E0A3F">
        <w:t>option</w:t>
      </w:r>
      <w:r>
        <w:t xml:space="preserve">s (see </w:t>
      </w:r>
      <w:r>
        <w:fldChar w:fldCharType="begin" w:fldLock="1"/>
      </w:r>
      <w:r>
        <w:instrText xml:space="preserve"> REF _Ref50033903 \h </w:instrText>
      </w:r>
      <w:r>
        <w:fldChar w:fldCharType="separate"/>
      </w:r>
      <w:r w:rsidR="00036405">
        <w:t xml:space="preserve">Table </w:t>
      </w:r>
      <w:r w:rsidR="00036405">
        <w:rPr>
          <w:noProof/>
        </w:rPr>
        <w:t>9</w:t>
      </w:r>
      <w:r w:rsidR="00036405">
        <w:t>.</w:t>
      </w:r>
      <w:r w:rsidR="00036405">
        <w:rPr>
          <w:noProof/>
        </w:rPr>
        <w:t>3</w:t>
      </w:r>
      <w:r>
        <w:fldChar w:fldCharType="end"/>
      </w:r>
      <w:r>
        <w:t xml:space="preserve">); </w:t>
      </w:r>
    </w:p>
    <w:p w14:paraId="08F9C694" w14:textId="77777777" w:rsidR="001D4578" w:rsidRPr="001D4578" w:rsidRDefault="00DA0AC7" w:rsidP="00AD36B8">
      <w:pPr>
        <w:pStyle w:val="ListBullet2"/>
        <w:rPr>
          <w:rFonts w:ascii="Symbol" w:hAnsi="Symbol"/>
          <w:sz w:val="24"/>
        </w:rPr>
      </w:pPr>
      <w:r w:rsidRPr="007E0A3F">
        <w:t xml:space="preserve">the availability of exemptions and </w:t>
      </w:r>
      <w:r w:rsidR="005642D3">
        <w:t>how access to pipelines that are not voluntarily providing third party access is obtained</w:t>
      </w:r>
      <w:r w:rsidR="008F701F">
        <w:t>;</w:t>
      </w:r>
      <w:r>
        <w:t xml:space="preserve"> </w:t>
      </w:r>
      <w:r w:rsidR="001D4578">
        <w:t>and</w:t>
      </w:r>
    </w:p>
    <w:p w14:paraId="7143C067" w14:textId="77777777" w:rsidR="00A30526" w:rsidRPr="008E6AF0" w:rsidRDefault="00A30526" w:rsidP="00AD36B8">
      <w:pPr>
        <w:pStyle w:val="ListBullet2"/>
        <w:rPr>
          <w:rFonts w:ascii="Symbol" w:hAnsi="Symbol"/>
          <w:sz w:val="24"/>
        </w:rPr>
      </w:pPr>
      <w:r w:rsidRPr="007E0A3F">
        <w:t>the regulator</w:t>
      </w:r>
      <w:r w:rsidR="008F701F">
        <w:t xml:space="preserve">’s </w:t>
      </w:r>
      <w:r w:rsidRPr="007E0A3F">
        <w:t>monitoring and referral function</w:t>
      </w:r>
      <w:r w:rsidR="008F701F">
        <w:t xml:space="preserve">, with </w:t>
      </w:r>
      <w:r w:rsidRPr="007E0A3F">
        <w:t xml:space="preserve">options </w:t>
      </w:r>
      <w:r w:rsidR="006A1300">
        <w:t xml:space="preserve">3A, 3B and </w:t>
      </w:r>
      <w:r w:rsidRPr="007E0A3F">
        <w:t>4</w:t>
      </w:r>
      <w:r w:rsidR="008F701F">
        <w:t xml:space="preserve"> contemplating a more active role for the regulator, while </w:t>
      </w:r>
      <w:r w:rsidRPr="007E0A3F">
        <w:t>Option 2</w:t>
      </w:r>
      <w:r w:rsidR="008F701F">
        <w:t xml:space="preserve"> does not. </w:t>
      </w:r>
    </w:p>
    <w:p w14:paraId="4F3928CD" w14:textId="77777777" w:rsidR="00A30526" w:rsidRPr="00920FEC" w:rsidRDefault="00A30526" w:rsidP="00AD36B8">
      <w:pPr>
        <w:pStyle w:val="ListBullet"/>
        <w:rPr>
          <w:rFonts w:ascii="Symbol" w:hAnsi="Symbol"/>
        </w:rPr>
      </w:pPr>
      <w:r w:rsidRPr="00983697">
        <w:rPr>
          <w:b/>
          <w:bCs/>
        </w:rPr>
        <w:t>Shipper costs</w:t>
      </w:r>
      <w:r w:rsidRPr="007E0A3F">
        <w:t xml:space="preserve"> </w:t>
      </w:r>
      <w:r w:rsidR="00826E06">
        <w:t xml:space="preserve">account for the </w:t>
      </w:r>
      <w:r w:rsidRPr="007E0A3F">
        <w:t xml:space="preserve">smallest </w:t>
      </w:r>
      <w:r w:rsidR="00826E06">
        <w:t xml:space="preserve">proportion </w:t>
      </w:r>
      <w:r w:rsidRPr="007E0A3F">
        <w:t xml:space="preserve">of </w:t>
      </w:r>
      <w:r w:rsidR="00AA3B8A">
        <w:t xml:space="preserve">direct </w:t>
      </w:r>
      <w:r w:rsidRPr="007E0A3F">
        <w:t>cost</w:t>
      </w:r>
      <w:r w:rsidR="00AA3B8A">
        <w:t>s</w:t>
      </w:r>
      <w:r w:rsidR="00B0310B">
        <w:t xml:space="preserve"> (</w:t>
      </w:r>
      <w:r w:rsidR="000642C9">
        <w:t>~5%</w:t>
      </w:r>
      <w:r w:rsidR="00B0310B">
        <w:t>)</w:t>
      </w:r>
      <w:r w:rsidR="00AA3B8A">
        <w:t xml:space="preserve">, with </w:t>
      </w:r>
      <w:r w:rsidR="00713431">
        <w:t>just under half of the</w:t>
      </w:r>
      <w:r w:rsidR="00AB3442">
        <w:t>se</w:t>
      </w:r>
      <w:r w:rsidR="00713431">
        <w:t xml:space="preserve"> </w:t>
      </w:r>
      <w:r w:rsidR="00A2182F">
        <w:t xml:space="preserve">costs associated with </w:t>
      </w:r>
      <w:r w:rsidR="00AB3442">
        <w:t xml:space="preserve">shippers </w:t>
      </w:r>
      <w:r w:rsidR="00A2182F">
        <w:t>understanding the changes arising from the reforms</w:t>
      </w:r>
      <w:r w:rsidR="00AD257E">
        <w:t xml:space="preserve">. The </w:t>
      </w:r>
      <w:r w:rsidR="00C7596B">
        <w:t xml:space="preserve">remainder is </w:t>
      </w:r>
      <w:r w:rsidR="00AD257E">
        <w:t xml:space="preserve">accounted for by </w:t>
      </w:r>
      <w:r w:rsidR="00A2182F">
        <w:t xml:space="preserve">dispute resolution related costs. </w:t>
      </w:r>
      <w:r w:rsidRPr="007E0A3F">
        <w:t xml:space="preserve">Since the number of pipelines shifting to </w:t>
      </w:r>
      <w:r w:rsidR="00531979">
        <w:t>stronger</w:t>
      </w:r>
      <w:r w:rsidRPr="007E0A3F">
        <w:t xml:space="preserve"> form of regulation and the number of arbitrations assumed are the same under each scenario, these costs are the same under each of the</w:t>
      </w:r>
      <w:r w:rsidRPr="007E0A3F">
        <w:rPr>
          <w:spacing w:val="1"/>
        </w:rPr>
        <w:t xml:space="preserve"> </w:t>
      </w:r>
      <w:r w:rsidR="00AB3442">
        <w:rPr>
          <w:spacing w:val="1"/>
        </w:rPr>
        <w:t xml:space="preserve">reform </w:t>
      </w:r>
      <w:r w:rsidRPr="007E0A3F">
        <w:t>options.</w:t>
      </w:r>
    </w:p>
    <w:p w14:paraId="5EDF2433" w14:textId="77777777" w:rsidR="00920FEC" w:rsidRDefault="00920FEC" w:rsidP="00C2253E">
      <w:pPr>
        <w:pStyle w:val="BodyText"/>
        <w:spacing w:line="259" w:lineRule="auto"/>
      </w:pPr>
      <w:r>
        <w:t xml:space="preserve">In keeping with the OBPR’s CBA guidance note, sensitivity analyses have been undertaken on the </w:t>
      </w:r>
      <w:r w:rsidR="000B5D39">
        <w:t xml:space="preserve">quantified </w:t>
      </w:r>
      <w:r>
        <w:t>costs</w:t>
      </w:r>
      <w:r w:rsidR="000B5D39">
        <w:t xml:space="preserve"> and benefits</w:t>
      </w:r>
      <w:r>
        <w:t>, the results of which are presented in Appendix D.4. Th</w:t>
      </w:r>
      <w:r w:rsidR="0087774A">
        <w:t>ese</w:t>
      </w:r>
      <w:r>
        <w:t xml:space="preserve"> analyses looked at the impact on the </w:t>
      </w:r>
      <w:r w:rsidR="000B5D39">
        <w:t xml:space="preserve">quantified </w:t>
      </w:r>
      <w:r>
        <w:t>estimates of varying the discount rate and appraisal period.</w:t>
      </w:r>
      <w:r>
        <w:rPr>
          <w:sz w:val="14"/>
          <w:szCs w:val="14"/>
        </w:rPr>
        <w:t xml:space="preserve"> </w:t>
      </w:r>
      <w:r>
        <w:t xml:space="preserve">The sensitivity analyses are all linear transformations and </w:t>
      </w:r>
      <w:r w:rsidR="00854927">
        <w:t xml:space="preserve">do not therefore affect the </w:t>
      </w:r>
      <w:r>
        <w:t xml:space="preserve">comparison between options (i.e. Option </w:t>
      </w:r>
      <w:r w:rsidR="00854927">
        <w:t>2</w:t>
      </w:r>
      <w:r>
        <w:t xml:space="preserve"> </w:t>
      </w:r>
      <w:r w:rsidR="00854927">
        <w:t xml:space="preserve">yields </w:t>
      </w:r>
      <w:r>
        <w:t xml:space="preserve">the highest </w:t>
      </w:r>
      <w:r w:rsidR="00854927">
        <w:t>net-</w:t>
      </w:r>
      <w:r w:rsidR="00FE4ACC">
        <w:t>economy-wide</w:t>
      </w:r>
      <w:r w:rsidR="00854927">
        <w:t xml:space="preserve"> benefit </w:t>
      </w:r>
      <w:r>
        <w:t xml:space="preserve">in all </w:t>
      </w:r>
      <w:r w:rsidR="00854927">
        <w:t xml:space="preserve">the </w:t>
      </w:r>
      <w:r>
        <w:t>sensitivity analyses).</w:t>
      </w:r>
    </w:p>
    <w:p w14:paraId="317CAFAA" w14:textId="77777777" w:rsidR="004F1172" w:rsidRPr="007E0A3F" w:rsidRDefault="00A442E1" w:rsidP="00C2253E">
      <w:pPr>
        <w:pStyle w:val="BodyText"/>
        <w:spacing w:after="0" w:line="259" w:lineRule="auto"/>
        <w:rPr>
          <w:rFonts w:ascii="Symbol" w:hAnsi="Symbol"/>
        </w:rPr>
      </w:pPr>
      <w:r>
        <w:t xml:space="preserve">A break-even analysis has also been undertaken to understand how sensitive the quantitative results are to the assumed reduction in </w:t>
      </w:r>
      <w:r w:rsidR="00DF7562">
        <w:t xml:space="preserve">transportation costs on pipelines moving to the </w:t>
      </w:r>
      <w:r w:rsidR="00531979">
        <w:t>stronger</w:t>
      </w:r>
      <w:r w:rsidR="00DF7562">
        <w:t xml:space="preserve"> form of regulation. The results of this analysis are set out in Appendix D.3</w:t>
      </w:r>
      <w:r w:rsidR="00B22CEA">
        <w:t xml:space="preserve">. In short, this analysis </w:t>
      </w:r>
      <w:r w:rsidR="001B5FF9">
        <w:t xml:space="preserve">suggests that transportation costs on </w:t>
      </w:r>
      <w:r w:rsidR="00601E40">
        <w:t xml:space="preserve">those </w:t>
      </w:r>
      <w:r w:rsidR="001B5FF9">
        <w:t xml:space="preserve">pipelines </w:t>
      </w:r>
      <w:r w:rsidR="00601E40">
        <w:t xml:space="preserve">that move to the </w:t>
      </w:r>
      <w:r w:rsidR="00531979">
        <w:t>stronger</w:t>
      </w:r>
      <w:r w:rsidR="00601E40">
        <w:t xml:space="preserve"> form of regulation </w:t>
      </w:r>
      <w:r w:rsidR="001B5FF9">
        <w:t xml:space="preserve">would only need to fall by </w:t>
      </w:r>
      <w:r w:rsidR="00C44BF6">
        <w:t>1.9-</w:t>
      </w:r>
      <w:r w:rsidR="00AC03D5">
        <w:t>3</w:t>
      </w:r>
      <w:r w:rsidR="00C44BF6">
        <w:t xml:space="preserve">% under </w:t>
      </w:r>
      <w:r w:rsidR="00AC03D5">
        <w:t>s</w:t>
      </w:r>
      <w:r w:rsidR="00C44BF6">
        <w:t>cenario</w:t>
      </w:r>
      <w:r w:rsidR="00AC03D5">
        <w:t>s</w:t>
      </w:r>
      <w:r w:rsidR="00C44BF6">
        <w:t xml:space="preserve"> 1 </w:t>
      </w:r>
      <w:r w:rsidR="00AC03D5">
        <w:t xml:space="preserve">and 2, for the </w:t>
      </w:r>
      <w:r w:rsidR="0087774A">
        <w:t xml:space="preserve">quantified </w:t>
      </w:r>
      <w:r w:rsidR="00740661">
        <w:t xml:space="preserve">benefits to </w:t>
      </w:r>
      <w:r w:rsidR="00601E40">
        <w:t xml:space="preserve">equal the quantified costs. </w:t>
      </w:r>
    </w:p>
    <w:p w14:paraId="176BDF42" w14:textId="77777777" w:rsidR="008D4380" w:rsidRDefault="008D4380" w:rsidP="00C2253E">
      <w:pPr>
        <w:pStyle w:val="Heading4"/>
        <w:spacing w:before="240"/>
      </w:pPr>
      <w:bookmarkStart w:id="215" w:name="_Ref52252124"/>
      <w:r>
        <w:t>Qualitative results</w:t>
      </w:r>
      <w:bookmarkEnd w:id="215"/>
    </w:p>
    <w:p w14:paraId="206099EE" w14:textId="77777777" w:rsidR="003B45FF" w:rsidRPr="002B32C8" w:rsidRDefault="00D50D9E" w:rsidP="00C2253E">
      <w:pPr>
        <w:pStyle w:val="BodyText"/>
        <w:spacing w:line="259" w:lineRule="auto"/>
      </w:pPr>
      <w:r>
        <w:t xml:space="preserve">The quantitative analysis outlined above </w:t>
      </w:r>
      <w:r w:rsidR="00191BAE">
        <w:t xml:space="preserve">only </w:t>
      </w:r>
      <w:r>
        <w:t xml:space="preserve">focuses </w:t>
      </w:r>
      <w:r w:rsidR="00191BAE">
        <w:t xml:space="preserve">on the direct </w:t>
      </w:r>
      <w:r w:rsidR="00191BAE" w:rsidRPr="00E31887">
        <w:t xml:space="preserve">costs associated with the </w:t>
      </w:r>
      <w:r w:rsidR="00191BAE">
        <w:t>reform options and the benefits associated with some pipelines moving to the stronger form of regulation in the CBA. There are, however, a range of other costs and benefits associated with the reform</w:t>
      </w:r>
      <w:r w:rsidR="00C62183">
        <w:t xml:space="preserve"> options that must also be taken into account</w:t>
      </w:r>
      <w:r w:rsidR="00191BAE">
        <w:t xml:space="preserve">, some of which </w:t>
      </w:r>
      <w:r w:rsidR="00C62183">
        <w:t xml:space="preserve">are quite significant. </w:t>
      </w:r>
      <w:r w:rsidR="00910557">
        <w:t xml:space="preserve">Further detail on </w:t>
      </w:r>
      <w:r w:rsidR="00EC3572">
        <w:t xml:space="preserve">these additional </w:t>
      </w:r>
      <w:r w:rsidR="003B45FF" w:rsidRPr="002B32C8">
        <w:t>costs and benefits</w:t>
      </w:r>
      <w:r w:rsidR="00EC3572">
        <w:t xml:space="preserve">, which have been assessed qualitatively, </w:t>
      </w:r>
      <w:r w:rsidR="00F37A86">
        <w:t xml:space="preserve">are set out below. </w:t>
      </w:r>
    </w:p>
    <w:p w14:paraId="34FE06B8" w14:textId="77777777" w:rsidR="003B45FF" w:rsidRDefault="003B45FF" w:rsidP="00BA128F">
      <w:pPr>
        <w:pStyle w:val="Heading6"/>
      </w:pPr>
      <w:r w:rsidRPr="002B32C8">
        <w:t>Impacts on pipeline</w:t>
      </w:r>
      <w:r w:rsidR="006B67FF">
        <w:t xml:space="preserve"> investment</w:t>
      </w:r>
      <w:r w:rsidR="00FC1793">
        <w:t xml:space="preserve"> arising as a result of lower rates of return</w:t>
      </w:r>
    </w:p>
    <w:p w14:paraId="105490B8" w14:textId="23C1BD49" w:rsidR="00B86373" w:rsidRDefault="0000610E" w:rsidP="00C2253E">
      <w:pPr>
        <w:pStyle w:val="BodyText"/>
        <w:spacing w:line="259" w:lineRule="auto"/>
        <w:rPr>
          <w:rFonts w:asciiTheme="majorHAnsi" w:hAnsiTheme="majorHAnsi" w:cstheme="majorHAnsi"/>
        </w:rPr>
      </w:pPr>
      <w:r w:rsidRPr="00F70D6A">
        <w:rPr>
          <w:lang w:eastAsia="en-US"/>
        </w:rPr>
        <w:t xml:space="preserve">Through the consultation process, </w:t>
      </w:r>
      <w:r w:rsidR="00AE7F6E" w:rsidRPr="00F70D6A">
        <w:rPr>
          <w:lang w:eastAsia="en-US"/>
        </w:rPr>
        <w:t xml:space="preserve">conflicting views were expressed by stakeholders about the effect that the reform options could have on pipeline investment. </w:t>
      </w:r>
      <w:r w:rsidR="00D06A51" w:rsidRPr="00F70D6A">
        <w:rPr>
          <w:lang w:eastAsia="en-US"/>
        </w:rPr>
        <w:t xml:space="preserve">A number of </w:t>
      </w:r>
      <w:r w:rsidR="00340B27">
        <w:rPr>
          <w:lang w:eastAsia="en-US"/>
        </w:rPr>
        <w:t>service providers</w:t>
      </w:r>
      <w:r w:rsidR="00D06A51" w:rsidRPr="00F70D6A">
        <w:rPr>
          <w:lang w:eastAsia="en-US"/>
        </w:rPr>
        <w:t xml:space="preserve">, for example, noted </w:t>
      </w:r>
      <w:r w:rsidR="00994C2C" w:rsidRPr="00F70D6A">
        <w:rPr>
          <w:rFonts w:asciiTheme="majorHAnsi" w:hAnsiTheme="majorHAnsi" w:cstheme="majorHAnsi"/>
        </w:rPr>
        <w:t xml:space="preserve">that increasing the ease with which a </w:t>
      </w:r>
      <w:r w:rsidR="00531979">
        <w:rPr>
          <w:rFonts w:asciiTheme="majorHAnsi" w:hAnsiTheme="majorHAnsi" w:cstheme="majorHAnsi"/>
        </w:rPr>
        <w:t>stronger</w:t>
      </w:r>
      <w:r w:rsidR="00994C2C" w:rsidRPr="00F70D6A">
        <w:rPr>
          <w:rFonts w:asciiTheme="majorHAnsi" w:hAnsiTheme="majorHAnsi" w:cstheme="majorHAnsi"/>
        </w:rPr>
        <w:t xml:space="preserve"> form of regulation could be applied to a pipeline could result in lower rates of return being earned by service providers</w:t>
      </w:r>
      <w:r w:rsidR="00477499">
        <w:rPr>
          <w:rFonts w:asciiTheme="majorHAnsi" w:hAnsiTheme="majorHAnsi" w:cstheme="majorHAnsi"/>
        </w:rPr>
        <w:t xml:space="preserve"> and</w:t>
      </w:r>
      <w:r w:rsidR="000327DA">
        <w:rPr>
          <w:rFonts w:asciiTheme="majorHAnsi" w:hAnsiTheme="majorHAnsi" w:cstheme="majorHAnsi"/>
        </w:rPr>
        <w:t xml:space="preserve">, in turn, </w:t>
      </w:r>
      <w:r w:rsidR="00477499">
        <w:rPr>
          <w:rFonts w:asciiTheme="majorHAnsi" w:hAnsiTheme="majorHAnsi" w:cstheme="majorHAnsi"/>
        </w:rPr>
        <w:t xml:space="preserve">lower levels of </w:t>
      </w:r>
      <w:r w:rsidR="00994C2C" w:rsidRPr="00F70D6A">
        <w:rPr>
          <w:rFonts w:asciiTheme="majorHAnsi" w:hAnsiTheme="majorHAnsi" w:cstheme="majorHAnsi"/>
        </w:rPr>
        <w:t>pipeline investment.</w:t>
      </w:r>
      <w:r w:rsidR="00370905">
        <w:rPr>
          <w:rFonts w:ascii="ZWAdobeF" w:hAnsi="ZWAdobeF" w:cs="ZWAdobeF"/>
          <w:sz w:val="2"/>
          <w:szCs w:val="2"/>
        </w:rPr>
        <w:t>196F</w:t>
      </w:r>
      <w:r w:rsidR="003442E0">
        <w:rPr>
          <w:rStyle w:val="FootnoteReference"/>
          <w:rFonts w:asciiTheme="majorHAnsi" w:hAnsiTheme="majorHAnsi" w:cstheme="majorHAnsi"/>
        </w:rPr>
        <w:footnoteReference w:id="198"/>
      </w:r>
      <w:r w:rsidR="00994C2C" w:rsidRPr="00F70D6A">
        <w:rPr>
          <w:rFonts w:asciiTheme="majorHAnsi" w:hAnsiTheme="majorHAnsi" w:cstheme="majorHAnsi"/>
        </w:rPr>
        <w:t xml:space="preserve"> </w:t>
      </w:r>
      <w:r w:rsidR="0017753A">
        <w:rPr>
          <w:rFonts w:asciiTheme="majorHAnsi" w:hAnsiTheme="majorHAnsi" w:cstheme="majorHAnsi"/>
        </w:rPr>
        <w:t xml:space="preserve">Some also noted that the movement to direct price control under </w:t>
      </w:r>
      <w:r w:rsidR="00E46F20">
        <w:rPr>
          <w:rFonts w:asciiTheme="majorHAnsi" w:hAnsiTheme="majorHAnsi" w:cstheme="majorHAnsi"/>
        </w:rPr>
        <w:t xml:space="preserve">Option </w:t>
      </w:r>
      <w:r w:rsidR="0017753A">
        <w:rPr>
          <w:rFonts w:asciiTheme="majorHAnsi" w:hAnsiTheme="majorHAnsi" w:cstheme="majorHAnsi"/>
        </w:rPr>
        <w:t xml:space="preserve">4 </w:t>
      </w:r>
      <w:r w:rsidR="00242965">
        <w:rPr>
          <w:rFonts w:asciiTheme="majorHAnsi" w:hAnsiTheme="majorHAnsi" w:cstheme="majorHAnsi"/>
        </w:rPr>
        <w:t>c</w:t>
      </w:r>
      <w:r w:rsidR="0017753A">
        <w:rPr>
          <w:rFonts w:asciiTheme="majorHAnsi" w:hAnsiTheme="majorHAnsi" w:cstheme="majorHAnsi"/>
        </w:rPr>
        <w:t xml:space="preserve">ould </w:t>
      </w:r>
      <w:r w:rsidR="00E46F20">
        <w:rPr>
          <w:rFonts w:asciiTheme="majorHAnsi" w:hAnsiTheme="majorHAnsi" w:cstheme="majorHAnsi"/>
        </w:rPr>
        <w:t xml:space="preserve">result in a loss of flexibility, which could affect gas demand and incentives to invest in new infrastructure. </w:t>
      </w:r>
    </w:p>
    <w:p w14:paraId="1740AE73" w14:textId="5A87547D" w:rsidR="00477499" w:rsidRDefault="00994C2C" w:rsidP="00C2253E">
      <w:pPr>
        <w:pStyle w:val="BodyText"/>
        <w:spacing w:line="252" w:lineRule="auto"/>
        <w:rPr>
          <w:rFonts w:asciiTheme="majorHAnsi" w:hAnsiTheme="majorHAnsi" w:cstheme="majorHAnsi"/>
        </w:rPr>
      </w:pPr>
      <w:r w:rsidRPr="00F70D6A">
        <w:rPr>
          <w:rFonts w:asciiTheme="majorHAnsi" w:hAnsiTheme="majorHAnsi" w:cstheme="majorHAnsi"/>
        </w:rPr>
        <w:t>Other stakeholders</w:t>
      </w:r>
      <w:r w:rsidR="00CE078A">
        <w:rPr>
          <w:rFonts w:asciiTheme="majorHAnsi" w:hAnsiTheme="majorHAnsi" w:cstheme="majorHAnsi"/>
        </w:rPr>
        <w:t xml:space="preserve"> </w:t>
      </w:r>
      <w:r w:rsidR="008A444B">
        <w:rPr>
          <w:rFonts w:asciiTheme="majorHAnsi" w:hAnsiTheme="majorHAnsi" w:cstheme="majorHAnsi"/>
        </w:rPr>
        <w:t>stated</w:t>
      </w:r>
      <w:r w:rsidR="003033C6">
        <w:rPr>
          <w:rFonts w:asciiTheme="majorHAnsi" w:hAnsiTheme="majorHAnsi" w:cstheme="majorHAnsi"/>
        </w:rPr>
        <w:t xml:space="preserve"> that it was unlikely that new pipelines would be </w:t>
      </w:r>
      <w:r w:rsidR="00265C2E">
        <w:rPr>
          <w:rFonts w:asciiTheme="majorHAnsi" w:hAnsiTheme="majorHAnsi" w:cstheme="majorHAnsi"/>
        </w:rPr>
        <w:t xml:space="preserve">subject to the </w:t>
      </w:r>
      <w:r w:rsidR="00531979">
        <w:rPr>
          <w:rFonts w:asciiTheme="majorHAnsi" w:hAnsiTheme="majorHAnsi" w:cstheme="majorHAnsi"/>
        </w:rPr>
        <w:t>stronger</w:t>
      </w:r>
      <w:r w:rsidR="00265C2E">
        <w:rPr>
          <w:rFonts w:asciiTheme="majorHAnsi" w:hAnsiTheme="majorHAnsi" w:cstheme="majorHAnsi"/>
        </w:rPr>
        <w:t xml:space="preserve"> form of regulation (i.e. because they were unlikely to have the required degree of </w:t>
      </w:r>
      <w:r w:rsidR="00265C2E">
        <w:rPr>
          <w:rFonts w:asciiTheme="majorHAnsi" w:hAnsiTheme="majorHAnsi" w:cstheme="majorHAnsi"/>
        </w:rPr>
        <w:lastRenderedPageBreak/>
        <w:t>market power</w:t>
      </w:r>
      <w:r w:rsidR="00FC4099">
        <w:rPr>
          <w:rFonts w:asciiTheme="majorHAnsi" w:hAnsiTheme="majorHAnsi" w:cstheme="majorHAnsi"/>
        </w:rPr>
        <w:t>,</w:t>
      </w:r>
      <w:r w:rsidR="00370905">
        <w:rPr>
          <w:rFonts w:ascii="ZWAdobeF" w:hAnsi="ZWAdobeF" w:cs="ZWAdobeF"/>
          <w:sz w:val="2"/>
          <w:szCs w:val="2"/>
        </w:rPr>
        <w:t>197F</w:t>
      </w:r>
      <w:r w:rsidR="00FC4099">
        <w:rPr>
          <w:rStyle w:val="FootnoteReference"/>
          <w:rFonts w:asciiTheme="majorHAnsi" w:hAnsiTheme="majorHAnsi" w:cstheme="majorHAnsi"/>
        </w:rPr>
        <w:footnoteReference w:id="199"/>
      </w:r>
      <w:r w:rsidR="00265C2E">
        <w:rPr>
          <w:rFonts w:asciiTheme="majorHAnsi" w:hAnsiTheme="majorHAnsi" w:cstheme="majorHAnsi"/>
        </w:rPr>
        <w:t xml:space="preserve"> </w:t>
      </w:r>
      <w:r w:rsidR="00CC0529">
        <w:rPr>
          <w:rFonts w:asciiTheme="majorHAnsi" w:hAnsiTheme="majorHAnsi" w:cstheme="majorHAnsi"/>
        </w:rPr>
        <w:t xml:space="preserve">or would </w:t>
      </w:r>
      <w:r w:rsidR="00276EFD">
        <w:rPr>
          <w:rFonts w:asciiTheme="majorHAnsi" w:hAnsiTheme="majorHAnsi" w:cstheme="majorHAnsi"/>
        </w:rPr>
        <w:t xml:space="preserve">under some options </w:t>
      </w:r>
      <w:r w:rsidR="00CC0529">
        <w:rPr>
          <w:rFonts w:asciiTheme="majorHAnsi" w:hAnsiTheme="majorHAnsi" w:cstheme="majorHAnsi"/>
        </w:rPr>
        <w:t xml:space="preserve">be able to obtain a greenfield exemption). </w:t>
      </w:r>
      <w:r w:rsidR="008A444B">
        <w:rPr>
          <w:rFonts w:asciiTheme="majorHAnsi" w:hAnsiTheme="majorHAnsi" w:cstheme="majorHAnsi"/>
        </w:rPr>
        <w:t xml:space="preserve">Some also </w:t>
      </w:r>
      <w:r w:rsidR="00545148">
        <w:rPr>
          <w:rFonts w:asciiTheme="majorHAnsi" w:hAnsiTheme="majorHAnsi" w:cstheme="majorHAnsi"/>
        </w:rPr>
        <w:t xml:space="preserve">stated </w:t>
      </w:r>
      <w:r w:rsidR="008A444B">
        <w:rPr>
          <w:rFonts w:asciiTheme="majorHAnsi" w:hAnsiTheme="majorHAnsi" w:cstheme="majorHAnsi"/>
        </w:rPr>
        <w:t xml:space="preserve">that </w:t>
      </w:r>
      <w:r w:rsidR="004E0256">
        <w:rPr>
          <w:rFonts w:asciiTheme="majorHAnsi" w:hAnsiTheme="majorHAnsi" w:cstheme="majorHAnsi"/>
        </w:rPr>
        <w:t>there was no evidence of investment being affected in the US and Canada, where the open access model applies to interstate pipelines</w:t>
      </w:r>
      <w:r w:rsidR="00D625DC">
        <w:rPr>
          <w:rFonts w:asciiTheme="majorHAnsi" w:hAnsiTheme="majorHAnsi" w:cstheme="majorHAnsi"/>
        </w:rPr>
        <w:t xml:space="preserve">. </w:t>
      </w:r>
      <w:r w:rsidR="004E0256">
        <w:rPr>
          <w:rFonts w:asciiTheme="majorHAnsi" w:hAnsiTheme="majorHAnsi" w:cstheme="majorHAnsi"/>
        </w:rPr>
        <w:t xml:space="preserve"> </w:t>
      </w:r>
    </w:p>
    <w:p w14:paraId="27712FD2" w14:textId="77777777" w:rsidR="00586852" w:rsidRDefault="00213118" w:rsidP="00242965">
      <w:pPr>
        <w:pStyle w:val="BodyText"/>
      </w:pPr>
      <w:r>
        <w:t xml:space="preserve">A similar observation could be made about the effect that </w:t>
      </w:r>
      <w:r w:rsidR="008E4D2F">
        <w:t xml:space="preserve">regulation currently has on pipeline investment, with no evidence </w:t>
      </w:r>
      <w:r w:rsidR="008D3B3B">
        <w:t>to suggest that the rate of return currently provided under full regulation</w:t>
      </w:r>
      <w:r w:rsidR="00E16E39">
        <w:t xml:space="preserve"> </w:t>
      </w:r>
      <w:r w:rsidR="00CE078A">
        <w:t xml:space="preserve">(or other elements of those regulatory decisions) </w:t>
      </w:r>
      <w:r w:rsidR="004C362D">
        <w:t xml:space="preserve">has resulted in less than efficient levels of pipeline investment. </w:t>
      </w:r>
      <w:r w:rsidR="00080D53">
        <w:t>This is</w:t>
      </w:r>
      <w:r w:rsidR="0056290A">
        <w:t xml:space="preserve"> </w:t>
      </w:r>
      <w:r w:rsidR="00586852">
        <w:t>perhaps not surprising given that:</w:t>
      </w:r>
    </w:p>
    <w:p w14:paraId="3C444E0D" w14:textId="14C11761" w:rsidR="00586852" w:rsidRDefault="00080D53" w:rsidP="00AD36B8">
      <w:pPr>
        <w:pStyle w:val="ListBullet"/>
      </w:pPr>
      <w:r>
        <w:t xml:space="preserve">the rate of return </w:t>
      </w:r>
      <w:r w:rsidR="00722464">
        <w:t xml:space="preserve">allowed by the regulator must be consistent with the NGO and the revenue </w:t>
      </w:r>
      <w:r w:rsidR="003779DD">
        <w:t>and pricing principles in the NGL, and should therefore be set at a level that promotes efficient investment in pipelines</w:t>
      </w:r>
      <w:r w:rsidR="00E44CD9">
        <w:t>;</w:t>
      </w:r>
      <w:r w:rsidR="00370905">
        <w:rPr>
          <w:rFonts w:ascii="ZWAdobeF" w:hAnsi="ZWAdobeF" w:cs="ZWAdobeF"/>
          <w:sz w:val="2"/>
          <w:szCs w:val="2"/>
        </w:rPr>
        <w:t>198F</w:t>
      </w:r>
      <w:r w:rsidR="003779DD">
        <w:rPr>
          <w:rStyle w:val="FootnoteReference"/>
        </w:rPr>
        <w:footnoteReference w:id="200"/>
      </w:r>
      <w:r w:rsidR="003779DD">
        <w:t xml:space="preserve"> </w:t>
      </w:r>
      <w:r w:rsidR="00E44CD9">
        <w:t>and</w:t>
      </w:r>
    </w:p>
    <w:p w14:paraId="23731C7F" w14:textId="4EAAA128" w:rsidR="00E11271" w:rsidRDefault="005C189C" w:rsidP="00AD36B8">
      <w:pPr>
        <w:pStyle w:val="ListBullet"/>
      </w:pPr>
      <w:r>
        <w:t xml:space="preserve">the </w:t>
      </w:r>
      <w:r w:rsidR="0067092A">
        <w:t xml:space="preserve">regulatory framework </w:t>
      </w:r>
      <w:r w:rsidR="00767747">
        <w:t xml:space="preserve">allows </w:t>
      </w:r>
      <w:r w:rsidR="00D666B4">
        <w:t>service provider</w:t>
      </w:r>
      <w:r w:rsidR="00767747">
        <w:t>s</w:t>
      </w:r>
      <w:r w:rsidR="00D666B4">
        <w:t xml:space="preserve"> and shippers to agree to alternative </w:t>
      </w:r>
      <w:r>
        <w:t xml:space="preserve">terms </w:t>
      </w:r>
      <w:r w:rsidR="003507CB">
        <w:t xml:space="preserve">to </w:t>
      </w:r>
      <w:r w:rsidR="00767747">
        <w:t xml:space="preserve">those </w:t>
      </w:r>
      <w:r w:rsidR="006528F3">
        <w:t xml:space="preserve">approved by the regulator, which </w:t>
      </w:r>
      <w:r w:rsidR="00550C73">
        <w:t xml:space="preserve">means a shipper could agree to </w:t>
      </w:r>
      <w:r w:rsidR="00753A79">
        <w:t>fund an investment at</w:t>
      </w:r>
      <w:r w:rsidR="00550C73">
        <w:t xml:space="preserve"> a </w:t>
      </w:r>
      <w:r w:rsidR="006528F3">
        <w:t xml:space="preserve">higher </w:t>
      </w:r>
      <w:r w:rsidR="00D666B4">
        <w:t xml:space="preserve">rate of return </w:t>
      </w:r>
      <w:r w:rsidR="003507CB">
        <w:t xml:space="preserve">if </w:t>
      </w:r>
      <w:r w:rsidR="00550C73">
        <w:t xml:space="preserve">it </w:t>
      </w:r>
      <w:r w:rsidR="003507CB">
        <w:t xml:space="preserve">considered </w:t>
      </w:r>
      <w:r w:rsidR="00550C73">
        <w:t xml:space="preserve">it </w:t>
      </w:r>
      <w:r w:rsidR="003507CB">
        <w:t>appropriate</w:t>
      </w:r>
      <w:r w:rsidR="00550C73">
        <w:t xml:space="preserve"> to do so</w:t>
      </w:r>
      <w:r w:rsidR="006528F3">
        <w:t>.</w:t>
      </w:r>
      <w:r w:rsidR="00370905">
        <w:rPr>
          <w:rFonts w:ascii="ZWAdobeF" w:hAnsi="ZWAdobeF" w:cs="ZWAdobeF"/>
          <w:sz w:val="2"/>
          <w:szCs w:val="2"/>
        </w:rPr>
        <w:t>199F</w:t>
      </w:r>
      <w:r w:rsidR="00753A79">
        <w:rPr>
          <w:rStyle w:val="FootnoteReference"/>
        </w:rPr>
        <w:footnoteReference w:id="201"/>
      </w:r>
    </w:p>
    <w:p w14:paraId="1218EA76" w14:textId="02F548DC" w:rsidR="004E2F2C" w:rsidRDefault="004E2F2C" w:rsidP="00AD36B8">
      <w:pPr>
        <w:pStyle w:val="ListBullet"/>
        <w:numPr>
          <w:ilvl w:val="0"/>
          <w:numId w:val="0"/>
        </w:numPr>
      </w:pPr>
      <w:r>
        <w:t xml:space="preserve">Like full regulation, there is no evidence to suggest the rates of return </w:t>
      </w:r>
      <w:r w:rsidR="005A6699">
        <w:t xml:space="preserve">(although not subject to regulatory oversight) </w:t>
      </w:r>
      <w:r>
        <w:t xml:space="preserve">earned by Part 23 or light regulation </w:t>
      </w:r>
      <w:r w:rsidR="00B16164">
        <w:t xml:space="preserve">pipelines </w:t>
      </w:r>
      <w:r>
        <w:t xml:space="preserve">have </w:t>
      </w:r>
      <w:r w:rsidR="00C038F5">
        <w:t xml:space="preserve">affected </w:t>
      </w:r>
      <w:r>
        <w:t>investment</w:t>
      </w:r>
      <w:r w:rsidR="00605FD7">
        <w:t xml:space="preserve"> (or</w:t>
      </w:r>
      <w:r w:rsidR="00C038F5">
        <w:t xml:space="preserve"> perhaps more importantly,</w:t>
      </w:r>
      <w:r w:rsidR="00605FD7">
        <w:t xml:space="preserve"> affected efficient investment)</w:t>
      </w:r>
      <w:r>
        <w:t>.</w:t>
      </w:r>
      <w:r w:rsidR="00370905">
        <w:rPr>
          <w:rFonts w:ascii="ZWAdobeF" w:hAnsi="ZWAdobeF" w:cs="ZWAdobeF"/>
          <w:sz w:val="2"/>
          <w:szCs w:val="2"/>
        </w:rPr>
        <w:t>200F</w:t>
      </w:r>
      <w:r>
        <w:rPr>
          <w:rStyle w:val="FootnoteReference"/>
        </w:rPr>
        <w:footnoteReference w:id="202"/>
      </w:r>
      <w:r>
        <w:t xml:space="preserve"> </w:t>
      </w:r>
    </w:p>
    <w:p w14:paraId="60E77ECA" w14:textId="16F8E4C9" w:rsidR="00DD19FE" w:rsidRDefault="00C7099C" w:rsidP="00AA1F22">
      <w:pPr>
        <w:pStyle w:val="BodyText"/>
        <w:spacing w:line="252" w:lineRule="auto"/>
      </w:pPr>
      <w:r>
        <w:t xml:space="preserve">Importantly, the changes being contemplated as part of </w:t>
      </w:r>
      <w:r w:rsidR="000E64BF">
        <w:t xml:space="preserve">this RIS </w:t>
      </w:r>
      <w:r w:rsidR="0054665D">
        <w:t>would</w:t>
      </w:r>
      <w:r w:rsidR="000E64BF">
        <w:t xml:space="preserve"> not alter the way in which the rate of return is to be calculated under the </w:t>
      </w:r>
      <w:r w:rsidR="009D5D8D">
        <w:t>stronger</w:t>
      </w:r>
      <w:r w:rsidR="000E64BF">
        <w:t xml:space="preserve"> </w:t>
      </w:r>
      <w:r w:rsidR="00FD0935">
        <w:t xml:space="preserve">or </w:t>
      </w:r>
      <w:r w:rsidR="00531979">
        <w:t>lighter</w:t>
      </w:r>
      <w:r w:rsidR="00FD0935">
        <w:t xml:space="preserve"> </w:t>
      </w:r>
      <w:r w:rsidR="000E64BF">
        <w:t>form</w:t>
      </w:r>
      <w:r w:rsidR="0054665D">
        <w:t>s</w:t>
      </w:r>
      <w:r w:rsidR="000E64BF">
        <w:t xml:space="preserve"> of regulation. </w:t>
      </w:r>
      <w:r w:rsidR="00B9208B">
        <w:t xml:space="preserve">Options 2, 3A and 3B would also still allow service providers and shippers to agree to alternative terms under the </w:t>
      </w:r>
      <w:r w:rsidR="00531979">
        <w:t>stronger</w:t>
      </w:r>
      <w:r w:rsidR="00B9208B">
        <w:t xml:space="preserve"> form of regulation</w:t>
      </w:r>
      <w:r w:rsidR="008C6689">
        <w:t>.</w:t>
      </w:r>
      <w:r w:rsidR="00370905">
        <w:rPr>
          <w:rFonts w:ascii="ZWAdobeF" w:hAnsi="ZWAdobeF" w:cs="ZWAdobeF"/>
          <w:sz w:val="2"/>
          <w:szCs w:val="2"/>
        </w:rPr>
        <w:t>201F</w:t>
      </w:r>
      <w:r w:rsidR="00F45F48">
        <w:rPr>
          <w:rStyle w:val="FootnoteReference"/>
        </w:rPr>
        <w:footnoteReference w:id="203"/>
      </w:r>
      <w:r w:rsidR="008C6689">
        <w:t xml:space="preserve"> </w:t>
      </w:r>
      <w:r w:rsidR="00AA1F22">
        <w:t xml:space="preserve">There is no </w:t>
      </w:r>
      <w:r w:rsidR="00FA02CE">
        <w:t xml:space="preserve">basis </w:t>
      </w:r>
      <w:r w:rsidR="00DD19FE">
        <w:t xml:space="preserve">therefore </w:t>
      </w:r>
      <w:r w:rsidR="00FA02CE">
        <w:t xml:space="preserve">to conclude that </w:t>
      </w:r>
      <w:r w:rsidR="00F160ED">
        <w:t xml:space="preserve">options </w:t>
      </w:r>
      <w:r w:rsidR="00334CA5">
        <w:t xml:space="preserve">2, 3A or 3B </w:t>
      </w:r>
      <w:r w:rsidR="008800C6">
        <w:t xml:space="preserve">would result in </w:t>
      </w:r>
      <w:r w:rsidR="0092550C">
        <w:t>lower</w:t>
      </w:r>
      <w:r w:rsidR="008800C6">
        <w:t xml:space="preserve"> than efficient levels of pipeline investment</w:t>
      </w:r>
      <w:r w:rsidR="00F160ED">
        <w:t xml:space="preserve">. </w:t>
      </w:r>
      <w:r w:rsidR="00F62416">
        <w:t>These options are therefore ranked the same as Option 1.</w:t>
      </w:r>
    </w:p>
    <w:p w14:paraId="2BF807FD" w14:textId="77777777" w:rsidR="00C91B10" w:rsidRDefault="00DD19FE" w:rsidP="00DD19FE">
      <w:pPr>
        <w:pStyle w:val="BodyText"/>
        <w:spacing w:line="252" w:lineRule="auto"/>
      </w:pPr>
      <w:r>
        <w:t>In contrast to these options, it is possible that under Option 4 there may be a small negative effect on investment</w:t>
      </w:r>
      <w:r w:rsidR="00D505D7">
        <w:t xml:space="preserve">. This is </w:t>
      </w:r>
      <w:r w:rsidR="00AD3C64">
        <w:t xml:space="preserve">because the movement to direct price control as the </w:t>
      </w:r>
      <w:r w:rsidR="00531979">
        <w:t>stronger</w:t>
      </w:r>
      <w:r w:rsidR="00AD3C64">
        <w:t xml:space="preserve"> form of regulation would mean that service providers and shippers would not be able to agree to a higher rate of return than approved by the regulator</w:t>
      </w:r>
      <w:r w:rsidR="00D505D7">
        <w:t xml:space="preserve"> in cases where it may be efficient to do so</w:t>
      </w:r>
      <w:r w:rsidR="00AD3C64">
        <w:t xml:space="preserve">. </w:t>
      </w:r>
    </w:p>
    <w:p w14:paraId="6557515F" w14:textId="27107253" w:rsidR="00772426" w:rsidRDefault="00772426" w:rsidP="00912491">
      <w:pPr>
        <w:pStyle w:val="BodyText"/>
      </w:pPr>
      <w:r>
        <w:t xml:space="preserve">These impacts are reflected in </w:t>
      </w:r>
      <w:r>
        <w:fldChar w:fldCharType="begin" w:fldLock="1"/>
      </w:r>
      <w:r>
        <w:instrText xml:space="preserve"> REF _Ref50207772 \h </w:instrText>
      </w:r>
      <w:r>
        <w:fldChar w:fldCharType="separate"/>
      </w:r>
      <w:r w:rsidR="00036405">
        <w:t xml:space="preserve">Table </w:t>
      </w:r>
      <w:r w:rsidR="00036405">
        <w:rPr>
          <w:noProof/>
        </w:rPr>
        <w:t>9</w:t>
      </w:r>
      <w:r w:rsidR="00036405">
        <w:t>.</w:t>
      </w:r>
      <w:r w:rsidR="00036405">
        <w:rPr>
          <w:noProof/>
        </w:rPr>
        <w:t>5</w:t>
      </w:r>
      <w:r>
        <w:fldChar w:fldCharType="end"/>
      </w:r>
      <w:r>
        <w:t xml:space="preserve">, with </w:t>
      </w:r>
      <w:r w:rsidR="00000AC7">
        <w:t xml:space="preserve">options 1, 2, 3A and 3B accorded a ranking of 1 and </w:t>
      </w:r>
      <w:r w:rsidR="00C2253E">
        <w:t>Option 4</w:t>
      </w:r>
      <w:r>
        <w:t xml:space="preserve"> </w:t>
      </w:r>
      <w:r w:rsidR="00C2253E">
        <w:t xml:space="preserve">a </w:t>
      </w:r>
      <w:r w:rsidR="008207B8">
        <w:t xml:space="preserve">ranking of </w:t>
      </w:r>
      <w:r w:rsidR="00C2253E">
        <w:t>5</w:t>
      </w:r>
      <w:r>
        <w:t>.</w:t>
      </w:r>
    </w:p>
    <w:p w14:paraId="61D988E5" w14:textId="77777777" w:rsidR="003B45FF" w:rsidRPr="002B32C8" w:rsidRDefault="003B45FF" w:rsidP="00BA128F">
      <w:pPr>
        <w:pStyle w:val="Heading6"/>
      </w:pPr>
      <w:r w:rsidRPr="002B32C8">
        <w:t>Administrative costs resulting from regulatory change</w:t>
      </w:r>
    </w:p>
    <w:p w14:paraId="71659BCB" w14:textId="77777777" w:rsidR="00D57F78" w:rsidRPr="00A13ED8" w:rsidRDefault="00B00745" w:rsidP="00B00745">
      <w:pPr>
        <w:pStyle w:val="BodyText"/>
        <w:rPr>
          <w:rFonts w:asciiTheme="majorHAnsi" w:hAnsiTheme="majorHAnsi" w:cstheme="majorHAnsi"/>
          <w:sz w:val="16"/>
          <w:szCs w:val="16"/>
        </w:rPr>
      </w:pPr>
      <w:r w:rsidRPr="00B00745">
        <w:t xml:space="preserve">In addition to </w:t>
      </w:r>
      <w:r w:rsidR="00F37A86">
        <w:t xml:space="preserve">the </w:t>
      </w:r>
      <w:r w:rsidRPr="00B00745">
        <w:t>costs</w:t>
      </w:r>
      <w:r w:rsidR="00F37A86">
        <w:t xml:space="preserve"> that have been quantified</w:t>
      </w:r>
      <w:r w:rsidRPr="00B00745">
        <w:t xml:space="preserve">, </w:t>
      </w:r>
      <w:r w:rsidR="00D57F78" w:rsidRPr="00B00745">
        <w:rPr>
          <w:rFonts w:asciiTheme="majorHAnsi" w:hAnsiTheme="majorHAnsi" w:cstheme="majorHAnsi"/>
        </w:rPr>
        <w:t>costs</w:t>
      </w:r>
      <w:r w:rsidR="00D57F78" w:rsidRPr="00B00745">
        <w:rPr>
          <w:rFonts w:asciiTheme="majorHAnsi" w:hAnsiTheme="majorHAnsi" w:cstheme="majorHAnsi"/>
          <w:spacing w:val="-32"/>
        </w:rPr>
        <w:t xml:space="preserve"> </w:t>
      </w:r>
      <w:r w:rsidR="00DB7924">
        <w:rPr>
          <w:rFonts w:asciiTheme="majorHAnsi" w:hAnsiTheme="majorHAnsi" w:cstheme="majorHAnsi"/>
        </w:rPr>
        <w:t>are expected to be incurred by</w:t>
      </w:r>
      <w:r w:rsidR="00D57F78" w:rsidRPr="00B00745">
        <w:rPr>
          <w:rFonts w:asciiTheme="majorHAnsi" w:hAnsiTheme="majorHAnsi" w:cstheme="majorHAnsi"/>
        </w:rPr>
        <w:t>:</w:t>
      </w:r>
      <w:r w:rsidR="00D57F78" w:rsidRPr="00A13ED8">
        <w:rPr>
          <w:rFonts w:asciiTheme="majorHAnsi" w:hAnsiTheme="majorHAnsi" w:cstheme="majorHAnsi"/>
          <w:sz w:val="16"/>
          <w:szCs w:val="16"/>
        </w:rPr>
        <w:t xml:space="preserve"> </w:t>
      </w:r>
    </w:p>
    <w:p w14:paraId="6216BC72" w14:textId="77777777" w:rsidR="00BA616A" w:rsidRPr="00A13ED8" w:rsidRDefault="00BA616A" w:rsidP="00AD36B8">
      <w:pPr>
        <w:pStyle w:val="ListBullet"/>
      </w:pPr>
      <w:r>
        <w:t>s</w:t>
      </w:r>
      <w:r w:rsidRPr="00A13ED8">
        <w:t xml:space="preserve">ervice providers </w:t>
      </w:r>
      <w:r w:rsidR="00DB7924">
        <w:t xml:space="preserve">that apply </w:t>
      </w:r>
      <w:r w:rsidRPr="00A13ED8">
        <w:t xml:space="preserve">for </w:t>
      </w:r>
      <w:r>
        <w:t>an exemption from regulation</w:t>
      </w:r>
      <w:r w:rsidR="005637AD">
        <w:t xml:space="preserve"> under Option 2</w:t>
      </w:r>
      <w:r>
        <w:t xml:space="preserve">, or </w:t>
      </w:r>
      <w:r w:rsidR="005637AD">
        <w:t xml:space="preserve">for a greenfield exemption under </w:t>
      </w:r>
      <w:r w:rsidRPr="00A13ED8">
        <w:t>options 2, 3A, and 3B</w:t>
      </w:r>
      <w:r>
        <w:t>;</w:t>
      </w:r>
    </w:p>
    <w:p w14:paraId="1D484B71" w14:textId="77777777" w:rsidR="00BA616A" w:rsidRDefault="00BA616A" w:rsidP="00AD36B8">
      <w:pPr>
        <w:pStyle w:val="ListBullet"/>
      </w:pPr>
      <w:r>
        <w:t>s</w:t>
      </w:r>
      <w:r w:rsidRPr="00A13ED8">
        <w:t xml:space="preserve">hippers </w:t>
      </w:r>
      <w:r w:rsidR="00DB7924">
        <w:t xml:space="preserve">that apply </w:t>
      </w:r>
      <w:r w:rsidRPr="00A13ED8">
        <w:t xml:space="preserve">for pipelines that are not voluntarily providing third party access to provide such access </w:t>
      </w:r>
      <w:r w:rsidR="005637AD">
        <w:t xml:space="preserve">und </w:t>
      </w:r>
      <w:r w:rsidRPr="00A13ED8">
        <w:t>options 2 and 3A</w:t>
      </w:r>
      <w:r>
        <w:t xml:space="preserve">; </w:t>
      </w:r>
      <w:r w:rsidR="008E3BD4">
        <w:t>and</w:t>
      </w:r>
    </w:p>
    <w:p w14:paraId="7982E259" w14:textId="77777777" w:rsidR="00BA616A" w:rsidRDefault="00BA616A" w:rsidP="00AD36B8">
      <w:pPr>
        <w:pStyle w:val="ListBullet"/>
      </w:pPr>
      <w:r>
        <w:t xml:space="preserve">service providers or shippers </w:t>
      </w:r>
      <w:r w:rsidR="00DB7924">
        <w:t xml:space="preserve">that apply </w:t>
      </w:r>
      <w:r>
        <w:t>for a change in the form of regulation applying to a particular pipeline</w:t>
      </w:r>
      <w:r w:rsidR="00896B22">
        <w:t xml:space="preserve"> </w:t>
      </w:r>
      <w:r w:rsidR="005637AD">
        <w:t xml:space="preserve">under </w:t>
      </w:r>
      <w:r w:rsidR="00896B22">
        <w:t xml:space="preserve">all </w:t>
      </w:r>
      <w:r w:rsidR="005637AD">
        <w:t xml:space="preserve">reform </w:t>
      </w:r>
      <w:r w:rsidR="00896B22">
        <w:t>options.</w:t>
      </w:r>
    </w:p>
    <w:p w14:paraId="2D32684B" w14:textId="77777777" w:rsidR="00D31634" w:rsidRDefault="005F3020" w:rsidP="00AD36B8">
      <w:pPr>
        <w:pStyle w:val="ListBullet"/>
        <w:numPr>
          <w:ilvl w:val="0"/>
          <w:numId w:val="0"/>
        </w:numPr>
      </w:pPr>
      <w:r>
        <w:lastRenderedPageBreak/>
        <w:t xml:space="preserve">Those </w:t>
      </w:r>
      <w:r w:rsidR="00BA616A">
        <w:t>s</w:t>
      </w:r>
      <w:r w:rsidR="00BA616A" w:rsidRPr="00A13ED8">
        <w:t xml:space="preserve">ervice providers </w:t>
      </w:r>
      <w:r>
        <w:t xml:space="preserve">that remain </w:t>
      </w:r>
      <w:r w:rsidR="00BA616A" w:rsidRPr="00A13ED8">
        <w:t>in the same regulatory category</w:t>
      </w:r>
      <w:r>
        <w:t xml:space="preserve"> may also incur some incremental </w:t>
      </w:r>
      <w:r w:rsidR="004817C6">
        <w:t xml:space="preserve">implementation </w:t>
      </w:r>
      <w:r>
        <w:t>costs</w:t>
      </w:r>
      <w:r w:rsidR="005C68B1">
        <w:t>,</w:t>
      </w:r>
      <w:r w:rsidR="00BA616A" w:rsidRPr="00A13ED8">
        <w:t xml:space="preserve"> because</w:t>
      </w:r>
      <w:r w:rsidR="00D31634">
        <w:t>:</w:t>
      </w:r>
    </w:p>
    <w:p w14:paraId="01D7D7BF" w14:textId="77777777" w:rsidR="00D31634" w:rsidRDefault="003B1841" w:rsidP="00AD36B8">
      <w:pPr>
        <w:pStyle w:val="ListBullet"/>
      </w:pPr>
      <w:r>
        <w:t>u</w:t>
      </w:r>
      <w:r w:rsidR="00D31634">
        <w:t xml:space="preserve">nder </w:t>
      </w:r>
      <w:r w:rsidR="000F7419">
        <w:t xml:space="preserve">all the reform options </w:t>
      </w:r>
      <w:r w:rsidR="00850DA3">
        <w:t xml:space="preserve">light regulation </w:t>
      </w:r>
      <w:r w:rsidR="00D21044">
        <w:t>would</w:t>
      </w:r>
      <w:r w:rsidR="00850DA3">
        <w:t xml:space="preserve"> be removed and </w:t>
      </w:r>
      <w:r w:rsidR="00D31634">
        <w:t xml:space="preserve">there </w:t>
      </w:r>
      <w:r w:rsidR="00024620">
        <w:t>would</w:t>
      </w:r>
      <w:r w:rsidR="00D31634">
        <w:t xml:space="preserve"> be some changes made to </w:t>
      </w:r>
      <w:r w:rsidR="00850DA3">
        <w:t xml:space="preserve">strengthen Part 23 as the new </w:t>
      </w:r>
      <w:r w:rsidR="00531979">
        <w:t>lighter</w:t>
      </w:r>
      <w:r w:rsidR="00D31634">
        <w:t xml:space="preserve"> form of regulation</w:t>
      </w:r>
      <w:r w:rsidR="00E94D84">
        <w:t>; and</w:t>
      </w:r>
    </w:p>
    <w:p w14:paraId="507C6D56" w14:textId="77777777" w:rsidR="003B1841" w:rsidRDefault="003B1841" w:rsidP="00AD36B8">
      <w:pPr>
        <w:pStyle w:val="ListBullet"/>
      </w:pPr>
      <w:r>
        <w:t>u</w:t>
      </w:r>
      <w:r w:rsidR="00D31634">
        <w:t xml:space="preserve">nder Option 4, the </w:t>
      </w:r>
      <w:r w:rsidR="00531979">
        <w:t>stronger</w:t>
      </w:r>
      <w:r w:rsidR="00D31634">
        <w:t xml:space="preserve"> form of regulation </w:t>
      </w:r>
      <w:r w:rsidR="00D21044">
        <w:t xml:space="preserve">would </w:t>
      </w:r>
      <w:r>
        <w:t xml:space="preserve">transition from </w:t>
      </w:r>
      <w:r w:rsidR="00C1381A">
        <w:t xml:space="preserve">the current </w:t>
      </w:r>
      <w:r>
        <w:t xml:space="preserve">full regulation </w:t>
      </w:r>
      <w:r w:rsidR="00C1381A">
        <w:t xml:space="preserve">approach with reference tariffs </w:t>
      </w:r>
      <w:r>
        <w:t xml:space="preserve">to direct price control.  </w:t>
      </w:r>
    </w:p>
    <w:p w14:paraId="507B69DD" w14:textId="51C6805D" w:rsidR="008207B8" w:rsidRDefault="00CE6131" w:rsidP="008207B8">
      <w:pPr>
        <w:pStyle w:val="BodyText"/>
      </w:pPr>
      <w:r>
        <w:t>Compared</w:t>
      </w:r>
      <w:r w:rsidR="003B45FF" w:rsidRPr="002B32C8">
        <w:t xml:space="preserve"> to the costs that have been quantified, these costs are expected to be </w:t>
      </w:r>
      <w:r>
        <w:t>relatively</w:t>
      </w:r>
      <w:r w:rsidR="008653D1">
        <w:t xml:space="preserve"> </w:t>
      </w:r>
      <w:r w:rsidR="003B45FF" w:rsidRPr="002B32C8">
        <w:t xml:space="preserve">small. There are nevertheless likely to be some differences in the scale of costs across the </w:t>
      </w:r>
      <w:r w:rsidR="00627606">
        <w:t xml:space="preserve">reform </w:t>
      </w:r>
      <w:r w:rsidR="003B45FF" w:rsidRPr="002B32C8">
        <w:t>options</w:t>
      </w:r>
      <w:r w:rsidR="00480590">
        <w:t xml:space="preserve">, with </w:t>
      </w:r>
      <w:r w:rsidR="00635033">
        <w:t xml:space="preserve">Option 3B expected to give rise to the lowest costs (i.e. because </w:t>
      </w:r>
      <w:r w:rsidR="00A92AC7">
        <w:t xml:space="preserve">there would be no test for third party access), followed </w:t>
      </w:r>
      <w:r>
        <w:t xml:space="preserve">in ascending order </w:t>
      </w:r>
      <w:r w:rsidR="00A92AC7">
        <w:t>by Option 3A, Option 4 and Option 2.</w:t>
      </w:r>
      <w:r w:rsidR="003B45FF" w:rsidRPr="002B32C8">
        <w:t xml:space="preserve"> Option 2</w:t>
      </w:r>
      <w:r w:rsidR="00A92AC7">
        <w:t xml:space="preserve"> </w:t>
      </w:r>
      <w:r w:rsidR="003B45FF" w:rsidRPr="002B32C8">
        <w:t xml:space="preserve">is expected to give rise to the highest administrative costs because a greater number of exemptions </w:t>
      </w:r>
      <w:r>
        <w:t xml:space="preserve">from regulation </w:t>
      </w:r>
      <w:r w:rsidR="003B45FF" w:rsidRPr="002B32C8">
        <w:t xml:space="preserve">are expected to be </w:t>
      </w:r>
      <w:r>
        <w:t xml:space="preserve">applied for </w:t>
      </w:r>
      <w:r w:rsidR="003B45FF" w:rsidRPr="002B32C8">
        <w:t xml:space="preserve">under this option. </w:t>
      </w:r>
      <w:r w:rsidR="008207B8">
        <w:t xml:space="preserve">These impacts are reflected in </w:t>
      </w:r>
      <w:r w:rsidR="008207B8">
        <w:fldChar w:fldCharType="begin" w:fldLock="1"/>
      </w:r>
      <w:r w:rsidR="008207B8">
        <w:instrText xml:space="preserve"> REF _Ref50207772 \h </w:instrText>
      </w:r>
      <w:r w:rsidR="008207B8">
        <w:fldChar w:fldCharType="separate"/>
      </w:r>
      <w:r w:rsidR="00036405">
        <w:t xml:space="preserve">Table </w:t>
      </w:r>
      <w:r w:rsidR="00036405">
        <w:rPr>
          <w:noProof/>
        </w:rPr>
        <w:t>9</w:t>
      </w:r>
      <w:r w:rsidR="00036405">
        <w:t>.</w:t>
      </w:r>
      <w:r w:rsidR="00036405">
        <w:rPr>
          <w:noProof/>
        </w:rPr>
        <w:t>5</w:t>
      </w:r>
      <w:r w:rsidR="008207B8">
        <w:fldChar w:fldCharType="end"/>
      </w:r>
      <w:r w:rsidR="008207B8">
        <w:t xml:space="preserve">, with </w:t>
      </w:r>
      <w:r w:rsidR="00AC6C90">
        <w:t xml:space="preserve">Option 1 having a ranking of 1, </w:t>
      </w:r>
      <w:r w:rsidR="008207B8">
        <w:t xml:space="preserve">Option </w:t>
      </w:r>
      <w:r w:rsidR="00AC6C90">
        <w:t>3B</w:t>
      </w:r>
      <w:r w:rsidR="008207B8">
        <w:t xml:space="preserve"> a ranking of </w:t>
      </w:r>
      <w:r w:rsidR="00AC6C90">
        <w:t>2</w:t>
      </w:r>
      <w:r w:rsidR="008207B8">
        <w:t xml:space="preserve">, Option </w:t>
      </w:r>
      <w:r w:rsidR="00AC6C90">
        <w:t xml:space="preserve">3A </w:t>
      </w:r>
      <w:r w:rsidR="008207B8">
        <w:t xml:space="preserve">a ranking of </w:t>
      </w:r>
      <w:r w:rsidR="00AC6C90">
        <w:t>3</w:t>
      </w:r>
      <w:r w:rsidR="008207B8">
        <w:t xml:space="preserve">, Option </w:t>
      </w:r>
      <w:r w:rsidR="00AC6C90">
        <w:t>4</w:t>
      </w:r>
      <w:r w:rsidR="008207B8">
        <w:t xml:space="preserve"> a ranking of </w:t>
      </w:r>
      <w:r w:rsidR="00AC6C90">
        <w:t xml:space="preserve">4 </w:t>
      </w:r>
      <w:r w:rsidR="008207B8">
        <w:t xml:space="preserve">and </w:t>
      </w:r>
      <w:r w:rsidR="00AC6C90">
        <w:t>Option 2 a ranking of 5</w:t>
      </w:r>
      <w:r w:rsidR="008207B8">
        <w:t>.</w:t>
      </w:r>
    </w:p>
    <w:p w14:paraId="29992A2A" w14:textId="77777777" w:rsidR="003B45FF" w:rsidRPr="002B32C8" w:rsidRDefault="003B45FF" w:rsidP="00BA128F">
      <w:pPr>
        <w:pStyle w:val="Heading6"/>
      </w:pPr>
      <w:bookmarkStart w:id="216" w:name="_bookmark19"/>
      <w:bookmarkEnd w:id="216"/>
      <w:r w:rsidRPr="002B32C8">
        <w:t xml:space="preserve">Productivity </w:t>
      </w:r>
      <w:r w:rsidR="00870C41">
        <w:t xml:space="preserve">and efficiency </w:t>
      </w:r>
      <w:r w:rsidRPr="002B32C8">
        <w:t xml:space="preserve">benefits from other changes that result in lower gas transportation costs </w:t>
      </w:r>
      <w:r w:rsidR="003D2D24">
        <w:t xml:space="preserve">on pipelines subject to the new </w:t>
      </w:r>
      <w:r w:rsidR="00531979">
        <w:t>lighter</w:t>
      </w:r>
      <w:r w:rsidR="003D2D24">
        <w:t xml:space="preserve"> regulation </w:t>
      </w:r>
    </w:p>
    <w:p w14:paraId="73F34FCB" w14:textId="77777777" w:rsidR="00FA74EE" w:rsidRDefault="00275E45" w:rsidP="00895674">
      <w:pPr>
        <w:pStyle w:val="BodyText"/>
      </w:pPr>
      <w:r>
        <w:t xml:space="preserve">Several measures proposed as part of the reform options are expected to place downward pressure on transportation costs on pipelines subject to the new </w:t>
      </w:r>
      <w:r w:rsidR="00531979">
        <w:t>lighter</w:t>
      </w:r>
      <w:r>
        <w:t xml:space="preserve"> form of regulation</w:t>
      </w:r>
      <w:r w:rsidR="00BC3CBC">
        <w:t xml:space="preserve">. This is, in turn, expected to </w:t>
      </w:r>
      <w:r w:rsidR="00FA74EE">
        <w:t xml:space="preserve">give rise to economy-wide productivity benefits and </w:t>
      </w:r>
      <w:r w:rsidR="007B0B3F">
        <w:t xml:space="preserve">result in </w:t>
      </w:r>
      <w:r w:rsidR="00FA74EE">
        <w:t xml:space="preserve">more efficient use of and investment in these pipelines. </w:t>
      </w:r>
    </w:p>
    <w:p w14:paraId="584903F9" w14:textId="77777777" w:rsidR="00C27D1E" w:rsidRDefault="00895674" w:rsidP="00895674">
      <w:pPr>
        <w:pStyle w:val="BodyText"/>
      </w:pPr>
      <w:r w:rsidRPr="002B32C8">
        <w:t xml:space="preserve">The removal of the coverage test from form of regulation decisions, for example, should strengthen the threat of a </w:t>
      </w:r>
      <w:r w:rsidR="00531979">
        <w:t>stronger</w:t>
      </w:r>
      <w:r w:rsidRPr="002B32C8">
        <w:t xml:space="preserve"> form of regulation being applied to a pipeline</w:t>
      </w:r>
      <w:r w:rsidR="00367F78">
        <w:t xml:space="preserve"> that is subject to the </w:t>
      </w:r>
      <w:r w:rsidR="00531979">
        <w:t>lighter</w:t>
      </w:r>
      <w:r w:rsidR="00367F78">
        <w:t xml:space="preserve"> form of regulation</w:t>
      </w:r>
      <w:r w:rsidR="00C1381A">
        <w:t xml:space="preserve">. This, in turn, </w:t>
      </w:r>
      <w:r w:rsidRPr="002B32C8">
        <w:t>should</w:t>
      </w:r>
      <w:r w:rsidR="00367F78">
        <w:t xml:space="preserve"> </w:t>
      </w:r>
      <w:r w:rsidRPr="002B32C8">
        <w:t xml:space="preserve">place downward pressure on the prices charged by </w:t>
      </w:r>
      <w:r w:rsidR="00367F78">
        <w:t xml:space="preserve">these </w:t>
      </w:r>
      <w:r w:rsidR="00121552">
        <w:t xml:space="preserve">service providers </w:t>
      </w:r>
      <w:r w:rsidRPr="002B32C8">
        <w:t xml:space="preserve">under all the reform options. The following features of options </w:t>
      </w:r>
      <w:r>
        <w:t xml:space="preserve">3A, 3B and </w:t>
      </w:r>
      <w:r w:rsidRPr="002B32C8">
        <w:t>4</w:t>
      </w:r>
      <w:r>
        <w:t xml:space="preserve"> </w:t>
      </w:r>
      <w:r w:rsidRPr="002B32C8">
        <w:t xml:space="preserve">can be expected to place </w:t>
      </w:r>
      <w:r w:rsidR="005314A4">
        <w:t xml:space="preserve">further </w:t>
      </w:r>
      <w:r w:rsidRPr="002B32C8">
        <w:t>downward pressure on the</w:t>
      </w:r>
      <w:r w:rsidR="007B0B3F">
        <w:t>se</w:t>
      </w:r>
      <w:r w:rsidRPr="002B32C8">
        <w:t xml:space="preserve"> prices</w:t>
      </w:r>
      <w:r>
        <w:t xml:space="preserve">, by </w:t>
      </w:r>
      <w:r w:rsidR="00251917">
        <w:t>posing more of a constraint on exercises of market power</w:t>
      </w:r>
      <w:r w:rsidR="00DC4968">
        <w:t xml:space="preserve"> by service providers</w:t>
      </w:r>
      <w:r w:rsidR="00E233A1">
        <w:t xml:space="preserve"> subject to the </w:t>
      </w:r>
      <w:r w:rsidR="00531979">
        <w:t>lighter</w:t>
      </w:r>
      <w:r w:rsidR="00E233A1">
        <w:t xml:space="preserve"> form of regulation</w:t>
      </w:r>
      <w:r w:rsidR="003F7AF1">
        <w:t>:</w:t>
      </w:r>
    </w:p>
    <w:p w14:paraId="042A5096" w14:textId="77777777" w:rsidR="00562255" w:rsidRDefault="00562255" w:rsidP="00AD36B8">
      <w:pPr>
        <w:pStyle w:val="ListBullet"/>
      </w:pPr>
      <w:r>
        <w:t>greater regulatory oversight of the behaviour of service providers;</w:t>
      </w:r>
    </w:p>
    <w:p w14:paraId="666237E6" w14:textId="77777777" w:rsidR="003B45FF" w:rsidRPr="002B32C8" w:rsidRDefault="003B45FF" w:rsidP="00AD36B8">
      <w:pPr>
        <w:pStyle w:val="ListBullet"/>
        <w:rPr>
          <w:rFonts w:ascii="Symbol" w:hAnsi="Symbol"/>
        </w:rPr>
      </w:pPr>
      <w:r w:rsidRPr="002B32C8">
        <w:t>improved information disclosure</w:t>
      </w:r>
      <w:r w:rsidR="00F40654">
        <w:t xml:space="preserve"> by service providers</w:t>
      </w:r>
      <w:r w:rsidR="00474C06">
        <w:t>;</w:t>
      </w:r>
    </w:p>
    <w:p w14:paraId="61074F3D" w14:textId="77777777" w:rsidR="003B45FF" w:rsidRPr="002B32C8" w:rsidRDefault="00F72A59" w:rsidP="00AD36B8">
      <w:pPr>
        <w:pStyle w:val="ListBullet"/>
        <w:rPr>
          <w:rFonts w:ascii="Symbol" w:hAnsi="Symbol"/>
        </w:rPr>
      </w:pPr>
      <w:r>
        <w:t>strengthen</w:t>
      </w:r>
      <w:r w:rsidR="00562255">
        <w:t>ed</w:t>
      </w:r>
      <w:r>
        <w:t xml:space="preserve"> </w:t>
      </w:r>
      <w:r w:rsidR="003B45FF" w:rsidRPr="002B32C8">
        <w:t>threat of arbitration by smaller shippers</w:t>
      </w:r>
      <w:r w:rsidR="003B42E7">
        <w:t>; and</w:t>
      </w:r>
    </w:p>
    <w:p w14:paraId="7077CB72" w14:textId="77777777" w:rsidR="00562255" w:rsidRDefault="00562255" w:rsidP="00AD36B8">
      <w:pPr>
        <w:pStyle w:val="ListBullet"/>
      </w:pPr>
      <w:r>
        <w:t>measures that are intended to pose more of a constraint on exercises of dynamic market power by service providers</w:t>
      </w:r>
      <w:r w:rsidR="00DA721B">
        <w:t xml:space="preserve"> and therefore facilitate more competition for the development of new capacity</w:t>
      </w:r>
      <w:r w:rsidR="008B27FF">
        <w:t xml:space="preserve">. </w:t>
      </w:r>
    </w:p>
    <w:p w14:paraId="3EC4D105" w14:textId="608AA64E" w:rsidR="00121552" w:rsidRDefault="004D43E4" w:rsidP="00BE5AB8">
      <w:pPr>
        <w:pStyle w:val="BodyText"/>
        <w:spacing w:line="259" w:lineRule="auto"/>
        <w:rPr>
          <w:rFonts w:asciiTheme="majorHAnsi" w:hAnsiTheme="majorHAnsi" w:cstheme="majorHAnsi"/>
        </w:rPr>
      </w:pPr>
      <w:r>
        <w:t>While it has not been possible to quantity the</w:t>
      </w:r>
      <w:r w:rsidR="00FA74EE">
        <w:t xml:space="preserve"> </w:t>
      </w:r>
      <w:r w:rsidR="00E653DD">
        <w:t xml:space="preserve">effect that these measures would have on transportation costs, the productivity and efficiency related </w:t>
      </w:r>
      <w:r w:rsidR="00FA74EE">
        <w:t>be</w:t>
      </w:r>
      <w:r w:rsidR="00A259A9">
        <w:t xml:space="preserve">nefits </w:t>
      </w:r>
      <w:r w:rsidR="00E653DD">
        <w:t xml:space="preserve">are expected to be </w:t>
      </w:r>
      <w:r w:rsidR="00A259A9">
        <w:rPr>
          <w:rFonts w:asciiTheme="majorHAnsi" w:hAnsiTheme="majorHAnsi" w:cstheme="majorHAnsi"/>
        </w:rPr>
        <w:t xml:space="preserve">significant </w:t>
      </w:r>
      <w:r w:rsidR="00E653DD">
        <w:rPr>
          <w:rFonts w:asciiTheme="majorHAnsi" w:hAnsiTheme="majorHAnsi" w:cstheme="majorHAnsi"/>
        </w:rPr>
        <w:t xml:space="preserve">given the large number of </w:t>
      </w:r>
      <w:r w:rsidR="00D47629">
        <w:rPr>
          <w:rFonts w:asciiTheme="majorHAnsi" w:hAnsiTheme="majorHAnsi" w:cstheme="majorHAnsi"/>
        </w:rPr>
        <w:t xml:space="preserve">pipelines that are expected to be subject to the </w:t>
      </w:r>
      <w:r w:rsidR="00531979">
        <w:rPr>
          <w:rFonts w:asciiTheme="majorHAnsi" w:hAnsiTheme="majorHAnsi" w:cstheme="majorHAnsi"/>
        </w:rPr>
        <w:t>lighter</w:t>
      </w:r>
      <w:r w:rsidR="00D47629">
        <w:rPr>
          <w:rFonts w:asciiTheme="majorHAnsi" w:hAnsiTheme="majorHAnsi" w:cstheme="majorHAnsi"/>
        </w:rPr>
        <w:t xml:space="preserve"> form of regulation (see </w:t>
      </w:r>
      <w:r w:rsidR="00D47629">
        <w:rPr>
          <w:rFonts w:asciiTheme="majorHAnsi" w:hAnsiTheme="majorHAnsi" w:cstheme="majorHAnsi"/>
        </w:rPr>
        <w:fldChar w:fldCharType="begin" w:fldLock="1"/>
      </w:r>
      <w:r w:rsidR="00D47629">
        <w:rPr>
          <w:rFonts w:asciiTheme="majorHAnsi" w:hAnsiTheme="majorHAnsi" w:cstheme="majorHAnsi"/>
        </w:rPr>
        <w:instrText xml:space="preserve"> REF _Ref50033903 \h </w:instrText>
      </w:r>
      <w:r w:rsidR="00D47629">
        <w:rPr>
          <w:rFonts w:asciiTheme="majorHAnsi" w:hAnsiTheme="majorHAnsi" w:cstheme="majorHAnsi"/>
        </w:rPr>
      </w:r>
      <w:r w:rsidR="00D47629">
        <w:rPr>
          <w:rFonts w:asciiTheme="majorHAnsi" w:hAnsiTheme="majorHAnsi" w:cstheme="majorHAnsi"/>
        </w:rPr>
        <w:fldChar w:fldCharType="separate"/>
      </w:r>
      <w:r w:rsidR="00036405">
        <w:t xml:space="preserve">Table </w:t>
      </w:r>
      <w:r w:rsidR="00036405">
        <w:rPr>
          <w:noProof/>
        </w:rPr>
        <w:t>9</w:t>
      </w:r>
      <w:r w:rsidR="00036405">
        <w:t>.</w:t>
      </w:r>
      <w:r w:rsidR="00036405">
        <w:rPr>
          <w:noProof/>
        </w:rPr>
        <w:t>3</w:t>
      </w:r>
      <w:r w:rsidR="00D47629">
        <w:rPr>
          <w:rFonts w:asciiTheme="majorHAnsi" w:hAnsiTheme="majorHAnsi" w:cstheme="majorHAnsi"/>
        </w:rPr>
        <w:fldChar w:fldCharType="end"/>
      </w:r>
      <w:r w:rsidR="00D47629">
        <w:rPr>
          <w:rFonts w:asciiTheme="majorHAnsi" w:hAnsiTheme="majorHAnsi" w:cstheme="majorHAnsi"/>
        </w:rPr>
        <w:t xml:space="preserve">). </w:t>
      </w:r>
      <w:r w:rsidR="004B5784">
        <w:rPr>
          <w:rFonts w:asciiTheme="majorHAnsi" w:hAnsiTheme="majorHAnsi" w:cstheme="majorHAnsi"/>
        </w:rPr>
        <w:t xml:space="preserve">For example, even if </w:t>
      </w:r>
      <w:r w:rsidR="002141CA">
        <w:rPr>
          <w:rFonts w:asciiTheme="majorHAnsi" w:hAnsiTheme="majorHAnsi" w:cstheme="majorHAnsi"/>
        </w:rPr>
        <w:t xml:space="preserve">these measures </w:t>
      </w:r>
      <w:r w:rsidR="004B5784">
        <w:rPr>
          <w:rFonts w:asciiTheme="majorHAnsi" w:hAnsiTheme="majorHAnsi" w:cstheme="majorHAnsi"/>
        </w:rPr>
        <w:t xml:space="preserve">only result in a 1% reduction in </w:t>
      </w:r>
      <w:r w:rsidR="00982CE2">
        <w:rPr>
          <w:rFonts w:asciiTheme="majorHAnsi" w:hAnsiTheme="majorHAnsi" w:cstheme="majorHAnsi"/>
        </w:rPr>
        <w:t xml:space="preserve">the </w:t>
      </w:r>
      <w:r w:rsidR="004B5784">
        <w:rPr>
          <w:rFonts w:asciiTheme="majorHAnsi" w:hAnsiTheme="majorHAnsi" w:cstheme="majorHAnsi"/>
        </w:rPr>
        <w:t>price</w:t>
      </w:r>
      <w:r w:rsidR="00982CE2">
        <w:rPr>
          <w:rFonts w:asciiTheme="majorHAnsi" w:hAnsiTheme="majorHAnsi" w:cstheme="majorHAnsi"/>
        </w:rPr>
        <w:t>s</w:t>
      </w:r>
      <w:r w:rsidR="004B5784">
        <w:rPr>
          <w:rFonts w:asciiTheme="majorHAnsi" w:hAnsiTheme="majorHAnsi" w:cstheme="majorHAnsi"/>
        </w:rPr>
        <w:t xml:space="preserve"> </w:t>
      </w:r>
      <w:r w:rsidR="00982CE2">
        <w:rPr>
          <w:rFonts w:asciiTheme="majorHAnsi" w:hAnsiTheme="majorHAnsi" w:cstheme="majorHAnsi"/>
        </w:rPr>
        <w:t xml:space="preserve">charged by </w:t>
      </w:r>
      <w:r w:rsidR="004B5784">
        <w:rPr>
          <w:rFonts w:asciiTheme="majorHAnsi" w:hAnsiTheme="majorHAnsi" w:cstheme="majorHAnsi"/>
        </w:rPr>
        <w:t xml:space="preserve">these pipelines, the benefits </w:t>
      </w:r>
      <w:r w:rsidR="00C72F47">
        <w:rPr>
          <w:rFonts w:asciiTheme="majorHAnsi" w:hAnsiTheme="majorHAnsi" w:cstheme="majorHAnsi"/>
        </w:rPr>
        <w:t xml:space="preserve">would still </w:t>
      </w:r>
      <w:r w:rsidR="004B5784">
        <w:rPr>
          <w:rFonts w:asciiTheme="majorHAnsi" w:hAnsiTheme="majorHAnsi" w:cstheme="majorHAnsi"/>
        </w:rPr>
        <w:t xml:space="preserve">be quite </w:t>
      </w:r>
      <w:r w:rsidR="00C72F47">
        <w:rPr>
          <w:rFonts w:asciiTheme="majorHAnsi" w:hAnsiTheme="majorHAnsi" w:cstheme="majorHAnsi"/>
        </w:rPr>
        <w:t xml:space="preserve">high </w:t>
      </w:r>
      <w:r w:rsidR="00B2314C">
        <w:rPr>
          <w:rFonts w:asciiTheme="majorHAnsi" w:hAnsiTheme="majorHAnsi" w:cstheme="majorHAnsi"/>
        </w:rPr>
        <w:t xml:space="preserve">given the large number of pipelines </w:t>
      </w:r>
      <w:r w:rsidR="00C72F47">
        <w:rPr>
          <w:rFonts w:asciiTheme="majorHAnsi" w:hAnsiTheme="majorHAnsi" w:cstheme="majorHAnsi"/>
        </w:rPr>
        <w:t xml:space="preserve">that </w:t>
      </w:r>
      <w:r w:rsidR="00B2314C">
        <w:rPr>
          <w:rFonts w:asciiTheme="majorHAnsi" w:hAnsiTheme="majorHAnsi" w:cstheme="majorHAnsi"/>
        </w:rPr>
        <w:t xml:space="preserve">are expected to be </w:t>
      </w:r>
      <w:r w:rsidR="00C72F47">
        <w:rPr>
          <w:rFonts w:asciiTheme="majorHAnsi" w:hAnsiTheme="majorHAnsi" w:cstheme="majorHAnsi"/>
        </w:rPr>
        <w:t xml:space="preserve">in this category. </w:t>
      </w:r>
    </w:p>
    <w:p w14:paraId="1F93895B" w14:textId="5A59CC19" w:rsidR="005314A4" w:rsidRDefault="00121552" w:rsidP="00BE5AB8">
      <w:pPr>
        <w:pStyle w:val="BodyText"/>
        <w:spacing w:line="259" w:lineRule="auto"/>
      </w:pPr>
      <w:r>
        <w:rPr>
          <w:rFonts w:asciiTheme="majorHAnsi" w:hAnsiTheme="majorHAnsi" w:cstheme="majorHAnsi"/>
        </w:rPr>
        <w:t xml:space="preserve">Across the reform options, </w:t>
      </w:r>
      <w:r w:rsidR="003B45FF" w:rsidRPr="002B32C8">
        <w:t xml:space="preserve">the </w:t>
      </w:r>
      <w:r w:rsidR="00D47629">
        <w:t xml:space="preserve">productivity and efficiency </w:t>
      </w:r>
      <w:r w:rsidR="003B45FF" w:rsidRPr="002B32C8">
        <w:t xml:space="preserve">benefits </w:t>
      </w:r>
      <w:r w:rsidR="009B0DF2">
        <w:t xml:space="preserve">associated with lower transportation costs on pipelines subject to the </w:t>
      </w:r>
      <w:r w:rsidR="00531979">
        <w:t>lighter</w:t>
      </w:r>
      <w:r w:rsidR="009B0DF2">
        <w:t xml:space="preserve"> form of regulation are expected to be </w:t>
      </w:r>
      <w:r w:rsidR="003B45FF" w:rsidRPr="002B32C8">
        <w:t>to be highe</w:t>
      </w:r>
      <w:r w:rsidR="009D4E01">
        <w:t>st</w:t>
      </w:r>
      <w:r w:rsidR="003B45FF" w:rsidRPr="002B32C8">
        <w:t xml:space="preserve"> under options </w:t>
      </w:r>
      <w:r w:rsidR="001B1464">
        <w:t xml:space="preserve">3A, 3B and </w:t>
      </w:r>
      <w:r w:rsidR="003B45FF" w:rsidRPr="002B32C8">
        <w:t>4</w:t>
      </w:r>
      <w:r w:rsidR="009D4E01">
        <w:t xml:space="preserve">. This is </w:t>
      </w:r>
      <w:r w:rsidR="005314A4">
        <w:t xml:space="preserve">reflected in </w:t>
      </w:r>
      <w:r w:rsidR="005314A4">
        <w:fldChar w:fldCharType="begin" w:fldLock="1"/>
      </w:r>
      <w:r w:rsidR="005314A4">
        <w:instrText xml:space="preserve"> REF _Ref50207772 \h </w:instrText>
      </w:r>
      <w:r w:rsidR="005314A4">
        <w:fldChar w:fldCharType="separate"/>
      </w:r>
      <w:r w:rsidR="00036405">
        <w:t xml:space="preserve">Table </w:t>
      </w:r>
      <w:r w:rsidR="00036405">
        <w:rPr>
          <w:noProof/>
        </w:rPr>
        <w:t>9</w:t>
      </w:r>
      <w:r w:rsidR="00036405">
        <w:t>.</w:t>
      </w:r>
      <w:r w:rsidR="00036405">
        <w:rPr>
          <w:noProof/>
        </w:rPr>
        <w:t>5</w:t>
      </w:r>
      <w:r w:rsidR="005314A4">
        <w:fldChar w:fldCharType="end"/>
      </w:r>
      <w:r w:rsidR="005314A4">
        <w:t xml:space="preserve">, with options </w:t>
      </w:r>
      <w:r w:rsidR="005314A4">
        <w:lastRenderedPageBreak/>
        <w:t>3A, 3B and 4 having an equal ranking of 1, Option 2 a ranking of 4 and Option 1 a ranking of 5.</w:t>
      </w:r>
    </w:p>
    <w:p w14:paraId="7A09280B" w14:textId="77777777" w:rsidR="003B45FF" w:rsidRPr="002B32C8" w:rsidRDefault="00870C41" w:rsidP="00BE5AB8">
      <w:pPr>
        <w:pStyle w:val="Heading6"/>
        <w:spacing w:line="259" w:lineRule="auto"/>
      </w:pPr>
      <w:r>
        <w:t xml:space="preserve">Productivity </w:t>
      </w:r>
      <w:r w:rsidR="00006FDA">
        <w:t xml:space="preserve">and </w:t>
      </w:r>
      <w:r w:rsidR="00A37377">
        <w:t xml:space="preserve">efficiency </w:t>
      </w:r>
      <w:r>
        <w:t xml:space="preserve">benefits from improved access to pipelines that would </w:t>
      </w:r>
      <w:r w:rsidR="00C4105A">
        <w:t xml:space="preserve">not </w:t>
      </w:r>
      <w:r>
        <w:t xml:space="preserve">otherwise </w:t>
      </w:r>
      <w:r w:rsidR="00C4105A">
        <w:t xml:space="preserve">provide third party access </w:t>
      </w:r>
    </w:p>
    <w:p w14:paraId="4C5232D8" w14:textId="77777777" w:rsidR="000903FC" w:rsidRDefault="006E33AF" w:rsidP="007E3632">
      <w:pPr>
        <w:pStyle w:val="BodyText"/>
        <w:spacing w:line="259" w:lineRule="auto"/>
      </w:pPr>
      <w:r>
        <w:t>T</w:t>
      </w:r>
      <w:r w:rsidRPr="00A13ED8">
        <w:t xml:space="preserve">he replacement of the coverage test with </w:t>
      </w:r>
      <w:r w:rsidR="0068613D">
        <w:t xml:space="preserve">a new </w:t>
      </w:r>
      <w:r w:rsidR="0008631D">
        <w:t xml:space="preserve">third party access </w:t>
      </w:r>
      <w:r w:rsidR="0068613D">
        <w:t>test under o</w:t>
      </w:r>
      <w:r w:rsidR="009F0EE8">
        <w:t>ption</w:t>
      </w:r>
      <w:r w:rsidR="0068613D">
        <w:t>s</w:t>
      </w:r>
      <w:r w:rsidR="009F0EE8">
        <w:t xml:space="preserve"> </w:t>
      </w:r>
      <w:r w:rsidRPr="00A13ED8">
        <w:t>2 and 3A</w:t>
      </w:r>
      <w:r>
        <w:t xml:space="preserve"> </w:t>
      </w:r>
      <w:r w:rsidRPr="00A13ED8">
        <w:t xml:space="preserve">is </w:t>
      </w:r>
      <w:r>
        <w:t>expected to</w:t>
      </w:r>
      <w:r w:rsidR="000B4302">
        <w:t xml:space="preserve"> </w:t>
      </w:r>
      <w:r>
        <w:t>improve the ability of shippers to access pipelines</w:t>
      </w:r>
      <w:r w:rsidR="00C82020">
        <w:t xml:space="preserve"> that are not voluntarily providing third party access</w:t>
      </w:r>
      <w:r w:rsidR="004D20E2">
        <w:t xml:space="preserve"> and to </w:t>
      </w:r>
      <w:r w:rsidR="00861223">
        <w:t xml:space="preserve">result in </w:t>
      </w:r>
      <w:r w:rsidR="00C52305">
        <w:t xml:space="preserve">lower transportation costs, </w:t>
      </w:r>
      <w:r w:rsidR="00C82020">
        <w:t>more efficient use of and investment in these pipelines and economy-wide productivity benefits</w:t>
      </w:r>
      <w:r w:rsidR="00C52305">
        <w:t xml:space="preserve">. </w:t>
      </w:r>
      <w:r w:rsidR="004D20E2">
        <w:t xml:space="preserve">Similar benefits are </w:t>
      </w:r>
      <w:r w:rsidR="00787293">
        <w:t xml:space="preserve">also </w:t>
      </w:r>
      <w:r w:rsidR="004D20E2">
        <w:t xml:space="preserve">expected to be experienced under </w:t>
      </w:r>
      <w:r w:rsidR="00020E7A">
        <w:t xml:space="preserve">options 3B and 4, </w:t>
      </w:r>
      <w:r w:rsidR="000903FC">
        <w:t xml:space="preserve">although with a greater number of pipelines potentially required to provide third party access under the open access model </w:t>
      </w:r>
      <w:r w:rsidR="00401904">
        <w:t xml:space="preserve">provided for by these </w:t>
      </w:r>
      <w:r w:rsidR="000903FC">
        <w:t xml:space="preserve">two options, the benefits are expected to be higher than they are under options 2 and 3A. </w:t>
      </w:r>
    </w:p>
    <w:p w14:paraId="08756442" w14:textId="656DA3B9" w:rsidR="00BA4BC9" w:rsidRDefault="0059081A" w:rsidP="00BA4BC9">
      <w:pPr>
        <w:pStyle w:val="BodyText"/>
        <w:spacing w:line="259" w:lineRule="auto"/>
      </w:pPr>
      <w:r>
        <w:t>Although</w:t>
      </w:r>
      <w:r w:rsidR="00D85ABA">
        <w:t xml:space="preserve"> the benefits are expected to be higher under these two options, it is worth noting </w:t>
      </w:r>
      <w:r w:rsidR="00BA4BC9">
        <w:t xml:space="preserve">that the </w:t>
      </w:r>
      <w:r w:rsidR="00D846CD">
        <w:t xml:space="preserve">overall </w:t>
      </w:r>
      <w:r w:rsidR="00BA4BC9">
        <w:t xml:space="preserve">benefit </w:t>
      </w:r>
      <w:r>
        <w:t xml:space="preserve">associated with improved access to pipelines that are not voluntarily providing third party access </w:t>
      </w:r>
      <w:r w:rsidR="00BA4BC9">
        <w:t xml:space="preserve">is expected to be relatively modest given the small number of </w:t>
      </w:r>
      <w:r w:rsidR="00A47269">
        <w:t xml:space="preserve">such </w:t>
      </w:r>
      <w:r w:rsidR="00BA4BC9">
        <w:t xml:space="preserve">pipelines that shippers are likely to seek access to (see </w:t>
      </w:r>
      <w:r w:rsidR="00BA4BC9">
        <w:fldChar w:fldCharType="begin" w:fldLock="1"/>
      </w:r>
      <w:r w:rsidR="00BA4BC9">
        <w:instrText xml:space="preserve"> REF _Ref50033903 \h </w:instrText>
      </w:r>
      <w:r w:rsidR="00BA4BC9">
        <w:fldChar w:fldCharType="separate"/>
      </w:r>
      <w:r w:rsidR="00036405">
        <w:t xml:space="preserve">Table </w:t>
      </w:r>
      <w:r w:rsidR="00036405">
        <w:rPr>
          <w:noProof/>
        </w:rPr>
        <w:t>9</w:t>
      </w:r>
      <w:r w:rsidR="00036405">
        <w:t>.</w:t>
      </w:r>
      <w:r w:rsidR="00036405">
        <w:rPr>
          <w:noProof/>
        </w:rPr>
        <w:t>3</w:t>
      </w:r>
      <w:r w:rsidR="00BA4BC9">
        <w:fldChar w:fldCharType="end"/>
      </w:r>
      <w:r w:rsidR="00BA4BC9">
        <w:t>).</w:t>
      </w:r>
      <w:r w:rsidR="00370905">
        <w:rPr>
          <w:rFonts w:ascii="ZWAdobeF" w:hAnsi="ZWAdobeF" w:cs="ZWAdobeF"/>
          <w:sz w:val="2"/>
          <w:szCs w:val="2"/>
        </w:rPr>
        <w:t>202F</w:t>
      </w:r>
      <w:r w:rsidR="00D846CD">
        <w:rPr>
          <w:rStyle w:val="FootnoteReference"/>
        </w:rPr>
        <w:footnoteReference w:id="204"/>
      </w:r>
      <w:r w:rsidR="00BA4BC9">
        <w:t xml:space="preserve"> </w:t>
      </w:r>
      <w:r w:rsidR="00D846CD">
        <w:t>The difference between the benefits under options 2 and 3A and options 3B and 4 is also expected to be relatively small</w:t>
      </w:r>
      <w:r w:rsidR="00A47269">
        <w:t xml:space="preserve"> with </w:t>
      </w:r>
      <w:r w:rsidR="0009315B">
        <w:t xml:space="preserve">only </w:t>
      </w:r>
      <w:r w:rsidR="008E6E5D">
        <w:t xml:space="preserve">1-3 </w:t>
      </w:r>
      <w:r w:rsidR="0009315B">
        <w:t>additional pipelines expected to be accessed under options 3B and 4 vis-à-vis optio</w:t>
      </w:r>
      <w:r w:rsidR="008E6E5D">
        <w:t>ns 2 and 3A</w:t>
      </w:r>
      <w:r>
        <w:t xml:space="preserve"> (see </w:t>
      </w:r>
      <w:r>
        <w:fldChar w:fldCharType="begin" w:fldLock="1"/>
      </w:r>
      <w:r>
        <w:instrText xml:space="preserve"> REF _Ref50033903 \h </w:instrText>
      </w:r>
      <w:r>
        <w:fldChar w:fldCharType="separate"/>
      </w:r>
      <w:r w:rsidR="00036405">
        <w:t xml:space="preserve">Table </w:t>
      </w:r>
      <w:r w:rsidR="00036405">
        <w:rPr>
          <w:noProof/>
        </w:rPr>
        <w:t>9</w:t>
      </w:r>
      <w:r w:rsidR="00036405">
        <w:t>.</w:t>
      </w:r>
      <w:r w:rsidR="00036405">
        <w:rPr>
          <w:noProof/>
        </w:rPr>
        <w:t>3</w:t>
      </w:r>
      <w:r>
        <w:fldChar w:fldCharType="end"/>
      </w:r>
      <w:r>
        <w:t xml:space="preserve">). </w:t>
      </w:r>
    </w:p>
    <w:p w14:paraId="1A93FF03" w14:textId="65A8F975" w:rsidR="009B0DF2" w:rsidRDefault="007161C1" w:rsidP="006E3F16">
      <w:pPr>
        <w:pStyle w:val="BodyText"/>
      </w:pPr>
      <w:r>
        <w:t xml:space="preserve">These impacts are reflected in </w:t>
      </w:r>
      <w:r>
        <w:fldChar w:fldCharType="begin" w:fldLock="1"/>
      </w:r>
      <w:r>
        <w:instrText xml:space="preserve"> REF _Ref50207772 \h </w:instrText>
      </w:r>
      <w:r>
        <w:fldChar w:fldCharType="separate"/>
      </w:r>
      <w:r w:rsidR="00036405">
        <w:t xml:space="preserve">Table </w:t>
      </w:r>
      <w:r w:rsidR="00036405">
        <w:rPr>
          <w:noProof/>
        </w:rPr>
        <w:t>9</w:t>
      </w:r>
      <w:r w:rsidR="00036405">
        <w:t>.</w:t>
      </w:r>
      <w:r w:rsidR="00036405">
        <w:rPr>
          <w:noProof/>
        </w:rPr>
        <w:t>5</w:t>
      </w:r>
      <w:r>
        <w:fldChar w:fldCharType="end"/>
      </w:r>
      <w:r>
        <w:t>, with options 3B and 4 accorded a</w:t>
      </w:r>
      <w:r w:rsidR="006E3F16">
        <w:t>n equal</w:t>
      </w:r>
      <w:r>
        <w:t xml:space="preserve"> ranking of 1, </w:t>
      </w:r>
      <w:r w:rsidR="005314A4">
        <w:t>o</w:t>
      </w:r>
      <w:r w:rsidR="009B0DF2">
        <w:t>ption</w:t>
      </w:r>
      <w:r w:rsidR="005314A4">
        <w:t>s</w:t>
      </w:r>
      <w:r w:rsidR="009B0DF2">
        <w:t xml:space="preserve"> </w:t>
      </w:r>
      <w:r w:rsidR="00852735">
        <w:t xml:space="preserve">2 and </w:t>
      </w:r>
      <w:r w:rsidR="009B0DF2">
        <w:t>3</w:t>
      </w:r>
      <w:r w:rsidR="00852735">
        <w:t>A</w:t>
      </w:r>
      <w:r w:rsidR="005314A4">
        <w:t xml:space="preserve"> an equal </w:t>
      </w:r>
      <w:r w:rsidR="009B0DF2">
        <w:t xml:space="preserve">ranking of </w:t>
      </w:r>
      <w:r w:rsidR="006E3F16">
        <w:t xml:space="preserve">3 and </w:t>
      </w:r>
      <w:r w:rsidR="009B0DF2">
        <w:t>Option 1 a ranking of 5.</w:t>
      </w:r>
    </w:p>
    <w:p w14:paraId="3AAAD10F" w14:textId="77777777" w:rsidR="00F32F26" w:rsidRPr="002B32C8" w:rsidRDefault="00C93C6B" w:rsidP="00BE5AB8">
      <w:pPr>
        <w:pStyle w:val="Heading6"/>
        <w:spacing w:line="259" w:lineRule="auto"/>
      </w:pPr>
      <w:r>
        <w:t xml:space="preserve">Facilitating more efficient upstream and downstream </w:t>
      </w:r>
      <w:r w:rsidR="00F32F26" w:rsidRPr="002B32C8">
        <w:t xml:space="preserve">investment </w:t>
      </w:r>
    </w:p>
    <w:p w14:paraId="4623046A" w14:textId="14022BFC" w:rsidR="00F32F26" w:rsidRPr="0053694C" w:rsidRDefault="00C93C6B" w:rsidP="00BE5AB8">
      <w:pPr>
        <w:pStyle w:val="BodyText"/>
        <w:spacing w:line="259" w:lineRule="auto"/>
        <w:rPr>
          <w:rFonts w:asciiTheme="majorHAnsi" w:hAnsiTheme="majorHAnsi" w:cstheme="majorHAnsi"/>
        </w:rPr>
      </w:pPr>
      <w:r>
        <w:t xml:space="preserve">As noted in </w:t>
      </w:r>
      <w:r w:rsidR="005D11FF">
        <w:fldChar w:fldCharType="begin" w:fldLock="1"/>
      </w:r>
      <w:r w:rsidR="005D11FF">
        <w:instrText xml:space="preserve"> REF _Ref50019369 \h </w:instrText>
      </w:r>
      <w:r w:rsidR="005D11FF">
        <w:fldChar w:fldCharType="separate"/>
      </w:r>
      <w:r w:rsidR="00036405">
        <w:t xml:space="preserve">Table </w:t>
      </w:r>
      <w:r w:rsidR="00036405">
        <w:rPr>
          <w:noProof/>
        </w:rPr>
        <w:t>9</w:t>
      </w:r>
      <w:r w:rsidR="00036405">
        <w:t>.</w:t>
      </w:r>
      <w:r w:rsidR="00036405">
        <w:rPr>
          <w:noProof/>
        </w:rPr>
        <w:t>4</w:t>
      </w:r>
      <w:r w:rsidR="005D11FF">
        <w:fldChar w:fldCharType="end"/>
      </w:r>
      <w:r w:rsidR="005D11FF">
        <w:t xml:space="preserve">, </w:t>
      </w:r>
      <w:r w:rsidR="00FB5034">
        <w:t xml:space="preserve">a reduction in transportation charges on those pipelines that are subject to the </w:t>
      </w:r>
      <w:r w:rsidR="009D5D8D" w:rsidRPr="0053694C">
        <w:rPr>
          <w:rFonts w:asciiTheme="majorHAnsi" w:hAnsiTheme="majorHAnsi" w:cstheme="majorHAnsi"/>
        </w:rPr>
        <w:t>stronger</w:t>
      </w:r>
      <w:r w:rsidR="00FB5034" w:rsidRPr="0053694C">
        <w:rPr>
          <w:rFonts w:asciiTheme="majorHAnsi" w:hAnsiTheme="majorHAnsi" w:cstheme="majorHAnsi"/>
        </w:rPr>
        <w:t xml:space="preserve"> or </w:t>
      </w:r>
      <w:r w:rsidR="00531979" w:rsidRPr="0053694C">
        <w:rPr>
          <w:rFonts w:asciiTheme="majorHAnsi" w:hAnsiTheme="majorHAnsi" w:cstheme="majorHAnsi"/>
        </w:rPr>
        <w:t>lighter</w:t>
      </w:r>
      <w:r w:rsidR="00FB5034" w:rsidRPr="0053694C">
        <w:rPr>
          <w:rFonts w:asciiTheme="majorHAnsi" w:hAnsiTheme="majorHAnsi" w:cstheme="majorHAnsi"/>
        </w:rPr>
        <w:t xml:space="preserve"> forms of regulation</w:t>
      </w:r>
      <w:r w:rsidR="00A80B7C" w:rsidRPr="0053694C">
        <w:rPr>
          <w:rFonts w:asciiTheme="majorHAnsi" w:hAnsiTheme="majorHAnsi" w:cstheme="majorHAnsi"/>
        </w:rPr>
        <w:t xml:space="preserve"> and improved access to pipelines that would not otherwise provide third party access</w:t>
      </w:r>
      <w:r w:rsidR="0053694C">
        <w:rPr>
          <w:rFonts w:asciiTheme="majorHAnsi" w:hAnsiTheme="majorHAnsi" w:cstheme="majorHAnsi"/>
        </w:rPr>
        <w:t>,</w:t>
      </w:r>
      <w:r w:rsidR="00FB5034" w:rsidRPr="0053694C">
        <w:rPr>
          <w:rFonts w:asciiTheme="majorHAnsi" w:hAnsiTheme="majorHAnsi" w:cstheme="majorHAnsi"/>
        </w:rPr>
        <w:t xml:space="preserve"> </w:t>
      </w:r>
      <w:r w:rsidR="00F919D0" w:rsidRPr="0053694C">
        <w:rPr>
          <w:rFonts w:asciiTheme="majorHAnsi" w:hAnsiTheme="majorHAnsi" w:cstheme="majorHAnsi"/>
        </w:rPr>
        <w:t xml:space="preserve">could </w:t>
      </w:r>
      <w:r w:rsidR="000325B7" w:rsidRPr="0053694C">
        <w:rPr>
          <w:rFonts w:asciiTheme="majorHAnsi" w:hAnsiTheme="majorHAnsi" w:cstheme="majorHAnsi"/>
        </w:rPr>
        <w:t>facilitate</w:t>
      </w:r>
      <w:r w:rsidR="004C7CDF" w:rsidRPr="0053694C">
        <w:rPr>
          <w:rFonts w:asciiTheme="majorHAnsi" w:hAnsiTheme="majorHAnsi" w:cstheme="majorHAnsi"/>
        </w:rPr>
        <w:t xml:space="preserve"> more efficient </w:t>
      </w:r>
      <w:r w:rsidR="00F919D0" w:rsidRPr="0053694C">
        <w:rPr>
          <w:rFonts w:asciiTheme="majorHAnsi" w:hAnsiTheme="majorHAnsi" w:cstheme="majorHAnsi"/>
        </w:rPr>
        <w:t>investment in</w:t>
      </w:r>
      <w:r w:rsidR="004C7CDF" w:rsidRPr="0053694C">
        <w:rPr>
          <w:rFonts w:asciiTheme="majorHAnsi" w:hAnsiTheme="majorHAnsi" w:cstheme="majorHAnsi"/>
        </w:rPr>
        <w:t xml:space="preserve"> </w:t>
      </w:r>
      <w:r w:rsidR="00DD416C" w:rsidRPr="0053694C">
        <w:rPr>
          <w:rFonts w:asciiTheme="majorHAnsi" w:hAnsiTheme="majorHAnsi" w:cstheme="majorHAnsi"/>
        </w:rPr>
        <w:t xml:space="preserve">upstream </w:t>
      </w:r>
      <w:r w:rsidR="003B4AFE" w:rsidRPr="0053694C">
        <w:rPr>
          <w:rFonts w:asciiTheme="majorHAnsi" w:hAnsiTheme="majorHAnsi" w:cstheme="majorHAnsi"/>
        </w:rPr>
        <w:t>activities and production</w:t>
      </w:r>
      <w:r w:rsidR="00DD416C" w:rsidRPr="0053694C">
        <w:rPr>
          <w:rFonts w:asciiTheme="majorHAnsi" w:hAnsiTheme="majorHAnsi" w:cstheme="majorHAnsi"/>
        </w:rPr>
        <w:t>, and downstream</w:t>
      </w:r>
      <w:r w:rsidR="0053694C">
        <w:rPr>
          <w:rFonts w:asciiTheme="majorHAnsi" w:hAnsiTheme="majorHAnsi" w:cstheme="majorHAnsi"/>
        </w:rPr>
        <w:t xml:space="preserve"> gas using facilities</w:t>
      </w:r>
      <w:r w:rsidR="00DD416C" w:rsidRPr="0053694C">
        <w:rPr>
          <w:rFonts w:asciiTheme="majorHAnsi" w:hAnsiTheme="majorHAnsi" w:cstheme="majorHAnsi"/>
        </w:rPr>
        <w:t xml:space="preserve">. </w:t>
      </w:r>
      <w:r w:rsidR="00F32F26" w:rsidRPr="0053694C">
        <w:rPr>
          <w:rFonts w:asciiTheme="majorHAnsi" w:hAnsiTheme="majorHAnsi" w:cstheme="majorHAnsi"/>
        </w:rPr>
        <w:t xml:space="preserve">While the quantitative analysis does not include these </w:t>
      </w:r>
      <w:r w:rsidR="004E654F" w:rsidRPr="0053694C">
        <w:rPr>
          <w:rFonts w:asciiTheme="majorHAnsi" w:hAnsiTheme="majorHAnsi" w:cstheme="majorHAnsi"/>
        </w:rPr>
        <w:t xml:space="preserve">investment related </w:t>
      </w:r>
      <w:r w:rsidR="00F32F26" w:rsidRPr="0053694C">
        <w:rPr>
          <w:rFonts w:asciiTheme="majorHAnsi" w:hAnsiTheme="majorHAnsi" w:cstheme="majorHAnsi"/>
        </w:rPr>
        <w:t xml:space="preserve">benefits, the net economy-wide </w:t>
      </w:r>
      <w:r w:rsidR="000361D1" w:rsidRPr="0053694C">
        <w:rPr>
          <w:rFonts w:asciiTheme="majorHAnsi" w:hAnsiTheme="majorHAnsi" w:cstheme="majorHAnsi"/>
        </w:rPr>
        <w:t>analysis</w:t>
      </w:r>
      <w:r w:rsidR="00F32F26" w:rsidRPr="0053694C">
        <w:rPr>
          <w:rFonts w:asciiTheme="majorHAnsi" w:hAnsiTheme="majorHAnsi" w:cstheme="majorHAnsi"/>
        </w:rPr>
        <w:t xml:space="preserve"> suggest</w:t>
      </w:r>
      <w:r w:rsidR="00055DCC" w:rsidRPr="0053694C">
        <w:rPr>
          <w:rFonts w:asciiTheme="majorHAnsi" w:hAnsiTheme="majorHAnsi" w:cstheme="majorHAnsi"/>
        </w:rPr>
        <w:t>s</w:t>
      </w:r>
      <w:r w:rsidR="00F32F26" w:rsidRPr="0053694C">
        <w:rPr>
          <w:rFonts w:asciiTheme="majorHAnsi" w:hAnsiTheme="majorHAnsi" w:cstheme="majorHAnsi"/>
        </w:rPr>
        <w:t xml:space="preserve"> a potentially significant flow through of benefits </w:t>
      </w:r>
      <w:r w:rsidR="005A47DF" w:rsidRPr="0053694C">
        <w:rPr>
          <w:rFonts w:asciiTheme="majorHAnsi" w:hAnsiTheme="majorHAnsi" w:cstheme="majorHAnsi"/>
        </w:rPr>
        <w:t xml:space="preserve">across the </w:t>
      </w:r>
      <w:r w:rsidR="00AB4B11" w:rsidRPr="0053694C">
        <w:rPr>
          <w:rFonts w:asciiTheme="majorHAnsi" w:hAnsiTheme="majorHAnsi" w:cstheme="majorHAnsi"/>
        </w:rPr>
        <w:t xml:space="preserve">broader </w:t>
      </w:r>
      <w:r w:rsidR="005A47DF" w:rsidRPr="0053694C">
        <w:rPr>
          <w:rFonts w:asciiTheme="majorHAnsi" w:hAnsiTheme="majorHAnsi" w:cstheme="majorHAnsi"/>
        </w:rPr>
        <w:t>economy</w:t>
      </w:r>
      <w:r w:rsidR="000361D1" w:rsidRPr="0053694C">
        <w:rPr>
          <w:rFonts w:asciiTheme="majorHAnsi" w:hAnsiTheme="majorHAnsi" w:cstheme="majorHAnsi"/>
        </w:rPr>
        <w:t xml:space="preserve"> from more efficient investment in </w:t>
      </w:r>
      <w:r w:rsidR="00055DCC" w:rsidRPr="0053694C">
        <w:rPr>
          <w:rFonts w:asciiTheme="majorHAnsi" w:hAnsiTheme="majorHAnsi" w:cstheme="majorHAnsi"/>
        </w:rPr>
        <w:t>upstream and downstream facilities</w:t>
      </w:r>
      <w:r w:rsidR="00F32F26" w:rsidRPr="0053694C">
        <w:rPr>
          <w:rFonts w:asciiTheme="majorHAnsi" w:hAnsiTheme="majorHAnsi" w:cstheme="majorHAnsi"/>
        </w:rPr>
        <w:t xml:space="preserve">. </w:t>
      </w:r>
      <w:r w:rsidR="001D0AAF" w:rsidRPr="0053694C">
        <w:rPr>
          <w:rFonts w:asciiTheme="majorHAnsi" w:hAnsiTheme="majorHAnsi" w:cstheme="majorHAnsi"/>
        </w:rPr>
        <w:t xml:space="preserve">The benefits are therefore expected to be </w:t>
      </w:r>
      <w:r w:rsidR="00BE4C27" w:rsidRPr="0053694C">
        <w:rPr>
          <w:rFonts w:asciiTheme="majorHAnsi" w:hAnsiTheme="majorHAnsi" w:cstheme="majorHAnsi"/>
        </w:rPr>
        <w:t>sign</w:t>
      </w:r>
      <w:r w:rsidR="00A41911" w:rsidRPr="0053694C">
        <w:rPr>
          <w:rFonts w:asciiTheme="majorHAnsi" w:hAnsiTheme="majorHAnsi" w:cstheme="majorHAnsi"/>
        </w:rPr>
        <w:t>i</w:t>
      </w:r>
      <w:r w:rsidR="00BE4C27" w:rsidRPr="0053694C">
        <w:rPr>
          <w:rFonts w:asciiTheme="majorHAnsi" w:hAnsiTheme="majorHAnsi" w:cstheme="majorHAnsi"/>
        </w:rPr>
        <w:t>ficant</w:t>
      </w:r>
      <w:r w:rsidR="001D0AAF" w:rsidRPr="0053694C">
        <w:rPr>
          <w:rFonts w:asciiTheme="majorHAnsi" w:hAnsiTheme="majorHAnsi" w:cstheme="majorHAnsi"/>
        </w:rPr>
        <w:t>.</w:t>
      </w:r>
    </w:p>
    <w:p w14:paraId="486D39CA" w14:textId="3A2EE399" w:rsidR="00BB77EE" w:rsidRDefault="009046F2" w:rsidP="00BE5AB8">
      <w:pPr>
        <w:pStyle w:val="BodyText"/>
        <w:spacing w:line="259" w:lineRule="auto"/>
      </w:pPr>
      <w:r>
        <w:t>Although</w:t>
      </w:r>
      <w:r w:rsidR="00F32F26" w:rsidRPr="002B32C8">
        <w:t xml:space="preserve"> it is difficult to quantify</w:t>
      </w:r>
      <w:r w:rsidR="005648B2">
        <w:t xml:space="preserve"> these investment related benefits</w:t>
      </w:r>
      <w:r w:rsidR="00F32F26" w:rsidRPr="002B32C8">
        <w:t xml:space="preserve">, </w:t>
      </w:r>
      <w:r w:rsidR="002C5A7D">
        <w:t>the</w:t>
      </w:r>
      <w:r w:rsidR="007B7697">
        <w:t>y</w:t>
      </w:r>
      <w:r w:rsidR="002C5A7D">
        <w:t xml:space="preserve"> </w:t>
      </w:r>
      <w:r w:rsidR="005648B2">
        <w:t xml:space="preserve">are expected to be </w:t>
      </w:r>
      <w:r w:rsidR="0002379D">
        <w:t>highe</w:t>
      </w:r>
      <w:r w:rsidR="007B4DCA">
        <w:t>st</w:t>
      </w:r>
      <w:r w:rsidR="0002379D">
        <w:t xml:space="preserve"> </w:t>
      </w:r>
      <w:r w:rsidR="005648B2">
        <w:t xml:space="preserve">under </w:t>
      </w:r>
      <w:r w:rsidR="005655F1">
        <w:t>o</w:t>
      </w:r>
      <w:r w:rsidR="005648B2">
        <w:t>ption</w:t>
      </w:r>
      <w:r w:rsidR="005655F1">
        <w:t>s</w:t>
      </w:r>
      <w:r w:rsidR="005648B2">
        <w:t xml:space="preserve"> 3A</w:t>
      </w:r>
      <w:r w:rsidR="005655F1">
        <w:t>, 3B and 4</w:t>
      </w:r>
      <w:r w:rsidR="007B4DCA">
        <w:t xml:space="preserve">, followed by </w:t>
      </w:r>
      <w:r w:rsidR="004D7706">
        <w:t xml:space="preserve">Option 2. Option 3A is expected to give rise to </w:t>
      </w:r>
      <w:r w:rsidR="002870DD">
        <w:t>similar</w:t>
      </w:r>
      <w:r w:rsidR="004D7706">
        <w:t xml:space="preserve"> benefits </w:t>
      </w:r>
      <w:r w:rsidR="002870DD">
        <w:t xml:space="preserve">to </w:t>
      </w:r>
      <w:r w:rsidR="004D7706">
        <w:t xml:space="preserve">options 3B and 4, because while </w:t>
      </w:r>
      <w:r w:rsidR="000C32A5">
        <w:t xml:space="preserve">the requirement for </w:t>
      </w:r>
      <w:r w:rsidR="007601FF">
        <w:t xml:space="preserve">all </w:t>
      </w:r>
      <w:r w:rsidR="000C32A5">
        <w:t xml:space="preserve">pipelines to provide </w:t>
      </w:r>
      <w:r w:rsidR="007601FF">
        <w:t xml:space="preserve">third party </w:t>
      </w:r>
      <w:r w:rsidR="000C32A5">
        <w:t xml:space="preserve">access </w:t>
      </w:r>
      <w:r w:rsidR="007601FF">
        <w:t xml:space="preserve">under options </w:t>
      </w:r>
      <w:r w:rsidR="002870DD">
        <w:t xml:space="preserve">3B and 4 </w:t>
      </w:r>
      <w:r w:rsidR="00F32F26" w:rsidRPr="002B32C8">
        <w:t xml:space="preserve">may </w:t>
      </w:r>
      <w:r w:rsidR="004539A6">
        <w:t xml:space="preserve">lead to </w:t>
      </w:r>
      <w:r w:rsidR="00F32F26" w:rsidRPr="002B32C8">
        <w:t>more upstream</w:t>
      </w:r>
      <w:r w:rsidR="004539A6">
        <w:t>/</w:t>
      </w:r>
      <w:r w:rsidR="00F32F26" w:rsidRPr="002B32C8">
        <w:t xml:space="preserve">downstream </w:t>
      </w:r>
      <w:r w:rsidR="007601FF">
        <w:t xml:space="preserve">investment </w:t>
      </w:r>
      <w:r w:rsidR="00393D43">
        <w:t>by prospective shippers</w:t>
      </w:r>
      <w:r w:rsidR="00F32F26" w:rsidRPr="002B32C8">
        <w:t xml:space="preserve">, </w:t>
      </w:r>
      <w:r w:rsidR="00913B3D">
        <w:t>it may also</w:t>
      </w:r>
      <w:r w:rsidR="006361F0">
        <w:t>, as some stakeholders noted,</w:t>
      </w:r>
      <w:r w:rsidR="00A95C6E">
        <w:t xml:space="preserve"> </w:t>
      </w:r>
      <w:r w:rsidR="00F32F26" w:rsidRPr="002B32C8">
        <w:t xml:space="preserve">have an adverse effect on investment by </w:t>
      </w:r>
      <w:r w:rsidR="00633B72">
        <w:t>those</w:t>
      </w:r>
      <w:r w:rsidR="00A95C6E">
        <w:t xml:space="preserve"> </w:t>
      </w:r>
      <w:r w:rsidR="00F32F26" w:rsidRPr="002B32C8">
        <w:t>producers or users that own their own pipelines</w:t>
      </w:r>
      <w:r w:rsidR="007E67A5">
        <w:t>.</w:t>
      </w:r>
      <w:r w:rsidR="00370905">
        <w:rPr>
          <w:rFonts w:ascii="ZWAdobeF" w:hAnsi="ZWAdobeF" w:cs="ZWAdobeF"/>
          <w:sz w:val="2"/>
          <w:szCs w:val="2"/>
        </w:rPr>
        <w:t>203F</w:t>
      </w:r>
      <w:r w:rsidR="007E67A5">
        <w:rPr>
          <w:rStyle w:val="FootnoteReference"/>
        </w:rPr>
        <w:footnoteReference w:id="205"/>
      </w:r>
      <w:r w:rsidR="007E67A5">
        <w:t xml:space="preserve"> </w:t>
      </w:r>
    </w:p>
    <w:p w14:paraId="214EC7B6" w14:textId="5D15BAA1" w:rsidR="007E67A5" w:rsidRDefault="005B5EA7" w:rsidP="00BE5AB8">
      <w:pPr>
        <w:pStyle w:val="BodyText"/>
        <w:spacing w:line="259" w:lineRule="auto"/>
      </w:pPr>
      <w:r>
        <w:t>This</w:t>
      </w:r>
      <w:r w:rsidR="007E67A5">
        <w:t xml:space="preserve"> benefit </w:t>
      </w:r>
      <w:r>
        <w:t xml:space="preserve">is </w:t>
      </w:r>
      <w:r w:rsidR="007E67A5">
        <w:t xml:space="preserve">reflected in </w:t>
      </w:r>
      <w:r w:rsidR="007E67A5">
        <w:fldChar w:fldCharType="begin" w:fldLock="1"/>
      </w:r>
      <w:r w:rsidR="007E67A5">
        <w:instrText xml:space="preserve"> REF _Ref50207772 \h </w:instrText>
      </w:r>
      <w:r w:rsidR="007E67A5">
        <w:fldChar w:fldCharType="separate"/>
      </w:r>
      <w:r w:rsidR="00036405">
        <w:t xml:space="preserve">Table </w:t>
      </w:r>
      <w:r w:rsidR="00036405">
        <w:rPr>
          <w:noProof/>
        </w:rPr>
        <w:t>9</w:t>
      </w:r>
      <w:r w:rsidR="00036405">
        <w:t>.</w:t>
      </w:r>
      <w:r w:rsidR="00036405">
        <w:rPr>
          <w:noProof/>
        </w:rPr>
        <w:t>5</w:t>
      </w:r>
      <w:r w:rsidR="007E67A5">
        <w:fldChar w:fldCharType="end"/>
      </w:r>
      <w:r w:rsidR="007E67A5">
        <w:t xml:space="preserve">, with </w:t>
      </w:r>
      <w:r w:rsidR="008B715F">
        <w:t xml:space="preserve">options </w:t>
      </w:r>
      <w:r w:rsidR="007E67A5">
        <w:t>3A</w:t>
      </w:r>
      <w:r w:rsidR="008B715F">
        <w:t>, 3B and 4</w:t>
      </w:r>
      <w:r w:rsidR="002929A8">
        <w:t xml:space="preserve"> having </w:t>
      </w:r>
      <w:r w:rsidR="008B715F">
        <w:t xml:space="preserve">an equal </w:t>
      </w:r>
      <w:r w:rsidR="002929A8">
        <w:t xml:space="preserve">ranking of 1, </w:t>
      </w:r>
      <w:r w:rsidR="007E67A5">
        <w:t>Option 2 a ranking of 4 and Option 1 a ranking of 5.</w:t>
      </w:r>
    </w:p>
    <w:p w14:paraId="665055F9" w14:textId="77777777" w:rsidR="00F32F26" w:rsidRPr="002B32C8" w:rsidRDefault="007938EF" w:rsidP="00BE5AB8">
      <w:pPr>
        <w:pStyle w:val="Heading6"/>
        <w:spacing w:line="259" w:lineRule="auto"/>
      </w:pPr>
      <w:r>
        <w:lastRenderedPageBreak/>
        <w:t xml:space="preserve">Reduced search and transaction costs and information asymmetries </w:t>
      </w:r>
    </w:p>
    <w:p w14:paraId="32FF2EE3" w14:textId="77777777" w:rsidR="003731F4" w:rsidRDefault="00471701" w:rsidP="00BE5AB8">
      <w:pPr>
        <w:pStyle w:val="BodyText"/>
        <w:spacing w:line="259" w:lineRule="auto"/>
      </w:pPr>
      <w:r>
        <w:t>T</w:t>
      </w:r>
      <w:r w:rsidR="00F32F26" w:rsidRPr="002B32C8">
        <w:t xml:space="preserve">he quantitative analysis was not able to capture the benefits from more information being </w:t>
      </w:r>
      <w:r w:rsidR="003731F4">
        <w:t xml:space="preserve">made available </w:t>
      </w:r>
      <w:r w:rsidR="00F32F26" w:rsidRPr="00B62C57">
        <w:t xml:space="preserve">by </w:t>
      </w:r>
      <w:r w:rsidR="00034532" w:rsidRPr="00B62C57">
        <w:t xml:space="preserve">service providers </w:t>
      </w:r>
      <w:r w:rsidR="003731F4">
        <w:t xml:space="preserve">to shippers that are seeking access to services </w:t>
      </w:r>
      <w:r w:rsidR="00034532" w:rsidRPr="00B62C57">
        <w:t>and</w:t>
      </w:r>
      <w:r w:rsidR="00F32F26" w:rsidRPr="00B62C57">
        <w:t xml:space="preserve">, in the case of options </w:t>
      </w:r>
      <w:r w:rsidR="00F15433" w:rsidRPr="00B62C57">
        <w:t xml:space="preserve">3A, 3B and </w:t>
      </w:r>
      <w:r w:rsidR="00F32F26" w:rsidRPr="00B62C57">
        <w:t xml:space="preserve">4, the improvements to the quality, </w:t>
      </w:r>
      <w:r w:rsidR="00E94D0B" w:rsidRPr="00B62C57">
        <w:t xml:space="preserve">reliability, </w:t>
      </w:r>
      <w:r w:rsidR="00F32F26" w:rsidRPr="00B62C57">
        <w:t xml:space="preserve">usability and accessibility of information. </w:t>
      </w:r>
    </w:p>
    <w:p w14:paraId="02B696DB" w14:textId="5AE5A59C" w:rsidR="0063496C" w:rsidRPr="00617C14" w:rsidRDefault="00F32F26" w:rsidP="009B6DC3">
      <w:pPr>
        <w:pStyle w:val="BodyText"/>
        <w:spacing w:line="259" w:lineRule="auto"/>
      </w:pPr>
      <w:r w:rsidRPr="00617C14">
        <w:t xml:space="preserve">While </w:t>
      </w:r>
      <w:r w:rsidR="000A5200" w:rsidRPr="00617C14">
        <w:t xml:space="preserve">some </w:t>
      </w:r>
      <w:r w:rsidRPr="00617C14">
        <w:t xml:space="preserve">stakeholders queried whether </w:t>
      </w:r>
      <w:r w:rsidR="00E806ED" w:rsidRPr="00617C14">
        <w:t xml:space="preserve">any </w:t>
      </w:r>
      <w:r w:rsidRPr="00617C14">
        <w:t>cost savings would be realised</w:t>
      </w:r>
      <w:r w:rsidR="0084175D" w:rsidRPr="00617C14">
        <w:t xml:space="preserve"> as a result of these </w:t>
      </w:r>
      <w:r w:rsidR="006C1A9F" w:rsidRPr="00617C14">
        <w:t>improvements</w:t>
      </w:r>
      <w:r w:rsidRPr="00617C14">
        <w:t xml:space="preserve">, </w:t>
      </w:r>
      <w:r w:rsidR="006C1A9F" w:rsidRPr="00617C14">
        <w:t xml:space="preserve">they are expected to </w:t>
      </w:r>
      <w:r w:rsidRPr="00617C14">
        <w:t xml:space="preserve">reduce the </w:t>
      </w:r>
      <w:r w:rsidR="00EB31E5" w:rsidRPr="00617C14">
        <w:t xml:space="preserve">information asymmetries and </w:t>
      </w:r>
      <w:r w:rsidR="00E806ED" w:rsidRPr="00617C14">
        <w:t xml:space="preserve">search and transaction </w:t>
      </w:r>
      <w:r w:rsidRPr="00617C14">
        <w:t xml:space="preserve">costs that shippers would otherwise </w:t>
      </w:r>
      <w:r w:rsidR="00EB31E5" w:rsidRPr="00617C14">
        <w:t xml:space="preserve">face </w:t>
      </w:r>
      <w:r w:rsidR="000712E6" w:rsidRPr="00617C14">
        <w:t>when negotiating with service providers</w:t>
      </w:r>
      <w:r w:rsidRPr="00617C14">
        <w:t xml:space="preserve">. </w:t>
      </w:r>
      <w:r w:rsidR="00237E1F" w:rsidRPr="00617C14">
        <w:t xml:space="preserve">They are therefore expected to </w:t>
      </w:r>
      <w:r w:rsidR="000A5200" w:rsidRPr="00617C14">
        <w:rPr>
          <w:rFonts w:asciiTheme="majorHAnsi" w:hAnsiTheme="majorHAnsi" w:cstheme="majorHAnsi"/>
        </w:rPr>
        <w:t>facilitate more effective and timely negotiations between service provides and shippers, aid the price discovery process and result in pipeline services being allocated in a more efficient manner</w:t>
      </w:r>
      <w:r w:rsidR="00617C14" w:rsidRPr="00617C14">
        <w:rPr>
          <w:rFonts w:asciiTheme="majorHAnsi" w:hAnsiTheme="majorHAnsi" w:cstheme="majorHAnsi"/>
        </w:rPr>
        <w:t xml:space="preserve">. </w:t>
      </w:r>
      <w:r w:rsidRPr="00617C14">
        <w:t xml:space="preserve">Improved information may also enhance the ability </w:t>
      </w:r>
      <w:r w:rsidR="003F7BFD" w:rsidRPr="00617C14">
        <w:t>of</w:t>
      </w:r>
      <w:r w:rsidRPr="00617C14">
        <w:t xml:space="preserve"> </w:t>
      </w:r>
      <w:r w:rsidR="00A84629" w:rsidRPr="00617C14">
        <w:t xml:space="preserve">new </w:t>
      </w:r>
      <w:r w:rsidRPr="00617C14">
        <w:t xml:space="preserve">shippers to </w:t>
      </w:r>
      <w:r w:rsidR="00A84629" w:rsidRPr="00617C14">
        <w:t xml:space="preserve">negotiate access, </w:t>
      </w:r>
      <w:r w:rsidRPr="00617C14">
        <w:t xml:space="preserve">which may lead to improved competition in upstream and downstream markets </w:t>
      </w:r>
      <w:r w:rsidR="00A84629" w:rsidRPr="00617C14">
        <w:t xml:space="preserve">(see section </w:t>
      </w:r>
      <w:r w:rsidR="00A84629" w:rsidRPr="00617C14">
        <w:fldChar w:fldCharType="begin" w:fldLock="1"/>
      </w:r>
      <w:r w:rsidR="00A84629" w:rsidRPr="00617C14">
        <w:instrText xml:space="preserve"> REF _Ref50302381 \r \h </w:instrText>
      </w:r>
      <w:r w:rsidR="00617C14">
        <w:instrText xml:space="preserve"> \* MERGEFORMAT </w:instrText>
      </w:r>
      <w:r w:rsidR="00A84629" w:rsidRPr="00617C14">
        <w:fldChar w:fldCharType="separate"/>
      </w:r>
      <w:r w:rsidR="00036405">
        <w:t>9.4</w:t>
      </w:r>
      <w:r w:rsidR="00A84629" w:rsidRPr="00617C14">
        <w:fldChar w:fldCharType="end"/>
      </w:r>
      <w:r w:rsidR="00A84629" w:rsidRPr="00617C14">
        <w:t>)</w:t>
      </w:r>
      <w:r w:rsidR="00E5148F">
        <w:t xml:space="preserve"> and more efficient operation of the pipelines</w:t>
      </w:r>
      <w:r w:rsidRPr="00617C14">
        <w:t>.</w:t>
      </w:r>
      <w:r w:rsidR="009F48F9">
        <w:t xml:space="preserve"> </w:t>
      </w:r>
    </w:p>
    <w:p w14:paraId="31C6019D" w14:textId="4B6FF076" w:rsidR="00F32F26" w:rsidRPr="002B32C8" w:rsidRDefault="00BE607C" w:rsidP="00BE5AB8">
      <w:pPr>
        <w:pStyle w:val="BodyText"/>
        <w:spacing w:line="259" w:lineRule="auto"/>
      </w:pPr>
      <w:r>
        <w:t xml:space="preserve">Across the four reform options, the </w:t>
      </w:r>
      <w:r w:rsidR="00263866">
        <w:t xml:space="preserve">benefits associated with improved information provision by service providers are expected to </w:t>
      </w:r>
      <w:r w:rsidR="00617C14">
        <w:t>be highest</w:t>
      </w:r>
      <w:r w:rsidR="00772426">
        <w:t xml:space="preserve"> </w:t>
      </w:r>
      <w:r w:rsidR="00F32F26" w:rsidRPr="002B32C8">
        <w:t xml:space="preserve">under options </w:t>
      </w:r>
      <w:r w:rsidR="00F15433">
        <w:t xml:space="preserve">3A, 3B and </w:t>
      </w:r>
      <w:r w:rsidR="00F32F26" w:rsidRPr="002B32C8">
        <w:t xml:space="preserve">4. </w:t>
      </w:r>
      <w:r w:rsidR="00617C14">
        <w:t xml:space="preserve"> This is reflected </w:t>
      </w:r>
      <w:r w:rsidR="005E40F9">
        <w:t xml:space="preserve">in </w:t>
      </w:r>
      <w:r w:rsidR="005E40F9">
        <w:fldChar w:fldCharType="begin" w:fldLock="1"/>
      </w:r>
      <w:r w:rsidR="005E40F9">
        <w:instrText xml:space="preserve"> REF _Ref50207772 \h </w:instrText>
      </w:r>
      <w:r w:rsidR="005E40F9">
        <w:fldChar w:fldCharType="separate"/>
      </w:r>
      <w:r w:rsidR="00036405">
        <w:t xml:space="preserve">Table </w:t>
      </w:r>
      <w:r w:rsidR="00036405">
        <w:rPr>
          <w:noProof/>
        </w:rPr>
        <w:t>9</w:t>
      </w:r>
      <w:r w:rsidR="00036405">
        <w:t>.</w:t>
      </w:r>
      <w:r w:rsidR="00036405">
        <w:rPr>
          <w:noProof/>
        </w:rPr>
        <w:t>5</w:t>
      </w:r>
      <w:r w:rsidR="005E40F9">
        <w:fldChar w:fldCharType="end"/>
      </w:r>
      <w:r w:rsidR="005E40F9">
        <w:t xml:space="preserve">, with </w:t>
      </w:r>
      <w:r w:rsidR="00772426">
        <w:t xml:space="preserve">options 3A, 3B and 4 </w:t>
      </w:r>
      <w:r w:rsidR="005E40F9">
        <w:t xml:space="preserve">having an equal ranking of </w:t>
      </w:r>
      <w:r w:rsidR="00772426">
        <w:t>1</w:t>
      </w:r>
      <w:r w:rsidR="005E40F9">
        <w:t xml:space="preserve">, Option 2 a ranking of </w:t>
      </w:r>
      <w:r w:rsidR="00B450D3">
        <w:t xml:space="preserve">4 and Option 1 a ranking of 5. </w:t>
      </w:r>
    </w:p>
    <w:p w14:paraId="1438A467" w14:textId="77777777" w:rsidR="003B45FF" w:rsidRPr="002B32C8" w:rsidRDefault="003B45FF" w:rsidP="00BE5AB8">
      <w:pPr>
        <w:pStyle w:val="Heading6"/>
        <w:spacing w:line="259" w:lineRule="auto"/>
      </w:pPr>
      <w:r w:rsidRPr="002B32C8">
        <w:t xml:space="preserve">Cost savings from simplifying the regulatory </w:t>
      </w:r>
      <w:r w:rsidR="001D2470">
        <w:t>framework</w:t>
      </w:r>
    </w:p>
    <w:p w14:paraId="5C07CF05" w14:textId="6E7B1902" w:rsidR="003B45FF" w:rsidRDefault="001D2470" w:rsidP="00BE5AB8">
      <w:pPr>
        <w:pStyle w:val="BodyText"/>
        <w:spacing w:line="259" w:lineRule="auto"/>
      </w:pPr>
      <w:r>
        <w:t xml:space="preserve">All the </w:t>
      </w:r>
      <w:r w:rsidR="003B45FF" w:rsidRPr="002B32C8">
        <w:t xml:space="preserve">reform options </w:t>
      </w:r>
      <w:r>
        <w:t xml:space="preserve">provide for </w:t>
      </w:r>
      <w:r w:rsidR="00DE0A11">
        <w:t xml:space="preserve">the </w:t>
      </w:r>
      <w:r w:rsidR="003B45FF" w:rsidRPr="002B32C8">
        <w:t xml:space="preserve">regulatory </w:t>
      </w:r>
      <w:r>
        <w:t xml:space="preserve">framework </w:t>
      </w:r>
      <w:r w:rsidR="00097EB8">
        <w:t>to be simplified</w:t>
      </w:r>
      <w:r w:rsidR="00DE0A11">
        <w:t xml:space="preserve">, which </w:t>
      </w:r>
      <w:r w:rsidR="002D4ED5">
        <w:t xml:space="preserve">should result in </w:t>
      </w:r>
      <w:r w:rsidR="00762CAC">
        <w:t>some</w:t>
      </w:r>
      <w:r w:rsidR="00A34D5E">
        <w:t>, albeit relatively small,</w:t>
      </w:r>
      <w:r w:rsidR="00762CAC">
        <w:t xml:space="preserve"> </w:t>
      </w:r>
      <w:r w:rsidR="00574B8B">
        <w:t>cost savings for service providers, shippers and regulators</w:t>
      </w:r>
      <w:r w:rsidR="00FF2E01">
        <w:t>.</w:t>
      </w:r>
      <w:r w:rsidR="00370905">
        <w:rPr>
          <w:rFonts w:ascii="ZWAdobeF" w:hAnsi="ZWAdobeF" w:cs="ZWAdobeF"/>
          <w:sz w:val="2"/>
          <w:szCs w:val="2"/>
        </w:rPr>
        <w:t>204F</w:t>
      </w:r>
      <w:r w:rsidR="009F3242">
        <w:rPr>
          <w:rStyle w:val="FootnoteReference"/>
        </w:rPr>
        <w:footnoteReference w:id="206"/>
      </w:r>
      <w:r w:rsidR="00097EB8">
        <w:t xml:space="preserve"> </w:t>
      </w:r>
      <w:r w:rsidR="00D056E1">
        <w:t xml:space="preserve">The regulatory framework is expected to be further simplified under </w:t>
      </w:r>
      <w:r w:rsidR="00EC77FD">
        <w:t>o</w:t>
      </w:r>
      <w:r w:rsidR="003B45FF" w:rsidRPr="002B32C8">
        <w:t xml:space="preserve">ptions </w:t>
      </w:r>
      <w:r w:rsidR="00F15433">
        <w:t xml:space="preserve">3B and </w:t>
      </w:r>
      <w:r w:rsidR="003B45FF" w:rsidRPr="002B32C8">
        <w:t>4</w:t>
      </w:r>
      <w:r w:rsidR="00BF7E5B">
        <w:t xml:space="preserve"> by the movement to an open access model, </w:t>
      </w:r>
      <w:r w:rsidR="003B45FF" w:rsidRPr="002B32C8">
        <w:t xml:space="preserve">although </w:t>
      </w:r>
      <w:r w:rsidR="002E13BB">
        <w:t>this</w:t>
      </w:r>
      <w:r w:rsidR="007E1AD1">
        <w:t xml:space="preserve"> </w:t>
      </w:r>
      <w:r w:rsidR="00E65389">
        <w:t xml:space="preserve">is expected to </w:t>
      </w:r>
      <w:r w:rsidR="009737EA">
        <w:t xml:space="preserve">be offset somewhat </w:t>
      </w:r>
      <w:r w:rsidR="002E13BB">
        <w:t xml:space="preserve">under Option 4 </w:t>
      </w:r>
      <w:r w:rsidR="009737EA">
        <w:t xml:space="preserve">by the </w:t>
      </w:r>
      <w:r w:rsidR="001D566D">
        <w:t>movement to direct price control</w:t>
      </w:r>
      <w:r w:rsidR="00A97643">
        <w:t xml:space="preserve">, which </w:t>
      </w:r>
      <w:r w:rsidR="00635C9A">
        <w:t xml:space="preserve">could </w:t>
      </w:r>
      <w:r w:rsidR="00291428">
        <w:t xml:space="preserve">introduce </w:t>
      </w:r>
      <w:r w:rsidR="00635C9A">
        <w:t xml:space="preserve">some additional </w:t>
      </w:r>
      <w:r w:rsidR="003B45FF" w:rsidRPr="002B32C8">
        <w:t xml:space="preserve">complexities in the </w:t>
      </w:r>
      <w:r w:rsidR="00744D71">
        <w:t xml:space="preserve">regulatory </w:t>
      </w:r>
      <w:r w:rsidR="001D566D">
        <w:t>framework</w:t>
      </w:r>
      <w:r w:rsidR="003B45FF" w:rsidRPr="002B32C8">
        <w:t>.</w:t>
      </w:r>
      <w:r w:rsidR="00370905">
        <w:rPr>
          <w:rFonts w:ascii="ZWAdobeF" w:hAnsi="ZWAdobeF" w:cs="ZWAdobeF"/>
          <w:sz w:val="2"/>
          <w:szCs w:val="2"/>
        </w:rPr>
        <w:t>205F</w:t>
      </w:r>
      <w:r w:rsidR="00291428">
        <w:rPr>
          <w:rStyle w:val="FootnoteReference"/>
        </w:rPr>
        <w:footnoteReference w:id="207"/>
      </w:r>
      <w:r w:rsidR="003B45FF" w:rsidRPr="002B32C8">
        <w:t xml:space="preserve"> </w:t>
      </w:r>
      <w:r w:rsidR="00226D01">
        <w:t xml:space="preserve">The </w:t>
      </w:r>
      <w:r w:rsidR="003B45FF" w:rsidRPr="002B32C8">
        <w:t xml:space="preserve">inclusion of more exemptions under Option 2 </w:t>
      </w:r>
      <w:r w:rsidR="00762CAC">
        <w:t>is</w:t>
      </w:r>
      <w:r w:rsidR="003B45FF" w:rsidRPr="002B32C8">
        <w:t xml:space="preserve"> also </w:t>
      </w:r>
      <w:r w:rsidR="00744D71">
        <w:t xml:space="preserve">expected to </w:t>
      </w:r>
      <w:r w:rsidR="00230B4A">
        <w:t xml:space="preserve">introduce </w:t>
      </w:r>
      <w:r w:rsidR="003B45FF" w:rsidRPr="002B32C8">
        <w:t xml:space="preserve">additional complexities in the </w:t>
      </w:r>
      <w:r w:rsidR="006416DC">
        <w:t>framework</w:t>
      </w:r>
      <w:r w:rsidR="003B45FF" w:rsidRPr="002B32C8">
        <w:t xml:space="preserve">. </w:t>
      </w:r>
    </w:p>
    <w:p w14:paraId="329DD739" w14:textId="67D0D85B" w:rsidR="0028775C" w:rsidRDefault="00A34D5E" w:rsidP="00BE5AB8">
      <w:pPr>
        <w:pStyle w:val="BodyText"/>
        <w:spacing w:line="259" w:lineRule="auto"/>
      </w:pPr>
      <w:r>
        <w:t>Across the reform options, t</w:t>
      </w:r>
      <w:r w:rsidR="00A03CED">
        <w:t xml:space="preserve">he </w:t>
      </w:r>
      <w:r w:rsidR="00C94E8E">
        <w:t xml:space="preserve">cost savings associated with </w:t>
      </w:r>
      <w:r w:rsidR="00B54A8D">
        <w:t>the simplification of the regulatory framework</w:t>
      </w:r>
      <w:r w:rsidR="00A03CED">
        <w:t xml:space="preserve"> are expected to be</w:t>
      </w:r>
      <w:r w:rsidR="00355C69">
        <w:t xml:space="preserve"> </w:t>
      </w:r>
      <w:r w:rsidR="00034924">
        <w:t xml:space="preserve">highest </w:t>
      </w:r>
      <w:r w:rsidR="00355C69">
        <w:t xml:space="preserve">under </w:t>
      </w:r>
      <w:r w:rsidR="003B45FF" w:rsidRPr="002B32C8">
        <w:t xml:space="preserve">Option </w:t>
      </w:r>
      <w:r w:rsidR="00F15433">
        <w:t>3</w:t>
      </w:r>
      <w:r w:rsidR="003B45FF" w:rsidRPr="002B32C8">
        <w:t>B</w:t>
      </w:r>
      <w:r w:rsidR="00034924">
        <w:t>,</w:t>
      </w:r>
      <w:r w:rsidR="003B45FF" w:rsidRPr="002B32C8">
        <w:t xml:space="preserve"> </w:t>
      </w:r>
      <w:r w:rsidR="0028775C">
        <w:t>followed by Option 3A, Option 4 and Option 2</w:t>
      </w:r>
      <w:r w:rsidR="007F392A">
        <w:t xml:space="preserve">, although the </w:t>
      </w:r>
      <w:r w:rsidR="00D74E6D">
        <w:t>difference</w:t>
      </w:r>
      <w:r w:rsidR="007F392A">
        <w:t>s</w:t>
      </w:r>
      <w:r w:rsidR="00D74E6D">
        <w:t xml:space="preserve"> </w:t>
      </w:r>
      <w:r w:rsidR="007F392A">
        <w:t xml:space="preserve">between options are not </w:t>
      </w:r>
      <w:r w:rsidR="00D74E6D">
        <w:t xml:space="preserve">expected to be significant. </w:t>
      </w:r>
      <w:r w:rsidR="004A1919">
        <w:t xml:space="preserve">This benefit </w:t>
      </w:r>
      <w:r w:rsidR="00D93717">
        <w:t xml:space="preserve">is </w:t>
      </w:r>
      <w:r w:rsidR="0028775C">
        <w:t xml:space="preserve">reflected in </w:t>
      </w:r>
      <w:r w:rsidR="0028775C">
        <w:fldChar w:fldCharType="begin" w:fldLock="1"/>
      </w:r>
      <w:r w:rsidR="0028775C">
        <w:instrText xml:space="preserve"> REF _Ref50207772 \h </w:instrText>
      </w:r>
      <w:r w:rsidR="0028775C">
        <w:fldChar w:fldCharType="separate"/>
      </w:r>
      <w:r w:rsidR="00036405">
        <w:t xml:space="preserve">Table </w:t>
      </w:r>
      <w:r w:rsidR="00036405">
        <w:rPr>
          <w:noProof/>
        </w:rPr>
        <w:t>9</w:t>
      </w:r>
      <w:r w:rsidR="00036405">
        <w:t>.</w:t>
      </w:r>
      <w:r w:rsidR="00036405">
        <w:rPr>
          <w:noProof/>
        </w:rPr>
        <w:t>5</w:t>
      </w:r>
      <w:r w:rsidR="0028775C">
        <w:fldChar w:fldCharType="end"/>
      </w:r>
      <w:r w:rsidR="0028775C">
        <w:t xml:space="preserve">, with Option 3B having a ranking of 1, Option 3A a ranking of 2, Option 4 a ranking of 3, Option 2 a ranking of 4 and Option 1 a ranking of 5. </w:t>
      </w:r>
    </w:p>
    <w:p w14:paraId="6C566877" w14:textId="77777777" w:rsidR="00283648" w:rsidRDefault="00283648" w:rsidP="00283648">
      <w:pPr>
        <w:pStyle w:val="Heading4"/>
      </w:pPr>
      <w:r>
        <w:t>Summary</w:t>
      </w:r>
      <w:r w:rsidR="009101E5">
        <w:t xml:space="preserve"> of the CBA results</w:t>
      </w:r>
    </w:p>
    <w:p w14:paraId="49F2975D" w14:textId="77777777" w:rsidR="003523B7" w:rsidRDefault="005E352C" w:rsidP="00283648">
      <w:pPr>
        <w:pStyle w:val="BodyText"/>
      </w:pPr>
      <w:r w:rsidRPr="00627524">
        <w:t>Having regard to the results of both the quantitative and qualitative elements of the CBA, Option 3</w:t>
      </w:r>
      <w:r w:rsidR="005B5D26" w:rsidRPr="00627524">
        <w:t>B</w:t>
      </w:r>
      <w:r w:rsidRPr="00627524">
        <w:t xml:space="preserve"> is expected to generate the </w:t>
      </w:r>
      <w:r w:rsidR="00433AEA" w:rsidRPr="00627524">
        <w:t>highest</w:t>
      </w:r>
      <w:r w:rsidRPr="00627524">
        <w:t xml:space="preserve"> net benefit</w:t>
      </w:r>
      <w:r w:rsidR="00524CFF">
        <w:t xml:space="preserve">. </w:t>
      </w:r>
      <w:r w:rsidR="0085674E">
        <w:t xml:space="preserve">That is, while from a quantitative perspective </w:t>
      </w:r>
      <w:r w:rsidR="00CA0529">
        <w:t xml:space="preserve">Option 2 has been found to yield </w:t>
      </w:r>
      <w:r w:rsidR="0027601D">
        <w:t xml:space="preserve">a </w:t>
      </w:r>
      <w:r w:rsidR="00CA0529">
        <w:t>highe</w:t>
      </w:r>
      <w:r w:rsidR="0027601D">
        <w:t>r</w:t>
      </w:r>
      <w:r w:rsidR="00CA0529">
        <w:t xml:space="preserve"> net benefit, the difference </w:t>
      </w:r>
      <w:r w:rsidR="0085674E">
        <w:t xml:space="preserve">is </w:t>
      </w:r>
      <w:r w:rsidR="003965F6">
        <w:t xml:space="preserve">relatively small </w:t>
      </w:r>
      <w:r w:rsidR="00666858">
        <w:t>(</w:t>
      </w:r>
      <w:r w:rsidR="00E83BCC">
        <w:t xml:space="preserve">ranging </w:t>
      </w:r>
      <w:r w:rsidR="00E83BCC" w:rsidRPr="00627524">
        <w:t>from 3% to 11</w:t>
      </w:r>
      <w:r w:rsidR="00666858" w:rsidRPr="00627524">
        <w:t>%</w:t>
      </w:r>
      <w:r w:rsidR="00E83BCC" w:rsidRPr="00627524">
        <w:t xml:space="preserve"> under the two scenarios</w:t>
      </w:r>
      <w:r w:rsidR="00666858" w:rsidRPr="00627524">
        <w:t xml:space="preserve">). The differences </w:t>
      </w:r>
      <w:r w:rsidR="00E84BE0" w:rsidRPr="00627524">
        <w:t xml:space="preserve">in </w:t>
      </w:r>
      <w:r w:rsidR="00666858" w:rsidRPr="00627524">
        <w:t xml:space="preserve">the qualitative </w:t>
      </w:r>
      <w:r w:rsidR="00E84BE0" w:rsidRPr="00627524">
        <w:t xml:space="preserve">benefits </w:t>
      </w:r>
      <w:r w:rsidR="004833F7">
        <w:t xml:space="preserve">between the two options </w:t>
      </w:r>
      <w:r w:rsidR="00E84BE0" w:rsidRPr="00627524">
        <w:t xml:space="preserve">are, however, more </w:t>
      </w:r>
      <w:r w:rsidR="00E84BE0" w:rsidRPr="00627524">
        <w:lastRenderedPageBreak/>
        <w:t>signifi</w:t>
      </w:r>
      <w:r w:rsidR="00E84BE0">
        <w:t>cant, with the measures proposed under Option 3</w:t>
      </w:r>
      <w:r w:rsidR="00E832EC">
        <w:t>B</w:t>
      </w:r>
      <w:r w:rsidR="00E84BE0">
        <w:t xml:space="preserve"> expected to</w:t>
      </w:r>
      <w:r w:rsidR="00C820BA">
        <w:t xml:space="preserve"> result in </w:t>
      </w:r>
      <w:r w:rsidR="004833F7">
        <w:t xml:space="preserve">greater </w:t>
      </w:r>
      <w:r w:rsidR="00C820BA">
        <w:t xml:space="preserve">productivity and efficiency benefits because it </w:t>
      </w:r>
      <w:r w:rsidR="00ED371E">
        <w:t>would</w:t>
      </w:r>
      <w:r w:rsidR="003523B7">
        <w:t>:</w:t>
      </w:r>
    </w:p>
    <w:p w14:paraId="7AA5A79E" w14:textId="77777777" w:rsidR="003523B7" w:rsidRDefault="00B15BFF" w:rsidP="00AD36B8">
      <w:pPr>
        <w:pStyle w:val="ListBullet"/>
      </w:pPr>
      <w:r>
        <w:t xml:space="preserve">pose </w:t>
      </w:r>
      <w:r w:rsidR="00191E3A">
        <w:t xml:space="preserve">a much greater constraint on the exercise of market power by pipelines subject to the </w:t>
      </w:r>
      <w:r w:rsidR="00531979">
        <w:t>lighter</w:t>
      </w:r>
      <w:r w:rsidR="00191E3A">
        <w:t xml:space="preserve"> form of regulation</w:t>
      </w:r>
      <w:r w:rsidR="003523B7">
        <w:t>;</w:t>
      </w:r>
      <w:r w:rsidR="00B752CA">
        <w:t xml:space="preserve"> </w:t>
      </w:r>
    </w:p>
    <w:p w14:paraId="401C5AA0" w14:textId="77777777" w:rsidR="003523B7" w:rsidRDefault="00B752CA" w:rsidP="00AD36B8">
      <w:pPr>
        <w:pStyle w:val="ListBullet"/>
      </w:pPr>
      <w:r>
        <w:t xml:space="preserve">facilitate </w:t>
      </w:r>
      <w:r w:rsidR="00BF3943">
        <w:t>better</w:t>
      </w:r>
      <w:r>
        <w:t xml:space="preserve"> access to pipelines that </w:t>
      </w:r>
      <w:r w:rsidR="00EF3029">
        <w:t>do not voluntarily provide third party access</w:t>
      </w:r>
      <w:r w:rsidR="003523B7">
        <w:t xml:space="preserve">; </w:t>
      </w:r>
    </w:p>
    <w:p w14:paraId="1ACD7A47" w14:textId="77777777" w:rsidR="00F5000A" w:rsidRDefault="00F5000A" w:rsidP="00AD36B8">
      <w:pPr>
        <w:pStyle w:val="ListBullet"/>
      </w:pPr>
      <w:r>
        <w:t xml:space="preserve">lead to </w:t>
      </w:r>
      <w:r w:rsidR="00B15BFF">
        <w:t xml:space="preserve">more efficient investment </w:t>
      </w:r>
      <w:r>
        <w:t>in upstream and downstream facilities;</w:t>
      </w:r>
    </w:p>
    <w:p w14:paraId="57D8BA93" w14:textId="77777777" w:rsidR="003523B7" w:rsidRDefault="00F5000A" w:rsidP="00AD36B8">
      <w:pPr>
        <w:pStyle w:val="ListBullet"/>
      </w:pPr>
      <w:r>
        <w:t xml:space="preserve">result in </w:t>
      </w:r>
      <w:r w:rsidR="00587356">
        <w:t>greater reductions in search and transaction costs and information asymmetries; and</w:t>
      </w:r>
    </w:p>
    <w:p w14:paraId="307A8FDE" w14:textId="77777777" w:rsidR="00587356" w:rsidRDefault="00995906" w:rsidP="00AD36B8">
      <w:pPr>
        <w:pStyle w:val="ListBullet"/>
      </w:pPr>
      <w:r>
        <w:t xml:space="preserve">give rise to </w:t>
      </w:r>
      <w:r w:rsidR="007103DD">
        <w:t xml:space="preserve">greater cost savings from simplifying the regulatory framework </w:t>
      </w:r>
      <w:r w:rsidR="00310015">
        <w:t xml:space="preserve">and lower </w:t>
      </w:r>
      <w:r>
        <w:t>administrative costs</w:t>
      </w:r>
      <w:r w:rsidR="00310015">
        <w:t>.</w:t>
      </w:r>
    </w:p>
    <w:p w14:paraId="68EDF1CA" w14:textId="40C9BDA3" w:rsidR="0036689F" w:rsidRDefault="0036689F" w:rsidP="0036689F">
      <w:pPr>
        <w:pStyle w:val="BodyText"/>
      </w:pPr>
      <w:r>
        <w:rPr>
          <w:rStyle w:val="Hyperlink"/>
          <w:u w:val="none"/>
        </w:rPr>
        <w:t xml:space="preserve">For the purposes of the comparative assessment set out section </w:t>
      </w:r>
      <w:r>
        <w:rPr>
          <w:rStyle w:val="Hyperlink"/>
          <w:u w:val="none"/>
        </w:rPr>
        <w:fldChar w:fldCharType="begin" w:fldLock="1"/>
      </w:r>
      <w:r>
        <w:rPr>
          <w:rStyle w:val="Hyperlink"/>
          <w:u w:val="none"/>
        </w:rPr>
        <w:instrText xml:space="preserve"> REF _Ref50367084 \r \h </w:instrText>
      </w:r>
      <w:r>
        <w:rPr>
          <w:rStyle w:val="Hyperlink"/>
          <w:u w:val="none"/>
        </w:rPr>
      </w:r>
      <w:r>
        <w:rPr>
          <w:rStyle w:val="Hyperlink"/>
          <w:u w:val="none"/>
        </w:rPr>
        <w:fldChar w:fldCharType="separate"/>
      </w:r>
      <w:r w:rsidR="00036405">
        <w:rPr>
          <w:rStyle w:val="Hyperlink"/>
          <w:u w:val="none"/>
        </w:rPr>
        <w:t>9.5</w:t>
      </w:r>
      <w:r>
        <w:rPr>
          <w:rStyle w:val="Hyperlink"/>
          <w:u w:val="none"/>
        </w:rPr>
        <w:fldChar w:fldCharType="end"/>
      </w:r>
      <w:r>
        <w:rPr>
          <w:rStyle w:val="Hyperlink"/>
          <w:u w:val="none"/>
        </w:rPr>
        <w:t xml:space="preserve">, Option 3B </w:t>
      </w:r>
      <w:r w:rsidR="007C45F3">
        <w:rPr>
          <w:rStyle w:val="Hyperlink"/>
          <w:u w:val="none"/>
        </w:rPr>
        <w:t xml:space="preserve">is </w:t>
      </w:r>
      <w:r>
        <w:rPr>
          <w:rStyle w:val="Hyperlink"/>
          <w:u w:val="none"/>
        </w:rPr>
        <w:t xml:space="preserve">ranked 1, Option 3A </w:t>
      </w:r>
      <w:r w:rsidR="007C45F3">
        <w:rPr>
          <w:rStyle w:val="Hyperlink"/>
          <w:u w:val="none"/>
        </w:rPr>
        <w:t xml:space="preserve">is </w:t>
      </w:r>
      <w:r>
        <w:rPr>
          <w:rStyle w:val="Hyperlink"/>
          <w:u w:val="none"/>
        </w:rPr>
        <w:t xml:space="preserve">ranked 2, </w:t>
      </w:r>
      <w:r w:rsidR="00D611D7">
        <w:rPr>
          <w:rStyle w:val="Hyperlink"/>
          <w:u w:val="none"/>
        </w:rPr>
        <w:t xml:space="preserve">Option 4 </w:t>
      </w:r>
      <w:r w:rsidR="007C45F3">
        <w:rPr>
          <w:rStyle w:val="Hyperlink"/>
          <w:u w:val="none"/>
        </w:rPr>
        <w:t xml:space="preserve">is </w:t>
      </w:r>
      <w:r w:rsidR="002E5711">
        <w:rPr>
          <w:rStyle w:val="Hyperlink"/>
          <w:u w:val="none"/>
        </w:rPr>
        <w:t xml:space="preserve">ranked </w:t>
      </w:r>
      <w:r>
        <w:rPr>
          <w:rStyle w:val="Hyperlink"/>
          <w:u w:val="none"/>
        </w:rPr>
        <w:t>3</w:t>
      </w:r>
      <w:r w:rsidR="00D611D7">
        <w:rPr>
          <w:rStyle w:val="Hyperlink"/>
          <w:u w:val="none"/>
        </w:rPr>
        <w:t xml:space="preserve">, Option 2 </w:t>
      </w:r>
      <w:r w:rsidR="007C45F3">
        <w:rPr>
          <w:rStyle w:val="Hyperlink"/>
          <w:u w:val="none"/>
        </w:rPr>
        <w:t xml:space="preserve">is </w:t>
      </w:r>
      <w:r w:rsidR="00D611D7">
        <w:rPr>
          <w:rStyle w:val="Hyperlink"/>
          <w:u w:val="none"/>
        </w:rPr>
        <w:t>ranked 4</w:t>
      </w:r>
      <w:r w:rsidR="002E5711">
        <w:rPr>
          <w:rStyle w:val="Hyperlink"/>
          <w:u w:val="none"/>
        </w:rPr>
        <w:t xml:space="preserve"> and Option 1 </w:t>
      </w:r>
      <w:r w:rsidR="007C45F3">
        <w:rPr>
          <w:rStyle w:val="Hyperlink"/>
          <w:u w:val="none"/>
        </w:rPr>
        <w:t xml:space="preserve">is </w:t>
      </w:r>
      <w:r>
        <w:rPr>
          <w:rStyle w:val="Hyperlink"/>
          <w:u w:val="none"/>
        </w:rPr>
        <w:t xml:space="preserve">ranked 5. </w:t>
      </w:r>
      <w:r w:rsidRPr="003C36EE">
        <w:rPr>
          <w:rStyle w:val="Hyperlink"/>
          <w:u w:val="none"/>
        </w:rPr>
        <w:t xml:space="preserve"> </w:t>
      </w:r>
    </w:p>
    <w:p w14:paraId="0B61D0CA" w14:textId="440441A2" w:rsidR="00D60B5C" w:rsidRDefault="00D5583A" w:rsidP="00D60B5C">
      <w:pPr>
        <w:pStyle w:val="Heading2"/>
        <w:spacing w:before="240" w:after="120"/>
      </w:pPr>
      <w:bookmarkStart w:id="217" w:name="_Toc62219430"/>
      <w:bookmarkEnd w:id="202"/>
      <w:r>
        <w:t>R</w:t>
      </w:r>
      <w:r w:rsidR="00FD384E">
        <w:t xml:space="preserve">egulatory burden </w:t>
      </w:r>
      <w:r>
        <w:t>analysis</w:t>
      </w:r>
      <w:bookmarkEnd w:id="217"/>
    </w:p>
    <w:p w14:paraId="42939945" w14:textId="77777777" w:rsidR="00E03A9C" w:rsidRDefault="00E03A9C" w:rsidP="00E03A9C">
      <w:pPr>
        <w:pStyle w:val="Heading3"/>
      </w:pPr>
      <w:r>
        <w:t xml:space="preserve">What is the purpose of the </w:t>
      </w:r>
      <w:r w:rsidR="00D5583A">
        <w:t>regulatory burden analysis</w:t>
      </w:r>
      <w:r>
        <w:t>?</w:t>
      </w:r>
    </w:p>
    <w:p w14:paraId="336BB546" w14:textId="47B4E1FA" w:rsidR="002E2ECF" w:rsidRDefault="0027432C" w:rsidP="002E3D8D">
      <w:pPr>
        <w:pStyle w:val="BodyText"/>
      </w:pPr>
      <w:r>
        <w:t>In keeping with the OBPR’s Regulatory Burden Measurement Framework Guidance Note,</w:t>
      </w:r>
      <w:r w:rsidR="00370905">
        <w:rPr>
          <w:rFonts w:ascii="ZWAdobeF" w:hAnsi="ZWAdobeF" w:cs="ZWAdobeF"/>
          <w:sz w:val="2"/>
          <w:szCs w:val="2"/>
        </w:rPr>
        <w:t>206F</w:t>
      </w:r>
      <w:r w:rsidR="002E2ECF">
        <w:rPr>
          <w:rStyle w:val="FootnoteReference"/>
        </w:rPr>
        <w:footnoteReference w:id="208"/>
      </w:r>
      <w:r w:rsidR="005B17F5">
        <w:t xml:space="preserve"> a </w:t>
      </w:r>
      <w:r w:rsidR="0077022B">
        <w:t>RIS</w:t>
      </w:r>
      <w:r>
        <w:t xml:space="preserve"> must be accompanied by a regulatory costing</w:t>
      </w:r>
      <w:r w:rsidR="00E75740">
        <w:t xml:space="preserve">. The purpose of this costing is to measure the </w:t>
      </w:r>
      <w:r w:rsidR="006A2E1E">
        <w:t>administrative,</w:t>
      </w:r>
      <w:r w:rsidR="00370905">
        <w:rPr>
          <w:rFonts w:ascii="ZWAdobeF" w:hAnsi="ZWAdobeF" w:cs="ZWAdobeF"/>
          <w:sz w:val="2"/>
          <w:szCs w:val="2"/>
        </w:rPr>
        <w:t>207F</w:t>
      </w:r>
      <w:r w:rsidR="0040151A">
        <w:rPr>
          <w:rStyle w:val="FootnoteReference"/>
        </w:rPr>
        <w:footnoteReference w:id="209"/>
      </w:r>
      <w:r w:rsidR="006A2E1E">
        <w:t xml:space="preserve"> compliance</w:t>
      </w:r>
      <w:r w:rsidR="00370905">
        <w:rPr>
          <w:rFonts w:ascii="ZWAdobeF" w:hAnsi="ZWAdobeF" w:cs="ZWAdobeF"/>
          <w:sz w:val="2"/>
          <w:szCs w:val="2"/>
        </w:rPr>
        <w:t>208F</w:t>
      </w:r>
      <w:r w:rsidR="0040151A">
        <w:rPr>
          <w:rStyle w:val="FootnoteReference"/>
        </w:rPr>
        <w:footnoteReference w:id="210"/>
      </w:r>
      <w:r w:rsidR="006A2E1E">
        <w:t xml:space="preserve"> and, where relevant, delay </w:t>
      </w:r>
      <w:r w:rsidR="005B17F5">
        <w:t>costs</w:t>
      </w:r>
      <w:r w:rsidR="00370905">
        <w:rPr>
          <w:rFonts w:ascii="ZWAdobeF" w:hAnsi="ZWAdobeF" w:cs="ZWAdobeF"/>
          <w:sz w:val="2"/>
          <w:szCs w:val="2"/>
        </w:rPr>
        <w:t>209F</w:t>
      </w:r>
      <w:r w:rsidR="0040151A">
        <w:rPr>
          <w:rStyle w:val="FootnoteReference"/>
        </w:rPr>
        <w:footnoteReference w:id="211"/>
      </w:r>
      <w:r w:rsidR="006A2E1E">
        <w:t xml:space="preserve"> (jointly referred to as ‘regulatory costs’)</w:t>
      </w:r>
      <w:r w:rsidR="005B17F5">
        <w:t xml:space="preserve"> </w:t>
      </w:r>
      <w:r w:rsidR="002B52C7">
        <w:t xml:space="preserve">that the reform options are estimated to </w:t>
      </w:r>
      <w:r w:rsidR="004621E1">
        <w:t xml:space="preserve">impose on </w:t>
      </w:r>
      <w:r w:rsidR="005B17F5">
        <w:t xml:space="preserve">businesses, community organisations and individuals. </w:t>
      </w:r>
    </w:p>
    <w:p w14:paraId="461603AA" w14:textId="014E1B60" w:rsidR="002E3D8D" w:rsidRDefault="00DA1EDD" w:rsidP="002E3D8D">
      <w:pPr>
        <w:pStyle w:val="BodyText"/>
      </w:pPr>
      <w:r>
        <w:t>To assist with this costing, the OBPR has developed t</w:t>
      </w:r>
      <w:r w:rsidR="00E03A9C" w:rsidRPr="006B4639">
        <w:t>he CRBM</w:t>
      </w:r>
      <w:r w:rsidR="00BB633D">
        <w:t xml:space="preserve">. The CRBM </w:t>
      </w:r>
      <w:r w:rsidR="002E2ECF">
        <w:t xml:space="preserve">is a </w:t>
      </w:r>
      <w:r w:rsidR="00324CA7">
        <w:t xml:space="preserve">web-based </w:t>
      </w:r>
      <w:r w:rsidR="002B52C7">
        <w:t xml:space="preserve">compliance costing </w:t>
      </w:r>
      <w:r w:rsidR="002E2ECF">
        <w:t xml:space="preserve">tool that can be used to </w:t>
      </w:r>
      <w:r w:rsidR="00E03A9C" w:rsidRPr="006B4639">
        <w:t xml:space="preserve">estimate the incremental </w:t>
      </w:r>
      <w:r w:rsidR="006A2E1E">
        <w:t xml:space="preserve">regulatory </w:t>
      </w:r>
      <w:r w:rsidR="00404F52">
        <w:t>costs</w:t>
      </w:r>
      <w:r w:rsidR="00EF40D0">
        <w:t xml:space="preserve"> </w:t>
      </w:r>
      <w:r w:rsidR="00E03A9C" w:rsidRPr="006B4639">
        <w:t>associated with a change in regulation using an activity-based costing methodology.</w:t>
      </w:r>
      <w:r w:rsidR="00370905">
        <w:rPr>
          <w:rFonts w:ascii="ZWAdobeF" w:hAnsi="ZWAdobeF" w:cs="ZWAdobeF"/>
          <w:sz w:val="2"/>
          <w:szCs w:val="2"/>
        </w:rPr>
        <w:t>210F</w:t>
      </w:r>
      <w:r w:rsidR="00E03A9C" w:rsidRPr="006B4639">
        <w:rPr>
          <w:vertAlign w:val="superscript"/>
        </w:rPr>
        <w:footnoteReference w:id="212"/>
      </w:r>
      <w:r w:rsidR="00E03A9C" w:rsidRPr="006B4639">
        <w:t xml:space="preserve"> </w:t>
      </w:r>
      <w:r w:rsidR="002E3D8D">
        <w:t xml:space="preserve">Like the </w:t>
      </w:r>
      <w:r w:rsidR="002E3D8D" w:rsidRPr="0084068B">
        <w:t xml:space="preserve">CBA, the CRBM focuses on the incremental impact, rather than the total impact, which is important because there are costs </w:t>
      </w:r>
      <w:r w:rsidR="002E3D8D">
        <w:t>associated with the current regulatory framework</w:t>
      </w:r>
      <w:r w:rsidR="002E3D8D" w:rsidRPr="0084068B">
        <w:t xml:space="preserve">. This analysis therefore quantifies additional </w:t>
      </w:r>
      <w:r w:rsidR="002B52C7">
        <w:t xml:space="preserve">regulatory </w:t>
      </w:r>
      <w:r w:rsidR="002E3D8D" w:rsidRPr="0084068B">
        <w:t xml:space="preserve">costs over and above any status quo costs. </w:t>
      </w:r>
    </w:p>
    <w:p w14:paraId="5597644D" w14:textId="77777777" w:rsidR="005A26DE" w:rsidRDefault="005A26DE" w:rsidP="005A26DE">
      <w:pPr>
        <w:pStyle w:val="Heading3"/>
      </w:pPr>
      <w:r>
        <w:t>How has the regulatory burden analysis been undertaken?</w:t>
      </w:r>
    </w:p>
    <w:p w14:paraId="2BEFCC1E" w14:textId="4E9FBD8F" w:rsidR="005A26DE" w:rsidRDefault="00E210B8" w:rsidP="002E3D8D">
      <w:pPr>
        <w:pStyle w:val="BodyText"/>
      </w:pPr>
      <w:r>
        <w:t>In keeping with the OBPR’s Regulatory Burden Measurement Framework guidance note,</w:t>
      </w:r>
      <w:r w:rsidR="00370905">
        <w:rPr>
          <w:rFonts w:ascii="ZWAdobeF" w:hAnsi="ZWAdobeF" w:cs="ZWAdobeF"/>
          <w:sz w:val="2"/>
          <w:szCs w:val="2"/>
        </w:rPr>
        <w:t>211F</w:t>
      </w:r>
      <w:r>
        <w:rPr>
          <w:rStyle w:val="FootnoteReference"/>
        </w:rPr>
        <w:footnoteReference w:id="213"/>
      </w:r>
      <w:r>
        <w:t xml:space="preserve"> the regulatory costs associated with each policy option have been estimated using the OBPR’s CRBM tool and are presented as an average cost to industry over the first 20-years of implementation.</w:t>
      </w:r>
      <w:r w:rsidRPr="00714132">
        <w:rPr>
          <w:rStyle w:val="FootnoteReference"/>
        </w:rPr>
        <w:t xml:space="preserve"> </w:t>
      </w:r>
      <w:r w:rsidR="00370905">
        <w:rPr>
          <w:rFonts w:ascii="ZWAdobeF" w:hAnsi="ZWAdobeF" w:cs="ZWAdobeF"/>
          <w:sz w:val="2"/>
          <w:szCs w:val="2"/>
        </w:rPr>
        <w:t>212F</w:t>
      </w:r>
      <w:r>
        <w:rPr>
          <w:rStyle w:val="FootnoteReference"/>
        </w:rPr>
        <w:footnoteReference w:id="214"/>
      </w:r>
    </w:p>
    <w:p w14:paraId="29767530" w14:textId="77777777" w:rsidR="002010D6" w:rsidRDefault="002010D6" w:rsidP="002010D6">
      <w:pPr>
        <w:pStyle w:val="BodyText"/>
      </w:pPr>
      <w:r w:rsidRPr="006B4639">
        <w:lastRenderedPageBreak/>
        <w:t>The CRBM is a bottom-up calculation</w:t>
      </w:r>
      <w:r>
        <w:t xml:space="preserve"> that relies on detailed input data, reflecting a cost of regulation for each activity</w:t>
      </w:r>
      <w:r w:rsidRPr="006B4639">
        <w:t xml:space="preserve">. The quality of the CRBM outputs is therefore dependent on the quality of the inputs. </w:t>
      </w:r>
      <w:r w:rsidRPr="00DA5449">
        <w:t xml:space="preserve">As with the CBA, the </w:t>
      </w:r>
      <w:r>
        <w:t xml:space="preserve">estimates used for the CRBM have been based on the </w:t>
      </w:r>
      <w:r w:rsidRPr="00DA5449">
        <w:t xml:space="preserve">data provided by stakeholders in submissions, stakeholder forums and </w:t>
      </w:r>
      <w:r>
        <w:t xml:space="preserve">through the </w:t>
      </w:r>
      <w:r w:rsidRPr="00DA5449">
        <w:t xml:space="preserve">individual consultations </w:t>
      </w:r>
      <w:r>
        <w:t xml:space="preserve">that PwC held </w:t>
      </w:r>
      <w:r w:rsidRPr="00DA5449">
        <w:t>with a number of stakeholders.</w:t>
      </w:r>
    </w:p>
    <w:p w14:paraId="407A878E" w14:textId="77777777" w:rsidR="00E210B8" w:rsidRDefault="00C770FD" w:rsidP="00E210B8">
      <w:pPr>
        <w:pStyle w:val="BodyText"/>
      </w:pPr>
      <w:r>
        <w:t xml:space="preserve">Through the stakeholder consultation it became clear that the </w:t>
      </w:r>
      <w:r w:rsidR="00E210B8">
        <w:t xml:space="preserve">reform options are not expected to impose any regulatory costs on individuals or community organisations. Nor are they expected to give rise to any delay costs. The CRBM therefore focuses on the direct administrative and compliance costs to businesses, which in this case includes both service providers and shippers. For these businesses, the regulatory burden arises as a result of the increased level of regulation of pipelines under the new lighter and </w:t>
      </w:r>
      <w:r w:rsidR="00531979">
        <w:t>stronger</w:t>
      </w:r>
      <w:r w:rsidR="00E210B8">
        <w:t xml:space="preserve"> forms of regulation, which gives rise to incremental implementation, access, reporting and, where relevant, dispute resolution costs.</w:t>
      </w:r>
    </w:p>
    <w:p w14:paraId="37AF399D" w14:textId="6137E882" w:rsidR="00E210B8" w:rsidRDefault="00E210B8" w:rsidP="00E210B8">
      <w:pPr>
        <w:pStyle w:val="BodyText"/>
      </w:pPr>
      <w:r>
        <w:t>The costs used in the CRBM are based on a subset of the data used in the CBA. Specifically, the CRBM uses the upfront and ongoing direct costs for services providers and shippers (see Appendix D.1 for more detail</w:t>
      </w:r>
      <w:r w:rsidR="00304E98">
        <w:t xml:space="preserve"> on these costs</w:t>
      </w:r>
      <w:r>
        <w:t>),</w:t>
      </w:r>
      <w:r w:rsidR="00370905">
        <w:rPr>
          <w:rFonts w:ascii="ZWAdobeF" w:hAnsi="ZWAdobeF" w:cs="ZWAdobeF"/>
          <w:sz w:val="2"/>
          <w:szCs w:val="2"/>
        </w:rPr>
        <w:t>213F</w:t>
      </w:r>
      <w:r w:rsidRPr="00DA5449">
        <w:rPr>
          <w:rStyle w:val="FootnoteReference"/>
        </w:rPr>
        <w:footnoteReference w:id="215"/>
      </w:r>
      <w:r>
        <w:t xml:space="preserve"> to estimate the regulatory burden per business. By factoring in the number of businesses involved, the CRBM then provides a total regulatory cost to all businesses. The upfront (referred to as start-up costs) and ongoing costs used in this calculation are based on Scenario 1 – High Impact because it represents the upper bound of the regulatory burden (i.e. it assumes the greatest number of pipelines become subject to the </w:t>
      </w:r>
      <w:r w:rsidR="00531979">
        <w:t>stronger</w:t>
      </w:r>
      <w:r>
        <w:t xml:space="preserve"> and </w:t>
      </w:r>
      <w:r w:rsidR="00531979">
        <w:t>lighter</w:t>
      </w:r>
      <w:r>
        <w:t xml:space="preserve"> forms of regulation). The cost estimates can therefore be viewed as conservative. </w:t>
      </w:r>
    </w:p>
    <w:p w14:paraId="58420C82" w14:textId="77777777" w:rsidR="00E03A9C" w:rsidRDefault="00E03A9C" w:rsidP="00C106CE">
      <w:pPr>
        <w:pStyle w:val="Heading3"/>
        <w:spacing w:before="200"/>
      </w:pPr>
      <w:r>
        <w:t xml:space="preserve">Results of the </w:t>
      </w:r>
      <w:r w:rsidR="002B52C7">
        <w:t>regulatory burden</w:t>
      </w:r>
      <w:r>
        <w:t xml:space="preserve"> analysis</w:t>
      </w:r>
    </w:p>
    <w:p w14:paraId="78E6B436" w14:textId="77BC78E5" w:rsidR="006038BB" w:rsidRDefault="00873C45" w:rsidP="00FE63EF">
      <w:pPr>
        <w:pStyle w:val="BodyText"/>
      </w:pPr>
      <w:r>
        <w:t xml:space="preserve">The results of the regulatory burden analysis are set out in </w:t>
      </w:r>
      <w:r>
        <w:rPr>
          <w:highlight w:val="yellow"/>
        </w:rPr>
        <w:fldChar w:fldCharType="begin" w:fldLock="1"/>
      </w:r>
      <w:r>
        <w:instrText xml:space="preserve"> REF _Ref49956102 \h </w:instrText>
      </w:r>
      <w:r>
        <w:rPr>
          <w:highlight w:val="yellow"/>
        </w:rPr>
      </w:r>
      <w:r>
        <w:rPr>
          <w:highlight w:val="yellow"/>
        </w:rPr>
        <w:fldChar w:fldCharType="separate"/>
      </w:r>
      <w:r w:rsidR="00036405">
        <w:t xml:space="preserve">Table </w:t>
      </w:r>
      <w:r w:rsidR="00036405">
        <w:rPr>
          <w:noProof/>
        </w:rPr>
        <w:t>9</w:t>
      </w:r>
      <w:r w:rsidR="00036405">
        <w:t>.</w:t>
      </w:r>
      <w:r w:rsidR="00036405">
        <w:rPr>
          <w:noProof/>
        </w:rPr>
        <w:t>7</w:t>
      </w:r>
      <w:r>
        <w:rPr>
          <w:highlight w:val="yellow"/>
        </w:rPr>
        <w:fldChar w:fldCharType="end"/>
      </w:r>
      <w:r>
        <w:t>.</w:t>
      </w:r>
    </w:p>
    <w:p w14:paraId="459C656A" w14:textId="4CEF7338" w:rsidR="00830294" w:rsidRDefault="00E37F71" w:rsidP="00F75A65">
      <w:pPr>
        <w:pStyle w:val="Caption"/>
        <w:spacing w:after="0"/>
      </w:pPr>
      <w:bookmarkStart w:id="218" w:name="_Ref49956102"/>
      <w:r>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9</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7</w:t>
      </w:r>
      <w:r w:rsidR="00F323B2">
        <w:rPr>
          <w:noProof/>
        </w:rPr>
        <w:fldChar w:fldCharType="end"/>
      </w:r>
      <w:bookmarkEnd w:id="218"/>
      <w:r>
        <w:t xml:space="preserve">: </w:t>
      </w:r>
      <w:r w:rsidR="004D4C6C">
        <w:t xml:space="preserve">Average annual regulatory </w:t>
      </w:r>
      <w:r w:rsidR="00FF50AB">
        <w:t>burden (</w:t>
      </w:r>
      <w:r w:rsidR="004D4C6C">
        <w:t xml:space="preserve">Scenario 1 </w:t>
      </w:r>
      <w:r w:rsidR="00FF50AB">
        <w:t xml:space="preserve">- </w:t>
      </w:r>
      <w:r w:rsidR="004D4C6C">
        <w:t>High Impact)</w:t>
      </w:r>
      <w:r w:rsidR="008902D1" w:rsidRPr="008902D1">
        <w:rPr>
          <w:vertAlign w:val="superscript"/>
        </w:rPr>
        <w:t>1</w:t>
      </w:r>
      <w:r w:rsidR="00B5298C">
        <w:rPr>
          <w:vertAlign w:val="superscript"/>
        </w:rPr>
        <w:t xml:space="preserve"> </w:t>
      </w:r>
      <w:r w:rsidR="00B5298C" w:rsidRPr="00B5298C">
        <w:t>($ million)</w:t>
      </w:r>
    </w:p>
    <w:tbl>
      <w:tblPr>
        <w:tblStyle w:val="TableGrid"/>
        <w:tblW w:w="5162" w:type="pct"/>
        <w:tblLayout w:type="fixed"/>
        <w:tblLook w:val="0420" w:firstRow="1" w:lastRow="0" w:firstColumn="0" w:lastColumn="0" w:noHBand="0" w:noVBand="1"/>
      </w:tblPr>
      <w:tblGrid>
        <w:gridCol w:w="709"/>
        <w:gridCol w:w="1277"/>
        <w:gridCol w:w="993"/>
        <w:gridCol w:w="1276"/>
        <w:gridCol w:w="1134"/>
        <w:gridCol w:w="1134"/>
        <w:gridCol w:w="1276"/>
        <w:gridCol w:w="1274"/>
      </w:tblGrid>
      <w:tr w:rsidR="00304E98" w:rsidRPr="00985E46" w14:paraId="07935193" w14:textId="77777777" w:rsidTr="00304E98">
        <w:trPr>
          <w:cnfStyle w:val="100000000000" w:firstRow="1" w:lastRow="0" w:firstColumn="0" w:lastColumn="0" w:oddVBand="0" w:evenVBand="0" w:oddHBand="0" w:evenHBand="0" w:firstRowFirstColumn="0" w:firstRowLastColumn="0" w:lastRowFirstColumn="0" w:lastRowLastColumn="0"/>
          <w:cantSplit/>
          <w:tblHeader/>
        </w:trPr>
        <w:tc>
          <w:tcPr>
            <w:tcW w:w="391" w:type="pct"/>
            <w:vMerge w:val="restart"/>
            <w:shd w:val="clear" w:color="auto" w:fill="002060"/>
            <w:vAlign w:val="bottom"/>
          </w:tcPr>
          <w:p w14:paraId="1BEB7FA2" w14:textId="77777777" w:rsidR="00304E98" w:rsidRPr="00985E46" w:rsidRDefault="00304E98" w:rsidP="00F75A65">
            <w:pPr>
              <w:pStyle w:val="TableHeading"/>
              <w:keepNext/>
              <w:spacing w:before="20"/>
              <w:rPr>
                <w:b w:val="0"/>
                <w:sz w:val="16"/>
                <w:szCs w:val="16"/>
                <w:lang w:eastAsia="fr-CA"/>
              </w:rPr>
            </w:pPr>
            <w:r>
              <w:rPr>
                <w:sz w:val="16"/>
                <w:szCs w:val="16"/>
                <w:lang w:eastAsia="fr-CA"/>
              </w:rPr>
              <w:t xml:space="preserve">Option </w:t>
            </w:r>
          </w:p>
        </w:tc>
        <w:tc>
          <w:tcPr>
            <w:tcW w:w="704" w:type="pct"/>
            <w:vMerge w:val="restart"/>
            <w:shd w:val="clear" w:color="auto" w:fill="002060"/>
            <w:vAlign w:val="bottom"/>
          </w:tcPr>
          <w:p w14:paraId="348C2173" w14:textId="77777777" w:rsidR="00304E98" w:rsidRPr="00985E46" w:rsidRDefault="00304E98" w:rsidP="00F75A65">
            <w:pPr>
              <w:pStyle w:val="TableHeading"/>
              <w:keepNext/>
              <w:spacing w:before="20"/>
              <w:rPr>
                <w:sz w:val="16"/>
                <w:szCs w:val="16"/>
                <w:lang w:eastAsia="fr-CA"/>
              </w:rPr>
            </w:pPr>
            <w:r>
              <w:rPr>
                <w:sz w:val="16"/>
                <w:szCs w:val="16"/>
                <w:lang w:eastAsia="fr-CA"/>
              </w:rPr>
              <w:t>Type of cost</w:t>
            </w:r>
          </w:p>
        </w:tc>
        <w:tc>
          <w:tcPr>
            <w:tcW w:w="1250" w:type="pct"/>
            <w:gridSpan w:val="2"/>
            <w:shd w:val="clear" w:color="auto" w:fill="002060"/>
          </w:tcPr>
          <w:p w14:paraId="7EEC0A12" w14:textId="77777777" w:rsidR="00304E98" w:rsidRPr="00985E46" w:rsidRDefault="00304E98" w:rsidP="00F75A65">
            <w:pPr>
              <w:pStyle w:val="TableHeading"/>
              <w:keepNext/>
              <w:spacing w:before="20"/>
              <w:jc w:val="center"/>
              <w:rPr>
                <w:sz w:val="16"/>
                <w:szCs w:val="16"/>
                <w:lang w:eastAsia="fr-CA"/>
              </w:rPr>
            </w:pPr>
            <w:r>
              <w:rPr>
                <w:sz w:val="16"/>
                <w:szCs w:val="16"/>
                <w:lang w:eastAsia="fr-CA"/>
              </w:rPr>
              <w:t>Costs to b</w:t>
            </w:r>
            <w:r w:rsidRPr="00985E46">
              <w:rPr>
                <w:sz w:val="16"/>
                <w:szCs w:val="16"/>
                <w:lang w:eastAsia="fr-CA"/>
              </w:rPr>
              <w:t>usiness</w:t>
            </w:r>
            <w:r>
              <w:rPr>
                <w:sz w:val="16"/>
                <w:szCs w:val="16"/>
                <w:lang w:eastAsia="fr-CA"/>
              </w:rPr>
              <w:t>es</w:t>
            </w:r>
          </w:p>
        </w:tc>
        <w:tc>
          <w:tcPr>
            <w:tcW w:w="1250" w:type="pct"/>
            <w:gridSpan w:val="2"/>
            <w:shd w:val="clear" w:color="auto" w:fill="002060"/>
          </w:tcPr>
          <w:p w14:paraId="404B57D0" w14:textId="77777777" w:rsidR="00304E98" w:rsidRPr="00985E46" w:rsidRDefault="00304E98" w:rsidP="00F75A65">
            <w:pPr>
              <w:pStyle w:val="TableHeading"/>
              <w:keepNext/>
              <w:spacing w:before="20"/>
              <w:jc w:val="center"/>
              <w:rPr>
                <w:sz w:val="16"/>
                <w:szCs w:val="16"/>
                <w:lang w:eastAsia="fr-CA"/>
              </w:rPr>
            </w:pPr>
            <w:r>
              <w:rPr>
                <w:sz w:val="16"/>
                <w:szCs w:val="16"/>
                <w:lang w:eastAsia="fr-CA"/>
              </w:rPr>
              <w:t>Costs to i</w:t>
            </w:r>
            <w:r w:rsidRPr="00985E46">
              <w:rPr>
                <w:sz w:val="16"/>
                <w:szCs w:val="16"/>
                <w:lang w:eastAsia="fr-CA"/>
              </w:rPr>
              <w:t>ndividuals</w:t>
            </w:r>
          </w:p>
        </w:tc>
        <w:tc>
          <w:tcPr>
            <w:tcW w:w="1405" w:type="pct"/>
            <w:gridSpan w:val="2"/>
            <w:shd w:val="clear" w:color="auto" w:fill="002060"/>
          </w:tcPr>
          <w:p w14:paraId="2574A965" w14:textId="77777777" w:rsidR="00304E98" w:rsidRPr="00985E46" w:rsidRDefault="00304E98" w:rsidP="00F75A65">
            <w:pPr>
              <w:pStyle w:val="TableHeading"/>
              <w:keepNext/>
              <w:spacing w:before="20"/>
              <w:jc w:val="center"/>
              <w:rPr>
                <w:sz w:val="16"/>
                <w:szCs w:val="16"/>
                <w:lang w:eastAsia="fr-CA"/>
              </w:rPr>
            </w:pPr>
            <w:r>
              <w:rPr>
                <w:sz w:val="16"/>
                <w:szCs w:val="16"/>
                <w:lang w:eastAsia="fr-CA"/>
              </w:rPr>
              <w:t xml:space="preserve">Costs to </w:t>
            </w:r>
            <w:r w:rsidRPr="00985E46">
              <w:rPr>
                <w:sz w:val="16"/>
                <w:szCs w:val="16"/>
                <w:lang w:eastAsia="fr-CA"/>
              </w:rPr>
              <w:t>Community organisations</w:t>
            </w:r>
          </w:p>
        </w:tc>
      </w:tr>
      <w:tr w:rsidR="00304E98" w:rsidRPr="00985E46" w14:paraId="2BF492D2" w14:textId="77777777" w:rsidTr="00304E98">
        <w:trPr>
          <w:cnfStyle w:val="100000000000" w:firstRow="1" w:lastRow="0" w:firstColumn="0" w:lastColumn="0" w:oddVBand="0" w:evenVBand="0" w:oddHBand="0" w:evenHBand="0" w:firstRowFirstColumn="0" w:firstRowLastColumn="0" w:lastRowFirstColumn="0" w:lastRowLastColumn="0"/>
          <w:cantSplit/>
          <w:tblHeader/>
        </w:trPr>
        <w:tc>
          <w:tcPr>
            <w:tcW w:w="391" w:type="pct"/>
            <w:vMerge/>
            <w:shd w:val="clear" w:color="auto" w:fill="002060"/>
          </w:tcPr>
          <w:p w14:paraId="39AD2BA0" w14:textId="77777777" w:rsidR="00304E98" w:rsidRPr="00985E46" w:rsidRDefault="00304E98" w:rsidP="00F75A65">
            <w:pPr>
              <w:pStyle w:val="TableHeading"/>
              <w:keepNext/>
              <w:spacing w:before="20"/>
              <w:rPr>
                <w:b w:val="0"/>
                <w:sz w:val="16"/>
                <w:szCs w:val="16"/>
                <w:lang w:eastAsia="fr-CA"/>
              </w:rPr>
            </w:pPr>
          </w:p>
        </w:tc>
        <w:tc>
          <w:tcPr>
            <w:tcW w:w="704" w:type="pct"/>
            <w:vMerge/>
            <w:shd w:val="clear" w:color="auto" w:fill="002060"/>
          </w:tcPr>
          <w:p w14:paraId="436F6DF2" w14:textId="77777777" w:rsidR="00304E98" w:rsidRPr="00985E46" w:rsidRDefault="00304E98" w:rsidP="00F75A65">
            <w:pPr>
              <w:pStyle w:val="TableHeading"/>
              <w:keepNext/>
              <w:spacing w:before="20"/>
              <w:rPr>
                <w:sz w:val="16"/>
                <w:szCs w:val="16"/>
                <w:lang w:eastAsia="fr-CA"/>
              </w:rPr>
            </w:pPr>
          </w:p>
        </w:tc>
        <w:tc>
          <w:tcPr>
            <w:tcW w:w="547" w:type="pct"/>
            <w:shd w:val="clear" w:color="auto" w:fill="002060"/>
          </w:tcPr>
          <w:p w14:paraId="24D9A812" w14:textId="77777777" w:rsidR="00304E98" w:rsidRPr="00985E46" w:rsidRDefault="00304E98" w:rsidP="00F75A65">
            <w:pPr>
              <w:pStyle w:val="TableHeading"/>
              <w:keepNext/>
              <w:spacing w:before="20"/>
              <w:rPr>
                <w:sz w:val="16"/>
                <w:szCs w:val="16"/>
                <w:lang w:eastAsia="fr-CA"/>
              </w:rPr>
            </w:pPr>
            <w:r w:rsidRPr="00985E46">
              <w:rPr>
                <w:sz w:val="16"/>
                <w:szCs w:val="16"/>
                <w:lang w:eastAsia="fr-CA"/>
              </w:rPr>
              <w:t>Per business</w:t>
            </w:r>
          </w:p>
        </w:tc>
        <w:tc>
          <w:tcPr>
            <w:tcW w:w="703" w:type="pct"/>
            <w:shd w:val="clear" w:color="auto" w:fill="002060"/>
          </w:tcPr>
          <w:p w14:paraId="4D117522" w14:textId="77777777" w:rsidR="00304E98" w:rsidRPr="00985E46" w:rsidRDefault="00304E98" w:rsidP="00F75A65">
            <w:pPr>
              <w:pStyle w:val="TableHeading"/>
              <w:keepNext/>
              <w:spacing w:before="20"/>
              <w:rPr>
                <w:sz w:val="16"/>
                <w:szCs w:val="16"/>
                <w:lang w:eastAsia="fr-CA"/>
              </w:rPr>
            </w:pPr>
            <w:r w:rsidRPr="00985E46">
              <w:rPr>
                <w:sz w:val="16"/>
                <w:szCs w:val="16"/>
                <w:lang w:eastAsia="fr-CA"/>
              </w:rPr>
              <w:t>Total all businesses</w:t>
            </w:r>
            <w:r w:rsidRPr="00985E46">
              <w:rPr>
                <w:sz w:val="16"/>
                <w:szCs w:val="16"/>
                <w:vertAlign w:val="superscript"/>
                <w:lang w:eastAsia="fr-CA"/>
              </w:rPr>
              <w:t>2</w:t>
            </w:r>
          </w:p>
        </w:tc>
        <w:tc>
          <w:tcPr>
            <w:tcW w:w="625" w:type="pct"/>
            <w:shd w:val="clear" w:color="auto" w:fill="002060"/>
          </w:tcPr>
          <w:p w14:paraId="31C774D7" w14:textId="77777777" w:rsidR="00304E98" w:rsidRPr="00985E46" w:rsidRDefault="00304E98" w:rsidP="00F75A65">
            <w:pPr>
              <w:pStyle w:val="TableHeading"/>
              <w:keepNext/>
              <w:spacing w:before="20"/>
              <w:rPr>
                <w:b w:val="0"/>
                <w:sz w:val="16"/>
                <w:szCs w:val="16"/>
                <w:lang w:eastAsia="fr-CA"/>
              </w:rPr>
            </w:pPr>
            <w:r w:rsidRPr="00985E46">
              <w:rPr>
                <w:sz w:val="16"/>
                <w:szCs w:val="16"/>
                <w:lang w:eastAsia="fr-CA"/>
              </w:rPr>
              <w:t>Per individuals</w:t>
            </w:r>
          </w:p>
        </w:tc>
        <w:tc>
          <w:tcPr>
            <w:tcW w:w="625" w:type="pct"/>
            <w:shd w:val="clear" w:color="auto" w:fill="002060"/>
          </w:tcPr>
          <w:p w14:paraId="4BDA2DA1" w14:textId="77777777" w:rsidR="00304E98" w:rsidRPr="00985E46" w:rsidRDefault="00304E98" w:rsidP="00F75A65">
            <w:pPr>
              <w:pStyle w:val="TableHeading"/>
              <w:keepNext/>
              <w:spacing w:before="20"/>
              <w:rPr>
                <w:sz w:val="16"/>
                <w:szCs w:val="16"/>
                <w:lang w:eastAsia="fr-CA"/>
              </w:rPr>
            </w:pPr>
            <w:r w:rsidRPr="00985E46">
              <w:rPr>
                <w:sz w:val="16"/>
                <w:szCs w:val="16"/>
                <w:lang w:eastAsia="fr-CA"/>
              </w:rPr>
              <w:t>Total all individuals</w:t>
            </w:r>
          </w:p>
        </w:tc>
        <w:tc>
          <w:tcPr>
            <w:tcW w:w="703" w:type="pct"/>
            <w:shd w:val="clear" w:color="auto" w:fill="002060"/>
          </w:tcPr>
          <w:p w14:paraId="0C1544F2" w14:textId="77777777" w:rsidR="00304E98" w:rsidRPr="00985E46" w:rsidRDefault="00304E98" w:rsidP="00F75A65">
            <w:pPr>
              <w:pStyle w:val="TableHeading"/>
              <w:keepNext/>
              <w:spacing w:before="20"/>
              <w:rPr>
                <w:b w:val="0"/>
                <w:sz w:val="16"/>
                <w:szCs w:val="16"/>
                <w:lang w:eastAsia="fr-CA"/>
              </w:rPr>
            </w:pPr>
            <w:r w:rsidRPr="00985E46">
              <w:rPr>
                <w:sz w:val="16"/>
                <w:szCs w:val="16"/>
                <w:lang w:eastAsia="fr-CA"/>
              </w:rPr>
              <w:t xml:space="preserve">Per organisation </w:t>
            </w:r>
          </w:p>
        </w:tc>
        <w:tc>
          <w:tcPr>
            <w:tcW w:w="702" w:type="pct"/>
            <w:shd w:val="clear" w:color="auto" w:fill="002060"/>
          </w:tcPr>
          <w:p w14:paraId="2702A805" w14:textId="77777777" w:rsidR="00304E98" w:rsidRPr="00985E46" w:rsidRDefault="00304E98" w:rsidP="00F75A65">
            <w:pPr>
              <w:pStyle w:val="TableHeading"/>
              <w:keepNext/>
              <w:spacing w:before="20"/>
              <w:rPr>
                <w:sz w:val="16"/>
                <w:szCs w:val="16"/>
                <w:lang w:eastAsia="fr-CA"/>
              </w:rPr>
            </w:pPr>
            <w:r w:rsidRPr="00985E46">
              <w:rPr>
                <w:sz w:val="16"/>
                <w:szCs w:val="16"/>
                <w:lang w:eastAsia="fr-CA"/>
              </w:rPr>
              <w:t>Total all organisations</w:t>
            </w:r>
          </w:p>
        </w:tc>
      </w:tr>
      <w:tr w:rsidR="007E32A8" w:rsidRPr="00985E46" w14:paraId="40C4DD93" w14:textId="77777777" w:rsidTr="00304E98">
        <w:trPr>
          <w:cantSplit/>
          <w:trHeight w:val="124"/>
        </w:trPr>
        <w:tc>
          <w:tcPr>
            <w:tcW w:w="391" w:type="pct"/>
            <w:vMerge w:val="restart"/>
          </w:tcPr>
          <w:p w14:paraId="60B1554F" w14:textId="77777777" w:rsidR="00E0291F" w:rsidRPr="00985E46" w:rsidRDefault="00304E98" w:rsidP="00F75A65">
            <w:pPr>
              <w:pStyle w:val="TableBodyText"/>
              <w:keepNext/>
              <w:spacing w:before="20"/>
              <w:jc w:val="center"/>
              <w:rPr>
                <w:sz w:val="16"/>
                <w:szCs w:val="16"/>
                <w:lang w:eastAsia="fr-CA"/>
              </w:rPr>
            </w:pPr>
            <w:r>
              <w:rPr>
                <w:sz w:val="16"/>
                <w:szCs w:val="16"/>
                <w:lang w:eastAsia="fr-CA"/>
              </w:rPr>
              <w:t xml:space="preserve">Option </w:t>
            </w:r>
            <w:r w:rsidR="007E32A8">
              <w:rPr>
                <w:sz w:val="16"/>
                <w:szCs w:val="16"/>
                <w:lang w:eastAsia="fr-CA"/>
              </w:rPr>
              <w:t>2</w:t>
            </w:r>
          </w:p>
        </w:tc>
        <w:tc>
          <w:tcPr>
            <w:tcW w:w="704" w:type="pct"/>
          </w:tcPr>
          <w:p w14:paraId="0E229B6F" w14:textId="77777777" w:rsidR="00E0291F" w:rsidRPr="00985E46" w:rsidRDefault="00E0291F" w:rsidP="00F75A65">
            <w:pPr>
              <w:pStyle w:val="TableBodyText"/>
              <w:keepNext/>
              <w:spacing w:before="20"/>
              <w:rPr>
                <w:sz w:val="16"/>
                <w:szCs w:val="16"/>
                <w:lang w:eastAsia="fr-CA"/>
              </w:rPr>
            </w:pPr>
            <w:r w:rsidRPr="00985E46">
              <w:rPr>
                <w:sz w:val="16"/>
                <w:szCs w:val="16"/>
                <w:lang w:eastAsia="fr-CA"/>
              </w:rPr>
              <w:t>Start-up cost</w:t>
            </w:r>
            <w:r w:rsidRPr="00985E46">
              <w:rPr>
                <w:sz w:val="16"/>
                <w:szCs w:val="16"/>
                <w:vertAlign w:val="superscript"/>
                <w:lang w:eastAsia="fr-CA"/>
              </w:rPr>
              <w:t>3</w:t>
            </w:r>
          </w:p>
        </w:tc>
        <w:tc>
          <w:tcPr>
            <w:tcW w:w="547" w:type="pct"/>
          </w:tcPr>
          <w:p w14:paraId="60B19BBB" w14:textId="77777777" w:rsidR="00E0291F" w:rsidRPr="00985E46" w:rsidRDefault="00E0291F" w:rsidP="00F75A65">
            <w:pPr>
              <w:pStyle w:val="TableBodyText"/>
              <w:keepNext/>
              <w:spacing w:before="20"/>
              <w:jc w:val="center"/>
              <w:rPr>
                <w:sz w:val="16"/>
                <w:szCs w:val="16"/>
                <w:lang w:eastAsia="fr-CA"/>
              </w:rPr>
            </w:pPr>
            <w:r w:rsidRPr="00985E46">
              <w:rPr>
                <w:sz w:val="16"/>
                <w:szCs w:val="16"/>
              </w:rPr>
              <w:t>$0.17</w:t>
            </w:r>
          </w:p>
        </w:tc>
        <w:tc>
          <w:tcPr>
            <w:tcW w:w="703" w:type="pct"/>
          </w:tcPr>
          <w:p w14:paraId="18B04DCC" w14:textId="77777777" w:rsidR="00E0291F" w:rsidRPr="00985E46" w:rsidRDefault="00E0291F" w:rsidP="00F75A65">
            <w:pPr>
              <w:pStyle w:val="TableBodyText"/>
              <w:keepNext/>
              <w:spacing w:before="20"/>
              <w:jc w:val="center"/>
              <w:rPr>
                <w:sz w:val="16"/>
                <w:szCs w:val="16"/>
                <w:lang w:eastAsia="fr-CA"/>
              </w:rPr>
            </w:pPr>
            <w:r w:rsidRPr="00985E46">
              <w:rPr>
                <w:sz w:val="16"/>
                <w:szCs w:val="16"/>
              </w:rPr>
              <w:t>$10.35</w:t>
            </w:r>
          </w:p>
        </w:tc>
        <w:tc>
          <w:tcPr>
            <w:tcW w:w="625" w:type="pct"/>
          </w:tcPr>
          <w:p w14:paraId="3EA53E10"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625" w:type="pct"/>
          </w:tcPr>
          <w:p w14:paraId="644AB311"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703" w:type="pct"/>
          </w:tcPr>
          <w:p w14:paraId="20C4896A"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702" w:type="pct"/>
          </w:tcPr>
          <w:p w14:paraId="2ED8731D"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r>
      <w:tr w:rsidR="00874C93" w:rsidRPr="00985E46" w14:paraId="16AB2A80" w14:textId="77777777" w:rsidTr="00304E98">
        <w:trPr>
          <w:cnfStyle w:val="000000010000" w:firstRow="0" w:lastRow="0" w:firstColumn="0" w:lastColumn="0" w:oddVBand="0" w:evenVBand="0" w:oddHBand="0" w:evenHBand="1" w:firstRowFirstColumn="0" w:firstRowLastColumn="0" w:lastRowFirstColumn="0" w:lastRowLastColumn="0"/>
          <w:cantSplit/>
          <w:trHeight w:val="123"/>
        </w:trPr>
        <w:tc>
          <w:tcPr>
            <w:tcW w:w="391" w:type="pct"/>
            <w:vMerge/>
          </w:tcPr>
          <w:p w14:paraId="5B753986" w14:textId="77777777" w:rsidR="00E0291F" w:rsidRPr="00985E46" w:rsidRDefault="00E0291F" w:rsidP="00F75A65">
            <w:pPr>
              <w:pStyle w:val="TableBodyText"/>
              <w:keepNext/>
              <w:spacing w:before="20"/>
              <w:jc w:val="center"/>
              <w:rPr>
                <w:sz w:val="16"/>
                <w:szCs w:val="16"/>
                <w:lang w:eastAsia="fr-CA"/>
              </w:rPr>
            </w:pPr>
          </w:p>
        </w:tc>
        <w:tc>
          <w:tcPr>
            <w:tcW w:w="704" w:type="pct"/>
          </w:tcPr>
          <w:p w14:paraId="3B2CC3D0" w14:textId="77777777" w:rsidR="00E0291F" w:rsidRPr="00985E46" w:rsidRDefault="00E0291F" w:rsidP="00F75A65">
            <w:pPr>
              <w:pStyle w:val="TableBodyText"/>
              <w:keepNext/>
              <w:spacing w:before="20"/>
              <w:rPr>
                <w:sz w:val="16"/>
                <w:szCs w:val="16"/>
                <w:lang w:eastAsia="fr-CA"/>
              </w:rPr>
            </w:pPr>
            <w:r w:rsidRPr="00985E46">
              <w:rPr>
                <w:sz w:val="16"/>
                <w:szCs w:val="16"/>
                <w:lang w:eastAsia="fr-CA"/>
              </w:rPr>
              <w:t>Ongoing cost</w:t>
            </w:r>
            <w:r w:rsidRPr="00985E46">
              <w:rPr>
                <w:sz w:val="16"/>
                <w:szCs w:val="16"/>
                <w:vertAlign w:val="superscript"/>
                <w:lang w:eastAsia="fr-CA"/>
              </w:rPr>
              <w:t>3</w:t>
            </w:r>
          </w:p>
        </w:tc>
        <w:tc>
          <w:tcPr>
            <w:tcW w:w="547" w:type="pct"/>
          </w:tcPr>
          <w:p w14:paraId="3F60DF40" w14:textId="77777777" w:rsidR="00E0291F" w:rsidRPr="00985E46" w:rsidRDefault="00E0291F" w:rsidP="00F75A65">
            <w:pPr>
              <w:pStyle w:val="TableBodyText"/>
              <w:keepNext/>
              <w:spacing w:before="20"/>
              <w:jc w:val="center"/>
              <w:rPr>
                <w:sz w:val="16"/>
                <w:szCs w:val="16"/>
                <w:lang w:eastAsia="fr-CA"/>
              </w:rPr>
            </w:pPr>
            <w:r w:rsidRPr="00985E46">
              <w:rPr>
                <w:sz w:val="16"/>
                <w:szCs w:val="16"/>
              </w:rPr>
              <w:t>$0.12</w:t>
            </w:r>
          </w:p>
        </w:tc>
        <w:tc>
          <w:tcPr>
            <w:tcW w:w="703" w:type="pct"/>
          </w:tcPr>
          <w:p w14:paraId="0261682E" w14:textId="77777777" w:rsidR="00E0291F" w:rsidRPr="00985E46" w:rsidRDefault="00E0291F" w:rsidP="00F75A65">
            <w:pPr>
              <w:pStyle w:val="TableBodyText"/>
              <w:keepNext/>
              <w:spacing w:before="20"/>
              <w:jc w:val="center"/>
              <w:rPr>
                <w:sz w:val="16"/>
                <w:szCs w:val="16"/>
                <w:lang w:eastAsia="fr-CA"/>
              </w:rPr>
            </w:pPr>
            <w:r w:rsidRPr="00985E46">
              <w:rPr>
                <w:sz w:val="16"/>
                <w:szCs w:val="16"/>
              </w:rPr>
              <w:t>$7.20</w:t>
            </w:r>
          </w:p>
        </w:tc>
        <w:tc>
          <w:tcPr>
            <w:tcW w:w="625" w:type="pct"/>
          </w:tcPr>
          <w:p w14:paraId="6DE65C96"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625" w:type="pct"/>
          </w:tcPr>
          <w:p w14:paraId="397AE952"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703" w:type="pct"/>
          </w:tcPr>
          <w:p w14:paraId="3B55BEE3"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702" w:type="pct"/>
          </w:tcPr>
          <w:p w14:paraId="6388EAF8"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r>
      <w:tr w:rsidR="007E32A8" w:rsidRPr="00985E46" w14:paraId="11A8F804" w14:textId="77777777" w:rsidTr="00304E98">
        <w:trPr>
          <w:cantSplit/>
          <w:trHeight w:val="124"/>
        </w:trPr>
        <w:tc>
          <w:tcPr>
            <w:tcW w:w="391" w:type="pct"/>
            <w:vMerge w:val="restart"/>
            <w:shd w:val="clear" w:color="auto" w:fill="E1E2E7" w:themeFill="background2"/>
          </w:tcPr>
          <w:p w14:paraId="3F8A3463" w14:textId="77777777" w:rsidR="00E0291F" w:rsidRPr="00985E46" w:rsidRDefault="00304E98" w:rsidP="00F75A65">
            <w:pPr>
              <w:pStyle w:val="TableBodyText"/>
              <w:keepNext/>
              <w:spacing w:before="20"/>
              <w:jc w:val="center"/>
              <w:rPr>
                <w:sz w:val="16"/>
                <w:szCs w:val="16"/>
                <w:lang w:eastAsia="fr-CA"/>
              </w:rPr>
            </w:pPr>
            <w:r>
              <w:rPr>
                <w:sz w:val="16"/>
                <w:szCs w:val="16"/>
                <w:lang w:eastAsia="fr-CA"/>
              </w:rPr>
              <w:t xml:space="preserve">Option </w:t>
            </w:r>
            <w:r w:rsidR="007E32A8">
              <w:rPr>
                <w:sz w:val="16"/>
                <w:szCs w:val="16"/>
                <w:lang w:eastAsia="fr-CA"/>
              </w:rPr>
              <w:t>3</w:t>
            </w:r>
            <w:r w:rsidR="004B463A">
              <w:rPr>
                <w:sz w:val="16"/>
                <w:szCs w:val="16"/>
                <w:lang w:eastAsia="fr-CA"/>
              </w:rPr>
              <w:t>A</w:t>
            </w:r>
          </w:p>
        </w:tc>
        <w:tc>
          <w:tcPr>
            <w:tcW w:w="704" w:type="pct"/>
          </w:tcPr>
          <w:p w14:paraId="3408832C" w14:textId="77777777" w:rsidR="00E0291F" w:rsidRPr="00985E46" w:rsidRDefault="00E0291F" w:rsidP="00F75A65">
            <w:pPr>
              <w:pStyle w:val="TableBodyText"/>
              <w:keepNext/>
              <w:spacing w:before="20"/>
              <w:rPr>
                <w:sz w:val="16"/>
                <w:szCs w:val="16"/>
                <w:lang w:eastAsia="fr-CA"/>
              </w:rPr>
            </w:pPr>
            <w:r w:rsidRPr="00985E46">
              <w:rPr>
                <w:sz w:val="16"/>
                <w:szCs w:val="16"/>
                <w:lang w:eastAsia="fr-CA"/>
              </w:rPr>
              <w:t>Start-up cost</w:t>
            </w:r>
            <w:r w:rsidRPr="00985E46">
              <w:rPr>
                <w:sz w:val="16"/>
                <w:szCs w:val="16"/>
                <w:vertAlign w:val="superscript"/>
                <w:lang w:eastAsia="fr-CA"/>
              </w:rPr>
              <w:t>3</w:t>
            </w:r>
          </w:p>
        </w:tc>
        <w:tc>
          <w:tcPr>
            <w:tcW w:w="547" w:type="pct"/>
          </w:tcPr>
          <w:p w14:paraId="459CF438" w14:textId="77777777" w:rsidR="00E0291F" w:rsidRPr="00985E46" w:rsidRDefault="00E0291F" w:rsidP="00F75A65">
            <w:pPr>
              <w:pStyle w:val="TableBodyText"/>
              <w:keepNext/>
              <w:spacing w:before="20"/>
              <w:jc w:val="center"/>
              <w:rPr>
                <w:sz w:val="16"/>
                <w:szCs w:val="16"/>
                <w:lang w:eastAsia="fr-CA"/>
              </w:rPr>
            </w:pPr>
            <w:r w:rsidRPr="00985E46">
              <w:rPr>
                <w:sz w:val="16"/>
                <w:szCs w:val="16"/>
              </w:rPr>
              <w:t>$0.16</w:t>
            </w:r>
          </w:p>
        </w:tc>
        <w:tc>
          <w:tcPr>
            <w:tcW w:w="703" w:type="pct"/>
          </w:tcPr>
          <w:p w14:paraId="3151DBE4" w14:textId="77777777" w:rsidR="00E0291F" w:rsidRPr="00985E46" w:rsidRDefault="00E0291F" w:rsidP="00F75A65">
            <w:pPr>
              <w:pStyle w:val="TableBodyText"/>
              <w:keepNext/>
              <w:spacing w:before="20"/>
              <w:jc w:val="center"/>
              <w:rPr>
                <w:sz w:val="16"/>
                <w:szCs w:val="16"/>
                <w:lang w:eastAsia="fr-CA"/>
              </w:rPr>
            </w:pPr>
            <w:r w:rsidRPr="00985E46">
              <w:rPr>
                <w:sz w:val="16"/>
                <w:szCs w:val="16"/>
              </w:rPr>
              <w:t>$10.35</w:t>
            </w:r>
          </w:p>
        </w:tc>
        <w:tc>
          <w:tcPr>
            <w:tcW w:w="625" w:type="pct"/>
          </w:tcPr>
          <w:p w14:paraId="2C6D819C"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625" w:type="pct"/>
          </w:tcPr>
          <w:p w14:paraId="001217F7"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703" w:type="pct"/>
          </w:tcPr>
          <w:p w14:paraId="512E0D7C"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702" w:type="pct"/>
          </w:tcPr>
          <w:p w14:paraId="6EC83512"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r>
      <w:tr w:rsidR="00874C93" w:rsidRPr="00985E46" w14:paraId="2FF0AF8D" w14:textId="77777777" w:rsidTr="00304E98">
        <w:trPr>
          <w:cnfStyle w:val="000000010000" w:firstRow="0" w:lastRow="0" w:firstColumn="0" w:lastColumn="0" w:oddVBand="0" w:evenVBand="0" w:oddHBand="0" w:evenHBand="1" w:firstRowFirstColumn="0" w:firstRowLastColumn="0" w:lastRowFirstColumn="0" w:lastRowLastColumn="0"/>
          <w:cantSplit/>
          <w:trHeight w:val="123"/>
        </w:trPr>
        <w:tc>
          <w:tcPr>
            <w:tcW w:w="391" w:type="pct"/>
            <w:vMerge/>
          </w:tcPr>
          <w:p w14:paraId="1A3F6A54" w14:textId="77777777" w:rsidR="00E0291F" w:rsidRPr="00985E46" w:rsidRDefault="00E0291F" w:rsidP="00F75A65">
            <w:pPr>
              <w:pStyle w:val="TableBodyText"/>
              <w:keepNext/>
              <w:spacing w:before="20"/>
              <w:jc w:val="center"/>
              <w:rPr>
                <w:sz w:val="16"/>
                <w:szCs w:val="16"/>
                <w:lang w:eastAsia="fr-CA"/>
              </w:rPr>
            </w:pPr>
          </w:p>
        </w:tc>
        <w:tc>
          <w:tcPr>
            <w:tcW w:w="704" w:type="pct"/>
          </w:tcPr>
          <w:p w14:paraId="0DDEC6D3" w14:textId="77777777" w:rsidR="00E0291F" w:rsidRPr="00985E46" w:rsidRDefault="00E0291F" w:rsidP="00F75A65">
            <w:pPr>
              <w:pStyle w:val="TableBodyText"/>
              <w:keepNext/>
              <w:spacing w:before="20"/>
              <w:rPr>
                <w:sz w:val="16"/>
                <w:szCs w:val="16"/>
                <w:lang w:eastAsia="fr-CA"/>
              </w:rPr>
            </w:pPr>
            <w:r w:rsidRPr="00985E46">
              <w:rPr>
                <w:sz w:val="16"/>
                <w:szCs w:val="16"/>
                <w:lang w:eastAsia="fr-CA"/>
              </w:rPr>
              <w:t>Ongoing cost</w:t>
            </w:r>
            <w:r w:rsidRPr="00985E46">
              <w:rPr>
                <w:sz w:val="16"/>
                <w:szCs w:val="16"/>
                <w:vertAlign w:val="superscript"/>
                <w:lang w:eastAsia="fr-CA"/>
              </w:rPr>
              <w:t>3</w:t>
            </w:r>
          </w:p>
        </w:tc>
        <w:tc>
          <w:tcPr>
            <w:tcW w:w="547" w:type="pct"/>
          </w:tcPr>
          <w:p w14:paraId="367E49DF" w14:textId="77777777" w:rsidR="00E0291F" w:rsidRPr="00985E46" w:rsidRDefault="00E0291F" w:rsidP="00F75A65">
            <w:pPr>
              <w:pStyle w:val="TableBodyText"/>
              <w:keepNext/>
              <w:spacing w:before="20"/>
              <w:jc w:val="center"/>
              <w:rPr>
                <w:sz w:val="16"/>
                <w:szCs w:val="16"/>
                <w:lang w:eastAsia="fr-CA"/>
              </w:rPr>
            </w:pPr>
            <w:r w:rsidRPr="00985E46">
              <w:rPr>
                <w:sz w:val="16"/>
                <w:szCs w:val="16"/>
              </w:rPr>
              <w:t>$0.14</w:t>
            </w:r>
          </w:p>
        </w:tc>
        <w:tc>
          <w:tcPr>
            <w:tcW w:w="703" w:type="pct"/>
          </w:tcPr>
          <w:p w14:paraId="25E4B2DA" w14:textId="77777777" w:rsidR="00E0291F" w:rsidRPr="00985E46" w:rsidRDefault="00E0291F" w:rsidP="00F75A65">
            <w:pPr>
              <w:pStyle w:val="TableBodyText"/>
              <w:keepNext/>
              <w:spacing w:before="20"/>
              <w:jc w:val="center"/>
              <w:rPr>
                <w:sz w:val="16"/>
                <w:szCs w:val="16"/>
                <w:lang w:eastAsia="fr-CA"/>
              </w:rPr>
            </w:pPr>
            <w:r w:rsidRPr="00985E46">
              <w:rPr>
                <w:sz w:val="16"/>
                <w:szCs w:val="16"/>
              </w:rPr>
              <w:t>$ 8.51</w:t>
            </w:r>
          </w:p>
        </w:tc>
        <w:tc>
          <w:tcPr>
            <w:tcW w:w="625" w:type="pct"/>
          </w:tcPr>
          <w:p w14:paraId="51AE0992"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625" w:type="pct"/>
          </w:tcPr>
          <w:p w14:paraId="1CB1FE9B"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703" w:type="pct"/>
          </w:tcPr>
          <w:p w14:paraId="73814E9B"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702" w:type="pct"/>
          </w:tcPr>
          <w:p w14:paraId="42B18965"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r>
      <w:tr w:rsidR="007E32A8" w:rsidRPr="00985E46" w14:paraId="2A5DE1FC" w14:textId="77777777" w:rsidTr="00304E98">
        <w:trPr>
          <w:cantSplit/>
          <w:trHeight w:val="124"/>
        </w:trPr>
        <w:tc>
          <w:tcPr>
            <w:tcW w:w="391" w:type="pct"/>
            <w:vMerge w:val="restart"/>
          </w:tcPr>
          <w:p w14:paraId="3F8B6F1E" w14:textId="77777777" w:rsidR="00E0291F" w:rsidRPr="00985E46" w:rsidRDefault="00304E98" w:rsidP="00F75A65">
            <w:pPr>
              <w:pStyle w:val="TableBodyText"/>
              <w:keepNext/>
              <w:spacing w:before="20"/>
              <w:jc w:val="center"/>
              <w:rPr>
                <w:sz w:val="16"/>
                <w:szCs w:val="16"/>
                <w:lang w:eastAsia="fr-CA"/>
              </w:rPr>
            </w:pPr>
            <w:r>
              <w:rPr>
                <w:sz w:val="16"/>
                <w:szCs w:val="16"/>
                <w:lang w:eastAsia="fr-CA"/>
              </w:rPr>
              <w:t xml:space="preserve">Option </w:t>
            </w:r>
            <w:r w:rsidR="007E32A8">
              <w:rPr>
                <w:sz w:val="16"/>
                <w:szCs w:val="16"/>
                <w:lang w:eastAsia="fr-CA"/>
              </w:rPr>
              <w:t>3</w:t>
            </w:r>
            <w:r w:rsidR="004B463A">
              <w:rPr>
                <w:sz w:val="16"/>
                <w:szCs w:val="16"/>
                <w:lang w:eastAsia="fr-CA"/>
              </w:rPr>
              <w:t>B</w:t>
            </w:r>
          </w:p>
        </w:tc>
        <w:tc>
          <w:tcPr>
            <w:tcW w:w="704" w:type="pct"/>
          </w:tcPr>
          <w:p w14:paraId="6332A2E5" w14:textId="77777777" w:rsidR="00E0291F" w:rsidRPr="00985E46" w:rsidRDefault="00E0291F" w:rsidP="00F75A65">
            <w:pPr>
              <w:pStyle w:val="TableBodyText"/>
              <w:keepNext/>
              <w:spacing w:before="20"/>
              <w:rPr>
                <w:sz w:val="16"/>
                <w:szCs w:val="16"/>
                <w:lang w:eastAsia="fr-CA"/>
              </w:rPr>
            </w:pPr>
            <w:r w:rsidRPr="00985E46">
              <w:rPr>
                <w:sz w:val="16"/>
                <w:szCs w:val="16"/>
                <w:lang w:eastAsia="fr-CA"/>
              </w:rPr>
              <w:t>Start-up cost</w:t>
            </w:r>
            <w:r w:rsidRPr="00985E46">
              <w:rPr>
                <w:sz w:val="16"/>
                <w:szCs w:val="16"/>
                <w:vertAlign w:val="superscript"/>
                <w:lang w:eastAsia="fr-CA"/>
              </w:rPr>
              <w:t>3</w:t>
            </w:r>
          </w:p>
        </w:tc>
        <w:tc>
          <w:tcPr>
            <w:tcW w:w="547" w:type="pct"/>
          </w:tcPr>
          <w:p w14:paraId="28A01298" w14:textId="77777777" w:rsidR="00E0291F" w:rsidRPr="00985E46" w:rsidRDefault="00E0291F" w:rsidP="00F75A65">
            <w:pPr>
              <w:pStyle w:val="TableBodyText"/>
              <w:keepNext/>
              <w:spacing w:before="20"/>
              <w:jc w:val="center"/>
              <w:rPr>
                <w:sz w:val="16"/>
                <w:szCs w:val="16"/>
                <w:lang w:eastAsia="fr-CA"/>
              </w:rPr>
            </w:pPr>
            <w:r w:rsidRPr="00985E46">
              <w:rPr>
                <w:sz w:val="16"/>
                <w:szCs w:val="16"/>
              </w:rPr>
              <w:t>$0.17</w:t>
            </w:r>
          </w:p>
        </w:tc>
        <w:tc>
          <w:tcPr>
            <w:tcW w:w="703" w:type="pct"/>
          </w:tcPr>
          <w:p w14:paraId="1FF61E2C" w14:textId="77777777" w:rsidR="00E0291F" w:rsidRPr="00985E46" w:rsidRDefault="00E0291F" w:rsidP="00F75A65">
            <w:pPr>
              <w:pStyle w:val="TableBodyText"/>
              <w:keepNext/>
              <w:spacing w:before="20"/>
              <w:jc w:val="center"/>
              <w:rPr>
                <w:sz w:val="16"/>
                <w:szCs w:val="16"/>
                <w:lang w:eastAsia="fr-CA"/>
              </w:rPr>
            </w:pPr>
            <w:r w:rsidRPr="00985E46">
              <w:rPr>
                <w:sz w:val="16"/>
                <w:szCs w:val="16"/>
              </w:rPr>
              <w:t>$11.07</w:t>
            </w:r>
          </w:p>
        </w:tc>
        <w:tc>
          <w:tcPr>
            <w:tcW w:w="625" w:type="pct"/>
          </w:tcPr>
          <w:p w14:paraId="3FF0465E"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625" w:type="pct"/>
          </w:tcPr>
          <w:p w14:paraId="7FC84974"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703" w:type="pct"/>
          </w:tcPr>
          <w:p w14:paraId="41B6E804"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702" w:type="pct"/>
          </w:tcPr>
          <w:p w14:paraId="20EFCB7B"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r>
      <w:tr w:rsidR="00874C93" w:rsidRPr="00985E46" w14:paraId="1B00A9D5" w14:textId="77777777" w:rsidTr="00304E98">
        <w:trPr>
          <w:cnfStyle w:val="000000010000" w:firstRow="0" w:lastRow="0" w:firstColumn="0" w:lastColumn="0" w:oddVBand="0" w:evenVBand="0" w:oddHBand="0" w:evenHBand="1" w:firstRowFirstColumn="0" w:firstRowLastColumn="0" w:lastRowFirstColumn="0" w:lastRowLastColumn="0"/>
          <w:cantSplit/>
          <w:trHeight w:val="123"/>
        </w:trPr>
        <w:tc>
          <w:tcPr>
            <w:tcW w:w="391" w:type="pct"/>
            <w:vMerge/>
          </w:tcPr>
          <w:p w14:paraId="6EB35224" w14:textId="77777777" w:rsidR="00E0291F" w:rsidRPr="00985E46" w:rsidRDefault="00E0291F" w:rsidP="00F75A65">
            <w:pPr>
              <w:pStyle w:val="TableBodyText"/>
              <w:keepNext/>
              <w:spacing w:before="20"/>
              <w:jc w:val="center"/>
              <w:rPr>
                <w:sz w:val="16"/>
                <w:szCs w:val="16"/>
                <w:lang w:eastAsia="fr-CA"/>
              </w:rPr>
            </w:pPr>
          </w:p>
        </w:tc>
        <w:tc>
          <w:tcPr>
            <w:tcW w:w="704" w:type="pct"/>
          </w:tcPr>
          <w:p w14:paraId="706327DC" w14:textId="77777777" w:rsidR="00E0291F" w:rsidRPr="00985E46" w:rsidRDefault="00E0291F" w:rsidP="00F75A65">
            <w:pPr>
              <w:pStyle w:val="TableBodyText"/>
              <w:keepNext/>
              <w:spacing w:before="20"/>
              <w:rPr>
                <w:sz w:val="16"/>
                <w:szCs w:val="16"/>
                <w:lang w:eastAsia="fr-CA"/>
              </w:rPr>
            </w:pPr>
            <w:r w:rsidRPr="00985E46">
              <w:rPr>
                <w:sz w:val="16"/>
                <w:szCs w:val="16"/>
                <w:lang w:eastAsia="fr-CA"/>
              </w:rPr>
              <w:t>Ongoing cost</w:t>
            </w:r>
            <w:r w:rsidRPr="00985E46">
              <w:rPr>
                <w:sz w:val="16"/>
                <w:szCs w:val="16"/>
                <w:vertAlign w:val="superscript"/>
                <w:lang w:eastAsia="fr-CA"/>
              </w:rPr>
              <w:t>3</w:t>
            </w:r>
          </w:p>
        </w:tc>
        <w:tc>
          <w:tcPr>
            <w:tcW w:w="547" w:type="pct"/>
          </w:tcPr>
          <w:p w14:paraId="26FD1BA2" w14:textId="77777777" w:rsidR="00E0291F" w:rsidRPr="00985E46" w:rsidRDefault="00E0291F" w:rsidP="00F75A65">
            <w:pPr>
              <w:pStyle w:val="TableBodyText"/>
              <w:keepNext/>
              <w:spacing w:before="20"/>
              <w:jc w:val="center"/>
              <w:rPr>
                <w:sz w:val="16"/>
                <w:szCs w:val="16"/>
                <w:lang w:eastAsia="fr-CA"/>
              </w:rPr>
            </w:pPr>
            <w:r w:rsidRPr="00985E46">
              <w:rPr>
                <w:sz w:val="16"/>
                <w:szCs w:val="16"/>
              </w:rPr>
              <w:t>$0.14</w:t>
            </w:r>
          </w:p>
        </w:tc>
        <w:tc>
          <w:tcPr>
            <w:tcW w:w="703" w:type="pct"/>
          </w:tcPr>
          <w:p w14:paraId="5719E14E" w14:textId="77777777" w:rsidR="00E0291F" w:rsidRPr="00985E46" w:rsidRDefault="00E0291F" w:rsidP="00F75A65">
            <w:pPr>
              <w:pStyle w:val="TableBodyText"/>
              <w:keepNext/>
              <w:spacing w:before="20"/>
              <w:jc w:val="center"/>
              <w:rPr>
                <w:sz w:val="16"/>
                <w:szCs w:val="16"/>
                <w:lang w:eastAsia="fr-CA"/>
              </w:rPr>
            </w:pPr>
            <w:r w:rsidRPr="00985E46">
              <w:rPr>
                <w:sz w:val="16"/>
                <w:szCs w:val="16"/>
              </w:rPr>
              <w:t>$ 8.95</w:t>
            </w:r>
          </w:p>
        </w:tc>
        <w:tc>
          <w:tcPr>
            <w:tcW w:w="625" w:type="pct"/>
          </w:tcPr>
          <w:p w14:paraId="16E543CE"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625" w:type="pct"/>
          </w:tcPr>
          <w:p w14:paraId="746700D6"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703" w:type="pct"/>
          </w:tcPr>
          <w:p w14:paraId="2E980B21"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702" w:type="pct"/>
          </w:tcPr>
          <w:p w14:paraId="19EFAE5B"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r>
      <w:tr w:rsidR="007E32A8" w:rsidRPr="00985E46" w14:paraId="672F7953" w14:textId="77777777" w:rsidTr="00304E98">
        <w:trPr>
          <w:cantSplit/>
          <w:trHeight w:val="124"/>
        </w:trPr>
        <w:tc>
          <w:tcPr>
            <w:tcW w:w="391" w:type="pct"/>
            <w:vMerge w:val="restart"/>
            <w:shd w:val="clear" w:color="auto" w:fill="E1E2E7" w:themeFill="background2"/>
          </w:tcPr>
          <w:p w14:paraId="038022E1" w14:textId="77777777" w:rsidR="00E0291F" w:rsidRPr="00985E46" w:rsidRDefault="00304E98" w:rsidP="00F75A65">
            <w:pPr>
              <w:pStyle w:val="TableBodyText"/>
              <w:keepNext/>
              <w:spacing w:before="20"/>
              <w:jc w:val="center"/>
              <w:rPr>
                <w:sz w:val="16"/>
                <w:szCs w:val="16"/>
                <w:lang w:eastAsia="fr-CA"/>
              </w:rPr>
            </w:pPr>
            <w:r>
              <w:rPr>
                <w:sz w:val="16"/>
                <w:szCs w:val="16"/>
                <w:lang w:eastAsia="fr-CA"/>
              </w:rPr>
              <w:t xml:space="preserve">Option </w:t>
            </w:r>
            <w:r w:rsidR="007E32A8">
              <w:rPr>
                <w:sz w:val="16"/>
                <w:szCs w:val="16"/>
                <w:lang w:eastAsia="fr-CA"/>
              </w:rPr>
              <w:t>4</w:t>
            </w:r>
          </w:p>
        </w:tc>
        <w:tc>
          <w:tcPr>
            <w:tcW w:w="704" w:type="pct"/>
          </w:tcPr>
          <w:p w14:paraId="65C6C4B0" w14:textId="77777777" w:rsidR="00E0291F" w:rsidRPr="00985E46" w:rsidRDefault="00E0291F" w:rsidP="00F75A65">
            <w:pPr>
              <w:pStyle w:val="TableBodyText"/>
              <w:keepNext/>
              <w:spacing w:before="20"/>
              <w:rPr>
                <w:sz w:val="16"/>
                <w:szCs w:val="16"/>
                <w:lang w:eastAsia="fr-CA"/>
              </w:rPr>
            </w:pPr>
            <w:r w:rsidRPr="00985E46">
              <w:rPr>
                <w:sz w:val="16"/>
                <w:szCs w:val="16"/>
                <w:lang w:eastAsia="fr-CA"/>
              </w:rPr>
              <w:t>Start-up cost</w:t>
            </w:r>
            <w:r w:rsidRPr="00985E46">
              <w:rPr>
                <w:sz w:val="16"/>
                <w:szCs w:val="16"/>
                <w:vertAlign w:val="superscript"/>
                <w:lang w:eastAsia="fr-CA"/>
              </w:rPr>
              <w:t>3</w:t>
            </w:r>
          </w:p>
        </w:tc>
        <w:tc>
          <w:tcPr>
            <w:tcW w:w="547" w:type="pct"/>
          </w:tcPr>
          <w:p w14:paraId="1574818F" w14:textId="77777777" w:rsidR="00E0291F" w:rsidRPr="00985E46" w:rsidRDefault="00E0291F" w:rsidP="00F75A65">
            <w:pPr>
              <w:pStyle w:val="TableBodyText"/>
              <w:keepNext/>
              <w:spacing w:before="20"/>
              <w:jc w:val="center"/>
              <w:rPr>
                <w:sz w:val="16"/>
                <w:szCs w:val="16"/>
                <w:lang w:eastAsia="fr-CA"/>
              </w:rPr>
            </w:pPr>
            <w:r w:rsidRPr="00985E46">
              <w:rPr>
                <w:sz w:val="16"/>
                <w:szCs w:val="16"/>
              </w:rPr>
              <w:t>$0.17</w:t>
            </w:r>
          </w:p>
        </w:tc>
        <w:tc>
          <w:tcPr>
            <w:tcW w:w="703" w:type="pct"/>
          </w:tcPr>
          <w:p w14:paraId="319B1AD3" w14:textId="77777777" w:rsidR="00E0291F" w:rsidRPr="00985E46" w:rsidRDefault="00E0291F" w:rsidP="00F75A65">
            <w:pPr>
              <w:pStyle w:val="TableBodyText"/>
              <w:keepNext/>
              <w:spacing w:before="20"/>
              <w:jc w:val="center"/>
              <w:rPr>
                <w:sz w:val="16"/>
                <w:szCs w:val="16"/>
                <w:lang w:eastAsia="fr-CA"/>
              </w:rPr>
            </w:pPr>
            <w:r w:rsidRPr="00985E46">
              <w:rPr>
                <w:sz w:val="16"/>
                <w:szCs w:val="16"/>
              </w:rPr>
              <w:t>$11.07</w:t>
            </w:r>
          </w:p>
        </w:tc>
        <w:tc>
          <w:tcPr>
            <w:tcW w:w="625" w:type="pct"/>
          </w:tcPr>
          <w:p w14:paraId="2660DC42"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625" w:type="pct"/>
          </w:tcPr>
          <w:p w14:paraId="6CEE8E04"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703" w:type="pct"/>
          </w:tcPr>
          <w:p w14:paraId="16CB1895"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c>
          <w:tcPr>
            <w:tcW w:w="702" w:type="pct"/>
          </w:tcPr>
          <w:p w14:paraId="087AB99D" w14:textId="77777777" w:rsidR="00E0291F" w:rsidRPr="00985E46" w:rsidRDefault="00E0291F" w:rsidP="00F75A65">
            <w:pPr>
              <w:pStyle w:val="TableBodyText"/>
              <w:keepNext/>
              <w:spacing w:before="20"/>
              <w:jc w:val="center"/>
              <w:rPr>
                <w:sz w:val="16"/>
                <w:szCs w:val="16"/>
                <w:lang w:eastAsia="fr-CA"/>
              </w:rPr>
            </w:pPr>
            <w:r w:rsidRPr="00985E46">
              <w:rPr>
                <w:sz w:val="16"/>
                <w:szCs w:val="16"/>
                <w:lang w:eastAsia="fr-CA"/>
              </w:rPr>
              <w:t>$-</w:t>
            </w:r>
          </w:p>
        </w:tc>
      </w:tr>
      <w:tr w:rsidR="00874C93" w:rsidRPr="00985E46" w14:paraId="2BD831EC" w14:textId="77777777" w:rsidTr="00304E98">
        <w:trPr>
          <w:cnfStyle w:val="000000010000" w:firstRow="0" w:lastRow="0" w:firstColumn="0" w:lastColumn="0" w:oddVBand="0" w:evenVBand="0" w:oddHBand="0" w:evenHBand="1" w:firstRowFirstColumn="0" w:firstRowLastColumn="0" w:lastRowFirstColumn="0" w:lastRowLastColumn="0"/>
          <w:cantSplit/>
          <w:trHeight w:val="123"/>
        </w:trPr>
        <w:tc>
          <w:tcPr>
            <w:tcW w:w="391" w:type="pct"/>
            <w:vMerge/>
          </w:tcPr>
          <w:p w14:paraId="234E5552" w14:textId="77777777" w:rsidR="00E0291F" w:rsidRPr="00985E46" w:rsidRDefault="00E0291F" w:rsidP="00304E98">
            <w:pPr>
              <w:pStyle w:val="TableBodyText"/>
              <w:spacing w:before="20"/>
              <w:rPr>
                <w:sz w:val="16"/>
                <w:szCs w:val="16"/>
                <w:lang w:eastAsia="fr-CA"/>
              </w:rPr>
            </w:pPr>
          </w:p>
        </w:tc>
        <w:tc>
          <w:tcPr>
            <w:tcW w:w="704" w:type="pct"/>
          </w:tcPr>
          <w:p w14:paraId="0F2C0169" w14:textId="77777777" w:rsidR="00E0291F" w:rsidRPr="00985E46" w:rsidRDefault="00E0291F" w:rsidP="00304E98">
            <w:pPr>
              <w:pStyle w:val="TableBodyText"/>
              <w:spacing w:before="20"/>
              <w:rPr>
                <w:sz w:val="16"/>
                <w:szCs w:val="16"/>
                <w:lang w:eastAsia="fr-CA"/>
              </w:rPr>
            </w:pPr>
            <w:r w:rsidRPr="00985E46">
              <w:rPr>
                <w:sz w:val="16"/>
                <w:szCs w:val="16"/>
                <w:lang w:eastAsia="fr-CA"/>
              </w:rPr>
              <w:t>Ongoing cost</w:t>
            </w:r>
            <w:r w:rsidRPr="00985E46">
              <w:rPr>
                <w:sz w:val="16"/>
                <w:szCs w:val="16"/>
                <w:vertAlign w:val="superscript"/>
                <w:lang w:eastAsia="fr-CA"/>
              </w:rPr>
              <w:t>3</w:t>
            </w:r>
          </w:p>
        </w:tc>
        <w:tc>
          <w:tcPr>
            <w:tcW w:w="547" w:type="pct"/>
          </w:tcPr>
          <w:p w14:paraId="263ECBB9" w14:textId="77777777" w:rsidR="00E0291F" w:rsidRPr="00985E46" w:rsidRDefault="00E0291F" w:rsidP="00304E98">
            <w:pPr>
              <w:pStyle w:val="TableBodyText"/>
              <w:spacing w:before="20"/>
              <w:jc w:val="center"/>
              <w:rPr>
                <w:sz w:val="16"/>
                <w:szCs w:val="16"/>
                <w:lang w:eastAsia="fr-CA"/>
              </w:rPr>
            </w:pPr>
            <w:r w:rsidRPr="00985E46">
              <w:rPr>
                <w:sz w:val="16"/>
                <w:szCs w:val="16"/>
              </w:rPr>
              <w:t>$0.14</w:t>
            </w:r>
          </w:p>
        </w:tc>
        <w:tc>
          <w:tcPr>
            <w:tcW w:w="703" w:type="pct"/>
          </w:tcPr>
          <w:p w14:paraId="521A42FC" w14:textId="77777777" w:rsidR="00E0291F" w:rsidRPr="00985E46" w:rsidRDefault="00E0291F" w:rsidP="00304E98">
            <w:pPr>
              <w:pStyle w:val="TableBodyText"/>
              <w:spacing w:before="20"/>
              <w:jc w:val="center"/>
              <w:rPr>
                <w:sz w:val="16"/>
                <w:szCs w:val="16"/>
                <w:lang w:eastAsia="fr-CA"/>
              </w:rPr>
            </w:pPr>
            <w:r w:rsidRPr="00985E46">
              <w:rPr>
                <w:sz w:val="16"/>
                <w:szCs w:val="16"/>
              </w:rPr>
              <w:t>$9.21</w:t>
            </w:r>
          </w:p>
        </w:tc>
        <w:tc>
          <w:tcPr>
            <w:tcW w:w="625" w:type="pct"/>
          </w:tcPr>
          <w:p w14:paraId="5488A206" w14:textId="77777777" w:rsidR="00E0291F" w:rsidRPr="00985E46" w:rsidRDefault="00E0291F" w:rsidP="00304E98">
            <w:pPr>
              <w:pStyle w:val="TableBodyText"/>
              <w:spacing w:before="20"/>
              <w:jc w:val="center"/>
              <w:rPr>
                <w:sz w:val="16"/>
                <w:szCs w:val="16"/>
                <w:lang w:eastAsia="fr-CA"/>
              </w:rPr>
            </w:pPr>
            <w:r w:rsidRPr="00985E46">
              <w:rPr>
                <w:sz w:val="16"/>
                <w:szCs w:val="16"/>
                <w:lang w:eastAsia="fr-CA"/>
              </w:rPr>
              <w:t>$-</w:t>
            </w:r>
          </w:p>
        </w:tc>
        <w:tc>
          <w:tcPr>
            <w:tcW w:w="625" w:type="pct"/>
          </w:tcPr>
          <w:p w14:paraId="18BCB046" w14:textId="77777777" w:rsidR="00E0291F" w:rsidRPr="00985E46" w:rsidRDefault="00E0291F" w:rsidP="00304E98">
            <w:pPr>
              <w:pStyle w:val="TableBodyText"/>
              <w:spacing w:before="20"/>
              <w:jc w:val="center"/>
              <w:rPr>
                <w:sz w:val="16"/>
                <w:szCs w:val="16"/>
                <w:lang w:eastAsia="fr-CA"/>
              </w:rPr>
            </w:pPr>
            <w:r w:rsidRPr="00985E46">
              <w:rPr>
                <w:sz w:val="16"/>
                <w:szCs w:val="16"/>
                <w:lang w:eastAsia="fr-CA"/>
              </w:rPr>
              <w:t>$-</w:t>
            </w:r>
          </w:p>
        </w:tc>
        <w:tc>
          <w:tcPr>
            <w:tcW w:w="703" w:type="pct"/>
          </w:tcPr>
          <w:p w14:paraId="19C33D15" w14:textId="77777777" w:rsidR="00E0291F" w:rsidRPr="00985E46" w:rsidRDefault="00E0291F" w:rsidP="00304E98">
            <w:pPr>
              <w:pStyle w:val="TableBodyText"/>
              <w:spacing w:before="20"/>
              <w:jc w:val="center"/>
              <w:rPr>
                <w:sz w:val="16"/>
                <w:szCs w:val="16"/>
                <w:lang w:eastAsia="fr-CA"/>
              </w:rPr>
            </w:pPr>
            <w:r w:rsidRPr="00985E46">
              <w:rPr>
                <w:sz w:val="16"/>
                <w:szCs w:val="16"/>
                <w:lang w:eastAsia="fr-CA"/>
              </w:rPr>
              <w:t>$-</w:t>
            </w:r>
          </w:p>
        </w:tc>
        <w:tc>
          <w:tcPr>
            <w:tcW w:w="702" w:type="pct"/>
          </w:tcPr>
          <w:p w14:paraId="720B0553" w14:textId="77777777" w:rsidR="00E0291F" w:rsidRPr="00985E46" w:rsidRDefault="00E0291F" w:rsidP="00304E98">
            <w:pPr>
              <w:pStyle w:val="TableBodyText"/>
              <w:spacing w:before="20"/>
              <w:jc w:val="center"/>
              <w:rPr>
                <w:sz w:val="16"/>
                <w:szCs w:val="16"/>
                <w:lang w:eastAsia="fr-CA"/>
              </w:rPr>
            </w:pPr>
            <w:r w:rsidRPr="00985E46">
              <w:rPr>
                <w:sz w:val="16"/>
                <w:szCs w:val="16"/>
                <w:lang w:eastAsia="fr-CA"/>
              </w:rPr>
              <w:t>$-</w:t>
            </w:r>
          </w:p>
        </w:tc>
      </w:tr>
    </w:tbl>
    <w:p w14:paraId="1FFFEC73" w14:textId="4AAF2C27" w:rsidR="00E37F71" w:rsidRDefault="00855F85" w:rsidP="00BB2E09">
      <w:pPr>
        <w:pStyle w:val="BodyText"/>
        <w:keepNext/>
        <w:spacing w:before="0" w:after="0"/>
        <w:rPr>
          <w:sz w:val="16"/>
          <w:szCs w:val="16"/>
        </w:rPr>
      </w:pPr>
      <w:r w:rsidRPr="00855F85">
        <w:rPr>
          <w:sz w:val="16"/>
          <w:szCs w:val="16"/>
        </w:rPr>
        <w:t>Source: PwC based on OBPR CRBM tool</w:t>
      </w:r>
      <w:r w:rsidRPr="00855F85">
        <w:rPr>
          <w:sz w:val="16"/>
          <w:szCs w:val="16"/>
        </w:rPr>
        <w:br/>
        <w:t>Note</w:t>
      </w:r>
      <w:r>
        <w:rPr>
          <w:sz w:val="16"/>
          <w:szCs w:val="16"/>
        </w:rPr>
        <w:t>s</w:t>
      </w:r>
      <w:r w:rsidRPr="00855F85">
        <w:rPr>
          <w:sz w:val="16"/>
          <w:szCs w:val="16"/>
        </w:rPr>
        <w:t xml:space="preserve">: </w:t>
      </w:r>
      <w:r w:rsidR="008902D1">
        <w:rPr>
          <w:sz w:val="16"/>
          <w:szCs w:val="16"/>
        </w:rPr>
        <w:br/>
        <w:t xml:space="preserve">1. </w:t>
      </w:r>
      <w:r w:rsidRPr="00855F85">
        <w:rPr>
          <w:sz w:val="16"/>
          <w:szCs w:val="16"/>
        </w:rPr>
        <w:t xml:space="preserve">Scenario 1 has been used for the CRBM analysis as that represents the higher bound of the regulatory burden. </w:t>
      </w:r>
      <w:r>
        <w:rPr>
          <w:sz w:val="16"/>
          <w:szCs w:val="16"/>
        </w:rPr>
        <w:br/>
      </w:r>
      <w:r w:rsidR="008902D1">
        <w:rPr>
          <w:sz w:val="16"/>
          <w:szCs w:val="16"/>
        </w:rPr>
        <w:t xml:space="preserve">2. </w:t>
      </w:r>
      <w:r w:rsidRPr="00855F85">
        <w:rPr>
          <w:sz w:val="16"/>
          <w:szCs w:val="16"/>
        </w:rPr>
        <w:t xml:space="preserve">The number of businesses </w:t>
      </w:r>
      <w:r w:rsidRPr="006A720D">
        <w:rPr>
          <w:sz w:val="16"/>
          <w:szCs w:val="16"/>
        </w:rPr>
        <w:t xml:space="preserve">impacted under different options may differ based on the indicative shift of pipelines across forms of regulation as described in </w:t>
      </w:r>
      <w:r w:rsidR="006A720D" w:rsidRPr="006A720D">
        <w:rPr>
          <w:sz w:val="16"/>
          <w:szCs w:val="16"/>
        </w:rPr>
        <w:fldChar w:fldCharType="begin" w:fldLock="1"/>
      </w:r>
      <w:r w:rsidR="006A720D" w:rsidRPr="006A720D">
        <w:rPr>
          <w:sz w:val="16"/>
          <w:szCs w:val="16"/>
        </w:rPr>
        <w:instrText xml:space="preserve"> REF _Ref50033903 \h </w:instrText>
      </w:r>
      <w:r w:rsidR="006A720D">
        <w:rPr>
          <w:sz w:val="16"/>
          <w:szCs w:val="16"/>
        </w:rPr>
        <w:instrText xml:space="preserve"> \* MERGEFORMAT </w:instrText>
      </w:r>
      <w:r w:rsidR="006A720D" w:rsidRPr="006A720D">
        <w:rPr>
          <w:sz w:val="16"/>
          <w:szCs w:val="16"/>
        </w:rPr>
      </w:r>
      <w:r w:rsidR="006A720D" w:rsidRPr="006A720D">
        <w:rPr>
          <w:sz w:val="16"/>
          <w:szCs w:val="16"/>
        </w:rPr>
        <w:fldChar w:fldCharType="separate"/>
      </w:r>
      <w:r w:rsidR="00036405" w:rsidRPr="00036405">
        <w:rPr>
          <w:sz w:val="16"/>
          <w:szCs w:val="16"/>
        </w:rPr>
        <w:t xml:space="preserve">Table </w:t>
      </w:r>
      <w:r w:rsidR="00036405" w:rsidRPr="00036405">
        <w:rPr>
          <w:noProof/>
          <w:sz w:val="16"/>
          <w:szCs w:val="16"/>
        </w:rPr>
        <w:t>9.3</w:t>
      </w:r>
      <w:r w:rsidR="006A720D" w:rsidRPr="006A720D">
        <w:rPr>
          <w:sz w:val="16"/>
          <w:szCs w:val="16"/>
        </w:rPr>
        <w:fldChar w:fldCharType="end"/>
      </w:r>
      <w:r w:rsidRPr="006A720D">
        <w:rPr>
          <w:sz w:val="16"/>
          <w:szCs w:val="16"/>
        </w:rPr>
        <w:t xml:space="preserve">. </w:t>
      </w:r>
      <w:r w:rsidR="008902D1" w:rsidRPr="006A720D">
        <w:rPr>
          <w:sz w:val="16"/>
          <w:szCs w:val="16"/>
        </w:rPr>
        <w:br/>
      </w:r>
      <w:r w:rsidR="00E0291F" w:rsidRPr="006A720D">
        <w:rPr>
          <w:sz w:val="16"/>
          <w:szCs w:val="16"/>
        </w:rPr>
        <w:t xml:space="preserve">3. </w:t>
      </w:r>
      <w:r w:rsidRPr="006A720D">
        <w:rPr>
          <w:sz w:val="16"/>
          <w:szCs w:val="16"/>
        </w:rPr>
        <w:t>Businesses incur both start-up costs and ongoing</w:t>
      </w:r>
      <w:r w:rsidRPr="00855F85">
        <w:rPr>
          <w:sz w:val="16"/>
          <w:szCs w:val="16"/>
        </w:rPr>
        <w:t xml:space="preserve"> compliance costs in the first year only but only the ongoing compliance costs occur annually. (i.e. for Option 2, costs to business for the first year are $17.</w:t>
      </w:r>
      <w:r w:rsidR="0099659F">
        <w:rPr>
          <w:sz w:val="16"/>
          <w:szCs w:val="16"/>
        </w:rPr>
        <w:t>5</w:t>
      </w:r>
      <w:r w:rsidRPr="00855F85">
        <w:rPr>
          <w:sz w:val="16"/>
          <w:szCs w:val="16"/>
        </w:rPr>
        <w:t>5, and $7.</w:t>
      </w:r>
      <w:r w:rsidR="0099659F">
        <w:rPr>
          <w:sz w:val="16"/>
          <w:szCs w:val="16"/>
        </w:rPr>
        <w:t>2</w:t>
      </w:r>
      <w:r w:rsidRPr="00855F85">
        <w:rPr>
          <w:sz w:val="16"/>
          <w:szCs w:val="16"/>
        </w:rPr>
        <w:t>0 for the following years)</w:t>
      </w:r>
      <w:r w:rsidR="00615621">
        <w:rPr>
          <w:sz w:val="16"/>
          <w:szCs w:val="16"/>
        </w:rPr>
        <w:t>.</w:t>
      </w:r>
    </w:p>
    <w:p w14:paraId="381EB6B8" w14:textId="77777777" w:rsidR="00C106CE" w:rsidRPr="00855F85" w:rsidRDefault="00C106CE" w:rsidP="00C106CE">
      <w:pPr>
        <w:pStyle w:val="BodyText"/>
        <w:spacing w:before="0" w:after="0"/>
        <w:rPr>
          <w:sz w:val="16"/>
          <w:szCs w:val="16"/>
          <w:lang w:eastAsia="fr-CA"/>
        </w:rPr>
      </w:pPr>
    </w:p>
    <w:p w14:paraId="0D547A80" w14:textId="67AA2693" w:rsidR="00815F49" w:rsidRDefault="00C5226A" w:rsidP="005567C0">
      <w:pPr>
        <w:pStyle w:val="BodyText"/>
      </w:pPr>
      <w:r>
        <w:lastRenderedPageBreak/>
        <w:t xml:space="preserve">As this table shows, </w:t>
      </w:r>
      <w:r w:rsidR="00960CDC">
        <w:t xml:space="preserve">Option 2 </w:t>
      </w:r>
      <w:r w:rsidR="00B026BB">
        <w:t xml:space="preserve">is expected </w:t>
      </w:r>
      <w:r w:rsidR="009C537C">
        <w:t xml:space="preserve">to impose </w:t>
      </w:r>
      <w:r w:rsidR="00EC33CE">
        <w:t xml:space="preserve">the lowest </w:t>
      </w:r>
      <w:r w:rsidR="00960CDC">
        <w:t xml:space="preserve">regulatory </w:t>
      </w:r>
      <w:r w:rsidR="009C537C">
        <w:t xml:space="preserve">burden </w:t>
      </w:r>
      <w:r w:rsidR="00960CDC">
        <w:t>on service providers and shippers</w:t>
      </w:r>
      <w:r w:rsidR="00493D0C">
        <w:t>,</w:t>
      </w:r>
      <w:r w:rsidR="0029272E">
        <w:t xml:space="preserve"> </w:t>
      </w:r>
      <w:r w:rsidR="00544B65">
        <w:t xml:space="preserve">followed </w:t>
      </w:r>
      <w:r w:rsidR="003B2049">
        <w:t xml:space="preserve">in ascending order </w:t>
      </w:r>
      <w:r w:rsidR="00544B65">
        <w:t xml:space="preserve">by Option 3A, Option 3B and Option 4. </w:t>
      </w:r>
      <w:r w:rsidR="00FF5C3C">
        <w:t xml:space="preserve">The regulatory burden is </w:t>
      </w:r>
      <w:r w:rsidR="00021788">
        <w:t>estimated</w:t>
      </w:r>
      <w:r w:rsidR="00FF5C3C">
        <w:t xml:space="preserve"> to be the lowest under </w:t>
      </w:r>
      <w:r w:rsidR="0009285B">
        <w:t>Option 2</w:t>
      </w:r>
      <w:r w:rsidR="00FF5C3C">
        <w:t xml:space="preserve">, </w:t>
      </w:r>
      <w:r w:rsidR="002146FC">
        <w:t xml:space="preserve">because </w:t>
      </w:r>
      <w:r w:rsidR="00493D0C">
        <w:t xml:space="preserve">fewer pipelines are expected to be subject </w:t>
      </w:r>
      <w:r w:rsidR="002146FC">
        <w:t>to regulation</w:t>
      </w:r>
      <w:r w:rsidR="00021788">
        <w:t xml:space="preserve"> </w:t>
      </w:r>
      <w:r w:rsidR="00493D0C">
        <w:t xml:space="preserve">under this option </w:t>
      </w:r>
      <w:r w:rsidR="00021788">
        <w:t xml:space="preserve">(see </w:t>
      </w:r>
      <w:r w:rsidR="00B7055B">
        <w:rPr>
          <w:highlight w:val="yellow"/>
        </w:rPr>
        <w:fldChar w:fldCharType="begin" w:fldLock="1"/>
      </w:r>
      <w:r w:rsidR="00B7055B">
        <w:instrText xml:space="preserve"> REF _Ref50033903 \h </w:instrText>
      </w:r>
      <w:r w:rsidR="00B7055B">
        <w:rPr>
          <w:highlight w:val="yellow"/>
        </w:rPr>
      </w:r>
      <w:r w:rsidR="00B7055B">
        <w:rPr>
          <w:highlight w:val="yellow"/>
        </w:rPr>
        <w:fldChar w:fldCharType="separate"/>
      </w:r>
      <w:r w:rsidR="00036405">
        <w:t xml:space="preserve">Table </w:t>
      </w:r>
      <w:r w:rsidR="00036405">
        <w:rPr>
          <w:noProof/>
        </w:rPr>
        <w:t>9</w:t>
      </w:r>
      <w:r w:rsidR="00036405">
        <w:t>.</w:t>
      </w:r>
      <w:r w:rsidR="00036405">
        <w:rPr>
          <w:noProof/>
        </w:rPr>
        <w:t>3</w:t>
      </w:r>
      <w:r w:rsidR="00B7055B">
        <w:rPr>
          <w:highlight w:val="yellow"/>
        </w:rPr>
        <w:fldChar w:fldCharType="end"/>
      </w:r>
      <w:r w:rsidR="00021788">
        <w:t>)</w:t>
      </w:r>
      <w:r w:rsidR="005567C0">
        <w:t xml:space="preserve"> and </w:t>
      </w:r>
      <w:r w:rsidR="00B16ACE">
        <w:t xml:space="preserve">the </w:t>
      </w:r>
      <w:r w:rsidR="00593E31">
        <w:t xml:space="preserve">improvements to </w:t>
      </w:r>
      <w:r w:rsidR="00B16ACE">
        <w:t xml:space="preserve">information disclosure </w:t>
      </w:r>
      <w:r w:rsidR="00257332">
        <w:t xml:space="preserve">are not as significant </w:t>
      </w:r>
      <w:r w:rsidR="00A2434D">
        <w:t xml:space="preserve">under Option 2 </w:t>
      </w:r>
      <w:r w:rsidR="0069529F">
        <w:t xml:space="preserve">as they are under the other </w:t>
      </w:r>
      <w:r w:rsidR="00636B5C">
        <w:t xml:space="preserve">three </w:t>
      </w:r>
      <w:r w:rsidR="0069529F">
        <w:t>options</w:t>
      </w:r>
      <w:r w:rsidR="00636B5C">
        <w:t xml:space="preserve">. </w:t>
      </w:r>
    </w:p>
    <w:p w14:paraId="7CEC492D" w14:textId="77777777" w:rsidR="00BF1133" w:rsidRDefault="00CB4462" w:rsidP="005567C0">
      <w:pPr>
        <w:pStyle w:val="BodyText"/>
      </w:pPr>
      <w:r>
        <w:t xml:space="preserve">When compared with </w:t>
      </w:r>
      <w:r w:rsidR="00D842C7">
        <w:t xml:space="preserve">the other options, </w:t>
      </w:r>
      <w:r>
        <w:t xml:space="preserve">the </w:t>
      </w:r>
      <w:r w:rsidR="001C3C10">
        <w:t xml:space="preserve">cost to businesses under </w:t>
      </w:r>
      <w:r w:rsidR="008604F1">
        <w:t>O</w:t>
      </w:r>
      <w:r w:rsidR="00E25D4B">
        <w:t xml:space="preserve">ption 2 </w:t>
      </w:r>
      <w:r w:rsidR="008604F1">
        <w:t xml:space="preserve">is estimated to be marginally lower than </w:t>
      </w:r>
      <w:r w:rsidR="00574B87">
        <w:t xml:space="preserve">what </w:t>
      </w:r>
      <w:r w:rsidR="008604F1">
        <w:t xml:space="preserve">it </w:t>
      </w:r>
      <w:r w:rsidR="00574B87">
        <w:t xml:space="preserve">would </w:t>
      </w:r>
      <w:r w:rsidR="00271CD9">
        <w:t xml:space="preserve">be </w:t>
      </w:r>
      <w:r w:rsidR="008604F1">
        <w:t xml:space="preserve">under Option </w:t>
      </w:r>
      <w:r w:rsidR="00E25D4B">
        <w:t>3A</w:t>
      </w:r>
      <w:r w:rsidR="00D842C7">
        <w:t xml:space="preserve">. </w:t>
      </w:r>
      <w:r w:rsidR="00544263">
        <w:t>The difference</w:t>
      </w:r>
      <w:r w:rsidR="00271CD9">
        <w:t xml:space="preserve"> is more material though </w:t>
      </w:r>
      <w:r w:rsidR="0081559C">
        <w:t xml:space="preserve">under </w:t>
      </w:r>
      <w:r w:rsidR="00625898">
        <w:t>o</w:t>
      </w:r>
      <w:r w:rsidR="0081559C">
        <w:t>ptions 3B and 4</w:t>
      </w:r>
      <w:r w:rsidR="00A2434D">
        <w:t>, because</w:t>
      </w:r>
      <w:r w:rsidR="00BF1133">
        <w:t>:</w:t>
      </w:r>
      <w:r w:rsidR="00A2434D">
        <w:t xml:space="preserve"> </w:t>
      </w:r>
    </w:p>
    <w:p w14:paraId="0FC04AE5" w14:textId="77777777" w:rsidR="00BF1133" w:rsidRDefault="00A2434D" w:rsidP="00AD36B8">
      <w:pPr>
        <w:pStyle w:val="ListBullet"/>
      </w:pPr>
      <w:r>
        <w:t>a greater number of pipelines are expected to be subject to regulation under these two options</w:t>
      </w:r>
      <w:r w:rsidR="00BF1133">
        <w:t>;</w:t>
      </w:r>
      <w:r>
        <w:t xml:space="preserve"> and</w:t>
      </w:r>
    </w:p>
    <w:p w14:paraId="5F05FD4B" w14:textId="77777777" w:rsidR="005567C0" w:rsidRDefault="00A2434D" w:rsidP="00AD36B8">
      <w:pPr>
        <w:pStyle w:val="ListBullet"/>
      </w:pPr>
      <w:r>
        <w:t xml:space="preserve">in the case of Option 4, </w:t>
      </w:r>
      <w:r w:rsidR="00815F49">
        <w:t xml:space="preserve">the </w:t>
      </w:r>
      <w:r w:rsidR="00531979">
        <w:t>stronger</w:t>
      </w:r>
      <w:r w:rsidR="00815F49">
        <w:t xml:space="preserve"> form of regulation </w:t>
      </w:r>
      <w:r w:rsidR="00EA17C1">
        <w:t>would</w:t>
      </w:r>
      <w:r w:rsidR="00815F49">
        <w:t xml:space="preserve"> move to direct price control, which is expected to give rise to additional compliance costs</w:t>
      </w:r>
      <w:r w:rsidR="003B2049">
        <w:t xml:space="preserve"> for service providers</w:t>
      </w:r>
      <w:r w:rsidR="0081559C">
        <w:t>.</w:t>
      </w:r>
    </w:p>
    <w:p w14:paraId="03D318BE" w14:textId="0656CF71" w:rsidR="00501ADE" w:rsidRDefault="00501ADE" w:rsidP="00501ADE">
      <w:pPr>
        <w:pStyle w:val="BodyText"/>
      </w:pPr>
      <w:r>
        <w:rPr>
          <w:rStyle w:val="Hyperlink"/>
          <w:u w:val="none"/>
        </w:rPr>
        <w:t xml:space="preserve">For the purposes of the comparative assessment set out </w:t>
      </w:r>
      <w:r w:rsidR="003528CD">
        <w:rPr>
          <w:rStyle w:val="Hyperlink"/>
          <w:u w:val="none"/>
        </w:rPr>
        <w:t xml:space="preserve">in </w:t>
      </w:r>
      <w:r>
        <w:rPr>
          <w:rStyle w:val="Hyperlink"/>
          <w:u w:val="none"/>
        </w:rPr>
        <w:t xml:space="preserve">section </w:t>
      </w:r>
      <w:r>
        <w:rPr>
          <w:rStyle w:val="Hyperlink"/>
          <w:u w:val="none"/>
        </w:rPr>
        <w:fldChar w:fldCharType="begin" w:fldLock="1"/>
      </w:r>
      <w:r>
        <w:rPr>
          <w:rStyle w:val="Hyperlink"/>
          <w:u w:val="none"/>
        </w:rPr>
        <w:instrText xml:space="preserve"> REF _Ref50367084 \r \h </w:instrText>
      </w:r>
      <w:r>
        <w:rPr>
          <w:rStyle w:val="Hyperlink"/>
          <w:u w:val="none"/>
        </w:rPr>
      </w:r>
      <w:r>
        <w:rPr>
          <w:rStyle w:val="Hyperlink"/>
          <w:u w:val="none"/>
        </w:rPr>
        <w:fldChar w:fldCharType="separate"/>
      </w:r>
      <w:r w:rsidR="00036405">
        <w:rPr>
          <w:rStyle w:val="Hyperlink"/>
          <w:u w:val="none"/>
        </w:rPr>
        <w:t>9.5</w:t>
      </w:r>
      <w:r>
        <w:rPr>
          <w:rStyle w:val="Hyperlink"/>
          <w:u w:val="none"/>
        </w:rPr>
        <w:fldChar w:fldCharType="end"/>
      </w:r>
      <w:r>
        <w:rPr>
          <w:rStyle w:val="Hyperlink"/>
          <w:u w:val="none"/>
        </w:rPr>
        <w:t xml:space="preserve">, Option 1 </w:t>
      </w:r>
      <w:r w:rsidR="00D611D7">
        <w:rPr>
          <w:rStyle w:val="Hyperlink"/>
          <w:u w:val="none"/>
        </w:rPr>
        <w:t xml:space="preserve">is </w:t>
      </w:r>
      <w:r>
        <w:rPr>
          <w:rStyle w:val="Hyperlink"/>
          <w:u w:val="none"/>
        </w:rPr>
        <w:t xml:space="preserve">ranked 1, Option 2 </w:t>
      </w:r>
      <w:r w:rsidR="003F2D5F">
        <w:rPr>
          <w:rStyle w:val="Hyperlink"/>
          <w:u w:val="none"/>
        </w:rPr>
        <w:t xml:space="preserve">is </w:t>
      </w:r>
      <w:r>
        <w:rPr>
          <w:rStyle w:val="Hyperlink"/>
          <w:u w:val="none"/>
        </w:rPr>
        <w:t xml:space="preserve">ranked 2, Option </w:t>
      </w:r>
      <w:r w:rsidR="003F2D5F">
        <w:rPr>
          <w:rStyle w:val="Hyperlink"/>
          <w:u w:val="none"/>
        </w:rPr>
        <w:t xml:space="preserve">3A is ranked 3, Option 3B is ranked 4 and Option </w:t>
      </w:r>
      <w:r w:rsidR="00406222">
        <w:rPr>
          <w:rStyle w:val="Hyperlink"/>
          <w:u w:val="none"/>
        </w:rPr>
        <w:t xml:space="preserve">4 is ranked </w:t>
      </w:r>
      <w:r>
        <w:rPr>
          <w:rStyle w:val="Hyperlink"/>
          <w:u w:val="none"/>
        </w:rPr>
        <w:t xml:space="preserve">5. </w:t>
      </w:r>
      <w:r w:rsidRPr="003C36EE">
        <w:rPr>
          <w:rStyle w:val="Hyperlink"/>
          <w:u w:val="none"/>
        </w:rPr>
        <w:t xml:space="preserve"> </w:t>
      </w:r>
    </w:p>
    <w:p w14:paraId="5468D31D" w14:textId="77777777" w:rsidR="005F1DF9" w:rsidRDefault="005F1DF9" w:rsidP="002D2271">
      <w:pPr>
        <w:pStyle w:val="Heading2"/>
      </w:pPr>
      <w:bookmarkStart w:id="219" w:name="_Toc32488653"/>
      <w:bookmarkStart w:id="220" w:name="_Ref50302381"/>
      <w:bookmarkStart w:id="221" w:name="_Toc62219431"/>
      <w:r>
        <w:t>Competitive effects analysis</w:t>
      </w:r>
      <w:bookmarkEnd w:id="219"/>
      <w:bookmarkEnd w:id="220"/>
      <w:bookmarkEnd w:id="221"/>
      <w:r>
        <w:t xml:space="preserve"> </w:t>
      </w:r>
    </w:p>
    <w:p w14:paraId="5477F22D" w14:textId="77777777" w:rsidR="00753D76" w:rsidRDefault="00753D76" w:rsidP="00753D76">
      <w:pPr>
        <w:pStyle w:val="Heading3"/>
      </w:pPr>
      <w:r>
        <w:t xml:space="preserve">What </w:t>
      </w:r>
      <w:r w:rsidR="00E03A9C">
        <w:t xml:space="preserve">is the purpose of </w:t>
      </w:r>
      <w:r>
        <w:t>the CEA?</w:t>
      </w:r>
    </w:p>
    <w:p w14:paraId="18927EBE" w14:textId="77777777" w:rsidR="00FB3B0C" w:rsidRDefault="00FB3B0C" w:rsidP="00FB3B0C">
      <w:pPr>
        <w:pStyle w:val="BodyText"/>
      </w:pPr>
      <w:r>
        <w:t xml:space="preserve">In addition to the risk analysis, CBA and CRBM analysis, the </w:t>
      </w:r>
      <w:r w:rsidRPr="0084068B">
        <w:rPr>
          <w:i/>
          <w:iCs/>
        </w:rPr>
        <w:t>Best Practice Regulation Guide</w:t>
      </w:r>
      <w:r>
        <w:t xml:space="preserve"> requires an assessment to be undertaken of the effects of </w:t>
      </w:r>
      <w:r w:rsidR="00F67BC2">
        <w:t>the reform options</w:t>
      </w:r>
      <w:r>
        <w:t xml:space="preserve"> on competition in relevant markets. </w:t>
      </w:r>
    </w:p>
    <w:p w14:paraId="4715030F" w14:textId="38DFA562" w:rsidR="003B2049" w:rsidRDefault="00E37A50" w:rsidP="005479CE">
      <w:pPr>
        <w:pStyle w:val="BodyText"/>
      </w:pPr>
      <w:r>
        <w:t>The purpose of this analysis is</w:t>
      </w:r>
      <w:r w:rsidR="005479CE">
        <w:t xml:space="preserve">, as noted in the </w:t>
      </w:r>
      <w:r w:rsidR="00FB3B0C">
        <w:t xml:space="preserve">OBPR’s </w:t>
      </w:r>
      <w:r w:rsidR="00FB3B0C" w:rsidRPr="006B4639">
        <w:rPr>
          <w:rStyle w:val="EmphasisItalics"/>
        </w:rPr>
        <w:t>Competition and regulation guidance note</w:t>
      </w:r>
      <w:r w:rsidR="005479CE">
        <w:rPr>
          <w:i/>
        </w:rPr>
        <w:t>,</w:t>
      </w:r>
      <w:r w:rsidR="00370905">
        <w:rPr>
          <w:rFonts w:ascii="ZWAdobeF" w:hAnsi="ZWAdobeF" w:cs="ZWAdobeF"/>
          <w:sz w:val="2"/>
          <w:szCs w:val="2"/>
        </w:rPr>
        <w:t>214F</w:t>
      </w:r>
      <w:r w:rsidR="00FB3B0C">
        <w:rPr>
          <w:rStyle w:val="FootnoteReference"/>
          <w:i/>
        </w:rPr>
        <w:footnoteReference w:id="216"/>
      </w:r>
      <w:r w:rsidR="00FB3B0C" w:rsidRPr="006B4639">
        <w:t xml:space="preserve"> </w:t>
      </w:r>
      <w:r w:rsidR="005479CE">
        <w:t xml:space="preserve">to </w:t>
      </w:r>
      <w:r w:rsidR="00FB3B0C">
        <w:t xml:space="preserve">determine whether a policy option will restrict competition and, if so, whether there are feasible options that would not do so. </w:t>
      </w:r>
    </w:p>
    <w:p w14:paraId="0C232D98" w14:textId="77777777" w:rsidR="003B2049" w:rsidRDefault="003B2049" w:rsidP="003B2049">
      <w:pPr>
        <w:pStyle w:val="Heading3"/>
      </w:pPr>
      <w:r>
        <w:t>How has the CEA been conducted?</w:t>
      </w:r>
    </w:p>
    <w:p w14:paraId="3C98DD36" w14:textId="76D8787D" w:rsidR="00FB3B0C" w:rsidRDefault="0033155C" w:rsidP="005479CE">
      <w:pPr>
        <w:pStyle w:val="BodyText"/>
      </w:pPr>
      <w:r>
        <w:t>As the OBPR notes</w:t>
      </w:r>
      <w:r w:rsidR="004B13B1">
        <w:t xml:space="preserve"> in its </w:t>
      </w:r>
      <w:r w:rsidR="004B13B1" w:rsidRPr="006B4639">
        <w:rPr>
          <w:rStyle w:val="EmphasisItalics"/>
        </w:rPr>
        <w:t>Competition and regulation guidance note</w:t>
      </w:r>
      <w:r>
        <w:t>, a</w:t>
      </w:r>
      <w:r w:rsidR="00FB3B0C">
        <w:t>n option could</w:t>
      </w:r>
      <w:r>
        <w:t xml:space="preserve"> </w:t>
      </w:r>
      <w:r w:rsidR="00FB3B0C">
        <w:t>restrict competition if it:</w:t>
      </w:r>
      <w:r w:rsidR="00FB3B0C" w:rsidRPr="00EF7F41">
        <w:rPr>
          <w:rStyle w:val="FootnoteReference"/>
        </w:rPr>
        <w:t xml:space="preserve"> </w:t>
      </w:r>
      <w:r w:rsidR="00370905">
        <w:rPr>
          <w:rFonts w:ascii="ZWAdobeF" w:hAnsi="ZWAdobeF" w:cs="ZWAdobeF"/>
          <w:sz w:val="2"/>
          <w:szCs w:val="2"/>
        </w:rPr>
        <w:t>215F</w:t>
      </w:r>
      <w:r w:rsidR="00FB3B0C">
        <w:rPr>
          <w:rStyle w:val="FootnoteReference"/>
        </w:rPr>
        <w:footnoteReference w:id="217"/>
      </w:r>
    </w:p>
    <w:p w14:paraId="4F6B34E9" w14:textId="77777777" w:rsidR="00FB3B0C" w:rsidRDefault="0059235B" w:rsidP="00AD36B8">
      <w:pPr>
        <w:pStyle w:val="ListBullet"/>
        <w:rPr>
          <w:rFonts w:ascii="Symbol" w:hAnsi="Symbol"/>
        </w:rPr>
      </w:pPr>
      <w:r>
        <w:t>l</w:t>
      </w:r>
      <w:r w:rsidR="00FB3B0C">
        <w:t xml:space="preserve">imits the number or </w:t>
      </w:r>
      <w:r w:rsidR="00C9549C">
        <w:t>type</w:t>
      </w:r>
      <w:r w:rsidR="00FB3B0C">
        <w:t xml:space="preserve"> of businesses</w:t>
      </w:r>
      <w:r>
        <w:t>;</w:t>
      </w:r>
    </w:p>
    <w:p w14:paraId="5ED9B5BF" w14:textId="77777777" w:rsidR="00FB3B0C" w:rsidRDefault="0059235B" w:rsidP="00AD36B8">
      <w:pPr>
        <w:pStyle w:val="ListBullet"/>
        <w:rPr>
          <w:rFonts w:ascii="Symbol" w:hAnsi="Symbol"/>
        </w:rPr>
      </w:pPr>
      <w:r>
        <w:t>l</w:t>
      </w:r>
      <w:r w:rsidR="00FB3B0C">
        <w:t>imits the ability of businesses to compete</w:t>
      </w:r>
      <w:r>
        <w:t>;</w:t>
      </w:r>
    </w:p>
    <w:p w14:paraId="611E37D4" w14:textId="77777777" w:rsidR="00FB3B0C" w:rsidRDefault="0059235B" w:rsidP="00AD36B8">
      <w:pPr>
        <w:pStyle w:val="ListBullet"/>
        <w:rPr>
          <w:rFonts w:ascii="Symbol" w:hAnsi="Symbol"/>
        </w:rPr>
      </w:pPr>
      <w:r>
        <w:t>r</w:t>
      </w:r>
      <w:r w:rsidR="00FB3B0C">
        <w:t>educes the incentives for businesses to compete</w:t>
      </w:r>
      <w:r>
        <w:t>; and/or</w:t>
      </w:r>
    </w:p>
    <w:p w14:paraId="5F5098E1" w14:textId="77777777" w:rsidR="00FB3B0C" w:rsidRDefault="0059235B" w:rsidP="00AD36B8">
      <w:pPr>
        <w:pStyle w:val="ListBullet"/>
        <w:rPr>
          <w:rFonts w:ascii="Symbol" w:hAnsi="Symbol"/>
        </w:rPr>
      </w:pPr>
      <w:r>
        <w:t>l</w:t>
      </w:r>
      <w:r w:rsidR="00FB3B0C">
        <w:t>imits the choices and information available to consumers.</w:t>
      </w:r>
    </w:p>
    <w:p w14:paraId="3205D9EA" w14:textId="69935615" w:rsidR="007066FB" w:rsidRDefault="00FB3B0C" w:rsidP="007066FB">
      <w:pPr>
        <w:pStyle w:val="BodyText"/>
        <w:rPr>
          <w:rFonts w:ascii="Symbol" w:hAnsi="Symbol"/>
        </w:rPr>
      </w:pPr>
      <w:r>
        <w:t xml:space="preserve">Consideration has therefore been given to whether any of the proposed reform options would restrict competition </w:t>
      </w:r>
      <w:r w:rsidR="00F04905">
        <w:t>amongst service providers (existing and prospective)</w:t>
      </w:r>
      <w:r w:rsidR="00FF7C22">
        <w:t xml:space="preserve">, or </w:t>
      </w:r>
      <w:r w:rsidR="00BE5697">
        <w:t xml:space="preserve">in </w:t>
      </w:r>
      <w:r w:rsidR="00FF7C22">
        <w:t xml:space="preserve">related markets (i.e. </w:t>
      </w:r>
      <w:r>
        <w:t>upstream and downstream markets</w:t>
      </w:r>
      <w:r w:rsidR="00FF7C22">
        <w:t>)</w:t>
      </w:r>
      <w:r>
        <w:t xml:space="preserve">. </w:t>
      </w:r>
      <w:r w:rsidR="007066FB">
        <w:t xml:space="preserve">This has involved a qualitative </w:t>
      </w:r>
      <w:r w:rsidR="007066FB">
        <w:lastRenderedPageBreak/>
        <w:t>assessment of the competition implications of each reform option, having regard, where relevant to the OECD’s Competition Assessment Toolkit.</w:t>
      </w:r>
      <w:r w:rsidR="00370905">
        <w:rPr>
          <w:rFonts w:ascii="ZWAdobeF" w:hAnsi="ZWAdobeF" w:cs="ZWAdobeF"/>
          <w:sz w:val="2"/>
          <w:szCs w:val="2"/>
        </w:rPr>
        <w:t>216F</w:t>
      </w:r>
      <w:r w:rsidR="007066FB">
        <w:rPr>
          <w:rStyle w:val="FootnoteReference"/>
        </w:rPr>
        <w:footnoteReference w:id="218"/>
      </w:r>
      <w:r w:rsidR="007066FB">
        <w:t xml:space="preserve"> </w:t>
      </w:r>
    </w:p>
    <w:p w14:paraId="2585A83F" w14:textId="77777777" w:rsidR="00FB3B0C" w:rsidRDefault="007413AF" w:rsidP="00FB3B0C">
      <w:pPr>
        <w:pStyle w:val="BodyText"/>
      </w:pPr>
      <w:r>
        <w:t xml:space="preserve">An assessment of </w:t>
      </w:r>
      <w:r w:rsidR="0057092B">
        <w:t xml:space="preserve">the </w:t>
      </w:r>
      <w:r w:rsidR="00FB3B0C">
        <w:t>effect that each reform option would have on</w:t>
      </w:r>
      <w:r w:rsidR="004B13B1">
        <w:t xml:space="preserve"> the following competition related indicators for both service providers and participants in upstream and downstream markets</w:t>
      </w:r>
      <w:r w:rsidR="009A3957">
        <w:t xml:space="preserve"> has also been undertaken</w:t>
      </w:r>
      <w:r w:rsidR="00FB3B0C">
        <w:t>:</w:t>
      </w:r>
    </w:p>
    <w:p w14:paraId="1394423F" w14:textId="77777777" w:rsidR="009A5A10" w:rsidRDefault="009A5A10" w:rsidP="004F5A3E">
      <w:pPr>
        <w:pStyle w:val="ListBullet"/>
        <w:numPr>
          <w:ilvl w:val="0"/>
          <w:numId w:val="89"/>
        </w:numPr>
        <w:ind w:left="357" w:hanging="357"/>
        <w:rPr>
          <w:rFonts w:ascii="Symbol" w:hAnsi="Symbol"/>
        </w:rPr>
      </w:pPr>
      <w:r>
        <w:t xml:space="preserve">barriers to entry </w:t>
      </w:r>
      <w:r w:rsidR="00552D61">
        <w:t>for prospective services providers and participants in upstream or downstream markets;</w:t>
      </w:r>
    </w:p>
    <w:p w14:paraId="39BE17B2" w14:textId="77777777" w:rsidR="00FB3B0C" w:rsidRDefault="00FB3B0C" w:rsidP="004F5A3E">
      <w:pPr>
        <w:pStyle w:val="ListBullet"/>
        <w:numPr>
          <w:ilvl w:val="0"/>
          <w:numId w:val="89"/>
        </w:numPr>
        <w:ind w:left="357" w:hanging="357"/>
        <w:rPr>
          <w:rFonts w:ascii="Symbol" w:hAnsi="Symbol"/>
        </w:rPr>
      </w:pPr>
      <w:r>
        <w:t>the relative bargaining power of shippers and service providers;</w:t>
      </w:r>
      <w:r w:rsidR="007620AF">
        <w:t xml:space="preserve"> and</w:t>
      </w:r>
    </w:p>
    <w:p w14:paraId="4C9FD2F7" w14:textId="77777777" w:rsidR="00FB3B0C" w:rsidRDefault="00F33406" w:rsidP="004F5A3E">
      <w:pPr>
        <w:pStyle w:val="ListBullet"/>
        <w:numPr>
          <w:ilvl w:val="0"/>
          <w:numId w:val="89"/>
        </w:numPr>
        <w:ind w:left="357" w:hanging="357"/>
        <w:rPr>
          <w:rFonts w:ascii="Symbol" w:hAnsi="Symbol"/>
        </w:rPr>
      </w:pPr>
      <w:r>
        <w:t xml:space="preserve">information </w:t>
      </w:r>
      <w:r w:rsidR="004B13B1">
        <w:t xml:space="preserve">asymmetries </w:t>
      </w:r>
      <w:r w:rsidR="00F26679">
        <w:t xml:space="preserve">and the </w:t>
      </w:r>
      <w:r w:rsidR="00FB3B0C">
        <w:t>search and transaction costs associated with contracting pipeline</w:t>
      </w:r>
      <w:r w:rsidR="00FB3B0C">
        <w:rPr>
          <w:spacing w:val="-1"/>
        </w:rPr>
        <w:t xml:space="preserve"> </w:t>
      </w:r>
      <w:r w:rsidR="00FB3B0C">
        <w:t>services</w:t>
      </w:r>
      <w:r w:rsidR="007620AF">
        <w:t>.</w:t>
      </w:r>
    </w:p>
    <w:p w14:paraId="2A6D3CA0" w14:textId="77777777" w:rsidR="00CF3790" w:rsidRDefault="00CF3790" w:rsidP="00CF3790">
      <w:pPr>
        <w:pStyle w:val="Heading3"/>
      </w:pPr>
      <w:r>
        <w:t>Results of the CEA</w:t>
      </w:r>
    </w:p>
    <w:p w14:paraId="3BBB995F" w14:textId="77777777" w:rsidR="004644BB" w:rsidRDefault="00701192" w:rsidP="002D2715">
      <w:pPr>
        <w:pStyle w:val="BodyText"/>
      </w:pPr>
      <w:r>
        <w:t xml:space="preserve">Before considering </w:t>
      </w:r>
      <w:r w:rsidR="004644BB">
        <w:t>whether any of the reform options would restrict competition, it is relevant to consider the intent of the four reform options.</w:t>
      </w:r>
    </w:p>
    <w:p w14:paraId="26F7A3C9" w14:textId="77777777" w:rsidR="0038328F" w:rsidRDefault="004644BB" w:rsidP="002D2715">
      <w:pPr>
        <w:pStyle w:val="BodyText"/>
      </w:pPr>
      <w:r>
        <w:t xml:space="preserve">As noted </w:t>
      </w:r>
      <w:r w:rsidR="00D10206">
        <w:t xml:space="preserve">throughout this </w:t>
      </w:r>
      <w:r w:rsidR="00903785">
        <w:t xml:space="preserve">Decision </w:t>
      </w:r>
      <w:r w:rsidR="00D10206">
        <w:t xml:space="preserve">RIS, the </w:t>
      </w:r>
      <w:r w:rsidR="002A1BFB">
        <w:t xml:space="preserve">intent of the </w:t>
      </w:r>
      <w:r w:rsidR="00B82479">
        <w:t xml:space="preserve">four </w:t>
      </w:r>
      <w:r w:rsidR="002D2715" w:rsidRPr="00C00780">
        <w:t xml:space="preserve">reform options </w:t>
      </w:r>
      <w:r w:rsidR="002A1BFB">
        <w:t>is</w:t>
      </w:r>
      <w:r w:rsidR="006117B2">
        <w:t xml:space="preserve"> </w:t>
      </w:r>
      <w:r w:rsidR="002D2715" w:rsidRPr="00C00780">
        <w:t xml:space="preserve">to pose more of a constraint on the exercise of market power by </w:t>
      </w:r>
      <w:r w:rsidR="00FD7686">
        <w:t>service providers</w:t>
      </w:r>
      <w:r w:rsidR="00922044">
        <w:t xml:space="preserve"> relative to the status quo</w:t>
      </w:r>
      <w:r w:rsidR="002D2715" w:rsidRPr="00C00780">
        <w:t>, with</w:t>
      </w:r>
      <w:r w:rsidR="0038328F">
        <w:t>:</w:t>
      </w:r>
      <w:r w:rsidR="001E79FF">
        <w:t xml:space="preserve"> </w:t>
      </w:r>
    </w:p>
    <w:p w14:paraId="05531A6F" w14:textId="77777777" w:rsidR="0038328F" w:rsidRDefault="002D2715" w:rsidP="00AD36B8">
      <w:pPr>
        <w:pStyle w:val="ListBullet"/>
      </w:pPr>
      <w:r w:rsidRPr="00C00780">
        <w:t>Option 2</w:t>
      </w:r>
      <w:r w:rsidR="00C662BD">
        <w:t xml:space="preserve"> </w:t>
      </w:r>
      <w:r w:rsidR="00922044">
        <w:t xml:space="preserve">focusing on </w:t>
      </w:r>
      <w:r w:rsidRPr="00C00780">
        <w:t>constrain</w:t>
      </w:r>
      <w:r w:rsidR="00922044">
        <w:t>ing</w:t>
      </w:r>
      <w:r w:rsidRPr="00C00780">
        <w:t xml:space="preserve"> exercises of static market power</w:t>
      </w:r>
      <w:r w:rsidR="0038328F">
        <w:t>; and</w:t>
      </w:r>
    </w:p>
    <w:p w14:paraId="6029C194" w14:textId="77777777" w:rsidR="001E5951" w:rsidRDefault="0038328F" w:rsidP="00AD36B8">
      <w:pPr>
        <w:pStyle w:val="ListBullet"/>
      </w:pPr>
      <w:r>
        <w:t>O</w:t>
      </w:r>
      <w:r w:rsidR="002D2715" w:rsidRPr="00C00780">
        <w:t xml:space="preserve">ptions </w:t>
      </w:r>
      <w:r w:rsidR="00FD7686">
        <w:t xml:space="preserve">3A, 3B and 4 </w:t>
      </w:r>
      <w:r w:rsidR="00922044">
        <w:t xml:space="preserve">focusing on </w:t>
      </w:r>
      <w:r w:rsidR="002D2715" w:rsidRPr="00C00780">
        <w:t>constrain</w:t>
      </w:r>
      <w:r w:rsidR="00922044">
        <w:t>ing</w:t>
      </w:r>
      <w:r w:rsidR="002D2715" w:rsidRPr="00C00780">
        <w:t xml:space="preserve"> exercises of both static and dynamic market power and </w:t>
      </w:r>
      <w:r w:rsidR="00922044">
        <w:t xml:space="preserve">facilitating </w:t>
      </w:r>
      <w:r w:rsidR="002D2715" w:rsidRPr="00C00780">
        <w:t xml:space="preserve">more competition for the development of new capacity. </w:t>
      </w:r>
    </w:p>
    <w:p w14:paraId="3CF43FE1" w14:textId="77777777" w:rsidR="002A56F2" w:rsidRDefault="00275A61" w:rsidP="0024092F">
      <w:pPr>
        <w:pStyle w:val="BodyText"/>
      </w:pPr>
      <w:r>
        <w:t xml:space="preserve">The reform </w:t>
      </w:r>
      <w:r w:rsidR="002D2715" w:rsidRPr="00C00780">
        <w:t xml:space="preserve">options </w:t>
      </w:r>
      <w:r>
        <w:t xml:space="preserve">are also, to varying extents, </w:t>
      </w:r>
      <w:r w:rsidR="002D2715" w:rsidRPr="00C00780">
        <w:t>intended to</w:t>
      </w:r>
      <w:r w:rsidR="002A56F2">
        <w:t>:</w:t>
      </w:r>
    </w:p>
    <w:p w14:paraId="014370E9" w14:textId="77777777" w:rsidR="006F4189" w:rsidRPr="006F4189" w:rsidRDefault="005024D5" w:rsidP="00AD36B8">
      <w:pPr>
        <w:pStyle w:val="ListBullet"/>
        <w:rPr>
          <w:rFonts w:ascii="Symbol" w:hAnsi="Symbol"/>
        </w:rPr>
      </w:pPr>
      <w:r>
        <w:t xml:space="preserve">reduce the barriers to entry </w:t>
      </w:r>
      <w:r w:rsidR="00ED0079">
        <w:t>that</w:t>
      </w:r>
      <w:r w:rsidR="006F4189">
        <w:t>:</w:t>
      </w:r>
    </w:p>
    <w:p w14:paraId="134F49C7" w14:textId="77777777" w:rsidR="005024D5" w:rsidRPr="008C3BAB" w:rsidRDefault="00ED0079" w:rsidP="00AD36B8">
      <w:pPr>
        <w:pStyle w:val="ListBullet2"/>
        <w:rPr>
          <w:rFonts w:ascii="Symbol" w:hAnsi="Symbol"/>
        </w:rPr>
      </w:pPr>
      <w:r w:rsidRPr="008C3BAB">
        <w:t>access to pipelines and the price and non-price terms and conditions of access may</w:t>
      </w:r>
      <w:r w:rsidR="00D769EB">
        <w:t xml:space="preserve"> otherwise</w:t>
      </w:r>
      <w:r w:rsidRPr="008C3BAB">
        <w:t xml:space="preserve"> pose </w:t>
      </w:r>
      <w:r w:rsidR="00D10206">
        <w:t xml:space="preserve">for participants seeking to compete </w:t>
      </w:r>
      <w:r w:rsidRPr="008C3BAB">
        <w:t xml:space="preserve">in </w:t>
      </w:r>
      <w:r w:rsidR="006F4189" w:rsidRPr="008C3BAB">
        <w:t xml:space="preserve">upstream and downstream </w:t>
      </w:r>
      <w:r w:rsidRPr="008C3BAB">
        <w:t>markets; and</w:t>
      </w:r>
    </w:p>
    <w:p w14:paraId="63CE146F" w14:textId="77777777" w:rsidR="006F4189" w:rsidRPr="008C3BAB" w:rsidRDefault="00542038" w:rsidP="00AD36B8">
      <w:pPr>
        <w:pStyle w:val="ListBullet2"/>
        <w:rPr>
          <w:rFonts w:ascii="Symbol" w:hAnsi="Symbol"/>
        </w:rPr>
      </w:pPr>
      <w:r>
        <w:t xml:space="preserve">exercises of dynamic market power by </w:t>
      </w:r>
      <w:r w:rsidR="00D769EB">
        <w:t xml:space="preserve">existing </w:t>
      </w:r>
      <w:r>
        <w:t xml:space="preserve">service providers may pose </w:t>
      </w:r>
      <w:r w:rsidR="00D423DF">
        <w:t xml:space="preserve">for </w:t>
      </w:r>
      <w:r w:rsidR="00D769EB">
        <w:t xml:space="preserve">prospective </w:t>
      </w:r>
      <w:r w:rsidR="00D423DF">
        <w:t xml:space="preserve">service providers </w:t>
      </w:r>
      <w:r w:rsidR="00506983">
        <w:t xml:space="preserve">seeking to </w:t>
      </w:r>
      <w:r w:rsidR="00D423DF">
        <w:t xml:space="preserve">compete </w:t>
      </w:r>
      <w:r w:rsidR="00A32EE4">
        <w:t xml:space="preserve">to develop </w:t>
      </w:r>
      <w:r w:rsidR="00D423DF">
        <w:t>new capacity</w:t>
      </w:r>
      <w:r w:rsidR="00D10206">
        <w:t xml:space="preserve"> (options 3A, 3B and 4)</w:t>
      </w:r>
      <w:r w:rsidR="000B69E9">
        <w:t>;</w:t>
      </w:r>
    </w:p>
    <w:p w14:paraId="73F2D40E" w14:textId="77777777" w:rsidR="005024D5" w:rsidRPr="00C00780" w:rsidRDefault="005024D5" w:rsidP="00AD36B8">
      <w:pPr>
        <w:pStyle w:val="ListBullet"/>
        <w:rPr>
          <w:rFonts w:ascii="Symbol" w:hAnsi="Symbol"/>
        </w:rPr>
      </w:pPr>
      <w:r w:rsidRPr="00C00780">
        <w:t>reduc</w:t>
      </w:r>
      <w:r>
        <w:t>e</w:t>
      </w:r>
      <w:r w:rsidRPr="00C00780">
        <w:t xml:space="preserve"> the information asymmetries </w:t>
      </w:r>
      <w:r>
        <w:t xml:space="preserve">and search and transaction costs that </w:t>
      </w:r>
      <w:r w:rsidRPr="00C00780">
        <w:t xml:space="preserve">shippers may otherwise face </w:t>
      </w:r>
      <w:r>
        <w:t>when trying to negotiate access</w:t>
      </w:r>
      <w:r w:rsidR="006F4189">
        <w:t>; and</w:t>
      </w:r>
    </w:p>
    <w:p w14:paraId="45BE0AA2" w14:textId="77777777" w:rsidR="005024D5" w:rsidRPr="008A552F" w:rsidRDefault="002D2715" w:rsidP="00AD36B8">
      <w:pPr>
        <w:pStyle w:val="ListBullet"/>
        <w:rPr>
          <w:rFonts w:ascii="Symbol" w:hAnsi="Symbol"/>
        </w:rPr>
      </w:pPr>
      <w:r w:rsidRPr="00C00780">
        <w:t xml:space="preserve">strengthen the bargaining power of shippers </w:t>
      </w:r>
      <w:r w:rsidR="00D10206" w:rsidRPr="00D10206">
        <w:rPr>
          <w:i/>
          <w:iCs/>
        </w:rPr>
        <w:t>vis-à-vis</w:t>
      </w:r>
      <w:r w:rsidR="00D10206">
        <w:t xml:space="preserve"> service providers </w:t>
      </w:r>
      <w:r w:rsidRPr="00C00780">
        <w:t xml:space="preserve">and support </w:t>
      </w:r>
      <w:r w:rsidR="00616E3E">
        <w:t xml:space="preserve">more </w:t>
      </w:r>
      <w:r w:rsidRPr="00C00780">
        <w:t>effective negotiation</w:t>
      </w:r>
      <w:r w:rsidR="00F56D31">
        <w:t>s with service providers</w:t>
      </w:r>
      <w:r w:rsidRPr="00C00780">
        <w:t xml:space="preserve"> and dispute resolution</w:t>
      </w:r>
      <w:r w:rsidRPr="00C00780">
        <w:rPr>
          <w:spacing w:val="-19"/>
        </w:rPr>
        <w:t xml:space="preserve"> </w:t>
      </w:r>
      <w:r w:rsidRPr="00C00780">
        <w:t>by</w:t>
      </w:r>
      <w:r w:rsidR="005024D5">
        <w:t xml:space="preserve"> </w:t>
      </w:r>
      <w:r w:rsidR="00985B62" w:rsidRPr="00C00780">
        <w:t>simplifying the negotiation framework</w:t>
      </w:r>
      <w:r w:rsidR="005024D5">
        <w:t xml:space="preserve"> and </w:t>
      </w:r>
      <w:r w:rsidR="005024D5" w:rsidRPr="00C00780">
        <w:t>strengthening the threat of arbitration</w:t>
      </w:r>
      <w:r w:rsidR="00073111">
        <w:t xml:space="preserve"> </w:t>
      </w:r>
      <w:r w:rsidR="005024D5" w:rsidRPr="00C00780">
        <w:t>by</w:t>
      </w:r>
      <w:r w:rsidR="005024D5" w:rsidRPr="00C00780">
        <w:rPr>
          <w:spacing w:val="-29"/>
        </w:rPr>
        <w:t xml:space="preserve"> </w:t>
      </w:r>
      <w:r w:rsidR="005024D5" w:rsidRPr="00C00780">
        <w:t>smaller shippers</w:t>
      </w:r>
      <w:r w:rsidR="00073111">
        <w:t xml:space="preserve"> and under the </w:t>
      </w:r>
      <w:r w:rsidR="00531979">
        <w:t>stronger</w:t>
      </w:r>
      <w:r w:rsidR="00073111">
        <w:t xml:space="preserve"> form of regulation</w:t>
      </w:r>
      <w:r w:rsidR="005024D5">
        <w:t>.</w:t>
      </w:r>
    </w:p>
    <w:p w14:paraId="26AAB1E9" w14:textId="1FC91355" w:rsidR="00767B8B" w:rsidRDefault="00AE1773" w:rsidP="00816920">
      <w:pPr>
        <w:pStyle w:val="BodyText"/>
      </w:pPr>
      <w:r>
        <w:t xml:space="preserve">As </w:t>
      </w:r>
      <w:r>
        <w:fldChar w:fldCharType="begin" w:fldLock="1"/>
      </w:r>
      <w:r>
        <w:instrText xml:space="preserve"> REF _Ref49966722 \h </w:instrText>
      </w:r>
      <w:r>
        <w:fldChar w:fldCharType="separate"/>
      </w:r>
      <w:r w:rsidR="00036405">
        <w:t xml:space="preserve">Table </w:t>
      </w:r>
      <w:r w:rsidR="00036405">
        <w:rPr>
          <w:noProof/>
        </w:rPr>
        <w:t>9</w:t>
      </w:r>
      <w:r w:rsidR="00036405">
        <w:t>.</w:t>
      </w:r>
      <w:r w:rsidR="00036405">
        <w:rPr>
          <w:noProof/>
        </w:rPr>
        <w:t>8</w:t>
      </w:r>
      <w:r>
        <w:fldChar w:fldCharType="end"/>
      </w:r>
      <w:r>
        <w:t xml:space="preserve"> shows, the</w:t>
      </w:r>
      <w:r w:rsidR="007F1569">
        <w:t xml:space="preserve">se </w:t>
      </w:r>
      <w:r w:rsidR="000C37B4">
        <w:t xml:space="preserve">competition related benefits </w:t>
      </w:r>
      <w:r w:rsidR="007F1569">
        <w:t xml:space="preserve">are expected to be more pronounced under </w:t>
      </w:r>
      <w:r w:rsidR="00E16C52">
        <w:t xml:space="preserve">options 3A, 3B and 4 than they are under Option 2, because </w:t>
      </w:r>
      <w:r w:rsidR="00073111">
        <w:t>these three reform options</w:t>
      </w:r>
      <w:r w:rsidR="00767B8B">
        <w:t>:</w:t>
      </w:r>
    </w:p>
    <w:p w14:paraId="7D77EEF0" w14:textId="77777777" w:rsidR="00767B8B" w:rsidRDefault="000E3AB6" w:rsidP="00AD36B8">
      <w:pPr>
        <w:pStyle w:val="ListBullet"/>
      </w:pPr>
      <w:r>
        <w:t>p</w:t>
      </w:r>
      <w:r w:rsidR="00767B8B">
        <w:t xml:space="preserve">rovide for </w:t>
      </w:r>
      <w:r w:rsidR="00BB729E">
        <w:t>greater regulatory oversight of the behaviour of service providers</w:t>
      </w:r>
      <w:r w:rsidR="00767B8B">
        <w:t>;</w:t>
      </w:r>
    </w:p>
    <w:p w14:paraId="7D166F56" w14:textId="77777777" w:rsidR="000E3AB6" w:rsidRDefault="00073111" w:rsidP="00AD36B8">
      <w:pPr>
        <w:pStyle w:val="ListBullet"/>
      </w:pPr>
      <w:r>
        <w:lastRenderedPageBreak/>
        <w:t xml:space="preserve">include measures that are intended to </w:t>
      </w:r>
      <w:r w:rsidR="008A6DCA">
        <w:t xml:space="preserve">pose more of a </w:t>
      </w:r>
      <w:r w:rsidR="00CF6534">
        <w:t>constraint on exercises of dynamic market power</w:t>
      </w:r>
      <w:r w:rsidR="008A6DCA">
        <w:t xml:space="preserve"> by service providers</w:t>
      </w:r>
      <w:r w:rsidR="000E3AB6">
        <w:t>;</w:t>
      </w:r>
    </w:p>
    <w:p w14:paraId="60BA23B6" w14:textId="77777777" w:rsidR="000E3AB6" w:rsidRDefault="00073111" w:rsidP="00AD36B8">
      <w:pPr>
        <w:pStyle w:val="ListBullet"/>
      </w:pPr>
      <w:r>
        <w:t>involve</w:t>
      </w:r>
      <w:r w:rsidR="005A4C03">
        <w:t xml:space="preserve"> a range of </w:t>
      </w:r>
      <w:r w:rsidR="00BB729E">
        <w:t xml:space="preserve">improvements to the quality, reliability, usability and accessibility of information </w:t>
      </w:r>
      <w:r w:rsidR="00431B03">
        <w:t>that shippers require when negotiating access</w:t>
      </w:r>
      <w:r w:rsidR="000E3AB6">
        <w:t xml:space="preserve">; </w:t>
      </w:r>
      <w:r w:rsidR="00BB729E">
        <w:t xml:space="preserve">and </w:t>
      </w:r>
    </w:p>
    <w:p w14:paraId="5FF8E57E" w14:textId="77777777" w:rsidR="00BB729E" w:rsidRDefault="00BB729E" w:rsidP="00AD36B8">
      <w:pPr>
        <w:pStyle w:val="ListBullet"/>
      </w:pPr>
      <w:r>
        <w:t xml:space="preserve">further strengthen the credibility of the threat of arbitration by smaller shippers. </w:t>
      </w:r>
    </w:p>
    <w:p w14:paraId="6A88ED96" w14:textId="77777777" w:rsidR="00D5535A" w:rsidRDefault="00A710EE" w:rsidP="00AD36B8">
      <w:pPr>
        <w:pStyle w:val="ListBullet"/>
        <w:numPr>
          <w:ilvl w:val="0"/>
          <w:numId w:val="0"/>
        </w:numPr>
      </w:pPr>
      <w:r>
        <w:t xml:space="preserve">The one additional benefit that options 3B and 4 offer over </w:t>
      </w:r>
      <w:r w:rsidR="00092408">
        <w:t xml:space="preserve">Option 3A is that </w:t>
      </w:r>
      <w:r w:rsidR="008A0040">
        <w:t xml:space="preserve">these options </w:t>
      </w:r>
      <w:r w:rsidR="00092408">
        <w:t xml:space="preserve">require </w:t>
      </w:r>
      <w:r w:rsidR="008A0040">
        <w:t xml:space="preserve">pipelines to provide </w:t>
      </w:r>
      <w:r w:rsidR="00092408">
        <w:t>third party access if access is sought by a shipper</w:t>
      </w:r>
      <w:r w:rsidR="00C22E1E">
        <w:t xml:space="preserve">. This element of options 3B and 4 could </w:t>
      </w:r>
      <w:r w:rsidR="00CF1A74">
        <w:t xml:space="preserve">therefore </w:t>
      </w:r>
      <w:r w:rsidR="00C22E1E">
        <w:t>result in a further reduction in barriers to entry for shippers seeking to access pipelines</w:t>
      </w:r>
      <w:r w:rsidR="001628C1">
        <w:t xml:space="preserve"> that are not currently providing third party access</w:t>
      </w:r>
      <w:r w:rsidR="00D5535A">
        <w:t xml:space="preserve">, although </w:t>
      </w:r>
      <w:r w:rsidR="00D878B9">
        <w:t>relative to Option 3A the</w:t>
      </w:r>
      <w:r w:rsidR="00D5535A">
        <w:t xml:space="preserve"> benefit is expected to be relatively </w:t>
      </w:r>
      <w:r w:rsidR="00DB1406">
        <w:t>modest</w:t>
      </w:r>
      <w:r w:rsidR="00D5535A">
        <w:t xml:space="preserve"> because:</w:t>
      </w:r>
    </w:p>
    <w:p w14:paraId="220F7307" w14:textId="02CD23F8" w:rsidR="00D878B9" w:rsidRDefault="00D878B9" w:rsidP="00AD36B8">
      <w:pPr>
        <w:pStyle w:val="ListBullet"/>
      </w:pPr>
      <w:r>
        <w:t>W</w:t>
      </w:r>
      <w:r w:rsidR="00D5535A">
        <w:t xml:space="preserve">hile Option 3A </w:t>
      </w:r>
      <w:r w:rsidR="00B96670">
        <w:t xml:space="preserve">does not provide for open access, it </w:t>
      </w:r>
      <w:r w:rsidR="00025D2C">
        <w:t>would</w:t>
      </w:r>
      <w:r w:rsidR="00B96670">
        <w:t xml:space="preserve"> allow shippers to access pipelines </w:t>
      </w:r>
      <w:r w:rsidR="00D90E8A">
        <w:t xml:space="preserve">that are </w:t>
      </w:r>
      <w:r w:rsidR="00B96670">
        <w:t xml:space="preserve">not </w:t>
      </w:r>
      <w:r w:rsidR="00AC3E0D">
        <w:t xml:space="preserve">voluntarily providing </w:t>
      </w:r>
      <w:r w:rsidR="00B96670">
        <w:t xml:space="preserve">third party access </w:t>
      </w:r>
      <w:r w:rsidR="000251DF">
        <w:t xml:space="preserve">where </w:t>
      </w:r>
      <w:r w:rsidR="00634B6D">
        <w:t xml:space="preserve">it </w:t>
      </w:r>
      <w:r w:rsidR="00D90E8A">
        <w:t xml:space="preserve">could </w:t>
      </w:r>
      <w:r w:rsidR="00634B6D">
        <w:t xml:space="preserve">be demonstrated that </w:t>
      </w:r>
      <w:r>
        <w:t xml:space="preserve">the </w:t>
      </w:r>
      <w:r w:rsidR="000251DF">
        <w:t>test for third party access is satisfied</w:t>
      </w:r>
      <w:r>
        <w:t xml:space="preserve"> (as </w:t>
      </w:r>
      <w:r>
        <w:fldChar w:fldCharType="begin" w:fldLock="1"/>
      </w:r>
      <w:r>
        <w:instrText xml:space="preserve"> REF _Ref50033903 \h </w:instrText>
      </w:r>
      <w:r>
        <w:fldChar w:fldCharType="separate"/>
      </w:r>
      <w:r w:rsidR="00036405">
        <w:t xml:space="preserve">Table </w:t>
      </w:r>
      <w:r w:rsidR="00036405">
        <w:rPr>
          <w:noProof/>
        </w:rPr>
        <w:t>9</w:t>
      </w:r>
      <w:r w:rsidR="00036405">
        <w:t>.</w:t>
      </w:r>
      <w:r w:rsidR="00036405">
        <w:rPr>
          <w:noProof/>
        </w:rPr>
        <w:t>3</w:t>
      </w:r>
      <w:r>
        <w:fldChar w:fldCharType="end"/>
      </w:r>
      <w:r>
        <w:t xml:space="preserve"> shows, this test is not expected to </w:t>
      </w:r>
      <w:r w:rsidR="00F0490B">
        <w:t xml:space="preserve">result in a significant difference in </w:t>
      </w:r>
      <w:r w:rsidR="00417C88">
        <w:t>pipelines required to provide access</w:t>
      </w:r>
      <w:r>
        <w:t>).</w:t>
      </w:r>
    </w:p>
    <w:p w14:paraId="45BC9DB9" w14:textId="781C0C93" w:rsidR="00D5535A" w:rsidRDefault="00D878B9" w:rsidP="00AD36B8">
      <w:pPr>
        <w:pStyle w:val="ListBullet"/>
      </w:pPr>
      <w:r>
        <w:t>Most pipelines that are not providing third party access are located in remote areas and are used to transport gas to or from dedicated upstream or downstream facilities. The likelihood of a shipper seeking access to most of these pipelines is therefore expected to be quite low</w:t>
      </w:r>
      <w:r w:rsidR="00417C88">
        <w:t xml:space="preserve"> (see </w:t>
      </w:r>
      <w:r w:rsidR="00417C88">
        <w:fldChar w:fldCharType="begin" w:fldLock="1"/>
      </w:r>
      <w:r w:rsidR="00417C88">
        <w:instrText xml:space="preserve"> REF _Ref50033903 \h </w:instrText>
      </w:r>
      <w:r w:rsidR="00417C88">
        <w:fldChar w:fldCharType="separate"/>
      </w:r>
      <w:r w:rsidR="00036405">
        <w:t xml:space="preserve">Table </w:t>
      </w:r>
      <w:r w:rsidR="00036405">
        <w:rPr>
          <w:noProof/>
        </w:rPr>
        <w:t>9</w:t>
      </w:r>
      <w:r w:rsidR="00036405">
        <w:t>.</w:t>
      </w:r>
      <w:r w:rsidR="00036405">
        <w:rPr>
          <w:noProof/>
        </w:rPr>
        <w:t>3</w:t>
      </w:r>
      <w:r w:rsidR="00417C88">
        <w:fldChar w:fldCharType="end"/>
      </w:r>
      <w:r w:rsidR="00417C88">
        <w:t>)</w:t>
      </w:r>
      <w:r>
        <w:t>.</w:t>
      </w:r>
    </w:p>
    <w:p w14:paraId="6FFB954D" w14:textId="150AC602" w:rsidR="00E64C01" w:rsidRPr="00C00780" w:rsidRDefault="00E64C01" w:rsidP="00E64C01">
      <w:pPr>
        <w:pStyle w:val="Caption"/>
        <w:spacing w:after="0"/>
      </w:pPr>
      <w:bookmarkStart w:id="222" w:name="_Ref49966722"/>
      <w:r>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9</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8</w:t>
      </w:r>
      <w:r w:rsidR="00F323B2">
        <w:rPr>
          <w:noProof/>
        </w:rPr>
        <w:fldChar w:fldCharType="end"/>
      </w:r>
      <w:bookmarkEnd w:id="222"/>
      <w:r>
        <w:t xml:space="preserve">: </w:t>
      </w:r>
      <w:r w:rsidR="00EE50B9">
        <w:t xml:space="preserve">Competition related impacts </w:t>
      </w:r>
      <w:r>
        <w:t xml:space="preserve">of the reform options </w:t>
      </w:r>
      <w:r w:rsidR="00073111">
        <w:t>on service providers and participants in upstream and downstream markets</w:t>
      </w:r>
    </w:p>
    <w:tbl>
      <w:tblPr>
        <w:tblStyle w:val="TableGrid"/>
        <w:tblW w:w="5000" w:type="pct"/>
        <w:tblLook w:val="0420" w:firstRow="1" w:lastRow="0" w:firstColumn="0" w:lastColumn="0" w:noHBand="0" w:noVBand="1"/>
      </w:tblPr>
      <w:tblGrid>
        <w:gridCol w:w="1759"/>
        <w:gridCol w:w="2343"/>
        <w:gridCol w:w="2343"/>
        <w:gridCol w:w="2343"/>
      </w:tblGrid>
      <w:tr w:rsidR="006725D5" w:rsidRPr="00C00780" w14:paraId="7818B688" w14:textId="77777777" w:rsidTr="00591FEE">
        <w:trPr>
          <w:cnfStyle w:val="100000000000" w:firstRow="1" w:lastRow="0" w:firstColumn="0" w:lastColumn="0" w:oddVBand="0" w:evenVBand="0" w:oddHBand="0" w:evenHBand="0" w:firstRowFirstColumn="0" w:firstRowLastColumn="0" w:lastRowFirstColumn="0" w:lastRowLastColumn="0"/>
          <w:tblHeader/>
        </w:trPr>
        <w:tc>
          <w:tcPr>
            <w:tcW w:w="1759" w:type="dxa"/>
            <w:tcBorders>
              <w:bottom w:val="single" w:sz="4" w:space="0" w:color="auto"/>
            </w:tcBorders>
            <w:shd w:val="clear" w:color="auto" w:fill="002060"/>
          </w:tcPr>
          <w:p w14:paraId="219B95AC" w14:textId="77777777" w:rsidR="006725D5" w:rsidRPr="00767A17" w:rsidRDefault="006725D5" w:rsidP="00237A33">
            <w:pPr>
              <w:pStyle w:val="TableHeading"/>
              <w:keepNext/>
              <w:spacing w:before="40" w:after="40"/>
              <w:rPr>
                <w:sz w:val="16"/>
                <w:szCs w:val="16"/>
              </w:rPr>
            </w:pPr>
            <w:bookmarkStart w:id="223" w:name="_bookmark26"/>
            <w:bookmarkEnd w:id="223"/>
            <w:r w:rsidRPr="00767A17">
              <w:rPr>
                <w:sz w:val="16"/>
                <w:szCs w:val="16"/>
              </w:rPr>
              <w:t>Stakeholder</w:t>
            </w:r>
          </w:p>
        </w:tc>
        <w:tc>
          <w:tcPr>
            <w:tcW w:w="2343" w:type="dxa"/>
            <w:tcBorders>
              <w:bottom w:val="single" w:sz="4" w:space="0" w:color="auto"/>
            </w:tcBorders>
            <w:shd w:val="clear" w:color="auto" w:fill="002060"/>
          </w:tcPr>
          <w:p w14:paraId="68C9B422" w14:textId="77777777" w:rsidR="006725D5" w:rsidRPr="00767A17" w:rsidRDefault="006725D5" w:rsidP="00237A33">
            <w:pPr>
              <w:pStyle w:val="TableHeading"/>
              <w:keepNext/>
              <w:spacing w:before="40" w:after="40"/>
              <w:jc w:val="center"/>
              <w:rPr>
                <w:sz w:val="16"/>
                <w:szCs w:val="16"/>
              </w:rPr>
            </w:pPr>
            <w:r w:rsidRPr="00767A17">
              <w:rPr>
                <w:sz w:val="16"/>
                <w:szCs w:val="16"/>
              </w:rPr>
              <w:t xml:space="preserve">Changes to barriers </w:t>
            </w:r>
            <w:r>
              <w:rPr>
                <w:sz w:val="16"/>
                <w:szCs w:val="16"/>
              </w:rPr>
              <w:t xml:space="preserve">to </w:t>
            </w:r>
            <w:r w:rsidRPr="00767A17">
              <w:rPr>
                <w:sz w:val="16"/>
                <w:szCs w:val="16"/>
              </w:rPr>
              <w:t>entry</w:t>
            </w:r>
          </w:p>
        </w:tc>
        <w:tc>
          <w:tcPr>
            <w:tcW w:w="2343" w:type="dxa"/>
            <w:tcBorders>
              <w:bottom w:val="single" w:sz="4" w:space="0" w:color="auto"/>
            </w:tcBorders>
            <w:shd w:val="clear" w:color="auto" w:fill="002060"/>
          </w:tcPr>
          <w:p w14:paraId="1D107597" w14:textId="77777777" w:rsidR="006725D5" w:rsidRPr="00767A17" w:rsidRDefault="006725D5" w:rsidP="00237A33">
            <w:pPr>
              <w:pStyle w:val="TableHeading"/>
              <w:keepNext/>
              <w:spacing w:before="40" w:after="40"/>
              <w:jc w:val="center"/>
              <w:rPr>
                <w:sz w:val="16"/>
                <w:szCs w:val="16"/>
              </w:rPr>
            </w:pPr>
            <w:r>
              <w:rPr>
                <w:sz w:val="16"/>
                <w:szCs w:val="16"/>
              </w:rPr>
              <w:t>Information asymmetries and s</w:t>
            </w:r>
            <w:r w:rsidRPr="00767A17">
              <w:rPr>
                <w:sz w:val="16"/>
                <w:szCs w:val="16"/>
              </w:rPr>
              <w:t>earch and transaction costs</w:t>
            </w:r>
          </w:p>
        </w:tc>
        <w:tc>
          <w:tcPr>
            <w:tcW w:w="2343" w:type="dxa"/>
            <w:tcBorders>
              <w:bottom w:val="single" w:sz="4" w:space="0" w:color="auto"/>
            </w:tcBorders>
            <w:shd w:val="clear" w:color="auto" w:fill="002060"/>
          </w:tcPr>
          <w:p w14:paraId="1B7BD14A" w14:textId="77777777" w:rsidR="006725D5" w:rsidRPr="00767A17" w:rsidRDefault="006725D5" w:rsidP="00237A33">
            <w:pPr>
              <w:pStyle w:val="TableHeading"/>
              <w:keepNext/>
              <w:spacing w:before="40" w:after="40"/>
              <w:jc w:val="center"/>
              <w:rPr>
                <w:sz w:val="16"/>
                <w:szCs w:val="16"/>
              </w:rPr>
            </w:pPr>
            <w:r w:rsidRPr="00767A17">
              <w:rPr>
                <w:sz w:val="16"/>
                <w:szCs w:val="16"/>
              </w:rPr>
              <w:t>Relative bargaining power</w:t>
            </w:r>
          </w:p>
        </w:tc>
      </w:tr>
      <w:tr w:rsidR="006725D5" w:rsidRPr="00A3618A" w14:paraId="3D38E363" w14:textId="77777777" w:rsidTr="00591FEE">
        <w:tc>
          <w:tcPr>
            <w:tcW w:w="8788" w:type="dxa"/>
            <w:gridSpan w:val="4"/>
            <w:shd w:val="clear" w:color="auto" w:fill="65697F" w:themeFill="background2" w:themeFillShade="80"/>
          </w:tcPr>
          <w:p w14:paraId="671F7784" w14:textId="77777777" w:rsidR="006725D5" w:rsidRPr="00A3618A" w:rsidRDefault="006725D5" w:rsidP="00237A33">
            <w:pPr>
              <w:pStyle w:val="TableBodyText"/>
              <w:keepNext/>
              <w:spacing w:before="40" w:after="40"/>
              <w:jc w:val="center"/>
              <w:rPr>
                <w:b/>
                <w:bCs/>
                <w:color w:val="FFFFFF" w:themeColor="background1"/>
                <w:sz w:val="16"/>
                <w:szCs w:val="16"/>
              </w:rPr>
            </w:pPr>
            <w:r w:rsidRPr="00A3618A">
              <w:rPr>
                <w:b/>
                <w:bCs/>
                <w:color w:val="FFFFFF" w:themeColor="background1"/>
                <w:sz w:val="16"/>
                <w:szCs w:val="16"/>
              </w:rPr>
              <w:t>Option 2</w:t>
            </w:r>
          </w:p>
        </w:tc>
      </w:tr>
      <w:tr w:rsidR="006725D5" w:rsidRPr="00C00780" w14:paraId="4D4670B4" w14:textId="77777777" w:rsidTr="00DA543E">
        <w:trPr>
          <w:cnfStyle w:val="000000010000" w:firstRow="0" w:lastRow="0" w:firstColumn="0" w:lastColumn="0" w:oddVBand="0" w:evenVBand="0" w:oddHBand="0" w:evenHBand="1" w:firstRowFirstColumn="0" w:firstRowLastColumn="0" w:lastRowFirstColumn="0" w:lastRowLastColumn="0"/>
        </w:trPr>
        <w:tc>
          <w:tcPr>
            <w:tcW w:w="1759" w:type="dxa"/>
            <w:shd w:val="clear" w:color="auto" w:fill="FFFFFF" w:themeFill="background1"/>
          </w:tcPr>
          <w:p w14:paraId="4A781E09" w14:textId="77777777" w:rsidR="006725D5" w:rsidRPr="00767A17" w:rsidRDefault="006725D5" w:rsidP="00237A33">
            <w:pPr>
              <w:pStyle w:val="TableBodyText"/>
              <w:keepNext/>
              <w:spacing w:before="40" w:after="40"/>
              <w:rPr>
                <w:sz w:val="16"/>
                <w:szCs w:val="16"/>
              </w:rPr>
            </w:pPr>
            <w:r w:rsidRPr="00767A17">
              <w:rPr>
                <w:sz w:val="16"/>
                <w:szCs w:val="16"/>
              </w:rPr>
              <w:t>Service providers</w:t>
            </w:r>
          </w:p>
        </w:tc>
        <w:tc>
          <w:tcPr>
            <w:tcW w:w="2343" w:type="dxa"/>
            <w:tcBorders>
              <w:bottom w:val="single" w:sz="4" w:space="0" w:color="auto"/>
            </w:tcBorders>
          </w:tcPr>
          <w:p w14:paraId="7D252DA3" w14:textId="77777777" w:rsidR="006725D5" w:rsidRPr="000C178A" w:rsidRDefault="00DD23DF" w:rsidP="00237A33">
            <w:pPr>
              <w:pStyle w:val="TableBodyText"/>
              <w:keepNext/>
              <w:spacing w:before="40" w:after="40"/>
              <w:rPr>
                <w:sz w:val="16"/>
                <w:szCs w:val="16"/>
              </w:rPr>
            </w:pPr>
            <w:r w:rsidRPr="000C178A">
              <w:rPr>
                <w:sz w:val="16"/>
                <w:szCs w:val="16"/>
              </w:rPr>
              <w:t>No change</w:t>
            </w:r>
          </w:p>
        </w:tc>
        <w:tc>
          <w:tcPr>
            <w:tcW w:w="2343" w:type="dxa"/>
            <w:tcBorders>
              <w:bottom w:val="single" w:sz="4" w:space="0" w:color="auto"/>
            </w:tcBorders>
          </w:tcPr>
          <w:p w14:paraId="1654B569" w14:textId="77777777" w:rsidR="006725D5" w:rsidRPr="000C178A" w:rsidRDefault="00DD23DF" w:rsidP="00237A33">
            <w:pPr>
              <w:pStyle w:val="TableBodyText"/>
              <w:keepNext/>
              <w:spacing w:before="40" w:after="40"/>
              <w:rPr>
                <w:sz w:val="16"/>
                <w:szCs w:val="16"/>
              </w:rPr>
            </w:pPr>
            <w:r w:rsidRPr="000C178A">
              <w:rPr>
                <w:sz w:val="16"/>
                <w:szCs w:val="16"/>
              </w:rPr>
              <w:t xml:space="preserve">No </w:t>
            </w:r>
            <w:r w:rsidR="0024650B" w:rsidRPr="000C178A">
              <w:rPr>
                <w:sz w:val="16"/>
                <w:szCs w:val="16"/>
              </w:rPr>
              <w:t>impact</w:t>
            </w:r>
          </w:p>
        </w:tc>
        <w:tc>
          <w:tcPr>
            <w:tcW w:w="2343" w:type="dxa"/>
            <w:tcBorders>
              <w:bottom w:val="single" w:sz="4" w:space="0" w:color="auto"/>
            </w:tcBorders>
            <w:shd w:val="clear" w:color="auto" w:fill="FFFF99"/>
          </w:tcPr>
          <w:p w14:paraId="4AC045E6" w14:textId="77777777" w:rsidR="006725D5" w:rsidRPr="00767A17" w:rsidRDefault="009A27D9" w:rsidP="00237A33">
            <w:pPr>
              <w:pStyle w:val="TableBodyText"/>
              <w:keepNext/>
              <w:spacing w:before="40" w:after="40"/>
              <w:rPr>
                <w:sz w:val="16"/>
                <w:szCs w:val="16"/>
              </w:rPr>
            </w:pPr>
            <w:r>
              <w:rPr>
                <w:sz w:val="16"/>
                <w:szCs w:val="16"/>
              </w:rPr>
              <w:t>Minor</w:t>
            </w:r>
            <w:r w:rsidR="0012449E">
              <w:rPr>
                <w:sz w:val="16"/>
                <w:szCs w:val="16"/>
              </w:rPr>
              <w:t xml:space="preserve"> reduction in </w:t>
            </w:r>
            <w:r w:rsidR="006725D5" w:rsidRPr="00767A17">
              <w:rPr>
                <w:sz w:val="16"/>
                <w:szCs w:val="16"/>
              </w:rPr>
              <w:t>bargaining power</w:t>
            </w:r>
            <w:r w:rsidR="00073111">
              <w:rPr>
                <w:sz w:val="16"/>
                <w:szCs w:val="16"/>
              </w:rPr>
              <w:t xml:space="preserve"> </w:t>
            </w:r>
            <w:r w:rsidR="00A275D3">
              <w:rPr>
                <w:sz w:val="16"/>
                <w:szCs w:val="16"/>
              </w:rPr>
              <w:t xml:space="preserve">as a result of </w:t>
            </w:r>
            <w:r w:rsidR="0012449E">
              <w:rPr>
                <w:sz w:val="16"/>
                <w:szCs w:val="16"/>
              </w:rPr>
              <w:t xml:space="preserve">some additional </w:t>
            </w:r>
            <w:r w:rsidR="00073111">
              <w:rPr>
                <w:sz w:val="16"/>
                <w:szCs w:val="16"/>
              </w:rPr>
              <w:t>constraint</w:t>
            </w:r>
            <w:r w:rsidR="00A275D3">
              <w:rPr>
                <w:sz w:val="16"/>
                <w:szCs w:val="16"/>
              </w:rPr>
              <w:t>s</w:t>
            </w:r>
            <w:r w:rsidR="00073111">
              <w:rPr>
                <w:sz w:val="16"/>
                <w:szCs w:val="16"/>
              </w:rPr>
              <w:t xml:space="preserve"> on market power</w:t>
            </w:r>
          </w:p>
        </w:tc>
      </w:tr>
      <w:tr w:rsidR="006725D5" w:rsidRPr="00C00780" w14:paraId="21B923A4" w14:textId="77777777" w:rsidTr="00DA543E">
        <w:tc>
          <w:tcPr>
            <w:tcW w:w="1759" w:type="dxa"/>
            <w:tcBorders>
              <w:bottom w:val="single" w:sz="4" w:space="0" w:color="auto"/>
            </w:tcBorders>
            <w:shd w:val="clear" w:color="auto" w:fill="FFFFFF" w:themeFill="background1"/>
          </w:tcPr>
          <w:p w14:paraId="225E95AA" w14:textId="77777777" w:rsidR="006725D5" w:rsidRPr="00767A17" w:rsidRDefault="006725D5" w:rsidP="00237A33">
            <w:pPr>
              <w:pStyle w:val="TableBodyText"/>
              <w:keepNext/>
              <w:spacing w:before="40" w:after="40"/>
              <w:rPr>
                <w:sz w:val="16"/>
                <w:szCs w:val="16"/>
              </w:rPr>
            </w:pPr>
            <w:r>
              <w:rPr>
                <w:sz w:val="16"/>
                <w:szCs w:val="16"/>
              </w:rPr>
              <w:t>Participants in upstream and downstream markets</w:t>
            </w:r>
          </w:p>
        </w:tc>
        <w:tc>
          <w:tcPr>
            <w:tcW w:w="2343" w:type="dxa"/>
            <w:tcBorders>
              <w:bottom w:val="single" w:sz="4" w:space="0" w:color="auto"/>
            </w:tcBorders>
            <w:shd w:val="clear" w:color="auto" w:fill="FFFF99"/>
          </w:tcPr>
          <w:p w14:paraId="21A0604B" w14:textId="77777777" w:rsidR="006725D5" w:rsidRDefault="0012449E" w:rsidP="00237A33">
            <w:pPr>
              <w:pStyle w:val="TableBodyText"/>
              <w:keepNext/>
              <w:spacing w:before="40" w:after="40"/>
              <w:rPr>
                <w:sz w:val="16"/>
                <w:szCs w:val="16"/>
              </w:rPr>
            </w:pPr>
            <w:r>
              <w:rPr>
                <w:sz w:val="16"/>
                <w:szCs w:val="16"/>
              </w:rPr>
              <w:t>Minor</w:t>
            </w:r>
            <w:r w:rsidR="00E709C4">
              <w:rPr>
                <w:sz w:val="16"/>
                <w:szCs w:val="16"/>
              </w:rPr>
              <w:t xml:space="preserve"> reduction in </w:t>
            </w:r>
            <w:r w:rsidR="006725D5" w:rsidRPr="00767A17">
              <w:rPr>
                <w:sz w:val="16"/>
                <w:szCs w:val="16"/>
              </w:rPr>
              <w:t xml:space="preserve">barriers </w:t>
            </w:r>
            <w:r w:rsidR="006725D5">
              <w:rPr>
                <w:sz w:val="16"/>
                <w:szCs w:val="16"/>
              </w:rPr>
              <w:t xml:space="preserve">to </w:t>
            </w:r>
            <w:r w:rsidR="006725D5" w:rsidRPr="00767A17">
              <w:rPr>
                <w:sz w:val="16"/>
                <w:szCs w:val="16"/>
              </w:rPr>
              <w:t>entry</w:t>
            </w:r>
            <w:r w:rsidR="000C178A">
              <w:rPr>
                <w:sz w:val="16"/>
                <w:szCs w:val="16"/>
              </w:rPr>
              <w:t xml:space="preserve"> </w:t>
            </w:r>
          </w:p>
        </w:tc>
        <w:tc>
          <w:tcPr>
            <w:tcW w:w="2343" w:type="dxa"/>
            <w:tcBorders>
              <w:bottom w:val="single" w:sz="4" w:space="0" w:color="auto"/>
            </w:tcBorders>
            <w:shd w:val="clear" w:color="auto" w:fill="FFFF99"/>
          </w:tcPr>
          <w:p w14:paraId="209AE64E" w14:textId="77777777" w:rsidR="006725D5" w:rsidRDefault="009A27D9" w:rsidP="00237A33">
            <w:pPr>
              <w:pStyle w:val="TableBodyText"/>
              <w:keepNext/>
              <w:spacing w:before="40" w:after="40"/>
              <w:rPr>
                <w:sz w:val="16"/>
                <w:szCs w:val="16"/>
              </w:rPr>
            </w:pPr>
            <w:r>
              <w:rPr>
                <w:sz w:val="16"/>
                <w:szCs w:val="16"/>
              </w:rPr>
              <w:t>Minor</w:t>
            </w:r>
            <w:r w:rsidR="001C4FBC">
              <w:rPr>
                <w:sz w:val="16"/>
                <w:szCs w:val="16"/>
              </w:rPr>
              <w:t xml:space="preserve"> reduction in </w:t>
            </w:r>
            <w:r w:rsidR="007A7817">
              <w:rPr>
                <w:sz w:val="16"/>
                <w:szCs w:val="16"/>
              </w:rPr>
              <w:t xml:space="preserve">information </w:t>
            </w:r>
            <w:r w:rsidR="006725D5">
              <w:rPr>
                <w:sz w:val="16"/>
                <w:szCs w:val="16"/>
              </w:rPr>
              <w:t xml:space="preserve">asymmetries and </w:t>
            </w:r>
            <w:r w:rsidR="006725D5" w:rsidRPr="00767A17">
              <w:rPr>
                <w:sz w:val="16"/>
                <w:szCs w:val="16"/>
              </w:rPr>
              <w:t>search and transaction costs</w:t>
            </w:r>
          </w:p>
        </w:tc>
        <w:tc>
          <w:tcPr>
            <w:tcW w:w="2343" w:type="dxa"/>
            <w:tcBorders>
              <w:bottom w:val="single" w:sz="4" w:space="0" w:color="auto"/>
              <w:right w:val="nil"/>
            </w:tcBorders>
            <w:shd w:val="clear" w:color="auto" w:fill="FFFF99"/>
          </w:tcPr>
          <w:p w14:paraId="7181F5A1" w14:textId="77777777" w:rsidR="006725D5" w:rsidRPr="00767A17" w:rsidRDefault="001C4FBC" w:rsidP="00237A33">
            <w:pPr>
              <w:pStyle w:val="TableBodyText"/>
              <w:keepNext/>
              <w:spacing w:before="40" w:after="40"/>
              <w:rPr>
                <w:sz w:val="16"/>
                <w:szCs w:val="16"/>
              </w:rPr>
            </w:pPr>
            <w:r>
              <w:rPr>
                <w:sz w:val="16"/>
                <w:szCs w:val="16"/>
              </w:rPr>
              <w:t>Minor</w:t>
            </w:r>
            <w:r w:rsidR="007A7817">
              <w:rPr>
                <w:b/>
                <w:bCs/>
                <w:sz w:val="16"/>
                <w:szCs w:val="16"/>
              </w:rPr>
              <w:t xml:space="preserve"> </w:t>
            </w:r>
            <w:r w:rsidR="006725D5" w:rsidRPr="00767A17">
              <w:rPr>
                <w:sz w:val="16"/>
                <w:szCs w:val="16"/>
              </w:rPr>
              <w:t>improve</w:t>
            </w:r>
            <w:r w:rsidR="007A7817">
              <w:rPr>
                <w:sz w:val="16"/>
                <w:szCs w:val="16"/>
              </w:rPr>
              <w:t>ment in</w:t>
            </w:r>
            <w:r w:rsidR="006725D5" w:rsidRPr="00767A17">
              <w:rPr>
                <w:sz w:val="16"/>
                <w:szCs w:val="16"/>
              </w:rPr>
              <w:t xml:space="preserve"> bargaining power</w:t>
            </w:r>
          </w:p>
        </w:tc>
      </w:tr>
      <w:tr w:rsidR="00591FEE" w:rsidRPr="00A3618A" w14:paraId="49484EE0" w14:textId="77777777" w:rsidTr="00591FEE">
        <w:trPr>
          <w:cnfStyle w:val="000000010000" w:firstRow="0" w:lastRow="0" w:firstColumn="0" w:lastColumn="0" w:oddVBand="0" w:evenVBand="0" w:oddHBand="0" w:evenHBand="1" w:firstRowFirstColumn="0" w:firstRowLastColumn="0" w:lastRowFirstColumn="0" w:lastRowLastColumn="0"/>
        </w:trPr>
        <w:tc>
          <w:tcPr>
            <w:tcW w:w="8788" w:type="dxa"/>
            <w:gridSpan w:val="4"/>
            <w:tcBorders>
              <w:bottom w:val="single" w:sz="4" w:space="0" w:color="auto"/>
            </w:tcBorders>
            <w:shd w:val="clear" w:color="auto" w:fill="65697F" w:themeFill="background2" w:themeFillShade="80"/>
          </w:tcPr>
          <w:p w14:paraId="569911AF" w14:textId="77777777" w:rsidR="00591FEE" w:rsidRPr="00A3618A" w:rsidRDefault="00591FEE" w:rsidP="00237A33">
            <w:pPr>
              <w:pStyle w:val="TableBodyText"/>
              <w:keepNext/>
              <w:spacing w:before="40" w:after="40"/>
              <w:jc w:val="center"/>
              <w:rPr>
                <w:b/>
                <w:bCs/>
                <w:color w:val="FFFFFF" w:themeColor="background1"/>
                <w:sz w:val="16"/>
                <w:szCs w:val="16"/>
              </w:rPr>
            </w:pPr>
            <w:r w:rsidRPr="00A3618A">
              <w:rPr>
                <w:b/>
                <w:bCs/>
                <w:color w:val="FFFFFF" w:themeColor="background1"/>
                <w:sz w:val="16"/>
                <w:szCs w:val="16"/>
              </w:rPr>
              <w:t xml:space="preserve">Option </w:t>
            </w:r>
            <w:r>
              <w:rPr>
                <w:b/>
                <w:bCs/>
                <w:color w:val="FFFFFF" w:themeColor="background1"/>
                <w:sz w:val="16"/>
                <w:szCs w:val="16"/>
              </w:rPr>
              <w:t>3A</w:t>
            </w:r>
          </w:p>
        </w:tc>
      </w:tr>
      <w:tr w:rsidR="00591FEE" w:rsidRPr="00C00780" w14:paraId="684193BB" w14:textId="77777777" w:rsidTr="00DA543E">
        <w:tc>
          <w:tcPr>
            <w:tcW w:w="1759" w:type="dxa"/>
            <w:tcBorders>
              <w:bottom w:val="single" w:sz="4" w:space="0" w:color="auto"/>
            </w:tcBorders>
            <w:shd w:val="clear" w:color="auto" w:fill="FFFFFF" w:themeFill="background1"/>
          </w:tcPr>
          <w:p w14:paraId="7606BB37" w14:textId="77777777" w:rsidR="00591FEE" w:rsidRPr="00767A17" w:rsidRDefault="00591FEE" w:rsidP="00237A33">
            <w:pPr>
              <w:pStyle w:val="TableBodyText"/>
              <w:keepNext/>
              <w:spacing w:before="40" w:after="40"/>
              <w:rPr>
                <w:sz w:val="16"/>
                <w:szCs w:val="16"/>
              </w:rPr>
            </w:pPr>
            <w:r w:rsidRPr="00767A17">
              <w:rPr>
                <w:sz w:val="16"/>
                <w:szCs w:val="16"/>
              </w:rPr>
              <w:t>Service providers</w:t>
            </w:r>
          </w:p>
        </w:tc>
        <w:tc>
          <w:tcPr>
            <w:tcW w:w="2343" w:type="dxa"/>
            <w:tcBorders>
              <w:bottom w:val="single" w:sz="4" w:space="0" w:color="auto"/>
            </w:tcBorders>
            <w:shd w:val="clear" w:color="auto" w:fill="FFCC00"/>
          </w:tcPr>
          <w:p w14:paraId="7B4936FF" w14:textId="77777777" w:rsidR="00591FEE" w:rsidRPr="00767A17" w:rsidRDefault="008819C2" w:rsidP="00237A33">
            <w:pPr>
              <w:pStyle w:val="TableBodyText"/>
              <w:keepNext/>
              <w:spacing w:before="40" w:after="40"/>
              <w:rPr>
                <w:sz w:val="16"/>
                <w:szCs w:val="16"/>
              </w:rPr>
            </w:pPr>
            <w:r>
              <w:rPr>
                <w:sz w:val="16"/>
                <w:szCs w:val="16"/>
              </w:rPr>
              <w:t xml:space="preserve">Moderate reduction in </w:t>
            </w:r>
            <w:r w:rsidR="00591FEE" w:rsidRPr="00767A17">
              <w:rPr>
                <w:sz w:val="16"/>
                <w:szCs w:val="16"/>
              </w:rPr>
              <w:t xml:space="preserve">barriers </w:t>
            </w:r>
            <w:r w:rsidR="00591FEE">
              <w:rPr>
                <w:sz w:val="16"/>
                <w:szCs w:val="16"/>
              </w:rPr>
              <w:t xml:space="preserve">to </w:t>
            </w:r>
            <w:r w:rsidR="00591FEE" w:rsidRPr="00767A17">
              <w:rPr>
                <w:sz w:val="16"/>
                <w:szCs w:val="16"/>
              </w:rPr>
              <w:t>entry</w:t>
            </w:r>
            <w:r w:rsidR="00591FEE">
              <w:rPr>
                <w:sz w:val="16"/>
                <w:szCs w:val="16"/>
              </w:rPr>
              <w:t xml:space="preserve"> </w:t>
            </w:r>
            <w:r>
              <w:rPr>
                <w:sz w:val="16"/>
                <w:szCs w:val="16"/>
              </w:rPr>
              <w:t xml:space="preserve">(i.e. </w:t>
            </w:r>
            <w:r w:rsidR="009F1462">
              <w:rPr>
                <w:sz w:val="16"/>
                <w:szCs w:val="16"/>
              </w:rPr>
              <w:t>due to constraints on dynamic market power</w:t>
            </w:r>
            <w:r>
              <w:rPr>
                <w:sz w:val="16"/>
                <w:szCs w:val="16"/>
              </w:rPr>
              <w:t>)</w:t>
            </w:r>
          </w:p>
        </w:tc>
        <w:tc>
          <w:tcPr>
            <w:tcW w:w="2343" w:type="dxa"/>
            <w:tcBorders>
              <w:bottom w:val="single" w:sz="4" w:space="0" w:color="auto"/>
            </w:tcBorders>
            <w:shd w:val="clear" w:color="auto" w:fill="E1E2E7" w:themeFill="background2"/>
          </w:tcPr>
          <w:p w14:paraId="42CFC4F4" w14:textId="77777777" w:rsidR="00591FEE" w:rsidRPr="009A27D9" w:rsidRDefault="0024650B" w:rsidP="00237A33">
            <w:pPr>
              <w:pStyle w:val="TableBodyText"/>
              <w:keepNext/>
              <w:spacing w:before="40" w:after="40"/>
              <w:rPr>
                <w:sz w:val="16"/>
                <w:szCs w:val="16"/>
              </w:rPr>
            </w:pPr>
            <w:r w:rsidRPr="009A27D9">
              <w:rPr>
                <w:sz w:val="16"/>
                <w:szCs w:val="16"/>
              </w:rPr>
              <w:t>No impact</w:t>
            </w:r>
          </w:p>
        </w:tc>
        <w:tc>
          <w:tcPr>
            <w:tcW w:w="2343" w:type="dxa"/>
            <w:tcBorders>
              <w:bottom w:val="single" w:sz="4" w:space="0" w:color="auto"/>
            </w:tcBorders>
            <w:shd w:val="clear" w:color="auto" w:fill="92D050"/>
          </w:tcPr>
          <w:p w14:paraId="37C3A945" w14:textId="77777777" w:rsidR="00591FEE" w:rsidRPr="00767A17" w:rsidRDefault="0012449E" w:rsidP="00237A33">
            <w:pPr>
              <w:pStyle w:val="TableBodyText"/>
              <w:keepNext/>
              <w:spacing w:before="40" w:after="40"/>
              <w:rPr>
                <w:sz w:val="16"/>
                <w:szCs w:val="16"/>
              </w:rPr>
            </w:pPr>
            <w:r>
              <w:rPr>
                <w:sz w:val="16"/>
                <w:szCs w:val="16"/>
              </w:rPr>
              <w:t>Material</w:t>
            </w:r>
            <w:r w:rsidR="005B2BB4">
              <w:rPr>
                <w:sz w:val="16"/>
                <w:szCs w:val="16"/>
              </w:rPr>
              <w:t xml:space="preserve"> reduction in </w:t>
            </w:r>
            <w:r w:rsidR="005B2BB4" w:rsidRPr="00767A17">
              <w:rPr>
                <w:sz w:val="16"/>
                <w:szCs w:val="16"/>
              </w:rPr>
              <w:t>bargaining power</w:t>
            </w:r>
            <w:r w:rsidR="005B2BB4">
              <w:rPr>
                <w:sz w:val="16"/>
                <w:szCs w:val="16"/>
              </w:rPr>
              <w:t xml:space="preserve"> as a result of greater constraints on market power</w:t>
            </w:r>
          </w:p>
        </w:tc>
      </w:tr>
      <w:tr w:rsidR="00591FEE" w:rsidRPr="00C00780" w14:paraId="2447685F" w14:textId="77777777" w:rsidTr="00DA543E">
        <w:trPr>
          <w:cnfStyle w:val="000000010000" w:firstRow="0" w:lastRow="0" w:firstColumn="0" w:lastColumn="0" w:oddVBand="0" w:evenVBand="0" w:oddHBand="0" w:evenHBand="1" w:firstRowFirstColumn="0" w:firstRowLastColumn="0" w:lastRowFirstColumn="0" w:lastRowLastColumn="0"/>
        </w:trPr>
        <w:tc>
          <w:tcPr>
            <w:tcW w:w="1759" w:type="dxa"/>
            <w:shd w:val="clear" w:color="auto" w:fill="FFFFFF" w:themeFill="background1"/>
          </w:tcPr>
          <w:p w14:paraId="36CD5AB4" w14:textId="77777777" w:rsidR="00591FEE" w:rsidRPr="00767A17" w:rsidRDefault="00591FEE" w:rsidP="00237A33">
            <w:pPr>
              <w:pStyle w:val="TableBodyText"/>
              <w:keepNext/>
              <w:spacing w:before="40" w:after="40"/>
              <w:rPr>
                <w:sz w:val="16"/>
                <w:szCs w:val="16"/>
              </w:rPr>
            </w:pPr>
            <w:r>
              <w:rPr>
                <w:sz w:val="16"/>
                <w:szCs w:val="16"/>
              </w:rPr>
              <w:t>Participants in upstream and downstream markets</w:t>
            </w:r>
          </w:p>
        </w:tc>
        <w:tc>
          <w:tcPr>
            <w:tcW w:w="2343" w:type="dxa"/>
            <w:shd w:val="clear" w:color="auto" w:fill="FFCC00"/>
          </w:tcPr>
          <w:p w14:paraId="7F1D8933" w14:textId="77777777" w:rsidR="00591FEE" w:rsidRPr="00767A17" w:rsidRDefault="0073654C" w:rsidP="00237A33">
            <w:pPr>
              <w:pStyle w:val="TableBodyText"/>
              <w:keepNext/>
              <w:spacing w:before="40" w:after="40"/>
              <w:rPr>
                <w:sz w:val="16"/>
                <w:szCs w:val="16"/>
              </w:rPr>
            </w:pPr>
            <w:r>
              <w:rPr>
                <w:sz w:val="16"/>
                <w:szCs w:val="16"/>
              </w:rPr>
              <w:t>Moderate</w:t>
            </w:r>
            <w:r w:rsidR="00E709C4">
              <w:rPr>
                <w:sz w:val="16"/>
                <w:szCs w:val="16"/>
              </w:rPr>
              <w:t xml:space="preserve"> reduction in </w:t>
            </w:r>
            <w:r w:rsidR="00591FEE" w:rsidRPr="00767A17">
              <w:rPr>
                <w:sz w:val="16"/>
                <w:szCs w:val="16"/>
              </w:rPr>
              <w:t xml:space="preserve">barriers </w:t>
            </w:r>
            <w:r w:rsidR="00591FEE">
              <w:rPr>
                <w:sz w:val="16"/>
                <w:szCs w:val="16"/>
              </w:rPr>
              <w:t xml:space="preserve">to </w:t>
            </w:r>
            <w:r w:rsidR="00591FEE" w:rsidRPr="00767A17">
              <w:rPr>
                <w:sz w:val="16"/>
                <w:szCs w:val="16"/>
              </w:rPr>
              <w:t>entry</w:t>
            </w:r>
            <w:r w:rsidR="00E709C4">
              <w:rPr>
                <w:sz w:val="16"/>
                <w:szCs w:val="16"/>
              </w:rPr>
              <w:t xml:space="preserve"> </w:t>
            </w:r>
          </w:p>
        </w:tc>
        <w:tc>
          <w:tcPr>
            <w:tcW w:w="2343" w:type="dxa"/>
            <w:shd w:val="clear" w:color="auto" w:fill="92D050"/>
          </w:tcPr>
          <w:p w14:paraId="2B255341" w14:textId="77777777" w:rsidR="00591FEE" w:rsidRPr="00767A17" w:rsidRDefault="0012449E" w:rsidP="00237A33">
            <w:pPr>
              <w:pStyle w:val="TableBodyText"/>
              <w:keepNext/>
              <w:spacing w:before="40" w:after="40"/>
              <w:rPr>
                <w:sz w:val="16"/>
                <w:szCs w:val="16"/>
              </w:rPr>
            </w:pPr>
            <w:r>
              <w:rPr>
                <w:sz w:val="16"/>
                <w:szCs w:val="16"/>
              </w:rPr>
              <w:t>Material</w:t>
            </w:r>
            <w:r w:rsidR="00E709C4">
              <w:rPr>
                <w:sz w:val="16"/>
                <w:szCs w:val="16"/>
              </w:rPr>
              <w:t xml:space="preserve"> reduction in </w:t>
            </w:r>
            <w:r w:rsidR="009F1462">
              <w:rPr>
                <w:sz w:val="16"/>
                <w:szCs w:val="16"/>
              </w:rPr>
              <w:t xml:space="preserve">information </w:t>
            </w:r>
            <w:r w:rsidR="00591FEE">
              <w:rPr>
                <w:sz w:val="16"/>
                <w:szCs w:val="16"/>
              </w:rPr>
              <w:t xml:space="preserve">asymmetries and </w:t>
            </w:r>
            <w:r w:rsidR="00591FEE" w:rsidRPr="00767A17">
              <w:rPr>
                <w:sz w:val="16"/>
                <w:szCs w:val="16"/>
              </w:rPr>
              <w:t>search and transaction costs</w:t>
            </w:r>
            <w:r w:rsidR="00E54F45">
              <w:rPr>
                <w:sz w:val="16"/>
                <w:szCs w:val="16"/>
              </w:rPr>
              <w:t xml:space="preserve"> </w:t>
            </w:r>
          </w:p>
        </w:tc>
        <w:tc>
          <w:tcPr>
            <w:tcW w:w="2343" w:type="dxa"/>
            <w:tcBorders>
              <w:right w:val="nil"/>
            </w:tcBorders>
            <w:shd w:val="clear" w:color="auto" w:fill="92D050"/>
          </w:tcPr>
          <w:p w14:paraId="51F7A37A" w14:textId="77777777" w:rsidR="00591FEE" w:rsidRPr="00767A17" w:rsidRDefault="0012449E" w:rsidP="00237A33">
            <w:pPr>
              <w:pStyle w:val="TableBodyText"/>
              <w:keepNext/>
              <w:spacing w:before="40" w:after="40"/>
              <w:rPr>
                <w:sz w:val="16"/>
                <w:szCs w:val="16"/>
              </w:rPr>
            </w:pPr>
            <w:r>
              <w:rPr>
                <w:sz w:val="16"/>
                <w:szCs w:val="16"/>
              </w:rPr>
              <w:t xml:space="preserve">Material </w:t>
            </w:r>
            <w:r w:rsidR="001C4FBC">
              <w:rPr>
                <w:sz w:val="16"/>
                <w:szCs w:val="16"/>
              </w:rPr>
              <w:t>i</w:t>
            </w:r>
            <w:r w:rsidR="00591FEE" w:rsidRPr="00767A17">
              <w:rPr>
                <w:sz w:val="16"/>
                <w:szCs w:val="16"/>
              </w:rPr>
              <w:t>mprove</w:t>
            </w:r>
            <w:r w:rsidR="001C4FBC">
              <w:rPr>
                <w:sz w:val="16"/>
                <w:szCs w:val="16"/>
              </w:rPr>
              <w:t>ment in</w:t>
            </w:r>
            <w:r w:rsidR="00591FEE" w:rsidRPr="00767A17">
              <w:rPr>
                <w:sz w:val="16"/>
                <w:szCs w:val="16"/>
              </w:rPr>
              <w:t xml:space="preserve"> bargaining power</w:t>
            </w:r>
          </w:p>
        </w:tc>
      </w:tr>
      <w:tr w:rsidR="006725D5" w:rsidRPr="00A3618A" w14:paraId="4319CADF" w14:textId="77777777" w:rsidTr="00591FEE">
        <w:tc>
          <w:tcPr>
            <w:tcW w:w="8788" w:type="dxa"/>
            <w:gridSpan w:val="4"/>
            <w:tcBorders>
              <w:bottom w:val="single" w:sz="4" w:space="0" w:color="auto"/>
            </w:tcBorders>
            <w:shd w:val="clear" w:color="auto" w:fill="65697F" w:themeFill="background2" w:themeFillShade="80"/>
          </w:tcPr>
          <w:p w14:paraId="627BD150" w14:textId="77777777" w:rsidR="006725D5" w:rsidRPr="00A3618A" w:rsidRDefault="006725D5" w:rsidP="00237A33">
            <w:pPr>
              <w:pStyle w:val="TableBodyText"/>
              <w:keepNext/>
              <w:spacing w:before="40" w:after="40"/>
              <w:jc w:val="center"/>
              <w:rPr>
                <w:b/>
                <w:bCs/>
                <w:color w:val="FFFFFF" w:themeColor="background1"/>
                <w:sz w:val="16"/>
                <w:szCs w:val="16"/>
              </w:rPr>
            </w:pPr>
            <w:r w:rsidRPr="00A3618A">
              <w:rPr>
                <w:b/>
                <w:bCs/>
                <w:color w:val="FFFFFF" w:themeColor="background1"/>
                <w:sz w:val="16"/>
                <w:szCs w:val="16"/>
              </w:rPr>
              <w:t>Options 3B and 4</w:t>
            </w:r>
            <w:r w:rsidR="0073654C">
              <w:rPr>
                <w:b/>
                <w:bCs/>
                <w:color w:val="FFFFFF" w:themeColor="background1"/>
                <w:sz w:val="16"/>
                <w:szCs w:val="16"/>
              </w:rPr>
              <w:t xml:space="preserve"> (open access)</w:t>
            </w:r>
          </w:p>
        </w:tc>
      </w:tr>
      <w:tr w:rsidR="006725D5" w:rsidRPr="00C00780" w14:paraId="033C442A" w14:textId="77777777" w:rsidTr="00DA543E">
        <w:trPr>
          <w:cnfStyle w:val="000000010000" w:firstRow="0" w:lastRow="0" w:firstColumn="0" w:lastColumn="0" w:oddVBand="0" w:evenVBand="0" w:oddHBand="0" w:evenHBand="1" w:firstRowFirstColumn="0" w:firstRowLastColumn="0" w:lastRowFirstColumn="0" w:lastRowLastColumn="0"/>
        </w:trPr>
        <w:tc>
          <w:tcPr>
            <w:tcW w:w="1759" w:type="dxa"/>
            <w:tcBorders>
              <w:bottom w:val="single" w:sz="4" w:space="0" w:color="auto"/>
            </w:tcBorders>
            <w:shd w:val="clear" w:color="auto" w:fill="FFFFFF" w:themeFill="background1"/>
          </w:tcPr>
          <w:p w14:paraId="4F889A90" w14:textId="77777777" w:rsidR="006725D5" w:rsidRPr="00767A17" w:rsidRDefault="006725D5" w:rsidP="00237A33">
            <w:pPr>
              <w:pStyle w:val="TableBodyText"/>
              <w:keepNext/>
              <w:spacing w:before="40" w:after="40"/>
              <w:rPr>
                <w:sz w:val="16"/>
                <w:szCs w:val="16"/>
              </w:rPr>
            </w:pPr>
            <w:r w:rsidRPr="00767A17">
              <w:rPr>
                <w:sz w:val="16"/>
                <w:szCs w:val="16"/>
              </w:rPr>
              <w:t>Service providers</w:t>
            </w:r>
          </w:p>
        </w:tc>
        <w:tc>
          <w:tcPr>
            <w:tcW w:w="2343" w:type="dxa"/>
            <w:tcBorders>
              <w:bottom w:val="single" w:sz="4" w:space="0" w:color="auto"/>
            </w:tcBorders>
            <w:shd w:val="clear" w:color="auto" w:fill="FFCC00"/>
          </w:tcPr>
          <w:p w14:paraId="469E6014" w14:textId="77777777" w:rsidR="006725D5" w:rsidRPr="00767A17" w:rsidRDefault="008819C2" w:rsidP="00237A33">
            <w:pPr>
              <w:pStyle w:val="TableBodyText"/>
              <w:keepNext/>
              <w:spacing w:before="40" w:after="40"/>
              <w:rPr>
                <w:sz w:val="16"/>
                <w:szCs w:val="16"/>
              </w:rPr>
            </w:pPr>
            <w:r>
              <w:rPr>
                <w:sz w:val="16"/>
                <w:szCs w:val="16"/>
              </w:rPr>
              <w:t xml:space="preserve">Moderate reduction in </w:t>
            </w:r>
            <w:r w:rsidRPr="00767A17">
              <w:rPr>
                <w:sz w:val="16"/>
                <w:szCs w:val="16"/>
              </w:rPr>
              <w:t xml:space="preserve">barriers </w:t>
            </w:r>
            <w:r>
              <w:rPr>
                <w:sz w:val="16"/>
                <w:szCs w:val="16"/>
              </w:rPr>
              <w:t xml:space="preserve">to </w:t>
            </w:r>
            <w:r w:rsidRPr="00767A17">
              <w:rPr>
                <w:sz w:val="16"/>
                <w:szCs w:val="16"/>
              </w:rPr>
              <w:t>entry</w:t>
            </w:r>
            <w:r>
              <w:rPr>
                <w:sz w:val="16"/>
                <w:szCs w:val="16"/>
              </w:rPr>
              <w:t xml:space="preserve"> (i.e. due to constraints on dynamic market power)</w:t>
            </w:r>
          </w:p>
        </w:tc>
        <w:tc>
          <w:tcPr>
            <w:tcW w:w="2343" w:type="dxa"/>
            <w:tcBorders>
              <w:bottom w:val="single" w:sz="4" w:space="0" w:color="auto"/>
            </w:tcBorders>
          </w:tcPr>
          <w:p w14:paraId="44D8A9F8" w14:textId="77777777" w:rsidR="006725D5" w:rsidRPr="009A27D9" w:rsidRDefault="00FC434D" w:rsidP="00237A33">
            <w:pPr>
              <w:pStyle w:val="TableBodyText"/>
              <w:keepNext/>
              <w:spacing w:before="40" w:after="40"/>
              <w:rPr>
                <w:sz w:val="16"/>
                <w:szCs w:val="16"/>
              </w:rPr>
            </w:pPr>
            <w:r w:rsidRPr="009A27D9">
              <w:rPr>
                <w:sz w:val="16"/>
                <w:szCs w:val="16"/>
              </w:rPr>
              <w:t>No impact</w:t>
            </w:r>
          </w:p>
        </w:tc>
        <w:tc>
          <w:tcPr>
            <w:tcW w:w="2343" w:type="dxa"/>
            <w:tcBorders>
              <w:bottom w:val="single" w:sz="4" w:space="0" w:color="auto"/>
            </w:tcBorders>
            <w:shd w:val="clear" w:color="auto" w:fill="92D050"/>
          </w:tcPr>
          <w:p w14:paraId="46FD6C9B" w14:textId="77777777" w:rsidR="006725D5" w:rsidRPr="00767A17" w:rsidRDefault="0012449E" w:rsidP="00237A33">
            <w:pPr>
              <w:pStyle w:val="TableBodyText"/>
              <w:keepNext/>
              <w:spacing w:before="40" w:after="40"/>
              <w:rPr>
                <w:sz w:val="16"/>
                <w:szCs w:val="16"/>
              </w:rPr>
            </w:pPr>
            <w:r>
              <w:rPr>
                <w:sz w:val="16"/>
                <w:szCs w:val="16"/>
              </w:rPr>
              <w:t>Material</w:t>
            </w:r>
            <w:r w:rsidR="00CA0EF8">
              <w:rPr>
                <w:sz w:val="16"/>
                <w:szCs w:val="16"/>
              </w:rPr>
              <w:t xml:space="preserve"> reduction in </w:t>
            </w:r>
            <w:r w:rsidR="00FC434D" w:rsidRPr="00767A17">
              <w:rPr>
                <w:sz w:val="16"/>
                <w:szCs w:val="16"/>
              </w:rPr>
              <w:t>bargaining power</w:t>
            </w:r>
            <w:r w:rsidR="00FC434D">
              <w:rPr>
                <w:sz w:val="16"/>
                <w:szCs w:val="16"/>
              </w:rPr>
              <w:t xml:space="preserve"> as a result of greater constraints on market power</w:t>
            </w:r>
          </w:p>
        </w:tc>
      </w:tr>
      <w:tr w:rsidR="006725D5" w:rsidRPr="00C00780" w14:paraId="45693B96" w14:textId="77777777" w:rsidTr="00DA543E">
        <w:tc>
          <w:tcPr>
            <w:tcW w:w="1759" w:type="dxa"/>
            <w:shd w:val="clear" w:color="auto" w:fill="FFFFFF" w:themeFill="background1"/>
          </w:tcPr>
          <w:p w14:paraId="3A0FA82B" w14:textId="77777777" w:rsidR="006725D5" w:rsidRPr="00767A17" w:rsidRDefault="006725D5" w:rsidP="00237A33">
            <w:pPr>
              <w:pStyle w:val="TableBodyText"/>
              <w:keepNext/>
              <w:spacing w:before="40" w:after="40"/>
              <w:rPr>
                <w:sz w:val="16"/>
                <w:szCs w:val="16"/>
              </w:rPr>
            </w:pPr>
            <w:r>
              <w:rPr>
                <w:sz w:val="16"/>
                <w:szCs w:val="16"/>
              </w:rPr>
              <w:t>Participants in upstream and downstream markets</w:t>
            </w:r>
          </w:p>
        </w:tc>
        <w:tc>
          <w:tcPr>
            <w:tcW w:w="2343" w:type="dxa"/>
            <w:shd w:val="clear" w:color="auto" w:fill="92D050"/>
          </w:tcPr>
          <w:p w14:paraId="05B35A36" w14:textId="77777777" w:rsidR="006725D5" w:rsidRPr="00890E06" w:rsidRDefault="0012449E" w:rsidP="00237A33">
            <w:pPr>
              <w:pStyle w:val="TableBodyText"/>
              <w:keepNext/>
              <w:spacing w:before="40" w:after="40"/>
              <w:rPr>
                <w:sz w:val="16"/>
                <w:szCs w:val="16"/>
              </w:rPr>
            </w:pPr>
            <w:r>
              <w:rPr>
                <w:sz w:val="16"/>
                <w:szCs w:val="16"/>
              </w:rPr>
              <w:t>Material</w:t>
            </w:r>
            <w:r w:rsidR="006725D5" w:rsidRPr="00890E06">
              <w:rPr>
                <w:sz w:val="16"/>
                <w:szCs w:val="16"/>
              </w:rPr>
              <w:t xml:space="preserve"> </w:t>
            </w:r>
            <w:r w:rsidR="0073654C" w:rsidRPr="00890E06">
              <w:rPr>
                <w:sz w:val="16"/>
                <w:szCs w:val="16"/>
              </w:rPr>
              <w:t xml:space="preserve">reduction in </w:t>
            </w:r>
            <w:r w:rsidR="006725D5" w:rsidRPr="00890E06">
              <w:rPr>
                <w:sz w:val="16"/>
                <w:szCs w:val="16"/>
              </w:rPr>
              <w:t>barriers to entry</w:t>
            </w:r>
            <w:r w:rsidR="00890E06">
              <w:rPr>
                <w:sz w:val="16"/>
                <w:szCs w:val="16"/>
              </w:rPr>
              <w:t xml:space="preserve"> (i.e. </w:t>
            </w:r>
            <w:r w:rsidR="00E92D5A">
              <w:rPr>
                <w:sz w:val="16"/>
                <w:szCs w:val="16"/>
              </w:rPr>
              <w:t>because all pipelines to provide third party access if it is sought)</w:t>
            </w:r>
          </w:p>
        </w:tc>
        <w:tc>
          <w:tcPr>
            <w:tcW w:w="2343" w:type="dxa"/>
            <w:shd w:val="clear" w:color="auto" w:fill="92D050"/>
          </w:tcPr>
          <w:p w14:paraId="4C9872E7" w14:textId="77777777" w:rsidR="006725D5" w:rsidRPr="00767A17" w:rsidRDefault="0012449E" w:rsidP="00237A33">
            <w:pPr>
              <w:pStyle w:val="TableBodyText"/>
              <w:keepNext/>
              <w:spacing w:before="40" w:after="40"/>
              <w:rPr>
                <w:sz w:val="16"/>
                <w:szCs w:val="16"/>
              </w:rPr>
            </w:pPr>
            <w:r>
              <w:rPr>
                <w:sz w:val="16"/>
                <w:szCs w:val="16"/>
              </w:rPr>
              <w:t>Material</w:t>
            </w:r>
            <w:r w:rsidR="00A07538">
              <w:rPr>
                <w:sz w:val="16"/>
                <w:szCs w:val="16"/>
              </w:rPr>
              <w:t xml:space="preserve"> reduction in information asymmetries and </w:t>
            </w:r>
            <w:r w:rsidR="00A07538" w:rsidRPr="00767A17">
              <w:rPr>
                <w:sz w:val="16"/>
                <w:szCs w:val="16"/>
              </w:rPr>
              <w:t>search and transaction costs</w:t>
            </w:r>
          </w:p>
        </w:tc>
        <w:tc>
          <w:tcPr>
            <w:tcW w:w="2343" w:type="dxa"/>
            <w:tcBorders>
              <w:right w:val="nil"/>
            </w:tcBorders>
            <w:shd w:val="clear" w:color="auto" w:fill="92D050"/>
          </w:tcPr>
          <w:p w14:paraId="0F7CE4FB" w14:textId="77777777" w:rsidR="006725D5" w:rsidRPr="00767A17" w:rsidRDefault="0012449E" w:rsidP="00237A33">
            <w:pPr>
              <w:pStyle w:val="TableBodyText"/>
              <w:keepNext/>
              <w:spacing w:before="40" w:after="40"/>
              <w:rPr>
                <w:sz w:val="16"/>
                <w:szCs w:val="16"/>
              </w:rPr>
            </w:pPr>
            <w:r>
              <w:rPr>
                <w:sz w:val="16"/>
                <w:szCs w:val="16"/>
              </w:rPr>
              <w:t xml:space="preserve">Material </w:t>
            </w:r>
            <w:r w:rsidR="00A07538">
              <w:rPr>
                <w:sz w:val="16"/>
                <w:szCs w:val="16"/>
              </w:rPr>
              <w:t>i</w:t>
            </w:r>
            <w:r w:rsidR="00A07538" w:rsidRPr="00767A17">
              <w:rPr>
                <w:sz w:val="16"/>
                <w:szCs w:val="16"/>
              </w:rPr>
              <w:t>mprove</w:t>
            </w:r>
            <w:r w:rsidR="00A07538">
              <w:rPr>
                <w:sz w:val="16"/>
                <w:szCs w:val="16"/>
              </w:rPr>
              <w:t>ment in</w:t>
            </w:r>
            <w:r w:rsidR="00A07538" w:rsidRPr="00767A17">
              <w:rPr>
                <w:sz w:val="16"/>
                <w:szCs w:val="16"/>
              </w:rPr>
              <w:t xml:space="preserve"> bargaining power</w:t>
            </w:r>
          </w:p>
        </w:tc>
      </w:tr>
    </w:tbl>
    <w:p w14:paraId="711FD17D" w14:textId="1AAE601A" w:rsidR="000C103E" w:rsidRDefault="009A20D2" w:rsidP="002D2715">
      <w:pPr>
        <w:pStyle w:val="BodyText"/>
      </w:pPr>
      <w:r>
        <w:t>Importantly</w:t>
      </w:r>
      <w:r w:rsidR="008C3AF4">
        <w:t xml:space="preserve">, as </w:t>
      </w:r>
      <w:r w:rsidR="008C3AF4">
        <w:fldChar w:fldCharType="begin" w:fldLock="1"/>
      </w:r>
      <w:r w:rsidR="008C3AF4">
        <w:instrText xml:space="preserve"> REF _Ref50225316 \h </w:instrText>
      </w:r>
      <w:r w:rsidR="008C3AF4">
        <w:fldChar w:fldCharType="separate"/>
      </w:r>
      <w:r w:rsidR="00036405">
        <w:t xml:space="preserve">Table </w:t>
      </w:r>
      <w:r w:rsidR="00036405">
        <w:rPr>
          <w:noProof/>
        </w:rPr>
        <w:t>9</w:t>
      </w:r>
      <w:r w:rsidR="00036405">
        <w:t>.</w:t>
      </w:r>
      <w:r w:rsidR="00036405">
        <w:rPr>
          <w:noProof/>
        </w:rPr>
        <w:t>9</w:t>
      </w:r>
      <w:r w:rsidR="008C3AF4">
        <w:fldChar w:fldCharType="end"/>
      </w:r>
      <w:r w:rsidR="008C3AF4">
        <w:t xml:space="preserve"> shows, </w:t>
      </w:r>
      <w:r w:rsidR="002D2715" w:rsidRPr="00146D83">
        <w:rPr>
          <w:b/>
          <w:bCs/>
        </w:rPr>
        <w:t>none</w:t>
      </w:r>
      <w:r w:rsidR="002D2715" w:rsidRPr="00C00780">
        <w:t xml:space="preserve"> of the reform options involve changes that </w:t>
      </w:r>
      <w:r w:rsidR="009942C3">
        <w:t>are expected to</w:t>
      </w:r>
      <w:r w:rsidR="000C103E">
        <w:t>:</w:t>
      </w:r>
    </w:p>
    <w:p w14:paraId="6CB4AD1B" w14:textId="77777777" w:rsidR="000C103E" w:rsidRDefault="000C103E" w:rsidP="00AD36B8">
      <w:pPr>
        <w:pStyle w:val="ListBullet"/>
      </w:pPr>
      <w:r>
        <w:lastRenderedPageBreak/>
        <w:t>limit the number or types of service providers (existing or prospective)</w:t>
      </w:r>
      <w:r w:rsidR="001628C1">
        <w:t>,</w:t>
      </w:r>
      <w:r>
        <w:t xml:space="preserve"> or participants in upstream or downstream markets;</w:t>
      </w:r>
    </w:p>
    <w:p w14:paraId="6A61D905" w14:textId="77777777" w:rsidR="000C103E" w:rsidRDefault="000C103E" w:rsidP="00AD36B8">
      <w:pPr>
        <w:pStyle w:val="ListBullet"/>
      </w:pPr>
      <w:r>
        <w:t>limit the ability of service providers (existing or prospective)</w:t>
      </w:r>
      <w:r w:rsidR="001628C1">
        <w:t>,</w:t>
      </w:r>
      <w:r>
        <w:t xml:space="preserve"> or participants in upstream or downstream markets</w:t>
      </w:r>
      <w:r w:rsidR="001628C1">
        <w:t>,</w:t>
      </w:r>
      <w:r>
        <w:t xml:space="preserve"> to compete</w:t>
      </w:r>
      <w:r w:rsidR="001628C1">
        <w:t xml:space="preserve"> (where competition is feasible)</w:t>
      </w:r>
      <w:r>
        <w:t>;</w:t>
      </w:r>
    </w:p>
    <w:p w14:paraId="46CF8A87" w14:textId="77777777" w:rsidR="000C103E" w:rsidRDefault="000C103E" w:rsidP="00AD36B8">
      <w:pPr>
        <w:pStyle w:val="ListBullet"/>
      </w:pPr>
      <w:r>
        <w:t>reduce the incentive for service providers (existing or prospective)</w:t>
      </w:r>
      <w:r w:rsidR="001628C1">
        <w:t>,</w:t>
      </w:r>
      <w:r>
        <w:t xml:space="preserve"> or participants in upstream or downstream markets</w:t>
      </w:r>
      <w:r w:rsidR="001628C1">
        <w:t>,</w:t>
      </w:r>
      <w:r>
        <w:t xml:space="preserve"> to compete</w:t>
      </w:r>
      <w:r w:rsidR="001628C1">
        <w:t xml:space="preserve"> (where competition is feasible)</w:t>
      </w:r>
      <w:r>
        <w:t>; or</w:t>
      </w:r>
    </w:p>
    <w:p w14:paraId="23024499" w14:textId="77777777" w:rsidR="000C103E" w:rsidRDefault="000C103E" w:rsidP="00AD36B8">
      <w:pPr>
        <w:pStyle w:val="ListBullet"/>
      </w:pPr>
      <w:r>
        <w:t>limit the choices available to shippers</w:t>
      </w:r>
      <w:r w:rsidR="00B53864">
        <w:t xml:space="preserve"> or the information required by shippers to </w:t>
      </w:r>
      <w:r w:rsidR="00E517FB">
        <w:t>negotiate effectively</w:t>
      </w:r>
      <w:r>
        <w:t xml:space="preserve">. </w:t>
      </w:r>
    </w:p>
    <w:p w14:paraId="290E561C" w14:textId="77777777" w:rsidR="00AC2AA2" w:rsidRPr="00C00780" w:rsidRDefault="00AC2AA2" w:rsidP="00A25447">
      <w:pPr>
        <w:pStyle w:val="BodyText"/>
        <w:spacing w:before="60" w:after="60"/>
      </w:pPr>
      <w:r w:rsidRPr="00C00780">
        <w:t xml:space="preserve">To the contrary, reform options </w:t>
      </w:r>
      <w:r>
        <w:t xml:space="preserve">3A, 3B and 4 and, to a lesser extent Option 2, </w:t>
      </w:r>
      <w:r w:rsidRPr="00C00780">
        <w:t>are</w:t>
      </w:r>
      <w:r>
        <w:t xml:space="preserve"> </w:t>
      </w:r>
      <w:r w:rsidRPr="00C00780">
        <w:t>expected to:</w:t>
      </w:r>
    </w:p>
    <w:p w14:paraId="260A3050" w14:textId="77777777" w:rsidR="00AC2AA2" w:rsidRPr="00DE2D17" w:rsidRDefault="00AC2AA2" w:rsidP="00AD36B8">
      <w:pPr>
        <w:pStyle w:val="ListBullet"/>
        <w:numPr>
          <w:ilvl w:val="0"/>
          <w:numId w:val="83"/>
        </w:numPr>
        <w:rPr>
          <w:rFonts w:ascii="Symbol" w:hAnsi="Symbol"/>
        </w:rPr>
      </w:pPr>
      <w:r w:rsidRPr="00C00780">
        <w:t xml:space="preserve">mimic the outcomes of a workably competitive market </w:t>
      </w:r>
      <w:r>
        <w:t xml:space="preserve">for </w:t>
      </w:r>
      <w:r w:rsidRPr="00C00780">
        <w:t xml:space="preserve">transportation </w:t>
      </w:r>
      <w:r>
        <w:t>services (i.e</w:t>
      </w:r>
      <w:r w:rsidR="0098680D">
        <w:t>.</w:t>
      </w:r>
      <w:r>
        <w:t xml:space="preserve"> by posing more of a constraint on exercises of market power by service providers and strengthening the bargaining power of shippers);</w:t>
      </w:r>
    </w:p>
    <w:p w14:paraId="6FEC331E" w14:textId="77777777" w:rsidR="00AC2AA2" w:rsidRPr="0087033E" w:rsidRDefault="00AC2AA2" w:rsidP="00AD36B8">
      <w:pPr>
        <w:pStyle w:val="ListBullet"/>
        <w:numPr>
          <w:ilvl w:val="0"/>
          <w:numId w:val="83"/>
        </w:numPr>
        <w:rPr>
          <w:rFonts w:ascii="Symbol" w:hAnsi="Symbol"/>
        </w:rPr>
      </w:pPr>
      <w:r w:rsidRPr="00C00780">
        <w:t xml:space="preserve">facilitate </w:t>
      </w:r>
      <w:r>
        <w:t xml:space="preserve">more </w:t>
      </w:r>
      <w:r w:rsidRPr="00C00780">
        <w:t>competition in upstream and downstream markets by</w:t>
      </w:r>
      <w:r>
        <w:t>:</w:t>
      </w:r>
    </w:p>
    <w:p w14:paraId="5371FFBB" w14:textId="77777777" w:rsidR="00AC2AA2" w:rsidRPr="0087033E" w:rsidRDefault="00AC2AA2" w:rsidP="00AD36B8">
      <w:pPr>
        <w:pStyle w:val="ListBullet2"/>
        <w:rPr>
          <w:rFonts w:ascii="Symbol" w:hAnsi="Symbol"/>
        </w:rPr>
      </w:pPr>
      <w:r>
        <w:t>providing for access to pipelines on better price and non-price terms and conditions; and</w:t>
      </w:r>
    </w:p>
    <w:p w14:paraId="576C9042" w14:textId="77777777" w:rsidR="00AC2AA2" w:rsidRPr="0087033E" w:rsidRDefault="00AC2AA2" w:rsidP="00AD36B8">
      <w:pPr>
        <w:pStyle w:val="ListBullet2"/>
        <w:rPr>
          <w:rFonts w:ascii="Symbol" w:hAnsi="Symbol"/>
        </w:rPr>
      </w:pPr>
      <w:r w:rsidRPr="00C00780">
        <w:t xml:space="preserve">reducing the barriers to entry </w:t>
      </w:r>
      <w:r>
        <w:t xml:space="preserve">that access to pipelines and the price and non-price terms and conditions of access may otherwise pose in these markets; and </w:t>
      </w:r>
    </w:p>
    <w:p w14:paraId="7AE72052" w14:textId="77777777" w:rsidR="00AC2AA2" w:rsidRDefault="00AC2AA2" w:rsidP="00AD36B8">
      <w:pPr>
        <w:pStyle w:val="ListBullet"/>
      </w:pPr>
      <w:r>
        <w:t xml:space="preserve">provide shippers with </w:t>
      </w:r>
      <w:r w:rsidR="002A4290">
        <w:t xml:space="preserve">choice and </w:t>
      </w:r>
      <w:r>
        <w:t xml:space="preserve">access to </w:t>
      </w:r>
      <w:r w:rsidR="002A4290">
        <w:t xml:space="preserve">better </w:t>
      </w:r>
      <w:r>
        <w:t xml:space="preserve">information. </w:t>
      </w:r>
    </w:p>
    <w:p w14:paraId="0FCFDCA8" w14:textId="77777777" w:rsidR="00AC2AA2" w:rsidRDefault="00AC2AA2" w:rsidP="00AC2AA2">
      <w:pPr>
        <w:pStyle w:val="BodyText"/>
        <w:rPr>
          <w:rStyle w:val="Hyperlink"/>
          <w:u w:val="none"/>
        </w:rPr>
      </w:pPr>
      <w:r>
        <w:rPr>
          <w:rStyle w:val="Hyperlink"/>
          <w:u w:val="none"/>
        </w:rPr>
        <w:t>Reform options 3A, 3B and 4 are also expected to facilitate more competition between existing and prospective service providers for the development of new capacity</w:t>
      </w:r>
      <w:r w:rsidR="00237A33">
        <w:rPr>
          <w:rStyle w:val="Hyperlink"/>
          <w:u w:val="none"/>
        </w:rPr>
        <w:t>.</w:t>
      </w:r>
      <w:r>
        <w:rPr>
          <w:rStyle w:val="Hyperlink"/>
          <w:u w:val="none"/>
        </w:rPr>
        <w:t xml:space="preserve"> </w:t>
      </w:r>
    </w:p>
    <w:p w14:paraId="3450DE0B" w14:textId="668FBB43" w:rsidR="00E358E6" w:rsidRPr="00C00780" w:rsidRDefault="00E358E6" w:rsidP="006C42D8">
      <w:pPr>
        <w:pStyle w:val="Caption"/>
        <w:spacing w:after="0"/>
      </w:pPr>
      <w:bookmarkStart w:id="224" w:name="_Ref50225316"/>
      <w:r>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9</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9</w:t>
      </w:r>
      <w:r w:rsidR="00F323B2">
        <w:rPr>
          <w:noProof/>
        </w:rPr>
        <w:fldChar w:fldCharType="end"/>
      </w:r>
      <w:bookmarkEnd w:id="224"/>
      <w:r>
        <w:t xml:space="preserve">: </w:t>
      </w:r>
      <w:r w:rsidR="0051723C">
        <w:t>Impact of</w:t>
      </w:r>
      <w:r w:rsidR="007E510E">
        <w:t xml:space="preserve"> the reform options </w:t>
      </w:r>
      <w:r w:rsidR="0051723C">
        <w:t>on competition</w:t>
      </w:r>
    </w:p>
    <w:tbl>
      <w:tblPr>
        <w:tblStyle w:val="TableGrid"/>
        <w:tblW w:w="5000" w:type="pct"/>
        <w:tblLook w:val="0420" w:firstRow="1" w:lastRow="0" w:firstColumn="0" w:lastColumn="0" w:noHBand="0" w:noVBand="1"/>
      </w:tblPr>
      <w:tblGrid>
        <w:gridCol w:w="1278"/>
        <w:gridCol w:w="7510"/>
      </w:tblGrid>
      <w:tr w:rsidR="00C8238F" w:rsidRPr="00297D3D" w14:paraId="266E1997" w14:textId="77777777" w:rsidTr="00C8238F">
        <w:trPr>
          <w:cnfStyle w:val="100000000000" w:firstRow="1" w:lastRow="0" w:firstColumn="0" w:lastColumn="0" w:oddVBand="0" w:evenVBand="0" w:oddHBand="0" w:evenHBand="0" w:firstRowFirstColumn="0" w:firstRowLastColumn="0" w:lastRowFirstColumn="0" w:lastRowLastColumn="0"/>
          <w:tblHeader/>
        </w:trPr>
        <w:tc>
          <w:tcPr>
            <w:tcW w:w="727" w:type="pct"/>
            <w:tcBorders>
              <w:bottom w:val="single" w:sz="4" w:space="0" w:color="auto"/>
            </w:tcBorders>
            <w:shd w:val="clear" w:color="auto" w:fill="002060"/>
          </w:tcPr>
          <w:p w14:paraId="1D630AA3" w14:textId="77777777" w:rsidR="00C8238F" w:rsidRPr="00297D3D" w:rsidRDefault="00A25447" w:rsidP="00297D3D">
            <w:pPr>
              <w:pStyle w:val="TableHeading"/>
              <w:keepNext/>
              <w:spacing w:before="40" w:after="40"/>
              <w:rPr>
                <w:szCs w:val="18"/>
              </w:rPr>
            </w:pPr>
            <w:r>
              <w:rPr>
                <w:szCs w:val="18"/>
              </w:rPr>
              <w:t>Impact</w:t>
            </w:r>
          </w:p>
        </w:tc>
        <w:tc>
          <w:tcPr>
            <w:tcW w:w="4273" w:type="pct"/>
            <w:tcBorders>
              <w:bottom w:val="single" w:sz="4" w:space="0" w:color="auto"/>
            </w:tcBorders>
            <w:shd w:val="clear" w:color="auto" w:fill="002060"/>
          </w:tcPr>
          <w:p w14:paraId="7B9BE35B" w14:textId="77777777" w:rsidR="00C8238F" w:rsidRPr="00297D3D" w:rsidRDefault="00C8238F" w:rsidP="00297D3D">
            <w:pPr>
              <w:pStyle w:val="TableHeading"/>
              <w:keepNext/>
              <w:spacing w:before="40" w:after="40"/>
              <w:rPr>
                <w:szCs w:val="18"/>
              </w:rPr>
            </w:pPr>
            <w:r w:rsidRPr="00297D3D">
              <w:rPr>
                <w:szCs w:val="18"/>
              </w:rPr>
              <w:t xml:space="preserve">Observations </w:t>
            </w:r>
          </w:p>
        </w:tc>
      </w:tr>
      <w:tr w:rsidR="00F91CFD" w:rsidRPr="00297D3D" w14:paraId="2AC6CD9D" w14:textId="77777777" w:rsidTr="00F91CFD">
        <w:tc>
          <w:tcPr>
            <w:tcW w:w="727" w:type="pct"/>
          </w:tcPr>
          <w:p w14:paraId="68D86F53" w14:textId="77777777" w:rsidR="00F91CFD" w:rsidRPr="00297D3D" w:rsidRDefault="00F91CFD" w:rsidP="002C4F74">
            <w:pPr>
              <w:pStyle w:val="TableBodyText"/>
              <w:spacing w:before="40" w:after="40"/>
              <w:rPr>
                <w:szCs w:val="18"/>
              </w:rPr>
            </w:pPr>
            <w:r w:rsidRPr="00297D3D">
              <w:rPr>
                <w:b/>
                <w:bCs/>
                <w:szCs w:val="18"/>
              </w:rPr>
              <w:t>Limits on the number or type of businesses in the market</w:t>
            </w:r>
          </w:p>
        </w:tc>
        <w:tc>
          <w:tcPr>
            <w:tcW w:w="4273" w:type="pct"/>
          </w:tcPr>
          <w:p w14:paraId="5233A934" w14:textId="6F767FD8" w:rsidR="00455D05" w:rsidRDefault="00F91CFD" w:rsidP="002C4F74">
            <w:pPr>
              <w:pStyle w:val="TableBodyText"/>
              <w:spacing w:before="40" w:after="40"/>
              <w:rPr>
                <w:szCs w:val="18"/>
              </w:rPr>
            </w:pPr>
            <w:r w:rsidRPr="00297D3D">
              <w:rPr>
                <w:szCs w:val="18"/>
              </w:rPr>
              <w:t xml:space="preserve">None of the reform options are expected to result in a reduction in the number of service providers, or participants competing in upstream or downstream markets. That is, while the regulatory costs for service providers and shippers may increase, the increase is </w:t>
            </w:r>
            <w:r w:rsidR="00F25E61">
              <w:rPr>
                <w:szCs w:val="18"/>
              </w:rPr>
              <w:t xml:space="preserve">not </w:t>
            </w:r>
            <w:r w:rsidRPr="00297D3D">
              <w:rPr>
                <w:szCs w:val="18"/>
              </w:rPr>
              <w:t>expected</w:t>
            </w:r>
            <w:r w:rsidR="00F25E61">
              <w:rPr>
                <w:szCs w:val="18"/>
              </w:rPr>
              <w:t xml:space="preserve"> to impact on the viability of the </w:t>
            </w:r>
            <w:r w:rsidR="006143B0">
              <w:rPr>
                <w:szCs w:val="18"/>
              </w:rPr>
              <w:t xml:space="preserve">service providers </w:t>
            </w:r>
            <w:r w:rsidR="00F25E61">
              <w:rPr>
                <w:szCs w:val="18"/>
              </w:rPr>
              <w:t xml:space="preserve">to the extent that they </w:t>
            </w:r>
            <w:r w:rsidR="006143B0">
              <w:rPr>
                <w:szCs w:val="18"/>
              </w:rPr>
              <w:t xml:space="preserve">exit the market </w:t>
            </w:r>
            <w:r w:rsidRPr="00297D3D">
              <w:rPr>
                <w:szCs w:val="18"/>
              </w:rPr>
              <w:t xml:space="preserve">(see </w:t>
            </w:r>
            <w:r w:rsidRPr="00297D3D">
              <w:rPr>
                <w:szCs w:val="18"/>
              </w:rPr>
              <w:fldChar w:fldCharType="begin" w:fldLock="1"/>
            </w:r>
            <w:r w:rsidRPr="00297D3D">
              <w:rPr>
                <w:szCs w:val="18"/>
              </w:rPr>
              <w:instrText xml:space="preserve"> REF _Ref49956102 \h </w:instrText>
            </w:r>
            <w:r w:rsidR="00297D3D" w:rsidRPr="00297D3D">
              <w:rPr>
                <w:szCs w:val="18"/>
              </w:rPr>
              <w:instrText xml:space="preserve"> \* MERGEFORMAT </w:instrText>
            </w:r>
            <w:r w:rsidRPr="00297D3D">
              <w:rPr>
                <w:szCs w:val="18"/>
              </w:rPr>
            </w:r>
            <w:r w:rsidRPr="00297D3D">
              <w:rPr>
                <w:szCs w:val="18"/>
              </w:rPr>
              <w:fldChar w:fldCharType="separate"/>
            </w:r>
            <w:r w:rsidR="00036405" w:rsidRPr="00036405">
              <w:rPr>
                <w:szCs w:val="18"/>
              </w:rPr>
              <w:t xml:space="preserve">Table </w:t>
            </w:r>
            <w:r w:rsidR="00036405" w:rsidRPr="00036405">
              <w:rPr>
                <w:noProof/>
                <w:szCs w:val="18"/>
              </w:rPr>
              <w:t>9.7</w:t>
            </w:r>
            <w:r w:rsidRPr="00297D3D">
              <w:rPr>
                <w:szCs w:val="18"/>
              </w:rPr>
              <w:fldChar w:fldCharType="end"/>
            </w:r>
            <w:r w:rsidRPr="00297D3D">
              <w:rPr>
                <w:szCs w:val="18"/>
              </w:rPr>
              <w:t xml:space="preserve">). The reform options are not therefore expected to impose any additional barriers to entry </w:t>
            </w:r>
            <w:r w:rsidR="0056356C">
              <w:rPr>
                <w:szCs w:val="18"/>
              </w:rPr>
              <w:t xml:space="preserve">(or exit) </w:t>
            </w:r>
            <w:r w:rsidR="00FF0808">
              <w:rPr>
                <w:szCs w:val="18"/>
              </w:rPr>
              <w:t xml:space="preserve">to </w:t>
            </w:r>
            <w:r w:rsidR="0056356C">
              <w:rPr>
                <w:szCs w:val="18"/>
              </w:rPr>
              <w:t>service providers</w:t>
            </w:r>
            <w:r w:rsidRPr="00297D3D">
              <w:rPr>
                <w:szCs w:val="18"/>
              </w:rPr>
              <w:t xml:space="preserve"> or participants in upstream or downstream markets</w:t>
            </w:r>
            <w:r w:rsidR="00C64643">
              <w:rPr>
                <w:szCs w:val="18"/>
              </w:rPr>
              <w:t>, or limit their ability to provide services</w:t>
            </w:r>
            <w:r w:rsidRPr="00297D3D">
              <w:rPr>
                <w:szCs w:val="18"/>
              </w:rPr>
              <w:t xml:space="preserve">. Rather, </w:t>
            </w:r>
            <w:r w:rsidR="00455D05">
              <w:rPr>
                <w:szCs w:val="18"/>
              </w:rPr>
              <w:t>in the case of:</w:t>
            </w:r>
          </w:p>
          <w:p w14:paraId="22EF18DE" w14:textId="77777777" w:rsidR="00C5482F" w:rsidRDefault="00455D05" w:rsidP="002C4F74">
            <w:pPr>
              <w:pStyle w:val="TableBullet10"/>
            </w:pPr>
            <w:r w:rsidRPr="00E069A8">
              <w:rPr>
                <w:b/>
                <w:bCs/>
              </w:rPr>
              <w:t>Service providers</w:t>
            </w:r>
            <w:r>
              <w:t xml:space="preserve">, reform options </w:t>
            </w:r>
            <w:r w:rsidR="00F91CFD" w:rsidRPr="00297D3D">
              <w:t>3A, 3B and 4</w:t>
            </w:r>
            <w:r w:rsidR="00C5482F">
              <w:t xml:space="preserve"> are expected to reduce the barriers to entry for prospective service providers, by </w:t>
            </w:r>
            <w:r w:rsidR="00F91CFD" w:rsidRPr="00297D3D">
              <w:t>prevent</w:t>
            </w:r>
            <w:r w:rsidR="00C5482F">
              <w:t>ing</w:t>
            </w:r>
            <w:r w:rsidR="00F91CFD" w:rsidRPr="00297D3D">
              <w:t xml:space="preserve"> incumbent service providers from blocking competition from new pipelines</w:t>
            </w:r>
            <w:r w:rsidR="00D1071A">
              <w:t>.</w:t>
            </w:r>
          </w:p>
          <w:p w14:paraId="4999C27B" w14:textId="77777777" w:rsidR="00F91CFD" w:rsidRPr="00297D3D" w:rsidRDefault="003A30A4" w:rsidP="002C4F74">
            <w:pPr>
              <w:pStyle w:val="TableBullet10"/>
            </w:pPr>
            <w:r w:rsidRPr="00E069A8">
              <w:rPr>
                <w:b/>
                <w:bCs/>
              </w:rPr>
              <w:t>Participants in upstream and downstream markets</w:t>
            </w:r>
            <w:r>
              <w:t xml:space="preserve">, </w:t>
            </w:r>
            <w:r w:rsidR="009830DF">
              <w:t xml:space="preserve">all of </w:t>
            </w:r>
            <w:r>
              <w:t xml:space="preserve">the reform options are expected to reduce the barriers to entry </w:t>
            </w:r>
            <w:r w:rsidR="009047DB">
              <w:t>that access to pipelines</w:t>
            </w:r>
            <w:r w:rsidR="00B84EAF">
              <w:t xml:space="preserve"> and the </w:t>
            </w:r>
            <w:r w:rsidR="006C3F19">
              <w:t xml:space="preserve">price and non-price </w:t>
            </w:r>
            <w:r w:rsidR="00B84EAF">
              <w:t>terms and conditions of access</w:t>
            </w:r>
            <w:r w:rsidR="009047DB">
              <w:t xml:space="preserve"> may otherwise pose in these markets</w:t>
            </w:r>
            <w:r w:rsidR="00307356">
              <w:t>. T</w:t>
            </w:r>
            <w:r w:rsidR="00F12621">
              <w:t xml:space="preserve">he additional measures in </w:t>
            </w:r>
            <w:r w:rsidR="00C83763">
              <w:t xml:space="preserve">options 3A, 3B and 4 </w:t>
            </w:r>
            <w:r w:rsidR="00307356">
              <w:t xml:space="preserve">are </w:t>
            </w:r>
            <w:r w:rsidR="00C83763">
              <w:t xml:space="preserve">expected to result in </w:t>
            </w:r>
            <w:r w:rsidR="00F12621">
              <w:t xml:space="preserve">a </w:t>
            </w:r>
            <w:r w:rsidR="00F65D09">
              <w:t xml:space="preserve">greater </w:t>
            </w:r>
            <w:r w:rsidR="00C83763">
              <w:t xml:space="preserve">reduction in </w:t>
            </w:r>
            <w:r w:rsidR="00A44998">
              <w:t xml:space="preserve">these </w:t>
            </w:r>
            <w:r w:rsidR="00C83763">
              <w:t>barriers</w:t>
            </w:r>
            <w:r w:rsidR="00307356">
              <w:t>, by posing more of a constraint on exercises of market power</w:t>
            </w:r>
            <w:r w:rsidR="005D35E6">
              <w:t xml:space="preserve"> by service providers</w:t>
            </w:r>
            <w:r w:rsidR="00FF0808">
              <w:t>,</w:t>
            </w:r>
            <w:r w:rsidR="00361E5F">
              <w:t xml:space="preserve"> </w:t>
            </w:r>
            <w:r w:rsidR="00850793">
              <w:t>strengthening the bargaining power of shippers</w:t>
            </w:r>
            <w:r w:rsidR="00FF0808">
              <w:t xml:space="preserve"> and reducing information asymmetries and search and transaction costs</w:t>
            </w:r>
            <w:r w:rsidR="00E81D0D">
              <w:t xml:space="preserve"> for shippers</w:t>
            </w:r>
            <w:r w:rsidR="00D91A2D">
              <w:t xml:space="preserve">. </w:t>
            </w:r>
          </w:p>
        </w:tc>
      </w:tr>
      <w:tr w:rsidR="009350FD" w:rsidRPr="00297D3D" w14:paraId="066B214B" w14:textId="77777777" w:rsidTr="009350FD">
        <w:trPr>
          <w:cnfStyle w:val="000000010000" w:firstRow="0" w:lastRow="0" w:firstColumn="0" w:lastColumn="0" w:oddVBand="0" w:evenVBand="0" w:oddHBand="0" w:evenHBand="1" w:firstRowFirstColumn="0" w:firstRowLastColumn="0" w:lastRowFirstColumn="0" w:lastRowLastColumn="0"/>
        </w:trPr>
        <w:tc>
          <w:tcPr>
            <w:tcW w:w="727" w:type="pct"/>
            <w:tcBorders>
              <w:bottom w:val="single" w:sz="4" w:space="0" w:color="auto"/>
            </w:tcBorders>
          </w:tcPr>
          <w:p w14:paraId="27CACD37" w14:textId="77777777" w:rsidR="009350FD" w:rsidRPr="004B25CE" w:rsidRDefault="009350FD" w:rsidP="00A25447">
            <w:pPr>
              <w:pStyle w:val="TableBodyText"/>
              <w:spacing w:before="40" w:after="40"/>
              <w:rPr>
                <w:szCs w:val="18"/>
              </w:rPr>
            </w:pPr>
            <w:r w:rsidRPr="004B25CE">
              <w:rPr>
                <w:b/>
                <w:bCs/>
                <w:szCs w:val="18"/>
              </w:rPr>
              <w:t>Limits on the ability of businesses to compete</w:t>
            </w:r>
          </w:p>
        </w:tc>
        <w:tc>
          <w:tcPr>
            <w:tcW w:w="4273" w:type="pct"/>
            <w:tcBorders>
              <w:bottom w:val="single" w:sz="4" w:space="0" w:color="auto"/>
            </w:tcBorders>
          </w:tcPr>
          <w:p w14:paraId="2A2F6DE8" w14:textId="77777777" w:rsidR="0007201C" w:rsidRPr="004B25CE" w:rsidRDefault="001128AB" w:rsidP="00A25447">
            <w:pPr>
              <w:pStyle w:val="TableBodyText"/>
              <w:spacing w:before="40" w:after="40"/>
              <w:rPr>
                <w:szCs w:val="18"/>
              </w:rPr>
            </w:pPr>
            <w:r w:rsidRPr="004B25CE">
              <w:rPr>
                <w:szCs w:val="18"/>
              </w:rPr>
              <w:t xml:space="preserve">None of the reform options are expected to limit the ability of service providers or participants in upstream or downstream </w:t>
            </w:r>
            <w:r w:rsidR="00ED5AF0" w:rsidRPr="004B25CE">
              <w:rPr>
                <w:szCs w:val="18"/>
              </w:rPr>
              <w:t xml:space="preserve">markets to compete. </w:t>
            </w:r>
            <w:r w:rsidR="0007201C" w:rsidRPr="004B25CE">
              <w:rPr>
                <w:szCs w:val="18"/>
              </w:rPr>
              <w:t>Rather, in the case of:</w:t>
            </w:r>
          </w:p>
          <w:p w14:paraId="78981639" w14:textId="77777777" w:rsidR="0007201C" w:rsidRPr="004B25CE" w:rsidRDefault="0007201C" w:rsidP="00A25447">
            <w:pPr>
              <w:pStyle w:val="TableBullet10"/>
            </w:pPr>
            <w:r w:rsidRPr="00E069A8">
              <w:rPr>
                <w:b/>
                <w:bCs/>
              </w:rPr>
              <w:t>Service providers</w:t>
            </w:r>
            <w:r w:rsidR="00136946" w:rsidRPr="00E069A8">
              <w:rPr>
                <w:b/>
                <w:bCs/>
              </w:rPr>
              <w:t>,</w:t>
            </w:r>
            <w:r w:rsidR="00136946">
              <w:t xml:space="preserve"> w</w:t>
            </w:r>
            <w:r w:rsidRPr="004B25CE">
              <w:t xml:space="preserve">hile the </w:t>
            </w:r>
            <w:r w:rsidR="006F6B54">
              <w:t xml:space="preserve">reform </w:t>
            </w:r>
            <w:r w:rsidRPr="004B25CE">
              <w:t xml:space="preserve">options </w:t>
            </w:r>
            <w:r w:rsidR="00EA17C1">
              <w:t>would</w:t>
            </w:r>
            <w:r w:rsidRPr="004B25CE">
              <w:t xml:space="preserve"> lead to greater regulation </w:t>
            </w:r>
            <w:r w:rsidR="00017F9D">
              <w:t xml:space="preserve">of pipelines </w:t>
            </w:r>
            <w:r w:rsidRPr="004B25CE">
              <w:t xml:space="preserve">this is </w:t>
            </w:r>
            <w:r w:rsidR="00E81D0D">
              <w:t xml:space="preserve">expected </w:t>
            </w:r>
            <w:r w:rsidRPr="004B25CE">
              <w:t xml:space="preserve">to </w:t>
            </w:r>
            <w:r w:rsidR="00E069A8">
              <w:t xml:space="preserve">pose a constraint on the exercise of </w:t>
            </w:r>
            <w:r w:rsidRPr="004B25CE">
              <w:t xml:space="preserve">market power by </w:t>
            </w:r>
            <w:r w:rsidR="005A10CE">
              <w:t>service providers</w:t>
            </w:r>
            <w:r w:rsidRPr="004B25CE">
              <w:t xml:space="preserve"> and not to restrict their ability to compete (where competition is </w:t>
            </w:r>
            <w:r w:rsidR="00BB656A">
              <w:t>feasible</w:t>
            </w:r>
            <w:r w:rsidRPr="004B25CE">
              <w:t>)</w:t>
            </w:r>
            <w:r w:rsidR="00BE0F8F">
              <w:t>,</w:t>
            </w:r>
            <w:r w:rsidR="00D66EE2">
              <w:t xml:space="preserve"> or to set prices </w:t>
            </w:r>
            <w:r w:rsidR="00B636D3">
              <w:t xml:space="preserve">and other conditions </w:t>
            </w:r>
            <w:r w:rsidR="00BE0F8F">
              <w:t xml:space="preserve">that </w:t>
            </w:r>
            <w:r w:rsidR="00B636D3">
              <w:t xml:space="preserve">are consistent with </w:t>
            </w:r>
            <w:r w:rsidR="00BE0F8F">
              <w:t>what would occur in a workably competitive market</w:t>
            </w:r>
            <w:r w:rsidR="00AE293A">
              <w:t xml:space="preserve">. Nor is it </w:t>
            </w:r>
            <w:r w:rsidR="00E81D0D">
              <w:t xml:space="preserve">expected </w:t>
            </w:r>
            <w:r w:rsidR="00C43AE7">
              <w:t xml:space="preserve">to </w:t>
            </w:r>
            <w:r w:rsidR="00D1071A">
              <w:t xml:space="preserve">limit the ability of service providers to market their services, or to </w:t>
            </w:r>
            <w:r w:rsidR="00345BD8">
              <w:t xml:space="preserve">advantage </w:t>
            </w:r>
            <w:r w:rsidR="00D1071A">
              <w:t xml:space="preserve">some </w:t>
            </w:r>
            <w:r w:rsidR="002E0DB9">
              <w:t xml:space="preserve">service providers </w:t>
            </w:r>
            <w:r w:rsidR="00D1071A">
              <w:t>over others.</w:t>
            </w:r>
          </w:p>
          <w:p w14:paraId="7D998AB4" w14:textId="77777777" w:rsidR="009350FD" w:rsidRPr="004B25CE" w:rsidRDefault="0007201C" w:rsidP="00A25447">
            <w:pPr>
              <w:pStyle w:val="TableBullet10"/>
            </w:pPr>
            <w:r w:rsidRPr="00E069A8">
              <w:rPr>
                <w:b/>
                <w:bCs/>
              </w:rPr>
              <w:lastRenderedPageBreak/>
              <w:t>Participants in upstream and downstream markets</w:t>
            </w:r>
            <w:r w:rsidR="009A7BF8" w:rsidRPr="004B25CE">
              <w:t xml:space="preserve">, the reform options are expected </w:t>
            </w:r>
            <w:r w:rsidR="00C8238F" w:rsidRPr="004B25CE">
              <w:t xml:space="preserve">to facilitate more competition in those markets by </w:t>
            </w:r>
            <w:r w:rsidR="00D05D30">
              <w:t xml:space="preserve">providing for access on better </w:t>
            </w:r>
            <w:r w:rsidR="006C3F19">
              <w:t xml:space="preserve">price and non-price </w:t>
            </w:r>
            <w:r w:rsidR="00D05D30">
              <w:t>terms and conditions</w:t>
            </w:r>
            <w:r w:rsidR="001E33FC">
              <w:t xml:space="preserve"> and </w:t>
            </w:r>
            <w:r w:rsidR="001E33FC" w:rsidRPr="004B25CE">
              <w:t>reducing the barriers to entry posed by pipelines</w:t>
            </w:r>
            <w:r w:rsidR="001E33FC">
              <w:t xml:space="preserve">. The </w:t>
            </w:r>
            <w:r w:rsidR="004B25CE" w:rsidRPr="004B25CE">
              <w:t xml:space="preserve">additional measures included in options 3A, 3B and 4 </w:t>
            </w:r>
            <w:r w:rsidR="001E33FC">
              <w:t xml:space="preserve">are </w:t>
            </w:r>
            <w:r w:rsidR="004B25CE" w:rsidRPr="004B25CE">
              <w:t xml:space="preserve">expected to facilitate </w:t>
            </w:r>
            <w:r w:rsidR="004940DC">
              <w:t>greater</w:t>
            </w:r>
            <w:r w:rsidR="004B25CE" w:rsidRPr="004B25CE">
              <w:t xml:space="preserve"> competition</w:t>
            </w:r>
            <w:r w:rsidR="004940DC">
              <w:t xml:space="preserve"> in these markets </w:t>
            </w:r>
            <w:r w:rsidR="00953925">
              <w:t xml:space="preserve">by posing more of a constraint on exercises of market power by service providers, strengthening the bargaining power of shippers and reducing information asymmetries and search and transaction costs for shippers. The </w:t>
            </w:r>
            <w:r w:rsidR="00AD3801">
              <w:t xml:space="preserve">open access model under options 3B and 4 is expected to </w:t>
            </w:r>
            <w:r w:rsidR="006F5CFA">
              <w:t xml:space="preserve">further improve the ability of </w:t>
            </w:r>
            <w:r w:rsidR="00094B71">
              <w:t xml:space="preserve">those </w:t>
            </w:r>
            <w:r w:rsidR="006F5CFA">
              <w:t xml:space="preserve">participants </w:t>
            </w:r>
            <w:r w:rsidR="00094B71">
              <w:t xml:space="preserve">that require access to pipelines not voluntarily providing third party access to </w:t>
            </w:r>
            <w:r w:rsidR="006F5CFA">
              <w:t>compete</w:t>
            </w:r>
            <w:r w:rsidR="00523484">
              <w:t>, by further reducing the barriers to entry for these pipelines</w:t>
            </w:r>
            <w:r w:rsidR="00011E5E">
              <w:t>, although as noted above relative to Option 3A this benefit is expected to be relative</w:t>
            </w:r>
            <w:r w:rsidR="00FE1C71">
              <w:t>ly</w:t>
            </w:r>
            <w:r w:rsidR="00011E5E">
              <w:t xml:space="preserve"> small</w:t>
            </w:r>
            <w:r w:rsidR="00523484">
              <w:t>.</w:t>
            </w:r>
            <w:r w:rsidR="006F5CFA">
              <w:t xml:space="preserve"> </w:t>
            </w:r>
          </w:p>
        </w:tc>
      </w:tr>
      <w:tr w:rsidR="00C8238F" w:rsidRPr="00297D3D" w14:paraId="5514D4FB" w14:textId="77777777" w:rsidTr="00C8238F">
        <w:tc>
          <w:tcPr>
            <w:tcW w:w="727" w:type="pct"/>
          </w:tcPr>
          <w:p w14:paraId="56E8DE23" w14:textId="77777777" w:rsidR="00C8238F" w:rsidRPr="00297D3D" w:rsidRDefault="00C8238F" w:rsidP="00A25447">
            <w:pPr>
              <w:pStyle w:val="TableBodyText"/>
              <w:spacing w:before="40" w:after="40"/>
              <w:rPr>
                <w:szCs w:val="18"/>
              </w:rPr>
            </w:pPr>
            <w:r w:rsidRPr="00297D3D">
              <w:rPr>
                <w:b/>
                <w:bCs/>
                <w:szCs w:val="18"/>
              </w:rPr>
              <w:lastRenderedPageBreak/>
              <w:t>Reducing incentive of businesses to compete</w:t>
            </w:r>
          </w:p>
        </w:tc>
        <w:tc>
          <w:tcPr>
            <w:tcW w:w="4273" w:type="pct"/>
          </w:tcPr>
          <w:p w14:paraId="3E9EBEC7" w14:textId="77777777" w:rsidR="00DA3C9F" w:rsidRDefault="00C8238F" w:rsidP="00A25447">
            <w:pPr>
              <w:pStyle w:val="TableBodyText"/>
              <w:spacing w:before="40" w:after="40"/>
              <w:rPr>
                <w:szCs w:val="18"/>
              </w:rPr>
            </w:pPr>
            <w:r w:rsidRPr="00297D3D">
              <w:rPr>
                <w:szCs w:val="18"/>
              </w:rPr>
              <w:t>None of the reform options are expected to reduce the</w:t>
            </w:r>
            <w:r w:rsidRPr="00297D3D">
              <w:rPr>
                <w:spacing w:val="-24"/>
                <w:szCs w:val="18"/>
              </w:rPr>
              <w:t xml:space="preserve"> </w:t>
            </w:r>
            <w:r w:rsidRPr="00297D3D">
              <w:rPr>
                <w:szCs w:val="18"/>
              </w:rPr>
              <w:t xml:space="preserve">incentive service providers or participants in upstream or downstream markets have to compete (where competition is feasible). </w:t>
            </w:r>
            <w:r w:rsidR="009228C0">
              <w:rPr>
                <w:szCs w:val="18"/>
              </w:rPr>
              <w:t>Rather, i</w:t>
            </w:r>
            <w:r w:rsidRPr="00297D3D">
              <w:rPr>
                <w:szCs w:val="18"/>
              </w:rPr>
              <w:t>n the case of</w:t>
            </w:r>
            <w:r w:rsidR="00DA3C9F">
              <w:rPr>
                <w:szCs w:val="18"/>
              </w:rPr>
              <w:t>:</w:t>
            </w:r>
          </w:p>
          <w:p w14:paraId="6B09BEDE" w14:textId="77777777" w:rsidR="00DA3C9F" w:rsidRDefault="00945E25" w:rsidP="00A25447">
            <w:pPr>
              <w:pStyle w:val="TableBullet10"/>
            </w:pPr>
            <w:r w:rsidRPr="000633E3">
              <w:rPr>
                <w:b/>
                <w:bCs/>
              </w:rPr>
              <w:t>S</w:t>
            </w:r>
            <w:r w:rsidR="00C8238F" w:rsidRPr="000633E3">
              <w:rPr>
                <w:b/>
                <w:bCs/>
              </w:rPr>
              <w:t>ervice providers,</w:t>
            </w:r>
            <w:r w:rsidR="00C8238F" w:rsidRPr="00297D3D">
              <w:t xml:space="preserve"> reform options 3</w:t>
            </w:r>
            <w:r w:rsidR="001128AB">
              <w:t>A</w:t>
            </w:r>
            <w:r w:rsidR="00C8238F" w:rsidRPr="00297D3D">
              <w:t>, 3</w:t>
            </w:r>
            <w:r w:rsidR="001128AB">
              <w:t>B</w:t>
            </w:r>
            <w:r w:rsidR="00C8238F" w:rsidRPr="00297D3D">
              <w:t xml:space="preserve"> and 4 </w:t>
            </w:r>
            <w:r w:rsidR="009730C8">
              <w:t>are expected to</w:t>
            </w:r>
            <w:r w:rsidR="00C8238F" w:rsidRPr="00297D3D">
              <w:t xml:space="preserve"> increase the incentive </w:t>
            </w:r>
            <w:r w:rsidR="002F1878">
              <w:t xml:space="preserve">of prospective service providers </w:t>
            </w:r>
            <w:r w:rsidR="00C8238F" w:rsidRPr="00297D3D">
              <w:t xml:space="preserve">to compete by posing more of a constraint on the ability of incumbent service providers to </w:t>
            </w:r>
            <w:r w:rsidR="009730C8">
              <w:t xml:space="preserve">block competition from </w:t>
            </w:r>
            <w:r w:rsidR="000633E3">
              <w:t>prospective service providers</w:t>
            </w:r>
            <w:r w:rsidR="00D1071A">
              <w:t>.</w:t>
            </w:r>
            <w:r w:rsidR="00921E98">
              <w:t xml:space="preserve"> </w:t>
            </w:r>
          </w:p>
          <w:p w14:paraId="6FEC3E09" w14:textId="77777777" w:rsidR="00C8238F" w:rsidRPr="00297D3D" w:rsidRDefault="00945E25" w:rsidP="00A25447">
            <w:pPr>
              <w:pStyle w:val="TableBullet10"/>
            </w:pPr>
            <w:r w:rsidRPr="000633E3">
              <w:rPr>
                <w:b/>
                <w:bCs/>
              </w:rPr>
              <w:t>P</w:t>
            </w:r>
            <w:r w:rsidR="009228C0" w:rsidRPr="000633E3">
              <w:rPr>
                <w:b/>
                <w:bCs/>
              </w:rPr>
              <w:t>articipants in upstream and downstream markets</w:t>
            </w:r>
            <w:r w:rsidR="00DA3C9F">
              <w:t xml:space="preserve">, </w:t>
            </w:r>
            <w:r w:rsidR="009228C0">
              <w:t xml:space="preserve">all </w:t>
            </w:r>
            <w:r w:rsidR="00DA3C9F">
              <w:t xml:space="preserve">the reform options </w:t>
            </w:r>
            <w:r w:rsidR="009228C0">
              <w:t>could increase the incentive to compete</w:t>
            </w:r>
            <w:r w:rsidR="00394638">
              <w:t xml:space="preserve"> in these markets</w:t>
            </w:r>
            <w:r w:rsidR="009228C0">
              <w:t xml:space="preserve"> by reducing the barriers to entry </w:t>
            </w:r>
            <w:r w:rsidR="00394638">
              <w:t xml:space="preserve">posed by pipelines </w:t>
            </w:r>
            <w:r w:rsidR="00B02C6E">
              <w:t xml:space="preserve">and providing for access to pipelines on </w:t>
            </w:r>
            <w:r w:rsidR="000633E3">
              <w:t xml:space="preserve">better price and non-price </w:t>
            </w:r>
            <w:r w:rsidR="00B02C6E">
              <w:t>terms</w:t>
            </w:r>
            <w:r w:rsidR="000633E3">
              <w:t xml:space="preserve"> and conditions</w:t>
            </w:r>
            <w:r w:rsidR="00FA5D57">
              <w:t>. T</w:t>
            </w:r>
            <w:r w:rsidR="003C34A6" w:rsidRPr="004B25CE">
              <w:t xml:space="preserve">he additional measures in options 3A, 3B and 4 </w:t>
            </w:r>
            <w:r w:rsidR="00FA5D57">
              <w:t xml:space="preserve">are </w:t>
            </w:r>
            <w:r w:rsidR="003C34A6" w:rsidRPr="004B25CE">
              <w:t xml:space="preserve">expected to </w:t>
            </w:r>
            <w:r w:rsidR="00A6284F">
              <w:t>result in a greater incentive to compete</w:t>
            </w:r>
            <w:r w:rsidR="0068329F">
              <w:t xml:space="preserve"> </w:t>
            </w:r>
            <w:r w:rsidR="00585F79">
              <w:t>by posing more of a constraint on exercises of market power by service providers, strengthening the bargaining power of shippers and reducing information asymmetries and search and transaction costs for shippers</w:t>
            </w:r>
            <w:r w:rsidR="0068329F">
              <w:t xml:space="preserve">. </w:t>
            </w:r>
          </w:p>
        </w:tc>
      </w:tr>
      <w:tr w:rsidR="00C8238F" w:rsidRPr="00297D3D" w14:paraId="01BDF47F" w14:textId="77777777" w:rsidTr="00C8238F">
        <w:trPr>
          <w:cnfStyle w:val="000000010000" w:firstRow="0" w:lastRow="0" w:firstColumn="0" w:lastColumn="0" w:oddVBand="0" w:evenVBand="0" w:oddHBand="0" w:evenHBand="1" w:firstRowFirstColumn="0" w:firstRowLastColumn="0" w:lastRowFirstColumn="0" w:lastRowLastColumn="0"/>
        </w:trPr>
        <w:tc>
          <w:tcPr>
            <w:tcW w:w="727" w:type="pct"/>
          </w:tcPr>
          <w:p w14:paraId="1B3B88D0" w14:textId="77777777" w:rsidR="00C8238F" w:rsidRPr="00297D3D" w:rsidRDefault="00C8238F" w:rsidP="00297D3D">
            <w:pPr>
              <w:pStyle w:val="TableBodyText"/>
              <w:keepNext/>
              <w:spacing w:before="40" w:after="40"/>
              <w:rPr>
                <w:szCs w:val="18"/>
              </w:rPr>
            </w:pPr>
            <w:r w:rsidRPr="00297D3D">
              <w:rPr>
                <w:b/>
                <w:bCs/>
                <w:szCs w:val="18"/>
              </w:rPr>
              <w:t>Limiting the choices and information available to consumers</w:t>
            </w:r>
          </w:p>
        </w:tc>
        <w:tc>
          <w:tcPr>
            <w:tcW w:w="4273" w:type="pct"/>
          </w:tcPr>
          <w:p w14:paraId="55FC4F0E" w14:textId="77777777" w:rsidR="0048365C" w:rsidRDefault="00C8238F" w:rsidP="00297D3D">
            <w:pPr>
              <w:pStyle w:val="TableBodyText"/>
              <w:keepNext/>
              <w:spacing w:before="40" w:after="40"/>
              <w:rPr>
                <w:szCs w:val="18"/>
              </w:rPr>
            </w:pPr>
            <w:r w:rsidRPr="00297D3D">
              <w:rPr>
                <w:szCs w:val="18"/>
              </w:rPr>
              <w:t>None of the reform options are expected to restrict the choices or limit the information available to shippers. To the contrary</w:t>
            </w:r>
            <w:r w:rsidR="0048365C">
              <w:rPr>
                <w:szCs w:val="18"/>
              </w:rPr>
              <w:t>:</w:t>
            </w:r>
            <w:r w:rsidRPr="00297D3D">
              <w:rPr>
                <w:szCs w:val="18"/>
              </w:rPr>
              <w:t xml:space="preserve"> </w:t>
            </w:r>
          </w:p>
          <w:p w14:paraId="4B71AE77" w14:textId="545A5B70" w:rsidR="00C8238F" w:rsidRPr="00297D3D" w:rsidRDefault="002705E4" w:rsidP="00AF3472">
            <w:pPr>
              <w:pStyle w:val="TableBullet10"/>
            </w:pPr>
            <w:r>
              <w:t>R</w:t>
            </w:r>
            <w:r w:rsidR="00705DA9">
              <w:t>eform options 2, 3A, 3B and, to a lesser extent Option 4</w:t>
            </w:r>
            <w:r w:rsidR="00734A1C">
              <w:t>,</w:t>
            </w:r>
            <w:r w:rsidR="00370905">
              <w:rPr>
                <w:rFonts w:ascii="ZWAdobeF" w:hAnsi="ZWAdobeF" w:cs="ZWAdobeF"/>
                <w:sz w:val="2"/>
                <w:szCs w:val="2"/>
              </w:rPr>
              <w:t>217F</w:t>
            </w:r>
            <w:r w:rsidR="00163380">
              <w:rPr>
                <w:rStyle w:val="FootnoteReference"/>
              </w:rPr>
              <w:footnoteReference w:id="219"/>
            </w:r>
            <w:r w:rsidR="004440F1">
              <w:t xml:space="preserve"> </w:t>
            </w:r>
            <w:r w:rsidR="00EA17C1">
              <w:t>would</w:t>
            </w:r>
            <w:r w:rsidR="00705DA9">
              <w:t xml:space="preserve"> </w:t>
            </w:r>
            <w:r w:rsidR="00C8238F" w:rsidRPr="00297D3D">
              <w:t>allow service providers to continue to offer bespoke services that meet the needs of shippers</w:t>
            </w:r>
            <w:r>
              <w:t>.</w:t>
            </w:r>
          </w:p>
          <w:p w14:paraId="633EF806" w14:textId="77777777" w:rsidR="00C8238F" w:rsidRPr="00297D3D" w:rsidRDefault="002705E4" w:rsidP="00AF3472">
            <w:pPr>
              <w:pStyle w:val="TableBullet10"/>
            </w:pPr>
            <w:r>
              <w:t>A</w:t>
            </w:r>
            <w:r w:rsidR="00AF3472">
              <w:t>ll t</w:t>
            </w:r>
            <w:r w:rsidR="00C8238F" w:rsidRPr="00297D3D">
              <w:t xml:space="preserve">he reform options provide for more information to be made available to shippers </w:t>
            </w:r>
            <w:r>
              <w:t xml:space="preserve">when considering whether or not to seek access to a pipeline and when negotiating access. </w:t>
            </w:r>
            <w:r w:rsidR="001941D0">
              <w:t>O</w:t>
            </w:r>
            <w:r w:rsidR="00C8238F" w:rsidRPr="00297D3D">
              <w:t>ptions 3</w:t>
            </w:r>
            <w:r w:rsidR="00AF3472">
              <w:t>A</w:t>
            </w:r>
            <w:r w:rsidR="00C8238F" w:rsidRPr="00297D3D">
              <w:t>, 3</w:t>
            </w:r>
            <w:r w:rsidR="00AF3472">
              <w:t>B</w:t>
            </w:r>
            <w:r w:rsidR="00C8238F" w:rsidRPr="00297D3D">
              <w:t xml:space="preserve"> and 4</w:t>
            </w:r>
            <w:r w:rsidR="001941D0">
              <w:t xml:space="preserve"> also</w:t>
            </w:r>
            <w:r w:rsidR="00C8238F" w:rsidRPr="00297D3D">
              <w:t xml:space="preserve"> provide for </w:t>
            </w:r>
            <w:r w:rsidR="001941D0">
              <w:t xml:space="preserve">a range of </w:t>
            </w:r>
            <w:r w:rsidR="00C8238F" w:rsidRPr="00297D3D">
              <w:t xml:space="preserve">improvements </w:t>
            </w:r>
            <w:r w:rsidR="001941D0">
              <w:t xml:space="preserve">to be made to </w:t>
            </w:r>
            <w:r w:rsidR="00C8238F" w:rsidRPr="00297D3D">
              <w:t>the quality</w:t>
            </w:r>
            <w:r w:rsidR="00251C74">
              <w:t xml:space="preserve"> and</w:t>
            </w:r>
            <w:r w:rsidR="00251C74" w:rsidRPr="00297D3D">
              <w:t xml:space="preserve"> </w:t>
            </w:r>
            <w:r w:rsidR="00C8238F" w:rsidRPr="00297D3D">
              <w:t xml:space="preserve">reliability, usability and accessibility of information, which </w:t>
            </w:r>
            <w:r w:rsidR="00734A1C">
              <w:t>is expected to</w:t>
            </w:r>
            <w:r w:rsidR="00C8238F" w:rsidRPr="00297D3D">
              <w:t xml:space="preserve"> </w:t>
            </w:r>
            <w:r w:rsidR="00686492">
              <w:t xml:space="preserve">further </w:t>
            </w:r>
            <w:r w:rsidR="001941D0">
              <w:t xml:space="preserve">reduce shippers’ </w:t>
            </w:r>
            <w:r w:rsidR="00585F79">
              <w:t xml:space="preserve">search and </w:t>
            </w:r>
            <w:r w:rsidR="001941D0">
              <w:t>transaction costs</w:t>
            </w:r>
            <w:r w:rsidR="009D4738">
              <w:t xml:space="preserve">. It </w:t>
            </w:r>
            <w:r w:rsidR="00734A1C">
              <w:t>should</w:t>
            </w:r>
            <w:r w:rsidR="009D4738">
              <w:t xml:space="preserve"> also</w:t>
            </w:r>
            <w:r w:rsidR="001941D0">
              <w:t xml:space="preserve"> </w:t>
            </w:r>
            <w:r w:rsidR="00C8238F" w:rsidRPr="00297D3D">
              <w:t xml:space="preserve">enable </w:t>
            </w:r>
            <w:r w:rsidR="001941D0">
              <w:t xml:space="preserve">them </w:t>
            </w:r>
            <w:r w:rsidR="00C8238F" w:rsidRPr="00297D3D">
              <w:t xml:space="preserve">to </w:t>
            </w:r>
            <w:r w:rsidR="001941D0">
              <w:t xml:space="preserve">negotiate more effectively with service providers and </w:t>
            </w:r>
            <w:r w:rsidR="00C8238F" w:rsidRPr="00297D3D">
              <w:t>make more informed</w:t>
            </w:r>
            <w:r w:rsidR="00C8238F" w:rsidRPr="00297D3D">
              <w:rPr>
                <w:spacing w:val="1"/>
              </w:rPr>
              <w:t xml:space="preserve"> </w:t>
            </w:r>
            <w:r w:rsidR="005242EF">
              <w:rPr>
                <w:spacing w:val="1"/>
              </w:rPr>
              <w:t xml:space="preserve">and efficient </w:t>
            </w:r>
            <w:r w:rsidR="00C8238F" w:rsidRPr="00297D3D">
              <w:t>decisions about their use of pipelines.</w:t>
            </w:r>
          </w:p>
        </w:tc>
      </w:tr>
    </w:tbl>
    <w:p w14:paraId="6F595858" w14:textId="733DC506" w:rsidR="00D045B7" w:rsidRDefault="003C36EE" w:rsidP="00E322AA">
      <w:pPr>
        <w:pStyle w:val="BodyText"/>
      </w:pPr>
      <w:r>
        <w:rPr>
          <w:rStyle w:val="Hyperlink"/>
          <w:u w:val="none"/>
        </w:rPr>
        <w:t xml:space="preserve">For the purposes of the comparative assessment set out </w:t>
      </w:r>
      <w:r w:rsidR="006B60E1">
        <w:rPr>
          <w:rStyle w:val="Hyperlink"/>
          <w:u w:val="none"/>
        </w:rPr>
        <w:t xml:space="preserve">in </w:t>
      </w:r>
      <w:r>
        <w:rPr>
          <w:rStyle w:val="Hyperlink"/>
          <w:u w:val="none"/>
        </w:rPr>
        <w:t>section</w:t>
      </w:r>
      <w:r w:rsidR="00501ADE">
        <w:rPr>
          <w:rStyle w:val="Hyperlink"/>
          <w:u w:val="none"/>
        </w:rPr>
        <w:t xml:space="preserve"> </w:t>
      </w:r>
      <w:r w:rsidR="00501ADE">
        <w:rPr>
          <w:rStyle w:val="Hyperlink"/>
          <w:u w:val="none"/>
        </w:rPr>
        <w:fldChar w:fldCharType="begin" w:fldLock="1"/>
      </w:r>
      <w:r w:rsidR="00501ADE">
        <w:rPr>
          <w:rStyle w:val="Hyperlink"/>
          <w:u w:val="none"/>
        </w:rPr>
        <w:instrText xml:space="preserve"> REF _Ref50367084 \r \h </w:instrText>
      </w:r>
      <w:r w:rsidR="00501ADE">
        <w:rPr>
          <w:rStyle w:val="Hyperlink"/>
          <w:u w:val="none"/>
        </w:rPr>
      </w:r>
      <w:r w:rsidR="00501ADE">
        <w:rPr>
          <w:rStyle w:val="Hyperlink"/>
          <w:u w:val="none"/>
        </w:rPr>
        <w:fldChar w:fldCharType="separate"/>
      </w:r>
      <w:r w:rsidR="00036405">
        <w:rPr>
          <w:rStyle w:val="Hyperlink"/>
          <w:u w:val="none"/>
        </w:rPr>
        <w:t>9.5</w:t>
      </w:r>
      <w:r w:rsidR="00501ADE">
        <w:rPr>
          <w:rStyle w:val="Hyperlink"/>
          <w:u w:val="none"/>
        </w:rPr>
        <w:fldChar w:fldCharType="end"/>
      </w:r>
      <w:r>
        <w:rPr>
          <w:rStyle w:val="Hyperlink"/>
          <w:u w:val="none"/>
        </w:rPr>
        <w:t xml:space="preserve">, </w:t>
      </w:r>
      <w:r w:rsidR="00C51474">
        <w:rPr>
          <w:rStyle w:val="Hyperlink"/>
          <w:u w:val="none"/>
        </w:rPr>
        <w:t xml:space="preserve">options 3B and 4 </w:t>
      </w:r>
      <w:r w:rsidR="006B60E1">
        <w:rPr>
          <w:rStyle w:val="Hyperlink"/>
          <w:u w:val="none"/>
        </w:rPr>
        <w:t xml:space="preserve">are </w:t>
      </w:r>
      <w:r w:rsidR="00C51474">
        <w:rPr>
          <w:rStyle w:val="Hyperlink"/>
          <w:u w:val="none"/>
        </w:rPr>
        <w:t>ranked 1, Option 3</w:t>
      </w:r>
      <w:r w:rsidR="009A47CE">
        <w:rPr>
          <w:rStyle w:val="Hyperlink"/>
          <w:u w:val="none"/>
        </w:rPr>
        <w:t>A</w:t>
      </w:r>
      <w:r w:rsidR="00C51474">
        <w:rPr>
          <w:rStyle w:val="Hyperlink"/>
          <w:u w:val="none"/>
        </w:rPr>
        <w:t xml:space="preserve"> </w:t>
      </w:r>
      <w:r w:rsidR="0067337B">
        <w:rPr>
          <w:rStyle w:val="Hyperlink"/>
          <w:u w:val="none"/>
        </w:rPr>
        <w:t xml:space="preserve">is </w:t>
      </w:r>
      <w:r w:rsidR="00C51474">
        <w:rPr>
          <w:rStyle w:val="Hyperlink"/>
          <w:u w:val="none"/>
        </w:rPr>
        <w:t xml:space="preserve">ranked 3, Option 2 </w:t>
      </w:r>
      <w:r w:rsidR="0067337B">
        <w:rPr>
          <w:rStyle w:val="Hyperlink"/>
          <w:u w:val="none"/>
        </w:rPr>
        <w:t xml:space="preserve">is </w:t>
      </w:r>
      <w:r w:rsidR="00C51474">
        <w:rPr>
          <w:rStyle w:val="Hyperlink"/>
          <w:u w:val="none"/>
        </w:rPr>
        <w:t xml:space="preserve">ranked 4 and Option 1 </w:t>
      </w:r>
      <w:r w:rsidR="0067337B">
        <w:rPr>
          <w:rStyle w:val="Hyperlink"/>
          <w:u w:val="none"/>
        </w:rPr>
        <w:t xml:space="preserve">is </w:t>
      </w:r>
      <w:r w:rsidR="00C51474">
        <w:rPr>
          <w:rStyle w:val="Hyperlink"/>
          <w:u w:val="none"/>
        </w:rPr>
        <w:t xml:space="preserve">ranked 5. </w:t>
      </w:r>
      <w:r w:rsidRPr="003C36EE">
        <w:rPr>
          <w:rStyle w:val="Hyperlink"/>
          <w:u w:val="none"/>
        </w:rPr>
        <w:t xml:space="preserve"> </w:t>
      </w:r>
    </w:p>
    <w:p w14:paraId="519F0841" w14:textId="77777777" w:rsidR="001F261C" w:rsidRDefault="00C81747" w:rsidP="002A5CEC">
      <w:pPr>
        <w:pStyle w:val="Heading2"/>
      </w:pPr>
      <w:bookmarkStart w:id="225" w:name="_Ref50367084"/>
      <w:bookmarkStart w:id="226" w:name="_Toc62219432"/>
      <w:r>
        <w:t>Comparative assessment of the options</w:t>
      </w:r>
      <w:bookmarkEnd w:id="225"/>
      <w:bookmarkEnd w:id="226"/>
      <w:r>
        <w:t xml:space="preserve"> </w:t>
      </w:r>
    </w:p>
    <w:p w14:paraId="5D0C7FC0" w14:textId="043F6AA9" w:rsidR="007C7ACF" w:rsidRPr="00E31887" w:rsidRDefault="007C7ACF" w:rsidP="007C7ACF">
      <w:pPr>
        <w:pStyle w:val="BodyText"/>
      </w:pPr>
      <w:r w:rsidRPr="00F57EC1">
        <w:rPr>
          <w:rFonts w:eastAsiaTheme="minorEastAsia"/>
        </w:rPr>
        <w:t xml:space="preserve">The results of the regulatory impact assessment are summarised in </w:t>
      </w:r>
      <w:r w:rsidR="006F1C1C">
        <w:rPr>
          <w:rFonts w:eastAsiaTheme="minorEastAsia"/>
        </w:rPr>
        <w:fldChar w:fldCharType="begin" w:fldLock="1"/>
      </w:r>
      <w:r w:rsidR="006F1C1C">
        <w:rPr>
          <w:rFonts w:eastAsiaTheme="minorEastAsia"/>
        </w:rPr>
        <w:instrText xml:space="preserve"> REF _Ref59298493 \h </w:instrText>
      </w:r>
      <w:r w:rsidR="006F1C1C">
        <w:rPr>
          <w:rFonts w:eastAsiaTheme="minorEastAsia"/>
        </w:rPr>
      </w:r>
      <w:r w:rsidR="006F1C1C">
        <w:rPr>
          <w:rFonts w:eastAsiaTheme="minorEastAsia"/>
        </w:rPr>
        <w:fldChar w:fldCharType="separate"/>
      </w:r>
      <w:r w:rsidR="00036405">
        <w:t xml:space="preserve">Table </w:t>
      </w:r>
      <w:r w:rsidR="00036405">
        <w:rPr>
          <w:noProof/>
        </w:rPr>
        <w:t>9</w:t>
      </w:r>
      <w:r w:rsidR="00036405">
        <w:t>.</w:t>
      </w:r>
      <w:r w:rsidR="00036405">
        <w:rPr>
          <w:noProof/>
        </w:rPr>
        <w:t>10</w:t>
      </w:r>
      <w:r w:rsidR="006F1C1C">
        <w:rPr>
          <w:rFonts w:eastAsiaTheme="minorEastAsia"/>
        </w:rPr>
        <w:fldChar w:fldCharType="end"/>
      </w:r>
      <w:r w:rsidRPr="00F57EC1">
        <w:rPr>
          <w:rFonts w:eastAsiaTheme="minorEastAsia"/>
        </w:rPr>
        <w:t xml:space="preserve">. </w:t>
      </w:r>
      <w:r w:rsidR="00FE7EAD">
        <w:t xml:space="preserve">As </w:t>
      </w:r>
      <w:r w:rsidR="00E411C3">
        <w:t xml:space="preserve">noted in the introduction, </w:t>
      </w:r>
      <w:r w:rsidR="00FE7EAD">
        <w:t>i</w:t>
      </w:r>
      <w:r w:rsidRPr="00E31887">
        <w:t>ndividual rankings have been developed for each element of the regulatory impact assessment. The</w:t>
      </w:r>
      <w:r w:rsidR="00815C24">
        <w:t>se</w:t>
      </w:r>
      <w:r w:rsidRPr="00E31887">
        <w:t xml:space="preserve"> rankings range from 1 to 5, with a ranking of 1 implying the most favourable impact</w:t>
      </w:r>
      <w:r w:rsidRPr="00E31887">
        <w:rPr>
          <w:sz w:val="14"/>
          <w:szCs w:val="14"/>
        </w:rPr>
        <w:t xml:space="preserve"> </w:t>
      </w:r>
      <w:r w:rsidRPr="00E31887">
        <w:t xml:space="preserve">and 5 the most negative impact. </w:t>
      </w:r>
      <w:r>
        <w:t xml:space="preserve">Where more than one option has the same impact, they are given the same ranking.   </w:t>
      </w:r>
    </w:p>
    <w:p w14:paraId="438DD64C" w14:textId="77777777" w:rsidR="007C7ACF" w:rsidRDefault="007C7ACF" w:rsidP="004F5A3E">
      <w:pPr>
        <w:pStyle w:val="BodyText"/>
        <w:spacing w:line="252" w:lineRule="auto"/>
      </w:pPr>
      <w:r w:rsidRPr="008D6A25">
        <w:t xml:space="preserve">Because of the data constraints, the overall rankings are unweighted (i.e. each impact category is treated as equal). </w:t>
      </w:r>
      <w:r w:rsidR="00023C5F">
        <w:t xml:space="preserve">As outlined in this chapter, this is </w:t>
      </w:r>
      <w:r>
        <w:t xml:space="preserve">not </w:t>
      </w:r>
      <w:r w:rsidRPr="008D6A25">
        <w:t>the case</w:t>
      </w:r>
      <w:r w:rsidR="00023C5F">
        <w:t xml:space="preserve"> in practice</w:t>
      </w:r>
      <w:r w:rsidRPr="008D6A25">
        <w:t xml:space="preserve">. </w:t>
      </w:r>
      <w:r>
        <w:t>P</w:t>
      </w:r>
      <w:r w:rsidRPr="00E31887">
        <w:t xml:space="preserve">resenting the data in this way is </w:t>
      </w:r>
      <w:r>
        <w:t xml:space="preserve">nevertheless </w:t>
      </w:r>
      <w:r w:rsidRPr="00E31887">
        <w:t xml:space="preserve">intended to highlight the trade-offs within </w:t>
      </w:r>
      <w:r w:rsidRPr="00E31887">
        <w:lastRenderedPageBreak/>
        <w:t>options and across options to aid in their comparisons and determine which option is likely to deliver the greatest net benefit.</w:t>
      </w:r>
    </w:p>
    <w:p w14:paraId="3362EA84" w14:textId="77777777" w:rsidR="0099497F" w:rsidRDefault="0099497F" w:rsidP="004F5A3E">
      <w:pPr>
        <w:pStyle w:val="BodyText"/>
        <w:spacing w:line="252" w:lineRule="auto"/>
      </w:pPr>
      <w:r>
        <w:t xml:space="preserve">It is also worth noting that: </w:t>
      </w:r>
    </w:p>
    <w:p w14:paraId="74CB99AD" w14:textId="77777777" w:rsidR="0099497F" w:rsidRDefault="0099497F" w:rsidP="004F5A3E">
      <w:pPr>
        <w:pStyle w:val="ListBullet"/>
        <w:spacing w:line="252" w:lineRule="auto"/>
      </w:pPr>
      <w:r>
        <w:t>there is some overlap between the analyses (for example, the costs used in the regulatory burden analysis are also taken into account in the CBA);</w:t>
      </w:r>
    </w:p>
    <w:p w14:paraId="41D365E1" w14:textId="77777777" w:rsidR="0099497F" w:rsidRDefault="0099497F" w:rsidP="004F5A3E">
      <w:pPr>
        <w:pStyle w:val="ListBullet"/>
        <w:spacing w:line="252" w:lineRule="auto"/>
      </w:pPr>
      <w:r>
        <w:t>there are some elements of the reform options that perform well under one analysis, but not under another (for example, an element of the reform option may give rise to a benefit in the CBA, but may also constitute a risk in the risk analysis); and</w:t>
      </w:r>
    </w:p>
    <w:p w14:paraId="65F82F18" w14:textId="77777777" w:rsidR="0099497F" w:rsidRDefault="0099497F" w:rsidP="004F5A3E">
      <w:pPr>
        <w:pStyle w:val="ListBullet"/>
        <w:spacing w:line="252" w:lineRule="auto"/>
      </w:pPr>
      <w:r>
        <w:t xml:space="preserve">the differences between ratings are not standardised across the analyses, so in some cases they may imply quite a big difference between the options, while in others they may imply a small difference (for example, the difference between a ranking of 1 and 3 in the CEA is small because there is little difference between the competitive effects of options 3A, 3B and 4, while the difference between the same rankings in the </w:t>
      </w:r>
      <w:r w:rsidR="00A75296">
        <w:t xml:space="preserve">CBA </w:t>
      </w:r>
      <w:r>
        <w:t xml:space="preserve">is intended to be more material). </w:t>
      </w:r>
    </w:p>
    <w:p w14:paraId="7D339B0F" w14:textId="2F2A80B8" w:rsidR="00E411C3" w:rsidRDefault="00E411C3" w:rsidP="00E411C3">
      <w:pPr>
        <w:pStyle w:val="Caption"/>
        <w:spacing w:before="0" w:after="0"/>
      </w:pPr>
      <w:bookmarkStart w:id="227" w:name="_Ref59298493"/>
      <w:r>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9</w:t>
      </w:r>
      <w:r w:rsidR="00F323B2">
        <w:rPr>
          <w:noProof/>
        </w:rPr>
        <w:fldChar w:fldCharType="end"/>
      </w:r>
      <w:r w:rsidR="007362CF">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10</w:t>
      </w:r>
      <w:r w:rsidR="00F323B2">
        <w:rPr>
          <w:noProof/>
        </w:rPr>
        <w:fldChar w:fldCharType="end"/>
      </w:r>
      <w:bookmarkEnd w:id="227"/>
      <w:r>
        <w:t xml:space="preserve">: Comparative ranking of policy options </w:t>
      </w:r>
    </w:p>
    <w:tbl>
      <w:tblPr>
        <w:tblW w:w="5000" w:type="pct"/>
        <w:tblBorders>
          <w:top w:val="single" w:sz="4" w:space="0" w:color="auto"/>
          <w:bottom w:val="single" w:sz="6" w:space="0" w:color="7C7C7C"/>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68"/>
        <w:gridCol w:w="1524"/>
        <w:gridCol w:w="1524"/>
        <w:gridCol w:w="1524"/>
        <w:gridCol w:w="1524"/>
        <w:gridCol w:w="1524"/>
      </w:tblGrid>
      <w:tr w:rsidR="00D07354" w:rsidRPr="002F1788" w14:paraId="22DA62FA" w14:textId="77777777" w:rsidTr="00D80C12">
        <w:trPr>
          <w:trHeight w:val="392"/>
        </w:trPr>
        <w:tc>
          <w:tcPr>
            <w:tcW w:w="1168" w:type="dxa"/>
            <w:tcBorders>
              <w:bottom w:val="single" w:sz="4" w:space="0" w:color="auto"/>
            </w:tcBorders>
            <w:shd w:val="clear" w:color="auto" w:fill="002060"/>
            <w:vAlign w:val="center"/>
          </w:tcPr>
          <w:p w14:paraId="3FD08B81" w14:textId="77777777" w:rsidR="00E411C3" w:rsidRPr="002F1788" w:rsidRDefault="00E411C3" w:rsidP="004F5A3E">
            <w:pPr>
              <w:pStyle w:val="TableParagraph"/>
              <w:keepNext/>
              <w:spacing w:before="40" w:after="40"/>
              <w:ind w:left="119"/>
              <w:rPr>
                <w:b/>
                <w:color w:val="FFFFFF" w:themeColor="background1"/>
                <w:sz w:val="18"/>
                <w:szCs w:val="18"/>
              </w:rPr>
            </w:pPr>
            <w:r w:rsidRPr="002F1788">
              <w:rPr>
                <w:b/>
                <w:color w:val="FFFFFF" w:themeColor="background1"/>
                <w:sz w:val="18"/>
                <w:szCs w:val="18"/>
              </w:rPr>
              <w:t>Impact</w:t>
            </w:r>
          </w:p>
        </w:tc>
        <w:tc>
          <w:tcPr>
            <w:tcW w:w="1524" w:type="dxa"/>
            <w:tcBorders>
              <w:bottom w:val="single" w:sz="4" w:space="0" w:color="auto"/>
            </w:tcBorders>
            <w:shd w:val="clear" w:color="auto" w:fill="002060"/>
            <w:vAlign w:val="center"/>
          </w:tcPr>
          <w:p w14:paraId="3E84B3D9" w14:textId="77777777" w:rsidR="00E411C3" w:rsidRPr="002F1788" w:rsidRDefault="00E411C3" w:rsidP="004F5A3E">
            <w:pPr>
              <w:pStyle w:val="TableParagraph"/>
              <w:keepNext/>
              <w:spacing w:before="40" w:after="40"/>
              <w:ind w:right="288" w:firstLine="4"/>
              <w:jc w:val="center"/>
              <w:rPr>
                <w:b/>
                <w:color w:val="FFFFFF" w:themeColor="background1"/>
                <w:sz w:val="18"/>
                <w:szCs w:val="18"/>
              </w:rPr>
            </w:pPr>
            <w:r w:rsidRPr="002F1788">
              <w:rPr>
                <w:b/>
                <w:color w:val="FFFFFF" w:themeColor="background1"/>
                <w:sz w:val="18"/>
                <w:szCs w:val="18"/>
              </w:rPr>
              <w:t>Option 1</w:t>
            </w:r>
          </w:p>
        </w:tc>
        <w:tc>
          <w:tcPr>
            <w:tcW w:w="1524" w:type="dxa"/>
            <w:tcBorders>
              <w:bottom w:val="single" w:sz="4" w:space="0" w:color="auto"/>
            </w:tcBorders>
            <w:shd w:val="clear" w:color="auto" w:fill="002060"/>
            <w:vAlign w:val="center"/>
          </w:tcPr>
          <w:p w14:paraId="03F45976" w14:textId="77777777" w:rsidR="00E411C3" w:rsidRPr="002F1788" w:rsidRDefault="00E411C3" w:rsidP="004F5A3E">
            <w:pPr>
              <w:pStyle w:val="TableParagraph"/>
              <w:keepNext/>
              <w:spacing w:before="40" w:after="40"/>
              <w:ind w:right="139" w:firstLine="4"/>
              <w:jc w:val="center"/>
              <w:rPr>
                <w:b/>
                <w:color w:val="FFFFFF" w:themeColor="background1"/>
                <w:sz w:val="18"/>
                <w:szCs w:val="18"/>
              </w:rPr>
            </w:pPr>
            <w:r w:rsidRPr="002F1788">
              <w:rPr>
                <w:b/>
                <w:color w:val="FFFFFF" w:themeColor="background1"/>
                <w:sz w:val="18"/>
                <w:szCs w:val="18"/>
              </w:rPr>
              <w:t>Option 2</w:t>
            </w:r>
          </w:p>
        </w:tc>
        <w:tc>
          <w:tcPr>
            <w:tcW w:w="1524" w:type="dxa"/>
            <w:tcBorders>
              <w:bottom w:val="single" w:sz="4" w:space="0" w:color="auto"/>
            </w:tcBorders>
            <w:shd w:val="clear" w:color="auto" w:fill="002060"/>
            <w:vAlign w:val="center"/>
          </w:tcPr>
          <w:p w14:paraId="5018BE3C" w14:textId="77777777" w:rsidR="00E411C3" w:rsidRPr="002F1788" w:rsidRDefault="00E411C3" w:rsidP="004F5A3E">
            <w:pPr>
              <w:pStyle w:val="TableParagraph"/>
              <w:keepNext/>
              <w:spacing w:before="40" w:after="40"/>
              <w:jc w:val="center"/>
              <w:rPr>
                <w:b/>
                <w:color w:val="FFFFFF" w:themeColor="background1"/>
                <w:sz w:val="18"/>
                <w:szCs w:val="18"/>
              </w:rPr>
            </w:pPr>
            <w:r w:rsidRPr="002F1788">
              <w:rPr>
                <w:b/>
                <w:color w:val="FFFFFF" w:themeColor="background1"/>
                <w:sz w:val="18"/>
                <w:szCs w:val="18"/>
              </w:rPr>
              <w:t>Option 3A</w:t>
            </w:r>
          </w:p>
        </w:tc>
        <w:tc>
          <w:tcPr>
            <w:tcW w:w="1524" w:type="dxa"/>
            <w:tcBorders>
              <w:bottom w:val="single" w:sz="4" w:space="0" w:color="auto"/>
            </w:tcBorders>
            <w:shd w:val="clear" w:color="auto" w:fill="002060"/>
            <w:vAlign w:val="center"/>
          </w:tcPr>
          <w:p w14:paraId="6046F0BE" w14:textId="77777777" w:rsidR="00E411C3" w:rsidRPr="002F1788" w:rsidRDefault="00E411C3" w:rsidP="004F5A3E">
            <w:pPr>
              <w:pStyle w:val="TableParagraph"/>
              <w:keepNext/>
              <w:spacing w:before="40" w:after="40"/>
              <w:jc w:val="center"/>
              <w:rPr>
                <w:b/>
                <w:color w:val="FFFFFF" w:themeColor="background1"/>
                <w:sz w:val="18"/>
                <w:szCs w:val="18"/>
              </w:rPr>
            </w:pPr>
            <w:r w:rsidRPr="002F1788">
              <w:rPr>
                <w:b/>
                <w:color w:val="FFFFFF" w:themeColor="background1"/>
                <w:sz w:val="18"/>
                <w:szCs w:val="18"/>
              </w:rPr>
              <w:t>Option 3B</w:t>
            </w:r>
          </w:p>
        </w:tc>
        <w:tc>
          <w:tcPr>
            <w:tcW w:w="1524" w:type="dxa"/>
            <w:tcBorders>
              <w:bottom w:val="single" w:sz="4" w:space="0" w:color="auto"/>
            </w:tcBorders>
            <w:shd w:val="clear" w:color="auto" w:fill="002060"/>
            <w:vAlign w:val="center"/>
          </w:tcPr>
          <w:p w14:paraId="1C8E86E9" w14:textId="77777777" w:rsidR="00E411C3" w:rsidRPr="002F1788" w:rsidRDefault="00E411C3" w:rsidP="004F5A3E">
            <w:pPr>
              <w:pStyle w:val="TableParagraph"/>
              <w:keepNext/>
              <w:spacing w:before="40" w:after="40"/>
              <w:jc w:val="center"/>
              <w:rPr>
                <w:b/>
                <w:color w:val="FFFFFF" w:themeColor="background1"/>
                <w:sz w:val="18"/>
                <w:szCs w:val="18"/>
              </w:rPr>
            </w:pPr>
            <w:r w:rsidRPr="002F1788">
              <w:rPr>
                <w:b/>
                <w:color w:val="FFFFFF" w:themeColor="background1"/>
                <w:sz w:val="18"/>
                <w:szCs w:val="18"/>
              </w:rPr>
              <w:t>Option 4</w:t>
            </w:r>
          </w:p>
        </w:tc>
      </w:tr>
      <w:tr w:rsidR="00D07354" w:rsidRPr="002F1788" w14:paraId="07830280" w14:textId="77777777" w:rsidTr="00D80C12">
        <w:trPr>
          <w:trHeight w:val="79"/>
        </w:trPr>
        <w:tc>
          <w:tcPr>
            <w:tcW w:w="1168" w:type="dxa"/>
            <w:vAlign w:val="center"/>
          </w:tcPr>
          <w:p w14:paraId="2F13CB7E" w14:textId="77777777" w:rsidR="00E411C3" w:rsidRPr="002F1788" w:rsidRDefault="001E0C1F" w:rsidP="004F5A3E">
            <w:pPr>
              <w:pStyle w:val="TableParagraph"/>
              <w:keepNext/>
              <w:spacing w:before="40" w:after="40" w:line="278" w:lineRule="auto"/>
              <w:ind w:left="85"/>
              <w:rPr>
                <w:sz w:val="18"/>
                <w:szCs w:val="18"/>
              </w:rPr>
            </w:pPr>
            <w:r>
              <w:rPr>
                <w:sz w:val="18"/>
                <w:szCs w:val="18"/>
              </w:rPr>
              <w:t>Risk analysis</w:t>
            </w:r>
          </w:p>
        </w:tc>
        <w:tc>
          <w:tcPr>
            <w:tcW w:w="1524" w:type="dxa"/>
            <w:tcBorders>
              <w:bottom w:val="single" w:sz="4" w:space="0" w:color="auto"/>
            </w:tcBorders>
            <w:shd w:val="clear" w:color="auto" w:fill="F8D4D1"/>
            <w:vAlign w:val="center"/>
          </w:tcPr>
          <w:p w14:paraId="25725CDE" w14:textId="77777777" w:rsidR="00E411C3" w:rsidRPr="002F1788" w:rsidRDefault="00E411C3" w:rsidP="004F5A3E">
            <w:pPr>
              <w:pStyle w:val="TableParagraph"/>
              <w:keepNext/>
              <w:spacing w:before="40" w:after="40" w:line="278" w:lineRule="auto"/>
              <w:jc w:val="center"/>
              <w:rPr>
                <w:sz w:val="18"/>
                <w:szCs w:val="18"/>
              </w:rPr>
            </w:pPr>
            <w:r w:rsidRPr="002F1788">
              <w:rPr>
                <w:sz w:val="18"/>
                <w:szCs w:val="18"/>
              </w:rPr>
              <w:t>5</w:t>
            </w:r>
          </w:p>
        </w:tc>
        <w:tc>
          <w:tcPr>
            <w:tcW w:w="1524" w:type="dxa"/>
            <w:tcBorders>
              <w:bottom w:val="single" w:sz="4" w:space="0" w:color="auto"/>
            </w:tcBorders>
            <w:shd w:val="clear" w:color="auto" w:fill="FDD7C3"/>
            <w:vAlign w:val="center"/>
          </w:tcPr>
          <w:p w14:paraId="2F617E0D" w14:textId="77777777" w:rsidR="00E411C3" w:rsidRPr="002F1788" w:rsidRDefault="00D80C12" w:rsidP="004F5A3E">
            <w:pPr>
              <w:pStyle w:val="TableParagraph"/>
              <w:keepNext/>
              <w:spacing w:before="40" w:after="40" w:line="278" w:lineRule="auto"/>
              <w:jc w:val="center"/>
              <w:rPr>
                <w:sz w:val="18"/>
                <w:szCs w:val="18"/>
              </w:rPr>
            </w:pPr>
            <w:r>
              <w:rPr>
                <w:sz w:val="18"/>
                <w:szCs w:val="18"/>
              </w:rPr>
              <w:t>3</w:t>
            </w:r>
          </w:p>
        </w:tc>
        <w:tc>
          <w:tcPr>
            <w:tcW w:w="1524" w:type="dxa"/>
            <w:tcBorders>
              <w:bottom w:val="single" w:sz="4" w:space="0" w:color="auto"/>
            </w:tcBorders>
            <w:shd w:val="clear" w:color="auto" w:fill="DDEDD3"/>
            <w:vAlign w:val="center"/>
          </w:tcPr>
          <w:p w14:paraId="4A2D848D" w14:textId="77777777" w:rsidR="00E411C3" w:rsidRPr="002F1788" w:rsidRDefault="00E411C3" w:rsidP="004F5A3E">
            <w:pPr>
              <w:pStyle w:val="TableParagraph"/>
              <w:keepNext/>
              <w:spacing w:before="40" w:after="40" w:line="278" w:lineRule="auto"/>
              <w:jc w:val="center"/>
              <w:rPr>
                <w:sz w:val="18"/>
                <w:szCs w:val="18"/>
              </w:rPr>
            </w:pPr>
            <w:r w:rsidRPr="002F1788">
              <w:rPr>
                <w:sz w:val="18"/>
                <w:szCs w:val="18"/>
              </w:rPr>
              <w:t>1</w:t>
            </w:r>
          </w:p>
        </w:tc>
        <w:tc>
          <w:tcPr>
            <w:tcW w:w="1524" w:type="dxa"/>
            <w:tcBorders>
              <w:bottom w:val="single" w:sz="4" w:space="0" w:color="auto"/>
            </w:tcBorders>
            <w:shd w:val="clear" w:color="auto" w:fill="DDEDD3"/>
            <w:vAlign w:val="center"/>
          </w:tcPr>
          <w:p w14:paraId="4F42E82B" w14:textId="77777777" w:rsidR="00E411C3" w:rsidRPr="002F1788" w:rsidRDefault="00D80C12" w:rsidP="004F5A3E">
            <w:pPr>
              <w:pStyle w:val="TableParagraph"/>
              <w:keepNext/>
              <w:spacing w:before="40" w:after="40" w:line="278" w:lineRule="auto"/>
              <w:jc w:val="center"/>
              <w:rPr>
                <w:sz w:val="18"/>
                <w:szCs w:val="18"/>
              </w:rPr>
            </w:pPr>
            <w:r w:rsidRPr="002F1788">
              <w:rPr>
                <w:sz w:val="18"/>
                <w:szCs w:val="18"/>
              </w:rPr>
              <w:t>1</w:t>
            </w:r>
          </w:p>
        </w:tc>
        <w:tc>
          <w:tcPr>
            <w:tcW w:w="1524" w:type="dxa"/>
            <w:tcBorders>
              <w:bottom w:val="single" w:sz="4" w:space="0" w:color="auto"/>
              <w:right w:val="nil"/>
            </w:tcBorders>
            <w:shd w:val="clear" w:color="auto" w:fill="F7DCE0"/>
            <w:vAlign w:val="center"/>
          </w:tcPr>
          <w:p w14:paraId="54D19662" w14:textId="77777777" w:rsidR="00E411C3" w:rsidRPr="002F1788" w:rsidRDefault="00E411C3" w:rsidP="004F5A3E">
            <w:pPr>
              <w:pStyle w:val="TableParagraph"/>
              <w:keepNext/>
              <w:spacing w:before="40" w:after="40" w:line="278" w:lineRule="auto"/>
              <w:jc w:val="center"/>
              <w:rPr>
                <w:sz w:val="18"/>
                <w:szCs w:val="18"/>
              </w:rPr>
            </w:pPr>
            <w:r w:rsidRPr="002F1788">
              <w:rPr>
                <w:sz w:val="18"/>
                <w:szCs w:val="18"/>
              </w:rPr>
              <w:t>4</w:t>
            </w:r>
          </w:p>
        </w:tc>
      </w:tr>
      <w:tr w:rsidR="00D07354" w:rsidRPr="002F1788" w14:paraId="4CB77DA4" w14:textId="77777777" w:rsidTr="00D80C12">
        <w:trPr>
          <w:trHeight w:val="328"/>
        </w:trPr>
        <w:tc>
          <w:tcPr>
            <w:tcW w:w="1168" w:type="dxa"/>
            <w:tcBorders>
              <w:bottom w:val="single" w:sz="4" w:space="0" w:color="auto"/>
            </w:tcBorders>
            <w:vAlign w:val="center"/>
          </w:tcPr>
          <w:p w14:paraId="48039442" w14:textId="77777777" w:rsidR="002E5711" w:rsidRPr="002F1788" w:rsidRDefault="00D07354" w:rsidP="004F5A3E">
            <w:pPr>
              <w:pStyle w:val="TableParagraph"/>
              <w:keepNext/>
              <w:spacing w:before="40" w:after="40" w:line="278" w:lineRule="auto"/>
              <w:ind w:left="85"/>
              <w:rPr>
                <w:sz w:val="18"/>
                <w:szCs w:val="18"/>
              </w:rPr>
            </w:pPr>
            <w:r>
              <w:rPr>
                <w:sz w:val="18"/>
                <w:szCs w:val="18"/>
              </w:rPr>
              <w:t>CBA</w:t>
            </w:r>
          </w:p>
        </w:tc>
        <w:tc>
          <w:tcPr>
            <w:tcW w:w="1524" w:type="dxa"/>
            <w:tcBorders>
              <w:bottom w:val="single" w:sz="4" w:space="0" w:color="auto"/>
            </w:tcBorders>
            <w:shd w:val="clear" w:color="auto" w:fill="F8D4D1"/>
            <w:vAlign w:val="center"/>
          </w:tcPr>
          <w:p w14:paraId="4C5B84D0" w14:textId="77777777" w:rsidR="002E5711" w:rsidRPr="002F1788" w:rsidRDefault="002E5711" w:rsidP="004F5A3E">
            <w:pPr>
              <w:pStyle w:val="TableParagraph"/>
              <w:keepNext/>
              <w:spacing w:before="40" w:after="40" w:line="278" w:lineRule="auto"/>
              <w:jc w:val="center"/>
              <w:rPr>
                <w:sz w:val="18"/>
                <w:szCs w:val="18"/>
              </w:rPr>
            </w:pPr>
            <w:r w:rsidRPr="002F1788">
              <w:rPr>
                <w:sz w:val="18"/>
                <w:szCs w:val="18"/>
              </w:rPr>
              <w:t>5</w:t>
            </w:r>
          </w:p>
        </w:tc>
        <w:tc>
          <w:tcPr>
            <w:tcW w:w="1524" w:type="dxa"/>
            <w:tcBorders>
              <w:bottom w:val="single" w:sz="4" w:space="0" w:color="auto"/>
            </w:tcBorders>
            <w:shd w:val="clear" w:color="auto" w:fill="F7DCE0"/>
            <w:vAlign w:val="center"/>
          </w:tcPr>
          <w:p w14:paraId="6E02FB6C" w14:textId="77777777" w:rsidR="002E5711" w:rsidRPr="002F1788" w:rsidRDefault="007C45F3" w:rsidP="004F5A3E">
            <w:pPr>
              <w:pStyle w:val="TableParagraph"/>
              <w:keepNext/>
              <w:spacing w:before="40" w:after="40" w:line="278" w:lineRule="auto"/>
              <w:jc w:val="center"/>
              <w:rPr>
                <w:sz w:val="18"/>
                <w:szCs w:val="18"/>
              </w:rPr>
            </w:pPr>
            <w:r>
              <w:rPr>
                <w:sz w:val="18"/>
                <w:szCs w:val="18"/>
              </w:rPr>
              <w:t>4</w:t>
            </w:r>
          </w:p>
        </w:tc>
        <w:tc>
          <w:tcPr>
            <w:tcW w:w="1524" w:type="dxa"/>
            <w:tcBorders>
              <w:bottom w:val="single" w:sz="4" w:space="0" w:color="auto"/>
            </w:tcBorders>
            <w:shd w:val="clear" w:color="auto" w:fill="FFEFCC"/>
            <w:vAlign w:val="center"/>
          </w:tcPr>
          <w:p w14:paraId="0374529A" w14:textId="77777777" w:rsidR="002E5711" w:rsidRPr="002F1788" w:rsidRDefault="002E5711" w:rsidP="004F5A3E">
            <w:pPr>
              <w:pStyle w:val="TableParagraph"/>
              <w:keepNext/>
              <w:spacing w:before="40" w:after="40" w:line="278" w:lineRule="auto"/>
              <w:jc w:val="center"/>
              <w:rPr>
                <w:sz w:val="18"/>
                <w:szCs w:val="18"/>
              </w:rPr>
            </w:pPr>
            <w:r w:rsidRPr="002F1788">
              <w:rPr>
                <w:sz w:val="18"/>
                <w:szCs w:val="18"/>
              </w:rPr>
              <w:t>2</w:t>
            </w:r>
          </w:p>
        </w:tc>
        <w:tc>
          <w:tcPr>
            <w:tcW w:w="1524" w:type="dxa"/>
            <w:tcBorders>
              <w:bottom w:val="single" w:sz="4" w:space="0" w:color="auto"/>
            </w:tcBorders>
            <w:shd w:val="clear" w:color="auto" w:fill="DDEDD3"/>
            <w:vAlign w:val="center"/>
          </w:tcPr>
          <w:p w14:paraId="209194DF" w14:textId="77777777" w:rsidR="002E5711" w:rsidRPr="002F1788" w:rsidRDefault="002E5711" w:rsidP="004F5A3E">
            <w:pPr>
              <w:pStyle w:val="TableParagraph"/>
              <w:keepNext/>
              <w:spacing w:before="40" w:after="40" w:line="278" w:lineRule="auto"/>
              <w:jc w:val="center"/>
              <w:rPr>
                <w:sz w:val="18"/>
                <w:szCs w:val="18"/>
              </w:rPr>
            </w:pPr>
            <w:r w:rsidRPr="002F1788">
              <w:rPr>
                <w:sz w:val="18"/>
                <w:szCs w:val="18"/>
              </w:rPr>
              <w:t>1</w:t>
            </w:r>
          </w:p>
        </w:tc>
        <w:tc>
          <w:tcPr>
            <w:tcW w:w="1524" w:type="dxa"/>
            <w:tcBorders>
              <w:bottom w:val="single" w:sz="4" w:space="0" w:color="auto"/>
            </w:tcBorders>
            <w:shd w:val="clear" w:color="auto" w:fill="FDD7C3"/>
            <w:vAlign w:val="center"/>
          </w:tcPr>
          <w:p w14:paraId="0C08E7F6" w14:textId="77777777" w:rsidR="002E5711" w:rsidRPr="002F1788" w:rsidRDefault="002E5711" w:rsidP="004F5A3E">
            <w:pPr>
              <w:pStyle w:val="TableParagraph"/>
              <w:keepNext/>
              <w:spacing w:before="40" w:after="40" w:line="278" w:lineRule="auto"/>
              <w:jc w:val="center"/>
              <w:rPr>
                <w:sz w:val="18"/>
                <w:szCs w:val="18"/>
              </w:rPr>
            </w:pPr>
            <w:r w:rsidRPr="002F1788">
              <w:rPr>
                <w:sz w:val="18"/>
                <w:szCs w:val="18"/>
              </w:rPr>
              <w:t>3</w:t>
            </w:r>
          </w:p>
        </w:tc>
      </w:tr>
      <w:tr w:rsidR="00D07354" w:rsidRPr="002F1788" w14:paraId="51AD345A" w14:textId="77777777" w:rsidTr="00A56CA9">
        <w:trPr>
          <w:trHeight w:val="331"/>
        </w:trPr>
        <w:tc>
          <w:tcPr>
            <w:tcW w:w="1168" w:type="dxa"/>
            <w:tcBorders>
              <w:bottom w:val="single" w:sz="4" w:space="0" w:color="auto"/>
            </w:tcBorders>
            <w:vAlign w:val="center"/>
          </w:tcPr>
          <w:p w14:paraId="365BDC0A" w14:textId="77777777" w:rsidR="00E411C3" w:rsidRPr="002F1788" w:rsidRDefault="00DA4693" w:rsidP="004F5A3E">
            <w:pPr>
              <w:pStyle w:val="TableParagraph"/>
              <w:keepNext/>
              <w:spacing w:before="40" w:after="40" w:line="278" w:lineRule="auto"/>
              <w:ind w:left="85"/>
              <w:rPr>
                <w:sz w:val="18"/>
                <w:szCs w:val="18"/>
              </w:rPr>
            </w:pPr>
            <w:r>
              <w:rPr>
                <w:sz w:val="18"/>
                <w:szCs w:val="18"/>
              </w:rPr>
              <w:t>CRBM</w:t>
            </w:r>
          </w:p>
        </w:tc>
        <w:tc>
          <w:tcPr>
            <w:tcW w:w="1524" w:type="dxa"/>
            <w:tcBorders>
              <w:bottom w:val="single" w:sz="4" w:space="0" w:color="auto"/>
            </w:tcBorders>
            <w:shd w:val="clear" w:color="auto" w:fill="DDEDD3"/>
            <w:vAlign w:val="center"/>
          </w:tcPr>
          <w:p w14:paraId="7D152ED7" w14:textId="77777777" w:rsidR="00E411C3" w:rsidRPr="002F1788" w:rsidRDefault="00E411C3" w:rsidP="004F5A3E">
            <w:pPr>
              <w:pStyle w:val="TableParagraph"/>
              <w:keepNext/>
              <w:spacing w:before="40" w:after="40"/>
              <w:jc w:val="center"/>
              <w:rPr>
                <w:sz w:val="18"/>
                <w:szCs w:val="18"/>
              </w:rPr>
            </w:pPr>
            <w:r w:rsidRPr="002F1788">
              <w:rPr>
                <w:sz w:val="18"/>
                <w:szCs w:val="18"/>
              </w:rPr>
              <w:t>1</w:t>
            </w:r>
          </w:p>
        </w:tc>
        <w:tc>
          <w:tcPr>
            <w:tcW w:w="1524" w:type="dxa"/>
            <w:tcBorders>
              <w:bottom w:val="single" w:sz="4" w:space="0" w:color="auto"/>
            </w:tcBorders>
            <w:shd w:val="clear" w:color="auto" w:fill="FFEFCC"/>
            <w:vAlign w:val="center"/>
          </w:tcPr>
          <w:p w14:paraId="30B2EBB0" w14:textId="77777777" w:rsidR="00E411C3" w:rsidRPr="002F1788" w:rsidRDefault="00E411C3" w:rsidP="004F5A3E">
            <w:pPr>
              <w:pStyle w:val="TableParagraph"/>
              <w:keepNext/>
              <w:spacing w:before="40" w:after="40"/>
              <w:jc w:val="center"/>
              <w:rPr>
                <w:sz w:val="18"/>
                <w:szCs w:val="18"/>
              </w:rPr>
            </w:pPr>
            <w:r w:rsidRPr="002F1788">
              <w:rPr>
                <w:sz w:val="18"/>
                <w:szCs w:val="18"/>
              </w:rPr>
              <w:t>2</w:t>
            </w:r>
          </w:p>
        </w:tc>
        <w:tc>
          <w:tcPr>
            <w:tcW w:w="1524" w:type="dxa"/>
            <w:tcBorders>
              <w:bottom w:val="single" w:sz="4" w:space="0" w:color="auto"/>
            </w:tcBorders>
            <w:shd w:val="clear" w:color="auto" w:fill="FDD7C3"/>
            <w:vAlign w:val="center"/>
          </w:tcPr>
          <w:p w14:paraId="5B0882E5" w14:textId="77777777" w:rsidR="00E411C3" w:rsidRPr="002F1788" w:rsidRDefault="00E411C3" w:rsidP="004F5A3E">
            <w:pPr>
              <w:pStyle w:val="TableParagraph"/>
              <w:keepNext/>
              <w:spacing w:before="40" w:after="40"/>
              <w:jc w:val="center"/>
              <w:rPr>
                <w:sz w:val="18"/>
                <w:szCs w:val="18"/>
              </w:rPr>
            </w:pPr>
            <w:r w:rsidRPr="002F1788">
              <w:rPr>
                <w:sz w:val="18"/>
                <w:szCs w:val="18"/>
              </w:rPr>
              <w:t>3</w:t>
            </w:r>
          </w:p>
        </w:tc>
        <w:tc>
          <w:tcPr>
            <w:tcW w:w="1524" w:type="dxa"/>
            <w:tcBorders>
              <w:bottom w:val="single" w:sz="4" w:space="0" w:color="auto"/>
            </w:tcBorders>
            <w:shd w:val="clear" w:color="auto" w:fill="F7DCE0"/>
            <w:vAlign w:val="center"/>
          </w:tcPr>
          <w:p w14:paraId="709281BA" w14:textId="77777777" w:rsidR="00E411C3" w:rsidRPr="002F1788" w:rsidRDefault="00E411C3" w:rsidP="004F5A3E">
            <w:pPr>
              <w:pStyle w:val="TableParagraph"/>
              <w:keepNext/>
              <w:spacing w:before="40" w:after="40"/>
              <w:jc w:val="center"/>
              <w:rPr>
                <w:sz w:val="18"/>
                <w:szCs w:val="18"/>
              </w:rPr>
            </w:pPr>
            <w:r w:rsidRPr="002F1788">
              <w:rPr>
                <w:sz w:val="18"/>
                <w:szCs w:val="18"/>
              </w:rPr>
              <w:t>4</w:t>
            </w:r>
          </w:p>
        </w:tc>
        <w:tc>
          <w:tcPr>
            <w:tcW w:w="1524" w:type="dxa"/>
            <w:tcBorders>
              <w:bottom w:val="single" w:sz="4" w:space="0" w:color="auto"/>
            </w:tcBorders>
            <w:shd w:val="clear" w:color="auto" w:fill="F8D4D1"/>
            <w:vAlign w:val="center"/>
          </w:tcPr>
          <w:p w14:paraId="3F87A40C" w14:textId="77777777" w:rsidR="00E411C3" w:rsidRPr="002F1788" w:rsidRDefault="00E411C3" w:rsidP="004F5A3E">
            <w:pPr>
              <w:pStyle w:val="TableParagraph"/>
              <w:keepNext/>
              <w:spacing w:before="40" w:after="40"/>
              <w:jc w:val="center"/>
              <w:rPr>
                <w:sz w:val="18"/>
                <w:szCs w:val="18"/>
              </w:rPr>
            </w:pPr>
            <w:r w:rsidRPr="002F1788">
              <w:rPr>
                <w:sz w:val="18"/>
                <w:szCs w:val="18"/>
              </w:rPr>
              <w:t>5</w:t>
            </w:r>
          </w:p>
        </w:tc>
      </w:tr>
      <w:tr w:rsidR="00D07354" w:rsidRPr="002F1788" w14:paraId="6E75D7F4" w14:textId="77777777" w:rsidTr="00A56CA9">
        <w:trPr>
          <w:trHeight w:val="382"/>
        </w:trPr>
        <w:tc>
          <w:tcPr>
            <w:tcW w:w="1168" w:type="dxa"/>
            <w:vAlign w:val="center"/>
          </w:tcPr>
          <w:p w14:paraId="7CBE5249" w14:textId="77777777" w:rsidR="00E411C3" w:rsidRPr="002F1788" w:rsidRDefault="00E411C3" w:rsidP="004F5A3E">
            <w:pPr>
              <w:pStyle w:val="TableParagraph"/>
              <w:keepNext/>
              <w:spacing w:before="40" w:after="40" w:line="278" w:lineRule="auto"/>
              <w:ind w:left="85"/>
              <w:rPr>
                <w:sz w:val="18"/>
                <w:szCs w:val="18"/>
              </w:rPr>
            </w:pPr>
            <w:r w:rsidRPr="002F1788">
              <w:rPr>
                <w:sz w:val="18"/>
                <w:szCs w:val="18"/>
              </w:rPr>
              <w:t>CEA</w:t>
            </w:r>
          </w:p>
        </w:tc>
        <w:tc>
          <w:tcPr>
            <w:tcW w:w="1524" w:type="dxa"/>
            <w:shd w:val="clear" w:color="auto" w:fill="F8D4D1"/>
            <w:vAlign w:val="center"/>
          </w:tcPr>
          <w:p w14:paraId="2C67A272" w14:textId="77777777" w:rsidR="00E411C3" w:rsidRPr="002F1788" w:rsidRDefault="00E411C3" w:rsidP="004F5A3E">
            <w:pPr>
              <w:pStyle w:val="TableParagraph"/>
              <w:keepNext/>
              <w:spacing w:before="40" w:after="40"/>
              <w:jc w:val="center"/>
              <w:rPr>
                <w:sz w:val="18"/>
                <w:szCs w:val="18"/>
              </w:rPr>
            </w:pPr>
            <w:r w:rsidRPr="002F1788">
              <w:rPr>
                <w:sz w:val="18"/>
                <w:szCs w:val="18"/>
              </w:rPr>
              <w:t>5</w:t>
            </w:r>
          </w:p>
        </w:tc>
        <w:tc>
          <w:tcPr>
            <w:tcW w:w="1524" w:type="dxa"/>
            <w:shd w:val="clear" w:color="auto" w:fill="F7DCE0"/>
            <w:vAlign w:val="center"/>
          </w:tcPr>
          <w:p w14:paraId="1ECFC6DC" w14:textId="77777777" w:rsidR="00E411C3" w:rsidRPr="002F1788" w:rsidRDefault="00E411C3" w:rsidP="004F5A3E">
            <w:pPr>
              <w:pStyle w:val="TableParagraph"/>
              <w:keepNext/>
              <w:spacing w:before="40" w:after="40"/>
              <w:jc w:val="center"/>
              <w:rPr>
                <w:sz w:val="18"/>
                <w:szCs w:val="18"/>
              </w:rPr>
            </w:pPr>
            <w:r w:rsidRPr="002F1788">
              <w:rPr>
                <w:sz w:val="18"/>
                <w:szCs w:val="18"/>
              </w:rPr>
              <w:t>4</w:t>
            </w:r>
          </w:p>
        </w:tc>
        <w:tc>
          <w:tcPr>
            <w:tcW w:w="1524" w:type="dxa"/>
            <w:tcBorders>
              <w:bottom w:val="single" w:sz="4" w:space="0" w:color="auto"/>
            </w:tcBorders>
            <w:shd w:val="clear" w:color="auto" w:fill="FDD7C3"/>
            <w:vAlign w:val="center"/>
          </w:tcPr>
          <w:p w14:paraId="240C986D" w14:textId="77777777" w:rsidR="00E411C3" w:rsidRPr="002F1788" w:rsidRDefault="00E411C3" w:rsidP="004F5A3E">
            <w:pPr>
              <w:pStyle w:val="TableParagraph"/>
              <w:keepNext/>
              <w:spacing w:before="40" w:after="40"/>
              <w:jc w:val="center"/>
              <w:rPr>
                <w:sz w:val="18"/>
                <w:szCs w:val="18"/>
              </w:rPr>
            </w:pPr>
            <w:r w:rsidRPr="002F1788">
              <w:rPr>
                <w:sz w:val="18"/>
                <w:szCs w:val="18"/>
              </w:rPr>
              <w:t>3</w:t>
            </w:r>
          </w:p>
        </w:tc>
        <w:tc>
          <w:tcPr>
            <w:tcW w:w="1524" w:type="dxa"/>
            <w:shd w:val="clear" w:color="auto" w:fill="DDEDD3"/>
            <w:vAlign w:val="center"/>
          </w:tcPr>
          <w:p w14:paraId="12405169" w14:textId="77777777" w:rsidR="00E411C3" w:rsidRPr="002F1788" w:rsidRDefault="00E411C3" w:rsidP="004F5A3E">
            <w:pPr>
              <w:pStyle w:val="TableParagraph"/>
              <w:keepNext/>
              <w:spacing w:before="40" w:after="40"/>
              <w:jc w:val="center"/>
              <w:rPr>
                <w:sz w:val="18"/>
                <w:szCs w:val="18"/>
              </w:rPr>
            </w:pPr>
            <w:r w:rsidRPr="002F1788">
              <w:rPr>
                <w:sz w:val="18"/>
                <w:szCs w:val="18"/>
              </w:rPr>
              <w:t>1</w:t>
            </w:r>
          </w:p>
        </w:tc>
        <w:tc>
          <w:tcPr>
            <w:tcW w:w="1524" w:type="dxa"/>
            <w:shd w:val="clear" w:color="auto" w:fill="DDEDD3"/>
            <w:vAlign w:val="center"/>
          </w:tcPr>
          <w:p w14:paraId="487FEB62" w14:textId="77777777" w:rsidR="00E411C3" w:rsidRPr="002F1788" w:rsidRDefault="00E411C3" w:rsidP="004F5A3E">
            <w:pPr>
              <w:pStyle w:val="TableParagraph"/>
              <w:keepNext/>
              <w:spacing w:before="40" w:after="40"/>
              <w:jc w:val="center"/>
              <w:rPr>
                <w:sz w:val="18"/>
                <w:szCs w:val="18"/>
              </w:rPr>
            </w:pPr>
            <w:r w:rsidRPr="002F1788">
              <w:rPr>
                <w:sz w:val="18"/>
                <w:szCs w:val="18"/>
              </w:rPr>
              <w:t>1</w:t>
            </w:r>
          </w:p>
        </w:tc>
      </w:tr>
    </w:tbl>
    <w:p w14:paraId="39EAA52D" w14:textId="2972C289" w:rsidR="00AA0504" w:rsidRDefault="00D24FAA" w:rsidP="001B7CFB">
      <w:pPr>
        <w:pStyle w:val="BodyText"/>
        <w:spacing w:after="60"/>
      </w:pPr>
      <w:r>
        <w:rPr>
          <w:rFonts w:eastAsiaTheme="minorEastAsia"/>
        </w:rPr>
        <w:t xml:space="preserve">As </w:t>
      </w:r>
      <w:r>
        <w:rPr>
          <w:rFonts w:eastAsiaTheme="minorEastAsia"/>
        </w:rPr>
        <w:fldChar w:fldCharType="begin" w:fldLock="1"/>
      </w:r>
      <w:r>
        <w:rPr>
          <w:rFonts w:eastAsiaTheme="minorEastAsia"/>
        </w:rPr>
        <w:instrText xml:space="preserve"> REF _Ref59298493 \h </w:instrText>
      </w:r>
      <w:r>
        <w:rPr>
          <w:rFonts w:eastAsiaTheme="minorEastAsia"/>
        </w:rPr>
      </w:r>
      <w:r>
        <w:rPr>
          <w:rFonts w:eastAsiaTheme="minorEastAsia"/>
        </w:rPr>
        <w:fldChar w:fldCharType="separate"/>
      </w:r>
      <w:r w:rsidR="00036405">
        <w:t xml:space="preserve">Table </w:t>
      </w:r>
      <w:r w:rsidR="00036405">
        <w:rPr>
          <w:noProof/>
        </w:rPr>
        <w:t>9</w:t>
      </w:r>
      <w:r w:rsidR="00036405">
        <w:t>.</w:t>
      </w:r>
      <w:r w:rsidR="00036405">
        <w:rPr>
          <w:noProof/>
        </w:rPr>
        <w:t>10</w:t>
      </w:r>
      <w:r>
        <w:rPr>
          <w:rFonts w:eastAsiaTheme="minorEastAsia"/>
        </w:rPr>
        <w:fldChar w:fldCharType="end"/>
      </w:r>
      <w:r>
        <w:rPr>
          <w:rFonts w:eastAsiaTheme="minorEastAsia"/>
        </w:rPr>
        <w:t xml:space="preserve"> shows, </w:t>
      </w:r>
      <w:r w:rsidR="00A56CA9">
        <w:rPr>
          <w:rFonts w:eastAsiaTheme="minorEastAsia"/>
        </w:rPr>
        <w:t>no single option was ranked 1 across all forms of the regulatory impact analysis</w:t>
      </w:r>
      <w:r>
        <w:rPr>
          <w:rFonts w:eastAsiaTheme="minorEastAsia"/>
        </w:rPr>
        <w:t xml:space="preserve">. </w:t>
      </w:r>
      <w:r w:rsidR="00A56CA9">
        <w:rPr>
          <w:rFonts w:eastAsiaTheme="minorEastAsia"/>
        </w:rPr>
        <w:t>Option 3B</w:t>
      </w:r>
      <w:r>
        <w:rPr>
          <w:rFonts w:eastAsiaTheme="minorEastAsia"/>
        </w:rPr>
        <w:t xml:space="preserve"> was, however, </w:t>
      </w:r>
      <w:r w:rsidR="00A56CA9">
        <w:rPr>
          <w:rFonts w:eastAsiaTheme="minorEastAsia"/>
        </w:rPr>
        <w:t xml:space="preserve">ranked as 1 in the </w:t>
      </w:r>
      <w:r>
        <w:rPr>
          <w:rFonts w:eastAsiaTheme="minorEastAsia"/>
        </w:rPr>
        <w:t xml:space="preserve">risk analysis, </w:t>
      </w:r>
      <w:r w:rsidR="00A56CA9">
        <w:rPr>
          <w:rFonts w:eastAsiaTheme="minorEastAsia"/>
        </w:rPr>
        <w:t>CBA and the CEA, and 4 in the CRBM</w:t>
      </w:r>
      <w:r>
        <w:rPr>
          <w:rFonts w:eastAsiaTheme="minorEastAsia"/>
        </w:rPr>
        <w:t xml:space="preserve">. </w:t>
      </w:r>
      <w:r w:rsidR="00134AF9">
        <w:t xml:space="preserve">In </w:t>
      </w:r>
      <w:r w:rsidR="00976204">
        <w:t xml:space="preserve">relation to the CRBM, </w:t>
      </w:r>
      <w:r w:rsidR="00134AF9">
        <w:t>it is worth noting that w</w:t>
      </w:r>
      <w:r w:rsidR="00A56CA9">
        <w:t xml:space="preserve">hile the </w:t>
      </w:r>
      <w:r w:rsidR="00A56CA9" w:rsidRPr="003E4A01">
        <w:t xml:space="preserve">regulatory burden </w:t>
      </w:r>
      <w:r w:rsidR="00A56CA9">
        <w:t xml:space="preserve">associated with </w:t>
      </w:r>
      <w:r w:rsidR="00134AF9">
        <w:t>O</w:t>
      </w:r>
      <w:r w:rsidR="00A56CA9">
        <w:t xml:space="preserve">ption </w:t>
      </w:r>
      <w:r w:rsidR="00134AF9">
        <w:t xml:space="preserve">3B </w:t>
      </w:r>
      <w:r w:rsidR="00A56CA9">
        <w:t>is higher than options 1</w:t>
      </w:r>
      <w:r w:rsidR="00134AF9">
        <w:t>,</w:t>
      </w:r>
      <w:r w:rsidR="00A56CA9">
        <w:t xml:space="preserve"> 2</w:t>
      </w:r>
      <w:r w:rsidR="00134AF9">
        <w:t xml:space="preserve"> and 3A</w:t>
      </w:r>
      <w:r w:rsidR="00A56CA9">
        <w:t>, the difference is relatively small</w:t>
      </w:r>
      <w:r w:rsidR="00C81027">
        <w:t xml:space="preserve"> (see </w:t>
      </w:r>
      <w:r w:rsidR="00C81027">
        <w:fldChar w:fldCharType="begin" w:fldLock="1"/>
      </w:r>
      <w:r w:rsidR="00C81027">
        <w:instrText xml:space="preserve"> REF _Ref49956102 \h </w:instrText>
      </w:r>
      <w:r w:rsidR="00C81027">
        <w:fldChar w:fldCharType="separate"/>
      </w:r>
      <w:r w:rsidR="00036405">
        <w:t xml:space="preserve">Table </w:t>
      </w:r>
      <w:r w:rsidR="00036405">
        <w:rPr>
          <w:noProof/>
        </w:rPr>
        <w:t>9</w:t>
      </w:r>
      <w:r w:rsidR="00036405">
        <w:t>.</w:t>
      </w:r>
      <w:r w:rsidR="00036405">
        <w:rPr>
          <w:noProof/>
        </w:rPr>
        <w:t>7</w:t>
      </w:r>
      <w:r w:rsidR="00C81027">
        <w:fldChar w:fldCharType="end"/>
      </w:r>
      <w:r w:rsidR="00C81027">
        <w:t>)</w:t>
      </w:r>
      <w:r w:rsidR="00A56CA9">
        <w:t xml:space="preserve"> and is expected to be more than offset by the benefits associated with </w:t>
      </w:r>
      <w:r w:rsidR="00462348">
        <w:t>this option</w:t>
      </w:r>
      <w:r w:rsidR="00AA0504">
        <w:t>,</w:t>
      </w:r>
      <w:r w:rsidR="00370905">
        <w:rPr>
          <w:rFonts w:ascii="ZWAdobeF" w:hAnsi="ZWAdobeF" w:cs="ZWAdobeF"/>
          <w:sz w:val="2"/>
          <w:szCs w:val="2"/>
        </w:rPr>
        <w:t>218F</w:t>
      </w:r>
      <w:r w:rsidR="0044390A">
        <w:rPr>
          <w:rStyle w:val="FootnoteReference"/>
        </w:rPr>
        <w:footnoteReference w:id="220"/>
      </w:r>
      <w:r w:rsidR="00AA0504">
        <w:t xml:space="preserve"> which </w:t>
      </w:r>
      <w:r w:rsidR="00A56CA9">
        <w:t>include</w:t>
      </w:r>
      <w:r w:rsidR="00AA0504">
        <w:t>:</w:t>
      </w:r>
      <w:r w:rsidR="00A56CA9">
        <w:t xml:space="preserve"> </w:t>
      </w:r>
    </w:p>
    <w:p w14:paraId="79CF7ACC" w14:textId="77777777" w:rsidR="001E17BB" w:rsidRDefault="006A0233" w:rsidP="004F5A3E">
      <w:pPr>
        <w:pStyle w:val="ListBullet"/>
        <w:spacing w:before="60" w:after="60" w:line="252" w:lineRule="auto"/>
      </w:pPr>
      <w:r>
        <w:t xml:space="preserve">the </w:t>
      </w:r>
      <w:r w:rsidR="00863232">
        <w:t>p</w:t>
      </w:r>
      <w:r w:rsidR="00863232" w:rsidRPr="00A37200">
        <w:t>roductivity</w:t>
      </w:r>
      <w:r w:rsidR="008636D7">
        <w:t>, investment</w:t>
      </w:r>
      <w:r w:rsidR="00F611BC">
        <w:t xml:space="preserve"> and</w:t>
      </w:r>
      <w:r w:rsidR="00863232" w:rsidRPr="00A37200">
        <w:t xml:space="preserve"> </w:t>
      </w:r>
      <w:r w:rsidR="008636D7">
        <w:t xml:space="preserve">other </w:t>
      </w:r>
      <w:r w:rsidR="003351A8">
        <w:t xml:space="preserve">efficiency </w:t>
      </w:r>
      <w:r w:rsidR="00EF6084">
        <w:t xml:space="preserve">benefits </w:t>
      </w:r>
      <w:r w:rsidR="00863232">
        <w:t xml:space="preserve">associated with </w:t>
      </w:r>
      <w:r w:rsidR="00863232" w:rsidRPr="00A37200">
        <w:t>lower transportation costs</w:t>
      </w:r>
      <w:r w:rsidR="00F04069">
        <w:t xml:space="preserve"> arising as a result of</w:t>
      </w:r>
      <w:r w:rsidR="001E17BB">
        <w:t>:</w:t>
      </w:r>
      <w:r w:rsidR="00F04069">
        <w:t xml:space="preserve"> </w:t>
      </w:r>
    </w:p>
    <w:p w14:paraId="27A6E0F1" w14:textId="77777777" w:rsidR="001E17BB" w:rsidRDefault="00911361" w:rsidP="004F5A3E">
      <w:pPr>
        <w:pStyle w:val="ListBullet2"/>
        <w:spacing w:before="60" w:after="60" w:line="252" w:lineRule="auto"/>
      </w:pPr>
      <w:r>
        <w:t>more pipelines becoming subject to a stronger form of regulation</w:t>
      </w:r>
      <w:r w:rsidR="001E17BB">
        <w:t>;</w:t>
      </w:r>
      <w:r>
        <w:t xml:space="preserve"> </w:t>
      </w:r>
      <w:r w:rsidR="00FF50F1">
        <w:t xml:space="preserve">and </w:t>
      </w:r>
    </w:p>
    <w:p w14:paraId="481048B4" w14:textId="77777777" w:rsidR="00863232" w:rsidRDefault="00FF50F1" w:rsidP="004F5A3E">
      <w:pPr>
        <w:pStyle w:val="ListBullet2"/>
        <w:spacing w:before="60" w:after="60" w:line="252" w:lineRule="auto"/>
      </w:pPr>
      <w:r>
        <w:t xml:space="preserve">other measures that are expected to </w:t>
      </w:r>
      <w:r w:rsidR="002B2E1D">
        <w:t xml:space="preserve">pose more of a constraint on the behaviour of service providers and </w:t>
      </w:r>
      <w:r>
        <w:t>place downward pressure on transportation costs on pipelines subject to the new lighter form of regulation;</w:t>
      </w:r>
    </w:p>
    <w:p w14:paraId="33C20259" w14:textId="77777777" w:rsidR="001E17BB" w:rsidRDefault="006A0233" w:rsidP="004F5A3E">
      <w:pPr>
        <w:pStyle w:val="ListBullet"/>
        <w:spacing w:before="60" w:after="60" w:line="252" w:lineRule="auto"/>
      </w:pPr>
      <w:r>
        <w:t xml:space="preserve">the </w:t>
      </w:r>
      <w:r w:rsidR="001E17BB">
        <w:t>productivity</w:t>
      </w:r>
      <w:r w:rsidR="008636D7">
        <w:t>, investment</w:t>
      </w:r>
      <w:r w:rsidR="001E17BB">
        <w:t xml:space="preserve"> and </w:t>
      </w:r>
      <w:r w:rsidR="008636D7">
        <w:t xml:space="preserve">other </w:t>
      </w:r>
      <w:r w:rsidR="001E17BB">
        <w:t>efficiency benefits associated with improved access to pipelines that would not otherwise provide third party access;</w:t>
      </w:r>
    </w:p>
    <w:p w14:paraId="34E0EBD2" w14:textId="0658F73A" w:rsidR="001E17BB" w:rsidRDefault="006A0233" w:rsidP="004F5A3E">
      <w:pPr>
        <w:pStyle w:val="ListBullet"/>
        <w:spacing w:before="60" w:after="60" w:line="252" w:lineRule="auto"/>
      </w:pPr>
      <w:r>
        <w:t xml:space="preserve">the </w:t>
      </w:r>
      <w:r w:rsidR="008223E3">
        <w:t xml:space="preserve">reduction in information asymmetries and lower search and transaction costs arising as a result of the </w:t>
      </w:r>
      <w:r w:rsidR="006A7B78">
        <w:t>proposed improvements to information disclosure</w:t>
      </w:r>
      <w:r w:rsidR="004F5A3E">
        <w:t>, including greater transparency of prices</w:t>
      </w:r>
      <w:r w:rsidR="006A7B78">
        <w:t xml:space="preserve">; </w:t>
      </w:r>
      <w:r w:rsidR="00841A47">
        <w:t>and</w:t>
      </w:r>
    </w:p>
    <w:p w14:paraId="33C3A8D0" w14:textId="77777777" w:rsidR="00B74512" w:rsidRDefault="006A0233" w:rsidP="004F5A3E">
      <w:pPr>
        <w:pStyle w:val="ListBullet"/>
        <w:spacing w:line="252" w:lineRule="auto"/>
      </w:pPr>
      <w:r>
        <w:t xml:space="preserve">the </w:t>
      </w:r>
      <w:r w:rsidR="00B74512">
        <w:t xml:space="preserve">cost savings associated with simplifying the regulatory framework. </w:t>
      </w:r>
    </w:p>
    <w:p w14:paraId="742FFF03" w14:textId="77777777" w:rsidR="00AA0504" w:rsidRDefault="00B74512" w:rsidP="004F5A3E">
      <w:pPr>
        <w:pStyle w:val="BodyText"/>
        <w:spacing w:before="120" w:after="0"/>
      </w:pPr>
      <w:r>
        <w:t>The benefits also include the c</w:t>
      </w:r>
      <w:r w:rsidR="00A56CA9">
        <w:t>ompetition</w:t>
      </w:r>
      <w:r>
        <w:t xml:space="preserve"> related benefits outlined in section 9.4 and the reduction in the risk rating outlined in section 9.1. </w:t>
      </w:r>
    </w:p>
    <w:p w14:paraId="0C448F80" w14:textId="312960E0" w:rsidR="001F261C" w:rsidRPr="006B4639" w:rsidRDefault="001B7CFB" w:rsidP="00DA4693">
      <w:pPr>
        <w:pStyle w:val="BodyText"/>
        <w:spacing w:after="0"/>
      </w:pPr>
      <w:r>
        <w:t xml:space="preserve">Option 3B </w:t>
      </w:r>
      <w:r w:rsidR="00A56CA9" w:rsidRPr="003E4A01">
        <w:t>is therefore expected to yield the greatest net benefit for the community</w:t>
      </w:r>
      <w:r>
        <w:t xml:space="preserve"> </w:t>
      </w:r>
      <w:r>
        <w:rPr>
          <w:rFonts w:eastAsiaTheme="minorEastAsia"/>
        </w:rPr>
        <w:t>across the five options.</w:t>
      </w:r>
      <w:r w:rsidR="001F261C" w:rsidRPr="006B4639">
        <w:br w:type="page"/>
      </w:r>
    </w:p>
    <w:p w14:paraId="3D41DD98" w14:textId="77777777" w:rsidR="001F261C" w:rsidRDefault="00855FB0" w:rsidP="001F261C">
      <w:pPr>
        <w:pStyle w:val="Heading1"/>
      </w:pPr>
      <w:bookmarkStart w:id="228" w:name="_Toc11150094"/>
      <w:bookmarkStart w:id="229" w:name="_Toc11149724"/>
      <w:bookmarkStart w:id="230" w:name="_Toc10213319"/>
      <w:bookmarkStart w:id="231" w:name="_Toc10197882"/>
      <w:bookmarkStart w:id="232" w:name="_Toc18909151"/>
      <w:bookmarkStart w:id="233" w:name="_Toc62219433"/>
      <w:r>
        <w:lastRenderedPageBreak/>
        <w:t>Preferred option</w:t>
      </w:r>
      <w:r w:rsidR="001F261C" w:rsidRPr="006B4639">
        <w:t xml:space="preserve">, implementation and </w:t>
      </w:r>
      <w:bookmarkEnd w:id="228"/>
      <w:bookmarkEnd w:id="229"/>
      <w:bookmarkEnd w:id="230"/>
      <w:bookmarkEnd w:id="231"/>
      <w:bookmarkEnd w:id="232"/>
      <w:r w:rsidR="001F261C" w:rsidRPr="006B4639">
        <w:t>review</w:t>
      </w:r>
      <w:bookmarkEnd w:id="233"/>
    </w:p>
    <w:p w14:paraId="22DEDD9F" w14:textId="77777777" w:rsidR="005660F4" w:rsidRDefault="005660F4" w:rsidP="005660F4">
      <w:r>
        <w:t>As noted in the introduction, t</w:t>
      </w:r>
      <w:r w:rsidRPr="00AD761C">
        <w:t>he purpose of a Decision RIS is to</w:t>
      </w:r>
      <w:r>
        <w:t>:</w:t>
      </w:r>
      <w:r w:rsidRPr="00AD761C">
        <w:t xml:space="preserve"> </w:t>
      </w:r>
    </w:p>
    <w:p w14:paraId="5AE8E896" w14:textId="77777777" w:rsidR="005660F4" w:rsidRDefault="005660F4" w:rsidP="00AD36B8">
      <w:pPr>
        <w:pStyle w:val="ListBullet"/>
      </w:pPr>
      <w:r w:rsidRPr="00AD761C">
        <w:t xml:space="preserve">identify the </w:t>
      </w:r>
      <w:r>
        <w:t xml:space="preserve">preferred </w:t>
      </w:r>
      <w:r w:rsidRPr="00AD761C">
        <w:t>option</w:t>
      </w:r>
      <w:r>
        <w:t xml:space="preserve">, which is the option </w:t>
      </w:r>
      <w:r w:rsidRPr="00AD761C">
        <w:t>that yields</w:t>
      </w:r>
      <w:r w:rsidRPr="003C1C33">
        <w:t xml:space="preserve"> the greatest net benefit for the community (having regard to the results of the regulatory impact assessment and the consultation process)</w:t>
      </w:r>
      <w:r>
        <w:t>;</w:t>
      </w:r>
      <w:r w:rsidRPr="00AD761C">
        <w:t xml:space="preserve"> </w:t>
      </w:r>
    </w:p>
    <w:p w14:paraId="342FBBCD" w14:textId="77777777" w:rsidR="005660F4" w:rsidRDefault="005660F4" w:rsidP="00AD36B8">
      <w:pPr>
        <w:pStyle w:val="ListBullet"/>
      </w:pPr>
      <w:r w:rsidRPr="003C1C33">
        <w:t xml:space="preserve">set out how </w:t>
      </w:r>
      <w:r>
        <w:t xml:space="preserve">the preferred option </w:t>
      </w:r>
      <w:r w:rsidRPr="003C1C33">
        <w:t>will be implemented</w:t>
      </w:r>
      <w:r>
        <w:t>; and</w:t>
      </w:r>
    </w:p>
    <w:p w14:paraId="2644843C" w14:textId="77777777" w:rsidR="005660F4" w:rsidRDefault="005660F4" w:rsidP="00AD36B8">
      <w:pPr>
        <w:pStyle w:val="ListBullet"/>
      </w:pPr>
      <w:r>
        <w:t>outline how the preferred option will be</w:t>
      </w:r>
      <w:r w:rsidRPr="003C1C33">
        <w:t xml:space="preserve"> monitored and reviewed</w:t>
      </w:r>
      <w:r>
        <w:t xml:space="preserve"> over time</w:t>
      </w:r>
      <w:r w:rsidRPr="003C1C33">
        <w:t>.</w:t>
      </w:r>
      <w:r>
        <w:t xml:space="preserve"> </w:t>
      </w:r>
    </w:p>
    <w:p w14:paraId="2D91C6B1" w14:textId="77777777" w:rsidR="00B43879" w:rsidRPr="00B43879" w:rsidRDefault="005660F4" w:rsidP="005660F4">
      <w:pPr>
        <w:pStyle w:val="BodyText"/>
      </w:pPr>
      <w:r>
        <w:t>These matters are dealt with, in turn, in the remainder of this chapter.</w:t>
      </w:r>
    </w:p>
    <w:p w14:paraId="4C80466C" w14:textId="77777777" w:rsidR="001F261C" w:rsidRDefault="005660F4" w:rsidP="005660F4">
      <w:pPr>
        <w:pStyle w:val="Heading2"/>
        <w:spacing w:before="240" w:after="120"/>
      </w:pPr>
      <w:bookmarkStart w:id="234" w:name="_Toc62219434"/>
      <w:r>
        <w:t>What is the preferred option?</w:t>
      </w:r>
      <w:bookmarkEnd w:id="234"/>
    </w:p>
    <w:p w14:paraId="701A7A11" w14:textId="77777777" w:rsidR="00CA3D58" w:rsidRDefault="00A53638" w:rsidP="005660F4">
      <w:pPr>
        <w:pStyle w:val="BodyText"/>
      </w:pPr>
      <w:r>
        <w:t xml:space="preserve">Having regard to the </w:t>
      </w:r>
      <w:r w:rsidRPr="006C3D2A">
        <w:t>fe</w:t>
      </w:r>
      <w:r>
        <w:t>edback provided by stakeholders</w:t>
      </w:r>
      <w:r w:rsidRPr="006C3D2A">
        <w:t xml:space="preserve"> </w:t>
      </w:r>
      <w:r>
        <w:t xml:space="preserve">and the results of the regulatory impact assessment set out in </w:t>
      </w:r>
      <w:r w:rsidRPr="008E0C01">
        <w:t xml:space="preserve">Chapter </w:t>
      </w:r>
      <w:r w:rsidR="00765D6E" w:rsidRPr="008E0C01">
        <w:t>9</w:t>
      </w:r>
      <w:r w:rsidRPr="008E0C01">
        <w:t>, the</w:t>
      </w:r>
      <w:r>
        <w:t xml:space="preserve"> </w:t>
      </w:r>
      <w:r w:rsidRPr="00D03762">
        <w:t>preferred option is</w:t>
      </w:r>
      <w:r w:rsidRPr="00A2608F">
        <w:rPr>
          <w:b/>
          <w:bCs/>
        </w:rPr>
        <w:t xml:space="preserve"> Option </w:t>
      </w:r>
      <w:r w:rsidR="00DE4F83">
        <w:rPr>
          <w:b/>
          <w:bCs/>
        </w:rPr>
        <w:t>3B</w:t>
      </w:r>
      <w:r>
        <w:t xml:space="preserve">. </w:t>
      </w:r>
    </w:p>
    <w:p w14:paraId="42C9E067" w14:textId="77777777" w:rsidR="00B52CC8" w:rsidRDefault="00B52CC8" w:rsidP="005660F4">
      <w:pPr>
        <w:pStyle w:val="BodyText"/>
      </w:pPr>
      <w:r>
        <w:t xml:space="preserve">Relative to the other options, </w:t>
      </w:r>
      <w:r w:rsidR="00C70EE5">
        <w:t xml:space="preserve">Option 3B </w:t>
      </w:r>
      <w:r>
        <w:t>is</w:t>
      </w:r>
      <w:r w:rsidR="00C5008D">
        <w:t>, as noted in Chapter 9,</w:t>
      </w:r>
      <w:r>
        <w:t xml:space="preserve"> </w:t>
      </w:r>
      <w:r w:rsidR="00805569">
        <w:t>expected to</w:t>
      </w:r>
      <w:r>
        <w:t>:</w:t>
      </w:r>
      <w:r w:rsidR="00805569">
        <w:t xml:space="preserve"> </w:t>
      </w:r>
    </w:p>
    <w:p w14:paraId="55B29D91" w14:textId="77777777" w:rsidR="00B430A3" w:rsidRDefault="00B430A3" w:rsidP="00AD36B8">
      <w:pPr>
        <w:pStyle w:val="ListBullet"/>
      </w:pPr>
      <w:r>
        <w:t xml:space="preserve">result in a </w:t>
      </w:r>
      <w:r w:rsidR="003B7D80">
        <w:t xml:space="preserve">material </w:t>
      </w:r>
      <w:r>
        <w:t>reduction in the risks associated with the regulatory framework;</w:t>
      </w:r>
    </w:p>
    <w:p w14:paraId="4053AED3" w14:textId="77777777" w:rsidR="0054343E" w:rsidRDefault="00762AA1" w:rsidP="00AD36B8">
      <w:pPr>
        <w:pStyle w:val="ListBullet"/>
      </w:pPr>
      <w:r>
        <w:t xml:space="preserve">generate </w:t>
      </w:r>
      <w:r w:rsidR="00096190">
        <w:t xml:space="preserve">the </w:t>
      </w:r>
      <w:r>
        <w:t>high</w:t>
      </w:r>
      <w:r w:rsidR="00096190">
        <w:t>est</w:t>
      </w:r>
      <w:r>
        <w:t xml:space="preserve"> net benefit</w:t>
      </w:r>
      <w:r w:rsidR="00124B43">
        <w:t xml:space="preserve"> </w:t>
      </w:r>
      <w:r w:rsidR="00E15590">
        <w:t xml:space="preserve">in terms of </w:t>
      </w:r>
      <w:r w:rsidR="00276015">
        <w:t>the CBA</w:t>
      </w:r>
      <w:r w:rsidR="0054343E">
        <w:t xml:space="preserve">, primarily as a result of: </w:t>
      </w:r>
    </w:p>
    <w:p w14:paraId="6566A4C0" w14:textId="77777777" w:rsidR="0011622B" w:rsidRDefault="0054343E" w:rsidP="00AD36B8">
      <w:pPr>
        <w:pStyle w:val="ListBullet2"/>
      </w:pPr>
      <w:r>
        <w:t xml:space="preserve">the </w:t>
      </w:r>
      <w:r w:rsidR="00095A52">
        <w:t>p</w:t>
      </w:r>
      <w:r w:rsidR="00095A52" w:rsidRPr="00A37200">
        <w:t>roductivity</w:t>
      </w:r>
      <w:r w:rsidR="00C41306">
        <w:t xml:space="preserve">, </w:t>
      </w:r>
      <w:r w:rsidR="00AD2C00">
        <w:t xml:space="preserve">investment </w:t>
      </w:r>
      <w:r w:rsidR="00C41306">
        <w:t xml:space="preserve">and </w:t>
      </w:r>
      <w:r w:rsidR="005822ED">
        <w:t xml:space="preserve">other </w:t>
      </w:r>
      <w:r w:rsidR="00C41306">
        <w:t xml:space="preserve">efficiency </w:t>
      </w:r>
      <w:r w:rsidR="00095A52" w:rsidRPr="00A37200">
        <w:t xml:space="preserve">benefits </w:t>
      </w:r>
      <w:r w:rsidR="00804B28">
        <w:t>arising as a result of</w:t>
      </w:r>
      <w:r w:rsidR="0011622B">
        <w:t>:</w:t>
      </w:r>
      <w:r w:rsidR="00804B28">
        <w:t xml:space="preserve"> </w:t>
      </w:r>
    </w:p>
    <w:p w14:paraId="2DCB3A42" w14:textId="77777777" w:rsidR="0011622B" w:rsidRDefault="00095A52" w:rsidP="004F5A3E">
      <w:pPr>
        <w:pStyle w:val="ListBullet2"/>
        <w:numPr>
          <w:ilvl w:val="1"/>
          <w:numId w:val="12"/>
        </w:numPr>
        <w:ind w:left="1071" w:hanging="357"/>
      </w:pPr>
      <w:r w:rsidRPr="00A37200">
        <w:t>lower transportation costs</w:t>
      </w:r>
      <w:r w:rsidR="008D7AC5">
        <w:t xml:space="preserve"> on pipelines subject to </w:t>
      </w:r>
      <w:r w:rsidR="0054343E">
        <w:t xml:space="preserve">either </w:t>
      </w:r>
      <w:r w:rsidR="008D7AC5">
        <w:t xml:space="preserve">the stronger </w:t>
      </w:r>
      <w:r w:rsidR="0054343E">
        <w:t xml:space="preserve">or </w:t>
      </w:r>
      <w:r w:rsidR="008D7AC5">
        <w:t>lighter forms of regulation</w:t>
      </w:r>
      <w:r w:rsidR="0061357A">
        <w:t xml:space="preserve">; </w:t>
      </w:r>
      <w:r w:rsidR="0011622B">
        <w:t>and</w:t>
      </w:r>
    </w:p>
    <w:p w14:paraId="6886CE04" w14:textId="77777777" w:rsidR="00095A52" w:rsidRDefault="00095A52" w:rsidP="004F5A3E">
      <w:pPr>
        <w:pStyle w:val="ListBullet2"/>
        <w:numPr>
          <w:ilvl w:val="1"/>
          <w:numId w:val="12"/>
        </w:numPr>
        <w:ind w:left="1071" w:hanging="357"/>
      </w:pPr>
      <w:r>
        <w:t>improved access to pipelines that would not otherwise provide third party access;</w:t>
      </w:r>
    </w:p>
    <w:p w14:paraId="169A59B4" w14:textId="77777777" w:rsidR="00095A52" w:rsidRDefault="00095A52" w:rsidP="00AD36B8">
      <w:pPr>
        <w:pStyle w:val="ListBullet2"/>
      </w:pPr>
      <w:r>
        <w:t xml:space="preserve">the reduction in search and transaction costs arising as a result of the proposed improvements to information disclosure; </w:t>
      </w:r>
      <w:r w:rsidR="00BB78FE">
        <w:t>and</w:t>
      </w:r>
    </w:p>
    <w:p w14:paraId="3A701799" w14:textId="77777777" w:rsidR="00095A52" w:rsidRDefault="00095A52" w:rsidP="00AD36B8">
      <w:pPr>
        <w:pStyle w:val="ListBullet2"/>
      </w:pPr>
      <w:r>
        <w:t xml:space="preserve">the cost savings associated with simplifying the regulatory framework. </w:t>
      </w:r>
    </w:p>
    <w:p w14:paraId="79460DD0" w14:textId="77777777" w:rsidR="00E6769F" w:rsidRDefault="00A90300" w:rsidP="00AD36B8">
      <w:pPr>
        <w:pStyle w:val="ListBullet"/>
      </w:pPr>
      <w:r>
        <w:t>facilitate more effective competition</w:t>
      </w:r>
      <w:r w:rsidR="000E53AD">
        <w:t xml:space="preserve"> in</w:t>
      </w:r>
      <w:r w:rsidR="00FE06C3">
        <w:t xml:space="preserve"> </w:t>
      </w:r>
      <w:r w:rsidR="005C4DD1">
        <w:t>the pipeline segment of the supply chain</w:t>
      </w:r>
      <w:r w:rsidR="00FE06C3">
        <w:t xml:space="preserve"> and in </w:t>
      </w:r>
      <w:r>
        <w:t>upstream and downstream markets</w:t>
      </w:r>
      <w:r w:rsidR="00E6769F">
        <w:t xml:space="preserve">. </w:t>
      </w:r>
    </w:p>
    <w:p w14:paraId="0F8CDE79" w14:textId="329DDC5C" w:rsidR="00BB2A6F" w:rsidRDefault="00104130" w:rsidP="00BB2A6F">
      <w:pPr>
        <w:pStyle w:val="BodyText"/>
      </w:pPr>
      <w:r>
        <w:t>While t</w:t>
      </w:r>
      <w:r w:rsidR="003E0905">
        <w:t>he regulatory burden associated with this option</w:t>
      </w:r>
      <w:r>
        <w:t xml:space="preserve"> is </w:t>
      </w:r>
      <w:r w:rsidR="00384FA6">
        <w:t xml:space="preserve">slightly </w:t>
      </w:r>
      <w:r>
        <w:t xml:space="preserve">higher than some of the options, the </w:t>
      </w:r>
      <w:r w:rsidR="003E0905">
        <w:t>difference is relatively small</w:t>
      </w:r>
      <w:r w:rsidR="00370905">
        <w:rPr>
          <w:rFonts w:ascii="ZWAdobeF" w:hAnsi="ZWAdobeF" w:cs="ZWAdobeF"/>
          <w:sz w:val="2"/>
          <w:szCs w:val="2"/>
        </w:rPr>
        <w:t>219F</w:t>
      </w:r>
      <w:r w:rsidR="00C81027">
        <w:rPr>
          <w:rStyle w:val="FootnoteReference"/>
          <w:rFonts w:eastAsiaTheme="minorEastAsia"/>
        </w:rPr>
        <w:footnoteReference w:id="221"/>
      </w:r>
      <w:r w:rsidR="003E0905">
        <w:t xml:space="preserve"> and</w:t>
      </w:r>
      <w:r w:rsidR="0014566F">
        <w:t>, as noted in Chapter 9,</w:t>
      </w:r>
      <w:r w:rsidR="003E0905">
        <w:t xml:space="preserve"> is expected to be more than offset by the benefits associated with this option</w:t>
      </w:r>
      <w:r w:rsidR="0014566F">
        <w:t xml:space="preserve">. </w:t>
      </w:r>
    </w:p>
    <w:p w14:paraId="2A3F8FD1" w14:textId="77777777" w:rsidR="00C81027" w:rsidRDefault="00C81027" w:rsidP="00C81027">
      <w:pPr>
        <w:pStyle w:val="BodyText"/>
      </w:pPr>
      <w:r>
        <w:t xml:space="preserve">Option 3B is therefore expected to yield the greatest net benefit for the community, which is why it is the preferred option. </w:t>
      </w:r>
    </w:p>
    <w:p w14:paraId="23D916CC" w14:textId="44BCA7E3" w:rsidR="00C64B51" w:rsidRDefault="00823903" w:rsidP="00C64B51">
      <w:pPr>
        <w:pStyle w:val="BodyText"/>
        <w:rPr>
          <w:rFonts w:ascii="Calibri" w:hAnsi="Calibri"/>
          <w:i/>
          <w:iCs/>
        </w:rPr>
      </w:pPr>
      <w:r>
        <w:t xml:space="preserve">The key elements of Option 3B are outlined in </w:t>
      </w:r>
      <w:r>
        <w:fldChar w:fldCharType="begin" w:fldLock="1"/>
      </w:r>
      <w:r>
        <w:instrText xml:space="preserve"> REF _Ref59385751 \h </w:instrText>
      </w:r>
      <w:r>
        <w:fldChar w:fldCharType="separate"/>
      </w:r>
      <w:r w:rsidR="00036405" w:rsidRPr="006B4639">
        <w:t xml:space="preserve">Table </w:t>
      </w:r>
      <w:r w:rsidR="00036405">
        <w:rPr>
          <w:noProof/>
        </w:rPr>
        <w:t>10</w:t>
      </w:r>
      <w:r w:rsidR="00036405">
        <w:t>.</w:t>
      </w:r>
      <w:r w:rsidR="00036405">
        <w:rPr>
          <w:noProof/>
        </w:rPr>
        <w:t>1</w:t>
      </w:r>
      <w:r>
        <w:fldChar w:fldCharType="end"/>
      </w:r>
      <w:r w:rsidR="001B5C8A">
        <w:t>, while Figure 10.1 shows how the option is intended to operate</w:t>
      </w:r>
      <w:r>
        <w:t xml:space="preserve">. </w:t>
      </w:r>
      <w:bookmarkStart w:id="235" w:name="_Hlk60668688"/>
      <w:r w:rsidR="00E72DAD">
        <w:t xml:space="preserve">It is worth noting in this context that </w:t>
      </w:r>
      <w:r w:rsidR="00B05474">
        <w:t xml:space="preserve">South Australia has </w:t>
      </w:r>
      <w:r w:rsidR="00E72DAD">
        <w:t xml:space="preserve">indicated its intention to </w:t>
      </w:r>
      <w:r w:rsidR="00C64B51">
        <w:t xml:space="preserve">consult on a derogation </w:t>
      </w:r>
      <w:r w:rsidR="00E72DAD">
        <w:t xml:space="preserve">from the requirement </w:t>
      </w:r>
      <w:r w:rsidR="007906F1">
        <w:t xml:space="preserve">for pipelines to publish </w:t>
      </w:r>
      <w:r w:rsidR="007906F1" w:rsidRPr="00AD0BDA">
        <w:t xml:space="preserve">individual prices </w:t>
      </w:r>
      <w:r w:rsidR="002079CA" w:rsidRPr="00AD0BDA">
        <w:t xml:space="preserve">if this option is implemented. </w:t>
      </w:r>
      <w:r w:rsidR="00C64B51" w:rsidRPr="00AD0BDA">
        <w:t>The proposed derogation is intended to apply to services provided to shippers that relate to gas delivered for end use in South Australia on pipelines wholly or partially in South Australia.</w:t>
      </w:r>
      <w:r w:rsidR="00C64B51">
        <w:rPr>
          <w:i/>
          <w:iCs/>
        </w:rPr>
        <w:t xml:space="preserve"> </w:t>
      </w:r>
    </w:p>
    <w:p w14:paraId="411691B0" w14:textId="374E5A25" w:rsidR="00DE4F83" w:rsidRDefault="00DE4F83" w:rsidP="00A56CE5">
      <w:pPr>
        <w:pStyle w:val="Caption"/>
        <w:spacing w:before="0" w:after="0"/>
      </w:pPr>
      <w:bookmarkStart w:id="236" w:name="_Ref59385751"/>
      <w:bookmarkEnd w:id="235"/>
      <w:r w:rsidRPr="006B4639">
        <w:lastRenderedPageBreak/>
        <w:t xml:space="preserve">Table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10</w:t>
      </w:r>
      <w:r w:rsidR="00F323B2">
        <w:rPr>
          <w:noProof/>
        </w:rPr>
        <w:fldChar w:fldCharType="end"/>
      </w:r>
      <w:r>
        <w:t>.</w:t>
      </w:r>
      <w:r w:rsidR="00F323B2">
        <w:rPr>
          <w:noProof/>
        </w:rPr>
        <w:fldChar w:fldCharType="begin"/>
      </w:r>
      <w:r w:rsidR="00F323B2">
        <w:rPr>
          <w:noProof/>
        </w:rPr>
        <w:instrText xml:space="preserve"> SEQ Table \* ARABIC \s 1 </w:instrText>
      </w:r>
      <w:r w:rsidR="00F323B2">
        <w:rPr>
          <w:noProof/>
        </w:rPr>
        <w:fldChar w:fldCharType="separate"/>
      </w:r>
      <w:r w:rsidR="004031E8">
        <w:rPr>
          <w:noProof/>
        </w:rPr>
        <w:t>1</w:t>
      </w:r>
      <w:r w:rsidR="00F323B2">
        <w:rPr>
          <w:noProof/>
        </w:rPr>
        <w:fldChar w:fldCharType="end"/>
      </w:r>
      <w:bookmarkEnd w:id="236"/>
      <w:r w:rsidRPr="006B4639">
        <w:t xml:space="preserve">: </w:t>
      </w:r>
      <w:r w:rsidR="00A56CE5">
        <w:t>Preferred Option – Option 3B</w:t>
      </w:r>
    </w:p>
    <w:tbl>
      <w:tblPr>
        <w:tblStyle w:val="TableGrid"/>
        <w:tblW w:w="4798" w:type="pct"/>
        <w:tblLook w:val="04A0" w:firstRow="1" w:lastRow="0" w:firstColumn="1" w:lastColumn="0" w:noHBand="0" w:noVBand="1"/>
      </w:tblPr>
      <w:tblGrid>
        <w:gridCol w:w="567"/>
        <w:gridCol w:w="1560"/>
        <w:gridCol w:w="6306"/>
      </w:tblGrid>
      <w:tr w:rsidR="00720B79" w:rsidRPr="00720B79" w14:paraId="5B0DEA33" w14:textId="77777777" w:rsidTr="002F1B32">
        <w:trPr>
          <w:cnfStyle w:val="100000000000" w:firstRow="1" w:lastRow="0" w:firstColumn="0" w:lastColumn="0" w:oddVBand="0" w:evenVBand="0" w:oddHBand="0" w:evenHBand="0" w:firstRowFirstColumn="0" w:firstRowLastColumn="0" w:lastRowFirstColumn="0" w:lastRowLastColumn="0"/>
          <w:tblHeader/>
        </w:trPr>
        <w:tc>
          <w:tcPr>
            <w:tcW w:w="2127" w:type="dxa"/>
            <w:gridSpan w:val="2"/>
            <w:shd w:val="clear" w:color="auto" w:fill="002060"/>
          </w:tcPr>
          <w:p w14:paraId="0BAF90C0" w14:textId="77777777" w:rsidR="00720B79" w:rsidRPr="00720B79" w:rsidRDefault="00720B79" w:rsidP="002F1B32">
            <w:pPr>
              <w:keepNext/>
              <w:spacing w:line="240" w:lineRule="auto"/>
              <w:rPr>
                <w:rFonts w:cs="Arial"/>
                <w:b w:val="0"/>
                <w:bCs/>
                <w:sz w:val="19"/>
                <w:szCs w:val="19"/>
              </w:rPr>
            </w:pPr>
            <w:r w:rsidRPr="00720B79">
              <w:rPr>
                <w:rFonts w:cs="Arial"/>
                <w:bCs/>
                <w:sz w:val="19"/>
                <w:szCs w:val="19"/>
              </w:rPr>
              <w:t>Element</w:t>
            </w:r>
          </w:p>
        </w:tc>
        <w:tc>
          <w:tcPr>
            <w:tcW w:w="6306" w:type="dxa"/>
            <w:shd w:val="clear" w:color="auto" w:fill="002060"/>
          </w:tcPr>
          <w:p w14:paraId="6950C7CD" w14:textId="77777777" w:rsidR="00720B79" w:rsidRPr="00720B79" w:rsidRDefault="00720B79" w:rsidP="002F1B32">
            <w:pPr>
              <w:pStyle w:val="BodyText"/>
              <w:keepNext/>
              <w:spacing w:before="60" w:after="60"/>
              <w:rPr>
                <w:rFonts w:cs="Arial"/>
                <w:bCs/>
                <w:sz w:val="19"/>
                <w:szCs w:val="19"/>
              </w:rPr>
            </w:pPr>
            <w:r w:rsidRPr="00720B79">
              <w:rPr>
                <w:rFonts w:cs="Arial"/>
                <w:bCs/>
                <w:sz w:val="19"/>
                <w:szCs w:val="19"/>
              </w:rPr>
              <w:t xml:space="preserve">Description </w:t>
            </w:r>
          </w:p>
        </w:tc>
      </w:tr>
      <w:tr w:rsidR="00720B79" w:rsidRPr="00720B79" w14:paraId="38CD8BFA" w14:textId="77777777" w:rsidTr="002F1B32">
        <w:trPr>
          <w:trHeight w:val="210"/>
        </w:trPr>
        <w:tc>
          <w:tcPr>
            <w:tcW w:w="567" w:type="dxa"/>
            <w:vMerge w:val="restart"/>
            <w:textDirection w:val="btLr"/>
          </w:tcPr>
          <w:p w14:paraId="3FDE817E" w14:textId="77777777" w:rsidR="00720B79" w:rsidRPr="00720B79" w:rsidRDefault="00720B79" w:rsidP="002F1B32">
            <w:pPr>
              <w:pStyle w:val="BodyText"/>
              <w:keepNext/>
              <w:spacing w:before="60" w:after="60"/>
              <w:jc w:val="center"/>
              <w:rPr>
                <w:rFonts w:cs="Arial"/>
                <w:b/>
                <w:sz w:val="19"/>
                <w:szCs w:val="19"/>
              </w:rPr>
            </w:pPr>
            <w:r w:rsidRPr="00720B79">
              <w:rPr>
                <w:rFonts w:cs="Arial"/>
                <w:b/>
                <w:sz w:val="19"/>
                <w:szCs w:val="19"/>
              </w:rPr>
              <w:t>When should pipelines be regulated</w:t>
            </w:r>
          </w:p>
        </w:tc>
        <w:tc>
          <w:tcPr>
            <w:tcW w:w="1560" w:type="dxa"/>
            <w:tcBorders>
              <w:bottom w:val="single" w:sz="4" w:space="0" w:color="auto"/>
            </w:tcBorders>
            <w:shd w:val="clear" w:color="auto" w:fill="FFFFFF" w:themeFill="background1"/>
          </w:tcPr>
          <w:p w14:paraId="561A85E1" w14:textId="77777777" w:rsidR="00720B79" w:rsidRPr="00720B79" w:rsidRDefault="00720B79" w:rsidP="002F1B32">
            <w:pPr>
              <w:pStyle w:val="BodyText"/>
              <w:keepNext/>
              <w:spacing w:before="60" w:after="60"/>
              <w:rPr>
                <w:rFonts w:cs="Arial"/>
                <w:b/>
                <w:sz w:val="19"/>
                <w:szCs w:val="19"/>
              </w:rPr>
            </w:pPr>
            <w:r w:rsidRPr="00720B79">
              <w:rPr>
                <w:rFonts w:cs="Arial"/>
                <w:b/>
                <w:sz w:val="19"/>
                <w:szCs w:val="19"/>
              </w:rPr>
              <w:t xml:space="preserve">Access to pipelines </w:t>
            </w:r>
          </w:p>
        </w:tc>
        <w:tc>
          <w:tcPr>
            <w:tcW w:w="6306" w:type="dxa"/>
            <w:tcBorders>
              <w:bottom w:val="single" w:sz="4" w:space="0" w:color="auto"/>
            </w:tcBorders>
            <w:shd w:val="clear" w:color="auto" w:fill="FFFFFF" w:themeFill="background1"/>
          </w:tcPr>
          <w:p w14:paraId="528EF10A" w14:textId="77777777" w:rsidR="00720B79" w:rsidRPr="00720B79" w:rsidRDefault="00720B79" w:rsidP="002F1B32">
            <w:pPr>
              <w:pStyle w:val="BodyText"/>
              <w:keepNext/>
              <w:spacing w:before="60" w:after="60"/>
              <w:rPr>
                <w:rFonts w:cs="Arial"/>
                <w:sz w:val="19"/>
                <w:szCs w:val="19"/>
              </w:rPr>
            </w:pPr>
            <w:r w:rsidRPr="00720B79">
              <w:rPr>
                <w:rFonts w:cs="Arial"/>
                <w:sz w:val="19"/>
                <w:szCs w:val="19"/>
                <w:u w:val="single"/>
              </w:rPr>
              <w:t>All</w:t>
            </w:r>
            <w:r w:rsidRPr="00720B79">
              <w:rPr>
                <w:rFonts w:cs="Arial"/>
                <w:sz w:val="19"/>
                <w:szCs w:val="19"/>
              </w:rPr>
              <w:t xml:space="preserve"> pipelines required to provide 3</w:t>
            </w:r>
            <w:r w:rsidRPr="00720B79">
              <w:rPr>
                <w:rFonts w:cs="Arial"/>
                <w:sz w:val="19"/>
                <w:szCs w:val="19"/>
                <w:vertAlign w:val="superscript"/>
              </w:rPr>
              <w:t>rd</w:t>
            </w:r>
            <w:r w:rsidRPr="00720B79">
              <w:rPr>
                <w:rFonts w:cs="Arial"/>
                <w:sz w:val="19"/>
                <w:szCs w:val="19"/>
              </w:rPr>
              <w:t xml:space="preserve"> party access and subject to some form of regulation. </w:t>
            </w:r>
          </w:p>
          <w:p w14:paraId="50C1E07A" w14:textId="77777777" w:rsidR="00720B79" w:rsidRPr="00720B79" w:rsidRDefault="00720B79" w:rsidP="002F1B32">
            <w:pPr>
              <w:pStyle w:val="BodyText"/>
              <w:keepNext/>
              <w:spacing w:before="60" w:after="60"/>
              <w:rPr>
                <w:sz w:val="19"/>
                <w:szCs w:val="19"/>
                <w:lang w:eastAsia="en-US"/>
              </w:rPr>
            </w:pPr>
            <w:r w:rsidRPr="00720B79">
              <w:rPr>
                <w:sz w:val="19"/>
                <w:szCs w:val="19"/>
              </w:rPr>
              <w:t>For transitional purposes, those pipelines that have already obtained a 15-year no coverage determination and are not providing third party access would be exempt from the obligation to provide third party access for the remaining term of the exemption period</w:t>
            </w:r>
          </w:p>
        </w:tc>
      </w:tr>
      <w:tr w:rsidR="00720B79" w:rsidRPr="00720B79" w14:paraId="45684695" w14:textId="77777777" w:rsidTr="002F1B32">
        <w:trPr>
          <w:cnfStyle w:val="000000010000" w:firstRow="0" w:lastRow="0" w:firstColumn="0" w:lastColumn="0" w:oddVBand="0" w:evenVBand="0" w:oddHBand="0" w:evenHBand="1" w:firstRowFirstColumn="0" w:firstRowLastColumn="0" w:lastRowFirstColumn="0" w:lastRowLastColumn="0"/>
          <w:trHeight w:val="888"/>
        </w:trPr>
        <w:tc>
          <w:tcPr>
            <w:tcW w:w="567" w:type="dxa"/>
            <w:vMerge/>
            <w:textDirection w:val="btLr"/>
          </w:tcPr>
          <w:p w14:paraId="407FBFA0" w14:textId="77777777" w:rsidR="00720B79" w:rsidRPr="00720B79" w:rsidRDefault="00720B79" w:rsidP="002F1B32">
            <w:pPr>
              <w:pStyle w:val="BodyText"/>
              <w:keepNext/>
              <w:spacing w:before="60" w:after="60"/>
              <w:rPr>
                <w:rFonts w:cs="Arial"/>
                <w:b/>
                <w:sz w:val="19"/>
                <w:szCs w:val="19"/>
              </w:rPr>
            </w:pPr>
          </w:p>
        </w:tc>
        <w:tc>
          <w:tcPr>
            <w:tcW w:w="1560" w:type="dxa"/>
            <w:tcBorders>
              <w:bottom w:val="single" w:sz="4" w:space="0" w:color="auto"/>
            </w:tcBorders>
            <w:shd w:val="clear" w:color="auto" w:fill="F2F2F2" w:themeFill="background1" w:themeFillShade="F2"/>
          </w:tcPr>
          <w:p w14:paraId="7FE733BD" w14:textId="77777777" w:rsidR="00720B79" w:rsidRPr="00720B79" w:rsidRDefault="00720B79" w:rsidP="002F1B32">
            <w:pPr>
              <w:pStyle w:val="BodyText"/>
              <w:keepNext/>
              <w:spacing w:before="60" w:after="60"/>
              <w:rPr>
                <w:rFonts w:cs="Arial"/>
                <w:b/>
                <w:sz w:val="19"/>
                <w:szCs w:val="19"/>
              </w:rPr>
            </w:pPr>
            <w:r w:rsidRPr="00720B79">
              <w:rPr>
                <w:rFonts w:cs="Arial"/>
                <w:b/>
                <w:sz w:val="19"/>
                <w:szCs w:val="19"/>
              </w:rPr>
              <w:t>Greenfield exemption</w:t>
            </w:r>
          </w:p>
        </w:tc>
        <w:tc>
          <w:tcPr>
            <w:tcW w:w="6306" w:type="dxa"/>
            <w:tcBorders>
              <w:bottom w:val="single" w:sz="4" w:space="0" w:color="auto"/>
            </w:tcBorders>
            <w:shd w:val="clear" w:color="auto" w:fill="F2F2F2" w:themeFill="background1" w:themeFillShade="F2"/>
          </w:tcPr>
          <w:p w14:paraId="63B8D8F6" w14:textId="6D1B800C" w:rsidR="00720B79" w:rsidRPr="00720B79" w:rsidRDefault="00720B79" w:rsidP="002F1B32">
            <w:pPr>
              <w:pStyle w:val="TableBullet10"/>
              <w:keepNext/>
              <w:numPr>
                <w:ilvl w:val="0"/>
                <w:numId w:val="0"/>
              </w:numPr>
              <w:ind w:left="85"/>
              <w:rPr>
                <w:sz w:val="19"/>
                <w:szCs w:val="19"/>
                <w:lang w:eastAsia="en-US"/>
              </w:rPr>
            </w:pPr>
            <w:r w:rsidRPr="00720B79">
              <w:rPr>
                <w:sz w:val="19"/>
                <w:szCs w:val="19"/>
                <w:lang w:eastAsia="en-US"/>
              </w:rPr>
              <w:t xml:space="preserve">A greenfield exemption would be available to new pipelines, </w:t>
            </w:r>
            <w:r w:rsidRPr="00720B79">
              <w:rPr>
                <w:sz w:val="19"/>
                <w:szCs w:val="19"/>
              </w:rPr>
              <w:t>where it can be demonstrated that the pipeline is unlikely to have substantial market power over the exemption period</w:t>
            </w:r>
            <w:r w:rsidRPr="00720B79">
              <w:rPr>
                <w:sz w:val="19"/>
                <w:szCs w:val="19"/>
                <w:lang w:eastAsia="en-US"/>
              </w:rPr>
              <w:t>.</w:t>
            </w:r>
            <w:r w:rsidR="00370905">
              <w:rPr>
                <w:rFonts w:ascii="ZWAdobeF" w:hAnsi="ZWAdobeF" w:cs="ZWAdobeF"/>
                <w:sz w:val="2"/>
                <w:szCs w:val="2"/>
                <w:lang w:eastAsia="en-US"/>
              </w:rPr>
              <w:t>220F</w:t>
            </w:r>
            <w:r w:rsidRPr="00720B79">
              <w:rPr>
                <w:rStyle w:val="FootnoteReference"/>
                <w:sz w:val="19"/>
                <w:szCs w:val="19"/>
                <w:lang w:eastAsia="en-US"/>
              </w:rPr>
              <w:footnoteReference w:id="222"/>
            </w:r>
            <w:r w:rsidRPr="00720B79">
              <w:rPr>
                <w:sz w:val="19"/>
                <w:szCs w:val="19"/>
                <w:lang w:eastAsia="en-US"/>
              </w:rPr>
              <w:t xml:space="preserve"> This incentive would provide the pipeline with an exemption from the stronger form of regulation and give effect to any competitive outcome to develop the pipeline for up to 15-years.</w:t>
            </w:r>
          </w:p>
        </w:tc>
      </w:tr>
      <w:tr w:rsidR="00720B79" w:rsidRPr="00720B79" w14:paraId="32A0B366" w14:textId="77777777" w:rsidTr="002F1B32">
        <w:trPr>
          <w:trHeight w:val="1230"/>
        </w:trPr>
        <w:tc>
          <w:tcPr>
            <w:tcW w:w="567" w:type="dxa"/>
            <w:vMerge w:val="restart"/>
            <w:shd w:val="clear" w:color="auto" w:fill="F2F2F2" w:themeFill="background1" w:themeFillShade="F2"/>
            <w:textDirection w:val="btLr"/>
          </w:tcPr>
          <w:p w14:paraId="4C68AD93" w14:textId="77777777" w:rsidR="00720B79" w:rsidRPr="00720B79" w:rsidRDefault="00720B79" w:rsidP="002F1B32">
            <w:pPr>
              <w:pStyle w:val="BodyText"/>
              <w:keepNext/>
              <w:spacing w:before="60" w:after="60"/>
              <w:jc w:val="center"/>
              <w:rPr>
                <w:rFonts w:cs="Arial"/>
                <w:b/>
                <w:sz w:val="19"/>
                <w:szCs w:val="19"/>
              </w:rPr>
            </w:pPr>
            <w:r w:rsidRPr="00720B79">
              <w:rPr>
                <w:rFonts w:cs="Arial"/>
                <w:b/>
                <w:bCs/>
                <w:sz w:val="19"/>
                <w:szCs w:val="19"/>
              </w:rPr>
              <w:t>Forms of regulation and the movement between the alternative forms</w:t>
            </w:r>
          </w:p>
        </w:tc>
        <w:tc>
          <w:tcPr>
            <w:tcW w:w="1560" w:type="dxa"/>
            <w:tcBorders>
              <w:bottom w:val="single" w:sz="4" w:space="0" w:color="auto"/>
            </w:tcBorders>
          </w:tcPr>
          <w:p w14:paraId="66D7CC5F" w14:textId="77777777" w:rsidR="00720B79" w:rsidRPr="00720B79" w:rsidRDefault="00720B79" w:rsidP="002F1B32">
            <w:pPr>
              <w:pStyle w:val="BodyText"/>
              <w:keepNext/>
              <w:spacing w:before="60" w:after="60"/>
              <w:rPr>
                <w:rFonts w:cs="Arial"/>
                <w:b/>
                <w:sz w:val="19"/>
                <w:szCs w:val="19"/>
              </w:rPr>
            </w:pPr>
            <w:r w:rsidRPr="00720B79">
              <w:rPr>
                <w:rFonts w:cs="Arial"/>
                <w:b/>
                <w:bCs/>
                <w:sz w:val="19"/>
                <w:szCs w:val="19"/>
              </w:rPr>
              <w:t>Forms of regulation</w:t>
            </w:r>
          </w:p>
        </w:tc>
        <w:tc>
          <w:tcPr>
            <w:tcW w:w="6306" w:type="dxa"/>
            <w:tcBorders>
              <w:bottom w:val="single" w:sz="4" w:space="0" w:color="auto"/>
            </w:tcBorders>
          </w:tcPr>
          <w:p w14:paraId="7FC84EE5" w14:textId="77777777" w:rsidR="00720B79" w:rsidRPr="00720B79" w:rsidRDefault="00720B79" w:rsidP="002F1B32">
            <w:pPr>
              <w:pStyle w:val="BodyText"/>
              <w:keepNext/>
              <w:spacing w:before="60" w:after="60"/>
              <w:rPr>
                <w:rFonts w:asciiTheme="majorHAnsi" w:hAnsiTheme="majorHAnsi" w:cstheme="majorHAnsi"/>
                <w:sz w:val="19"/>
                <w:szCs w:val="19"/>
              </w:rPr>
            </w:pPr>
            <w:r w:rsidRPr="00720B79">
              <w:rPr>
                <w:rFonts w:asciiTheme="majorHAnsi" w:hAnsiTheme="majorHAnsi" w:cstheme="majorHAnsi"/>
                <w:sz w:val="19"/>
                <w:szCs w:val="19"/>
              </w:rPr>
              <w:t>Pipelines subject to one of two forms of regulation, with the:</w:t>
            </w:r>
          </w:p>
          <w:p w14:paraId="4287A718" w14:textId="77777777" w:rsidR="00720B79" w:rsidRPr="00720B79" w:rsidRDefault="00720B79" w:rsidP="002F1B32">
            <w:pPr>
              <w:pStyle w:val="TableBullet10"/>
              <w:keepNext/>
              <w:spacing w:line="247" w:lineRule="auto"/>
              <w:rPr>
                <w:rFonts w:asciiTheme="majorHAnsi" w:hAnsiTheme="majorHAnsi" w:cstheme="majorHAnsi"/>
                <w:sz w:val="19"/>
                <w:szCs w:val="19"/>
              </w:rPr>
            </w:pPr>
            <w:r w:rsidRPr="00720B79">
              <w:rPr>
                <w:rFonts w:asciiTheme="majorHAnsi" w:hAnsiTheme="majorHAnsi" w:cstheme="majorHAnsi"/>
                <w:sz w:val="19"/>
                <w:szCs w:val="19"/>
              </w:rPr>
              <w:t>Stronger form of regulation based on the existing full regulation (i.e. negotiate-arbitrate with reference tariffs approved by the regulator and a regulatory-oriented dispute resolution mechanism).</w:t>
            </w:r>
          </w:p>
          <w:p w14:paraId="69221FF4" w14:textId="530C4944" w:rsidR="00720B79" w:rsidRPr="00720B79" w:rsidRDefault="00720B79" w:rsidP="002F1B32">
            <w:pPr>
              <w:pStyle w:val="BodyText"/>
              <w:keepNext/>
              <w:numPr>
                <w:ilvl w:val="0"/>
                <w:numId w:val="55"/>
              </w:numPr>
              <w:spacing w:before="60" w:after="60" w:line="276" w:lineRule="auto"/>
              <w:ind w:left="312" w:hanging="227"/>
              <w:rPr>
                <w:sz w:val="19"/>
                <w:szCs w:val="19"/>
              </w:rPr>
            </w:pPr>
            <w:r w:rsidRPr="00720B79">
              <w:rPr>
                <w:rFonts w:asciiTheme="majorHAnsi" w:hAnsiTheme="majorHAnsi" w:cstheme="majorHAnsi"/>
                <w:sz w:val="19"/>
                <w:szCs w:val="19"/>
              </w:rPr>
              <w:t>Lighter form of regulation based on the existing Part 23 (i.e. a negotiate-arbitrate model with information disclosure and a commercially-oriented dispute resolution mechanism), which would be strengthened through the inclusion of the safeguards that currently apply to light regulation, but not the prohibition on inefficient price discrimination.</w:t>
            </w:r>
            <w:r w:rsidR="00370905">
              <w:rPr>
                <w:rFonts w:ascii="ZWAdobeF" w:hAnsi="ZWAdobeF" w:cs="ZWAdobeF"/>
                <w:sz w:val="2"/>
                <w:szCs w:val="2"/>
              </w:rPr>
              <w:t>221F</w:t>
            </w:r>
            <w:r w:rsidRPr="00720B79">
              <w:rPr>
                <w:rStyle w:val="FootnoteReference"/>
                <w:rFonts w:asciiTheme="majorHAnsi" w:hAnsiTheme="majorHAnsi" w:cstheme="majorHAnsi"/>
                <w:sz w:val="19"/>
                <w:szCs w:val="19"/>
              </w:rPr>
              <w:footnoteReference w:id="223"/>
            </w:r>
          </w:p>
          <w:p w14:paraId="5D30C47B" w14:textId="77777777" w:rsidR="00720B79" w:rsidRPr="00720B79" w:rsidRDefault="00720B79" w:rsidP="002F1B32">
            <w:pPr>
              <w:pStyle w:val="BodyText"/>
              <w:keepNext/>
              <w:spacing w:before="60" w:after="60" w:line="276" w:lineRule="auto"/>
              <w:rPr>
                <w:sz w:val="19"/>
                <w:szCs w:val="19"/>
                <w:lang w:eastAsia="en-US"/>
              </w:rPr>
            </w:pPr>
            <w:r w:rsidRPr="00720B79">
              <w:rPr>
                <w:sz w:val="19"/>
                <w:szCs w:val="19"/>
                <w:lang w:eastAsia="en-US"/>
              </w:rPr>
              <w:t xml:space="preserve">For transitional purposes: </w:t>
            </w:r>
          </w:p>
          <w:p w14:paraId="32EE91A7" w14:textId="77777777" w:rsidR="00720B79" w:rsidRPr="00720B79" w:rsidRDefault="00720B79" w:rsidP="002F1B32">
            <w:pPr>
              <w:pStyle w:val="TableBullet10"/>
              <w:rPr>
                <w:sz w:val="19"/>
                <w:szCs w:val="19"/>
                <w:lang w:eastAsia="en-US"/>
              </w:rPr>
            </w:pPr>
            <w:r w:rsidRPr="00720B79">
              <w:rPr>
                <w:sz w:val="19"/>
                <w:szCs w:val="19"/>
                <w:lang w:eastAsia="en-US"/>
              </w:rPr>
              <w:t>the pipelines currently subject to full regulation will become subject to the new stronger form of regulation</w:t>
            </w:r>
          </w:p>
          <w:p w14:paraId="05568DE3" w14:textId="77777777" w:rsidR="00720B79" w:rsidRPr="00720B79" w:rsidRDefault="00720B79" w:rsidP="002F1B32">
            <w:pPr>
              <w:pStyle w:val="TableBullet10"/>
              <w:rPr>
                <w:sz w:val="19"/>
                <w:szCs w:val="19"/>
              </w:rPr>
            </w:pPr>
            <w:r w:rsidRPr="00720B79">
              <w:rPr>
                <w:sz w:val="19"/>
                <w:szCs w:val="19"/>
              </w:rPr>
              <w:t xml:space="preserve">the pipelines currently subject to Part 23 will become subject to the new lighter form of regulation </w:t>
            </w:r>
          </w:p>
          <w:p w14:paraId="648DE540" w14:textId="77777777" w:rsidR="00720B79" w:rsidRPr="00720B79" w:rsidRDefault="00720B79" w:rsidP="002F1B32">
            <w:pPr>
              <w:pStyle w:val="TableBullet10"/>
              <w:rPr>
                <w:sz w:val="19"/>
                <w:szCs w:val="19"/>
                <w:lang w:eastAsia="en-US"/>
              </w:rPr>
            </w:pPr>
            <w:r w:rsidRPr="00720B79">
              <w:rPr>
                <w:sz w:val="19"/>
                <w:szCs w:val="19"/>
                <w:lang w:eastAsia="en-US"/>
              </w:rPr>
              <w:t>the 5.5 pipelines currently subject to light regulation would be transitioned to the new lighter form of regulation unless the service provider elects to be subject to the stronger form of regulation.</w:t>
            </w:r>
          </w:p>
        </w:tc>
      </w:tr>
      <w:tr w:rsidR="00720B79" w:rsidRPr="00720B79" w14:paraId="3AE7AFEA" w14:textId="77777777" w:rsidTr="002F1B32">
        <w:trPr>
          <w:cnfStyle w:val="000000010000" w:firstRow="0" w:lastRow="0" w:firstColumn="0" w:lastColumn="0" w:oddVBand="0" w:evenVBand="0" w:oddHBand="0" w:evenHBand="1" w:firstRowFirstColumn="0" w:firstRowLastColumn="0" w:lastRowFirstColumn="0" w:lastRowLastColumn="0"/>
          <w:trHeight w:val="813"/>
        </w:trPr>
        <w:tc>
          <w:tcPr>
            <w:tcW w:w="567" w:type="dxa"/>
            <w:vMerge/>
            <w:shd w:val="clear" w:color="auto" w:fill="F2F2F2" w:themeFill="background1" w:themeFillShade="F2"/>
          </w:tcPr>
          <w:p w14:paraId="5A0F2027" w14:textId="77777777" w:rsidR="00720B79" w:rsidRPr="00720B79" w:rsidRDefault="00720B79" w:rsidP="002F1B32">
            <w:pPr>
              <w:pStyle w:val="BodyText"/>
              <w:spacing w:before="60" w:after="60"/>
              <w:rPr>
                <w:rFonts w:cs="Arial"/>
                <w:b/>
                <w:bCs/>
                <w:sz w:val="19"/>
                <w:szCs w:val="19"/>
              </w:rPr>
            </w:pPr>
          </w:p>
        </w:tc>
        <w:tc>
          <w:tcPr>
            <w:tcW w:w="1560" w:type="dxa"/>
            <w:shd w:val="clear" w:color="auto" w:fill="F2F2F2" w:themeFill="background1" w:themeFillShade="F2"/>
          </w:tcPr>
          <w:p w14:paraId="115158AE" w14:textId="77777777" w:rsidR="00720B79" w:rsidRPr="00720B79" w:rsidRDefault="00720B79" w:rsidP="002F1B32">
            <w:pPr>
              <w:pStyle w:val="BodyText"/>
              <w:spacing w:before="60" w:after="60"/>
              <w:rPr>
                <w:rFonts w:cs="Arial"/>
                <w:b/>
                <w:bCs/>
                <w:sz w:val="19"/>
                <w:szCs w:val="19"/>
              </w:rPr>
            </w:pPr>
            <w:r w:rsidRPr="00720B79">
              <w:rPr>
                <w:rFonts w:cs="Arial"/>
                <w:b/>
                <w:bCs/>
                <w:sz w:val="19"/>
                <w:szCs w:val="19"/>
              </w:rPr>
              <w:t>Dynamic market power measures</w:t>
            </w:r>
          </w:p>
        </w:tc>
        <w:tc>
          <w:tcPr>
            <w:tcW w:w="6306" w:type="dxa"/>
            <w:shd w:val="clear" w:color="auto" w:fill="F2F2F2" w:themeFill="background1" w:themeFillShade="F2"/>
          </w:tcPr>
          <w:p w14:paraId="78C3BCE3" w14:textId="77777777" w:rsidR="00720B79" w:rsidRPr="00720B79" w:rsidRDefault="00720B79" w:rsidP="002F1B32">
            <w:pPr>
              <w:pStyle w:val="BodyText"/>
              <w:spacing w:before="60" w:after="60"/>
              <w:rPr>
                <w:rFonts w:cstheme="minorHAnsi"/>
                <w:sz w:val="19"/>
                <w:szCs w:val="19"/>
              </w:rPr>
            </w:pPr>
            <w:r w:rsidRPr="00720B79">
              <w:rPr>
                <w:rFonts w:cstheme="minorHAnsi"/>
                <w:sz w:val="19"/>
                <w:szCs w:val="19"/>
              </w:rPr>
              <w:t xml:space="preserve">Service providers would be: </w:t>
            </w:r>
          </w:p>
          <w:p w14:paraId="08323AB8" w14:textId="77777777" w:rsidR="00720B79" w:rsidRPr="00720B79" w:rsidRDefault="00720B79" w:rsidP="002F1B32">
            <w:pPr>
              <w:pStyle w:val="BodyText"/>
              <w:numPr>
                <w:ilvl w:val="0"/>
                <w:numId w:val="135"/>
              </w:numPr>
              <w:tabs>
                <w:tab w:val="clear" w:pos="2268"/>
                <w:tab w:val="clear" w:pos="4536"/>
                <w:tab w:val="clear" w:pos="6804"/>
                <w:tab w:val="clear" w:pos="9638"/>
              </w:tabs>
              <w:spacing w:before="60" w:after="60"/>
              <w:ind w:left="312" w:hanging="227"/>
              <w:rPr>
                <w:rFonts w:cstheme="minorHAnsi"/>
                <w:sz w:val="19"/>
                <w:szCs w:val="19"/>
              </w:rPr>
            </w:pPr>
            <w:r w:rsidRPr="00720B79">
              <w:rPr>
                <w:rFonts w:cstheme="minorHAnsi"/>
                <w:sz w:val="19"/>
                <w:szCs w:val="19"/>
              </w:rPr>
              <w:t>required to comply with pipeline interconnection principles set out in the NGR</w:t>
            </w:r>
          </w:p>
          <w:p w14:paraId="0A0347D7" w14:textId="196387C1" w:rsidR="00720B79" w:rsidRPr="00720B79" w:rsidRDefault="00720B79" w:rsidP="002F1B32">
            <w:pPr>
              <w:pStyle w:val="BodyText"/>
              <w:numPr>
                <w:ilvl w:val="0"/>
                <w:numId w:val="75"/>
              </w:numPr>
              <w:spacing w:before="60" w:after="60" w:line="276" w:lineRule="auto"/>
              <w:ind w:left="312" w:hanging="227"/>
              <w:rPr>
                <w:sz w:val="19"/>
                <w:szCs w:val="19"/>
              </w:rPr>
            </w:pPr>
            <w:r w:rsidRPr="00720B79">
              <w:rPr>
                <w:rFonts w:cstheme="minorHAnsi"/>
                <w:sz w:val="19"/>
                <w:szCs w:val="19"/>
              </w:rPr>
              <w:t>prohibited from increasing the charges payable by existing shippers to cross-subsidise the development of new capacity (subject to limited exceptions specified in the NGR)</w:t>
            </w:r>
            <w:r w:rsidR="00370905">
              <w:rPr>
                <w:rFonts w:ascii="ZWAdobeF" w:hAnsi="ZWAdobeF" w:cs="ZWAdobeF"/>
                <w:sz w:val="2"/>
                <w:szCs w:val="2"/>
              </w:rPr>
              <w:t>222F</w:t>
            </w:r>
            <w:r w:rsidRPr="00720B79">
              <w:rPr>
                <w:rStyle w:val="FootnoteReference"/>
                <w:rFonts w:cstheme="minorHAnsi"/>
                <w:sz w:val="19"/>
                <w:szCs w:val="19"/>
              </w:rPr>
              <w:footnoteReference w:id="224"/>
            </w:r>
            <w:r w:rsidRPr="00720B79">
              <w:rPr>
                <w:rFonts w:cstheme="minorHAnsi"/>
                <w:sz w:val="19"/>
                <w:szCs w:val="19"/>
              </w:rPr>
              <w:t xml:space="preserve"> and would also be required to disclose more information on extension/expansion costs.</w:t>
            </w:r>
          </w:p>
        </w:tc>
      </w:tr>
      <w:tr w:rsidR="00720B79" w:rsidRPr="00720B79" w14:paraId="392B7194" w14:textId="77777777" w:rsidTr="002F1B32">
        <w:trPr>
          <w:trHeight w:val="1073"/>
        </w:trPr>
        <w:tc>
          <w:tcPr>
            <w:tcW w:w="567" w:type="dxa"/>
            <w:vMerge/>
            <w:shd w:val="clear" w:color="auto" w:fill="F2F2F2" w:themeFill="background1" w:themeFillShade="F2"/>
          </w:tcPr>
          <w:p w14:paraId="65546F4F" w14:textId="77777777" w:rsidR="00720B79" w:rsidRPr="00720B79" w:rsidRDefault="00720B79" w:rsidP="002F1B32">
            <w:pPr>
              <w:pStyle w:val="BodyText"/>
              <w:spacing w:before="60" w:after="60"/>
              <w:rPr>
                <w:rFonts w:cs="Arial"/>
                <w:b/>
                <w:bCs/>
                <w:sz w:val="19"/>
                <w:szCs w:val="19"/>
              </w:rPr>
            </w:pPr>
          </w:p>
        </w:tc>
        <w:tc>
          <w:tcPr>
            <w:tcW w:w="1560" w:type="dxa"/>
            <w:tcBorders>
              <w:bottom w:val="single" w:sz="4" w:space="0" w:color="auto"/>
            </w:tcBorders>
          </w:tcPr>
          <w:p w14:paraId="733F1897" w14:textId="77777777" w:rsidR="00720B79" w:rsidRPr="00720B79" w:rsidRDefault="00720B79" w:rsidP="002F1B32">
            <w:pPr>
              <w:pStyle w:val="BodyText"/>
              <w:spacing w:before="60" w:after="60"/>
              <w:rPr>
                <w:rFonts w:cs="Arial"/>
                <w:b/>
                <w:bCs/>
                <w:sz w:val="19"/>
                <w:szCs w:val="19"/>
              </w:rPr>
            </w:pPr>
            <w:r w:rsidRPr="00720B79">
              <w:rPr>
                <w:rFonts w:cs="Arial"/>
                <w:b/>
                <w:bCs/>
                <w:sz w:val="19"/>
                <w:szCs w:val="19"/>
              </w:rPr>
              <w:t>Monitoring and referral functions</w:t>
            </w:r>
          </w:p>
        </w:tc>
        <w:tc>
          <w:tcPr>
            <w:tcW w:w="6306" w:type="dxa"/>
            <w:tcBorders>
              <w:bottom w:val="single" w:sz="4" w:space="0" w:color="auto"/>
            </w:tcBorders>
          </w:tcPr>
          <w:p w14:paraId="569F5277" w14:textId="77777777" w:rsidR="00720B79" w:rsidRPr="00720B79" w:rsidRDefault="00720B79" w:rsidP="002F1B32">
            <w:pPr>
              <w:pStyle w:val="BodyText"/>
              <w:spacing w:before="60" w:after="60"/>
              <w:rPr>
                <w:rFonts w:cs="Arial"/>
                <w:sz w:val="19"/>
                <w:szCs w:val="19"/>
              </w:rPr>
            </w:pPr>
            <w:r w:rsidRPr="00720B79">
              <w:rPr>
                <w:rFonts w:cs="Arial"/>
                <w:sz w:val="19"/>
                <w:szCs w:val="19"/>
              </w:rPr>
              <w:t>The relevant regulator would be required to more actively monitor the behaviour of service providers and to refer pipelines for a form of regulation assessment if it suspects market power is being exercised.</w:t>
            </w:r>
          </w:p>
        </w:tc>
      </w:tr>
      <w:tr w:rsidR="00720B79" w:rsidRPr="00720B79" w14:paraId="0EF4437F" w14:textId="77777777" w:rsidTr="002F1B32">
        <w:trPr>
          <w:cnfStyle w:val="000000010000" w:firstRow="0" w:lastRow="0" w:firstColumn="0" w:lastColumn="0" w:oddVBand="0" w:evenVBand="0" w:oddHBand="0" w:evenHBand="1" w:firstRowFirstColumn="0" w:firstRowLastColumn="0" w:lastRowFirstColumn="0" w:lastRowLastColumn="0"/>
          <w:trHeight w:val="70"/>
        </w:trPr>
        <w:tc>
          <w:tcPr>
            <w:tcW w:w="567" w:type="dxa"/>
            <w:vMerge/>
            <w:shd w:val="clear" w:color="auto" w:fill="F2F2F2" w:themeFill="background1" w:themeFillShade="F2"/>
          </w:tcPr>
          <w:p w14:paraId="52B10625" w14:textId="77777777" w:rsidR="00720B79" w:rsidRPr="00720B79" w:rsidRDefault="00720B79" w:rsidP="002F1B32">
            <w:pPr>
              <w:pStyle w:val="BodyText"/>
              <w:spacing w:before="60" w:after="60"/>
              <w:rPr>
                <w:rFonts w:cs="Arial"/>
                <w:b/>
                <w:sz w:val="19"/>
                <w:szCs w:val="19"/>
              </w:rPr>
            </w:pPr>
          </w:p>
        </w:tc>
        <w:tc>
          <w:tcPr>
            <w:tcW w:w="1560" w:type="dxa"/>
            <w:shd w:val="clear" w:color="auto" w:fill="F2F2F2" w:themeFill="background1" w:themeFillShade="F2"/>
          </w:tcPr>
          <w:p w14:paraId="6C4588F0" w14:textId="77777777" w:rsidR="00720B79" w:rsidRPr="00720B79" w:rsidRDefault="00720B79" w:rsidP="002F1B32">
            <w:pPr>
              <w:pStyle w:val="BodyText"/>
              <w:keepNext/>
              <w:spacing w:before="60" w:after="60"/>
              <w:rPr>
                <w:rFonts w:cs="Arial"/>
                <w:b/>
                <w:sz w:val="19"/>
                <w:szCs w:val="19"/>
              </w:rPr>
            </w:pPr>
            <w:r w:rsidRPr="00720B79">
              <w:rPr>
                <w:rFonts w:cs="Arial"/>
                <w:b/>
                <w:bCs/>
                <w:sz w:val="19"/>
                <w:szCs w:val="19"/>
              </w:rPr>
              <w:t>Form of regulation test</w:t>
            </w:r>
          </w:p>
        </w:tc>
        <w:tc>
          <w:tcPr>
            <w:tcW w:w="6306" w:type="dxa"/>
            <w:shd w:val="clear" w:color="auto" w:fill="F2F2F2" w:themeFill="background1" w:themeFillShade="F2"/>
          </w:tcPr>
          <w:p w14:paraId="42A354AD" w14:textId="1A5BA69F" w:rsidR="00720B79" w:rsidRPr="00720B79" w:rsidRDefault="00720B79" w:rsidP="002F1B32">
            <w:pPr>
              <w:pStyle w:val="BodyText"/>
              <w:keepNext/>
              <w:spacing w:before="60" w:after="60"/>
              <w:rPr>
                <w:rFonts w:cs="Arial"/>
                <w:sz w:val="19"/>
                <w:szCs w:val="19"/>
              </w:rPr>
            </w:pPr>
            <w:r w:rsidRPr="00720B79">
              <w:rPr>
                <w:rFonts w:cstheme="minorHAnsi"/>
                <w:sz w:val="19"/>
                <w:szCs w:val="19"/>
              </w:rPr>
              <w:t>The coverage test would be removed and the existing form of regulation test would be used to determine whether a stronger or lighter form of regulation should apply (note the test and/or decision-maker’s information gathering powers would be modified to address the concerns raised about the information asymmetries faced by the decision-maker when deciding on the form of regulation and some other minor modifications to the test would also be made</w:t>
            </w:r>
            <w:r w:rsidR="00370905">
              <w:rPr>
                <w:rFonts w:ascii="ZWAdobeF" w:hAnsi="ZWAdobeF" w:cs="ZWAdobeF"/>
                <w:sz w:val="2"/>
                <w:szCs w:val="2"/>
              </w:rPr>
              <w:t>223F</w:t>
            </w:r>
            <w:r w:rsidRPr="00720B79">
              <w:rPr>
                <w:rStyle w:val="FootnoteReference"/>
                <w:rFonts w:cstheme="minorHAnsi"/>
                <w:sz w:val="19"/>
                <w:szCs w:val="19"/>
              </w:rPr>
              <w:footnoteReference w:id="225"/>
            </w:r>
            <w:r w:rsidRPr="00720B79">
              <w:rPr>
                <w:rFonts w:cstheme="minorHAnsi"/>
                <w:sz w:val="19"/>
                <w:szCs w:val="19"/>
              </w:rPr>
              <w:t xml:space="preserve"> – changes to the test will be consulted on as part of the consultation on the legal package).</w:t>
            </w:r>
          </w:p>
        </w:tc>
      </w:tr>
      <w:tr w:rsidR="00720B79" w:rsidRPr="00720B79" w14:paraId="0DBE1D93" w14:textId="77777777" w:rsidTr="002F1B32">
        <w:trPr>
          <w:trHeight w:val="258"/>
        </w:trPr>
        <w:tc>
          <w:tcPr>
            <w:tcW w:w="2127" w:type="dxa"/>
            <w:gridSpan w:val="2"/>
          </w:tcPr>
          <w:p w14:paraId="4BCE2006" w14:textId="77777777" w:rsidR="00720B79" w:rsidRPr="00720B79" w:rsidRDefault="00720B79" w:rsidP="002F1B32">
            <w:pPr>
              <w:pStyle w:val="BodyText"/>
              <w:spacing w:before="60" w:after="60"/>
              <w:rPr>
                <w:rFonts w:cs="Arial"/>
                <w:b/>
                <w:sz w:val="19"/>
                <w:szCs w:val="19"/>
              </w:rPr>
            </w:pPr>
            <w:r w:rsidRPr="00720B79">
              <w:rPr>
                <w:rFonts w:cs="Arial"/>
                <w:b/>
                <w:sz w:val="19"/>
                <w:szCs w:val="19"/>
              </w:rPr>
              <w:t>Governance for when and how to regulate decisions</w:t>
            </w:r>
          </w:p>
        </w:tc>
        <w:tc>
          <w:tcPr>
            <w:tcW w:w="6306" w:type="dxa"/>
            <w:tcBorders>
              <w:bottom w:val="single" w:sz="4" w:space="0" w:color="auto"/>
            </w:tcBorders>
          </w:tcPr>
          <w:p w14:paraId="3DAF6B8F" w14:textId="77777777" w:rsidR="00720B79" w:rsidRPr="00720B79" w:rsidRDefault="00720B79" w:rsidP="002F1B32">
            <w:pPr>
              <w:pStyle w:val="BodyText"/>
              <w:spacing w:before="60" w:after="60"/>
              <w:rPr>
                <w:rFonts w:cs="Arial"/>
                <w:sz w:val="19"/>
                <w:szCs w:val="19"/>
              </w:rPr>
            </w:pPr>
            <w:r w:rsidRPr="00720B79">
              <w:rPr>
                <w:rFonts w:cs="Arial"/>
                <w:sz w:val="19"/>
                <w:szCs w:val="19"/>
              </w:rPr>
              <w:t xml:space="preserve">The relevant regulator (AER/ERA) would be responsible for deciding whether to grant a </w:t>
            </w:r>
            <w:r w:rsidRPr="00720B79">
              <w:rPr>
                <w:sz w:val="19"/>
                <w:szCs w:val="19"/>
              </w:rPr>
              <w:t>greenfield exemption and for making form of regulation decisions.</w:t>
            </w:r>
          </w:p>
        </w:tc>
      </w:tr>
      <w:tr w:rsidR="00720B79" w:rsidRPr="00720B79" w14:paraId="40F33068" w14:textId="77777777" w:rsidTr="002F1B32">
        <w:trPr>
          <w:cnfStyle w:val="000000010000" w:firstRow="0" w:lastRow="0" w:firstColumn="0" w:lastColumn="0" w:oddVBand="0" w:evenVBand="0" w:oddHBand="0" w:evenHBand="1" w:firstRowFirstColumn="0" w:firstRowLastColumn="0" w:lastRowFirstColumn="0" w:lastRowLastColumn="0"/>
          <w:trHeight w:val="1218"/>
        </w:trPr>
        <w:tc>
          <w:tcPr>
            <w:tcW w:w="567" w:type="dxa"/>
            <w:vMerge w:val="restart"/>
            <w:shd w:val="clear" w:color="auto" w:fill="F2F2F2" w:themeFill="background1" w:themeFillShade="F2"/>
            <w:textDirection w:val="btLr"/>
          </w:tcPr>
          <w:p w14:paraId="518154F6" w14:textId="77777777" w:rsidR="00720B79" w:rsidRPr="00720B79" w:rsidRDefault="00720B79" w:rsidP="002F1B32">
            <w:pPr>
              <w:pStyle w:val="BodyText"/>
              <w:keepNext/>
              <w:spacing w:before="60" w:after="60"/>
              <w:jc w:val="center"/>
              <w:rPr>
                <w:rFonts w:cs="Arial"/>
                <w:b/>
                <w:sz w:val="19"/>
                <w:szCs w:val="19"/>
              </w:rPr>
            </w:pPr>
            <w:r w:rsidRPr="00720B79">
              <w:rPr>
                <w:rFonts w:cs="Arial"/>
                <w:b/>
                <w:sz w:val="19"/>
                <w:szCs w:val="19"/>
              </w:rPr>
              <w:t>Information disclosure requirements</w:t>
            </w:r>
          </w:p>
        </w:tc>
        <w:tc>
          <w:tcPr>
            <w:tcW w:w="1560" w:type="dxa"/>
            <w:shd w:val="clear" w:color="auto" w:fill="F2F2F2" w:themeFill="background1" w:themeFillShade="F2"/>
          </w:tcPr>
          <w:p w14:paraId="69A542EC" w14:textId="77777777" w:rsidR="00720B79" w:rsidRPr="00720B79" w:rsidRDefault="00720B79" w:rsidP="002F1B32">
            <w:pPr>
              <w:pStyle w:val="BodyText"/>
              <w:keepNext/>
              <w:spacing w:before="60" w:after="60"/>
              <w:rPr>
                <w:rFonts w:cs="Arial"/>
                <w:b/>
                <w:sz w:val="19"/>
                <w:szCs w:val="19"/>
              </w:rPr>
            </w:pPr>
            <w:r w:rsidRPr="00720B79">
              <w:rPr>
                <w:rFonts w:cs="Arial"/>
                <w:b/>
                <w:sz w:val="19"/>
                <w:szCs w:val="19"/>
              </w:rPr>
              <w:t xml:space="preserve">Information to be disclosed by </w:t>
            </w:r>
            <w:r w:rsidRPr="00720B79">
              <w:rPr>
                <w:rFonts w:cs="Arial"/>
                <w:b/>
                <w:sz w:val="19"/>
                <w:szCs w:val="19"/>
                <w:u w:val="single"/>
              </w:rPr>
              <w:t>non-exempt</w:t>
            </w:r>
            <w:r w:rsidRPr="00720B79">
              <w:rPr>
                <w:rFonts w:cs="Arial"/>
                <w:b/>
                <w:sz w:val="19"/>
                <w:szCs w:val="19"/>
              </w:rPr>
              <w:t xml:space="preserve"> service providers</w:t>
            </w:r>
          </w:p>
        </w:tc>
        <w:tc>
          <w:tcPr>
            <w:tcW w:w="6306" w:type="dxa"/>
            <w:shd w:val="clear" w:color="auto" w:fill="F2F2F2" w:themeFill="background1" w:themeFillShade="F2"/>
          </w:tcPr>
          <w:p w14:paraId="0405449C" w14:textId="77777777" w:rsidR="00720B79" w:rsidRPr="00720B79" w:rsidRDefault="00720B79" w:rsidP="002F1B32">
            <w:pPr>
              <w:pStyle w:val="BodyText"/>
              <w:keepNext/>
              <w:spacing w:before="60" w:after="60" w:line="247" w:lineRule="auto"/>
              <w:rPr>
                <w:rFonts w:cs="Arial"/>
                <w:sz w:val="19"/>
                <w:szCs w:val="19"/>
              </w:rPr>
            </w:pPr>
            <w:r w:rsidRPr="00720B79">
              <w:rPr>
                <w:rFonts w:cs="Arial"/>
                <w:sz w:val="19"/>
                <w:szCs w:val="19"/>
              </w:rPr>
              <w:t xml:space="preserve">All non-exempt service providers would be required to publish: </w:t>
            </w:r>
          </w:p>
          <w:p w14:paraId="5925C539" w14:textId="77777777" w:rsidR="00720B79" w:rsidRPr="00720B79" w:rsidRDefault="00720B79" w:rsidP="002F1B32">
            <w:pPr>
              <w:pStyle w:val="BodyText"/>
              <w:keepNext/>
              <w:numPr>
                <w:ilvl w:val="0"/>
                <w:numId w:val="69"/>
              </w:numPr>
              <w:spacing w:before="60" w:after="60" w:line="247" w:lineRule="auto"/>
              <w:ind w:left="312" w:hanging="227"/>
              <w:rPr>
                <w:rFonts w:cs="Arial"/>
                <w:sz w:val="19"/>
                <w:szCs w:val="19"/>
              </w:rPr>
            </w:pPr>
            <w:r w:rsidRPr="00720B79">
              <w:rPr>
                <w:rFonts w:cs="Arial"/>
                <w:sz w:val="19"/>
                <w:szCs w:val="19"/>
              </w:rPr>
              <w:t xml:space="preserve">The Basic Information set out in Box 8.1. </w:t>
            </w:r>
          </w:p>
          <w:p w14:paraId="190C1086" w14:textId="77777777" w:rsidR="00720B79" w:rsidRPr="00720B79" w:rsidRDefault="00720B79" w:rsidP="002F1B32">
            <w:pPr>
              <w:pStyle w:val="BodyText"/>
              <w:keepNext/>
              <w:numPr>
                <w:ilvl w:val="0"/>
                <w:numId w:val="69"/>
              </w:numPr>
              <w:spacing w:before="60" w:after="60" w:line="247" w:lineRule="auto"/>
              <w:ind w:left="312" w:hanging="227"/>
              <w:rPr>
                <w:rFonts w:cs="Arial"/>
                <w:sz w:val="19"/>
                <w:szCs w:val="19"/>
              </w:rPr>
            </w:pPr>
            <w:r w:rsidRPr="00720B79">
              <w:rPr>
                <w:rFonts w:cs="Arial"/>
                <w:sz w:val="19"/>
                <w:szCs w:val="19"/>
              </w:rPr>
              <w:t xml:space="preserve">Historical financial and demand information. </w:t>
            </w:r>
          </w:p>
          <w:p w14:paraId="7EE29EF8" w14:textId="77777777" w:rsidR="00720B79" w:rsidRPr="00720B79" w:rsidRDefault="00720B79" w:rsidP="002F1B32">
            <w:pPr>
              <w:pStyle w:val="BodyText"/>
              <w:keepNext/>
              <w:spacing w:before="60" w:after="60"/>
              <w:rPr>
                <w:rFonts w:cs="Arial"/>
                <w:sz w:val="19"/>
                <w:szCs w:val="19"/>
              </w:rPr>
            </w:pPr>
            <w:r w:rsidRPr="00720B79">
              <w:rPr>
                <w:rFonts w:asciiTheme="majorHAnsi" w:hAnsiTheme="majorHAnsi" w:cstheme="majorHAnsi"/>
                <w:sz w:val="19"/>
                <w:szCs w:val="19"/>
              </w:rPr>
              <w:t>Information on the prices paid by other shippers would be based on the individual prices (including key terms and conditions) paid by shippers (except in SA which proposes to derogate from this aspect of the reforms).</w:t>
            </w:r>
          </w:p>
          <w:p w14:paraId="56F99C6F" w14:textId="77777777" w:rsidR="00720B79" w:rsidRPr="00720B79" w:rsidRDefault="00720B79" w:rsidP="002F1B32">
            <w:pPr>
              <w:pStyle w:val="BodyText"/>
              <w:keepNext/>
              <w:spacing w:before="60" w:after="60"/>
              <w:rPr>
                <w:rFonts w:cs="Arial"/>
                <w:sz w:val="19"/>
                <w:szCs w:val="19"/>
              </w:rPr>
            </w:pPr>
            <w:r w:rsidRPr="00720B79">
              <w:rPr>
                <w:rFonts w:cs="Arial"/>
                <w:sz w:val="19"/>
                <w:szCs w:val="19"/>
              </w:rPr>
              <w:t>The disclosure requirements would also be amended in the manner set out in Box 8.1 to address the identified information deficiencies and improve the quality and reliability, accessibility and usability of the information.</w:t>
            </w:r>
          </w:p>
        </w:tc>
      </w:tr>
      <w:tr w:rsidR="00720B79" w:rsidRPr="00720B79" w14:paraId="4703BC64" w14:textId="77777777" w:rsidTr="002F1B32">
        <w:trPr>
          <w:trHeight w:val="979"/>
        </w:trPr>
        <w:tc>
          <w:tcPr>
            <w:tcW w:w="567" w:type="dxa"/>
            <w:vMerge/>
            <w:shd w:val="clear" w:color="auto" w:fill="F2F2F2" w:themeFill="background1" w:themeFillShade="F2"/>
          </w:tcPr>
          <w:p w14:paraId="4C94D6B4" w14:textId="77777777" w:rsidR="00720B79" w:rsidRPr="00720B79" w:rsidRDefault="00720B79" w:rsidP="002F1B32">
            <w:pPr>
              <w:pStyle w:val="BodyText"/>
              <w:spacing w:before="60" w:after="60"/>
              <w:rPr>
                <w:rFonts w:cs="Arial"/>
                <w:b/>
                <w:sz w:val="19"/>
                <w:szCs w:val="19"/>
              </w:rPr>
            </w:pPr>
          </w:p>
        </w:tc>
        <w:tc>
          <w:tcPr>
            <w:tcW w:w="1560" w:type="dxa"/>
            <w:shd w:val="clear" w:color="auto" w:fill="FFFFFF" w:themeFill="background1"/>
          </w:tcPr>
          <w:p w14:paraId="04FD97D4" w14:textId="77777777" w:rsidR="00720B79" w:rsidRPr="00720B79" w:rsidRDefault="00720B79" w:rsidP="002F1B32">
            <w:pPr>
              <w:pStyle w:val="BodyText"/>
              <w:keepNext/>
              <w:spacing w:before="60" w:after="60"/>
              <w:rPr>
                <w:rFonts w:cs="Arial"/>
                <w:b/>
                <w:sz w:val="19"/>
                <w:szCs w:val="19"/>
              </w:rPr>
            </w:pPr>
            <w:r w:rsidRPr="00720B79">
              <w:rPr>
                <w:rFonts w:cs="Arial"/>
                <w:b/>
                <w:sz w:val="19"/>
                <w:szCs w:val="19"/>
              </w:rPr>
              <w:t xml:space="preserve">Exemptions from disclosure requirements </w:t>
            </w:r>
          </w:p>
        </w:tc>
        <w:tc>
          <w:tcPr>
            <w:tcW w:w="6306" w:type="dxa"/>
            <w:shd w:val="clear" w:color="auto" w:fill="FFFFFF" w:themeFill="background1"/>
          </w:tcPr>
          <w:p w14:paraId="0FB64ABA" w14:textId="77777777" w:rsidR="00720B79" w:rsidRPr="00720B79" w:rsidRDefault="00720B79" w:rsidP="002F1B32">
            <w:pPr>
              <w:pStyle w:val="TableBullet10"/>
              <w:numPr>
                <w:ilvl w:val="0"/>
                <w:numId w:val="0"/>
              </w:numPr>
              <w:ind w:left="85"/>
              <w:rPr>
                <w:sz w:val="19"/>
                <w:szCs w:val="19"/>
              </w:rPr>
            </w:pPr>
            <w:r w:rsidRPr="00720B79">
              <w:rPr>
                <w:sz w:val="19"/>
                <w:szCs w:val="19"/>
              </w:rPr>
              <w:t>The following exemptions from the information disclosure obligations would be available:</w:t>
            </w:r>
          </w:p>
          <w:p w14:paraId="5F5D8993" w14:textId="77777777" w:rsidR="00720B79" w:rsidRPr="00720B79" w:rsidRDefault="00720B79" w:rsidP="002F1B32">
            <w:pPr>
              <w:pStyle w:val="TableBullet10"/>
              <w:rPr>
                <w:sz w:val="19"/>
                <w:szCs w:val="19"/>
              </w:rPr>
            </w:pPr>
            <w:r w:rsidRPr="00720B79">
              <w:rPr>
                <w:sz w:val="19"/>
                <w:szCs w:val="19"/>
              </w:rPr>
              <w:t xml:space="preserve">Pipelines that are not providing third party access would be able to obtain an exemption from publishing the Basic Information and the historical financial and demand information. </w:t>
            </w:r>
          </w:p>
          <w:p w14:paraId="2273BB99" w14:textId="77777777" w:rsidR="00720B79" w:rsidRPr="00720B79" w:rsidRDefault="00720B79" w:rsidP="002F1B32">
            <w:pPr>
              <w:pStyle w:val="TableBullet10"/>
              <w:rPr>
                <w:sz w:val="19"/>
                <w:szCs w:val="19"/>
              </w:rPr>
            </w:pPr>
            <w:r w:rsidRPr="00720B79">
              <w:rPr>
                <w:sz w:val="19"/>
                <w:szCs w:val="19"/>
              </w:rPr>
              <w:t xml:space="preserve">Pipelines that are providing third party access, but have a single user or have a nameplate capacity less than 10 TJ/day would be able to obtain an exemption from the obligation to publish historical financial and service usage information. </w:t>
            </w:r>
          </w:p>
          <w:p w14:paraId="4CF0A556" w14:textId="77777777" w:rsidR="00720B79" w:rsidRPr="00720B79" w:rsidRDefault="00720B79" w:rsidP="002F1B32">
            <w:pPr>
              <w:pStyle w:val="BodyText"/>
              <w:spacing w:before="60" w:after="60"/>
              <w:rPr>
                <w:rFonts w:cs="Arial"/>
                <w:sz w:val="19"/>
                <w:szCs w:val="19"/>
              </w:rPr>
            </w:pPr>
            <w:r w:rsidRPr="00720B79">
              <w:rPr>
                <w:sz w:val="19"/>
                <w:szCs w:val="19"/>
              </w:rPr>
              <w:t>If a pipeline no longer satisfies the exemption criteria, the exemption would be revoked.</w:t>
            </w:r>
          </w:p>
        </w:tc>
      </w:tr>
      <w:tr w:rsidR="00720B79" w:rsidRPr="00720B79" w14:paraId="4C809052" w14:textId="77777777" w:rsidTr="002F1B32">
        <w:trPr>
          <w:cnfStyle w:val="000000010000" w:firstRow="0" w:lastRow="0" w:firstColumn="0" w:lastColumn="0" w:oddVBand="0" w:evenVBand="0" w:oddHBand="0" w:evenHBand="1" w:firstRowFirstColumn="0" w:firstRowLastColumn="0" w:lastRowFirstColumn="0" w:lastRowLastColumn="0"/>
          <w:trHeight w:val="213"/>
        </w:trPr>
        <w:tc>
          <w:tcPr>
            <w:tcW w:w="567" w:type="dxa"/>
            <w:vMerge w:val="restart"/>
            <w:shd w:val="clear" w:color="auto" w:fill="FFFFFF" w:themeFill="background1"/>
            <w:textDirection w:val="btLr"/>
          </w:tcPr>
          <w:p w14:paraId="755F3499" w14:textId="77777777" w:rsidR="00720B79" w:rsidRPr="00720B79" w:rsidRDefault="00720B79" w:rsidP="002F1B32">
            <w:pPr>
              <w:pStyle w:val="BodyText"/>
              <w:spacing w:before="60" w:after="60"/>
              <w:jc w:val="center"/>
              <w:rPr>
                <w:rFonts w:cs="Arial"/>
                <w:b/>
                <w:sz w:val="19"/>
                <w:szCs w:val="19"/>
              </w:rPr>
            </w:pPr>
            <w:r w:rsidRPr="00720B79">
              <w:rPr>
                <w:rFonts w:cs="Arial"/>
                <w:b/>
                <w:sz w:val="19"/>
                <w:szCs w:val="19"/>
              </w:rPr>
              <w:t>Negotiation frameworks and dispute resolution mechanism*</w:t>
            </w:r>
          </w:p>
        </w:tc>
        <w:tc>
          <w:tcPr>
            <w:tcW w:w="1560" w:type="dxa"/>
            <w:shd w:val="clear" w:color="auto" w:fill="F2F2F2" w:themeFill="background1" w:themeFillShade="F2"/>
          </w:tcPr>
          <w:p w14:paraId="6071BD7A" w14:textId="77777777" w:rsidR="00720B79" w:rsidRPr="00720B79" w:rsidRDefault="00720B79" w:rsidP="002F1B32">
            <w:pPr>
              <w:pStyle w:val="BodyText"/>
              <w:spacing w:before="60" w:after="60"/>
              <w:rPr>
                <w:rFonts w:cs="Arial"/>
                <w:b/>
                <w:bCs/>
                <w:sz w:val="19"/>
                <w:szCs w:val="19"/>
              </w:rPr>
            </w:pPr>
            <w:r w:rsidRPr="00720B79">
              <w:rPr>
                <w:rFonts w:cs="Arial"/>
                <w:b/>
                <w:sz w:val="19"/>
                <w:szCs w:val="19"/>
              </w:rPr>
              <w:t>Negotiation framework</w:t>
            </w:r>
          </w:p>
        </w:tc>
        <w:tc>
          <w:tcPr>
            <w:tcW w:w="6306" w:type="dxa"/>
            <w:shd w:val="clear" w:color="auto" w:fill="F2F2F2" w:themeFill="background1" w:themeFillShade="F2"/>
          </w:tcPr>
          <w:p w14:paraId="067EE0BE" w14:textId="77777777" w:rsidR="00720B79" w:rsidRPr="00720B79" w:rsidRDefault="00720B79" w:rsidP="002F1B32">
            <w:pPr>
              <w:pStyle w:val="BodyText"/>
              <w:spacing w:before="60" w:after="60"/>
              <w:rPr>
                <w:rFonts w:cs="Arial"/>
                <w:sz w:val="19"/>
                <w:szCs w:val="19"/>
              </w:rPr>
            </w:pPr>
            <w:r w:rsidRPr="00720B79">
              <w:rPr>
                <w:rFonts w:cs="Arial"/>
                <w:sz w:val="19"/>
                <w:szCs w:val="19"/>
              </w:rPr>
              <w:t xml:space="preserve">A single negotiation framework would apply under both forms of regulation (see Box 8.2). </w:t>
            </w:r>
          </w:p>
        </w:tc>
      </w:tr>
      <w:tr w:rsidR="00720B79" w:rsidRPr="00720B79" w14:paraId="7FF986DB" w14:textId="77777777" w:rsidTr="002F1B32">
        <w:trPr>
          <w:trHeight w:val="537"/>
        </w:trPr>
        <w:tc>
          <w:tcPr>
            <w:tcW w:w="567" w:type="dxa"/>
            <w:vMerge/>
            <w:shd w:val="clear" w:color="auto" w:fill="FFFFFF" w:themeFill="background1"/>
          </w:tcPr>
          <w:p w14:paraId="7B2D7593" w14:textId="77777777" w:rsidR="00720B79" w:rsidRPr="00720B79" w:rsidRDefault="00720B79" w:rsidP="002F1B32">
            <w:pPr>
              <w:pStyle w:val="BodyText"/>
              <w:spacing w:before="60" w:after="60"/>
              <w:rPr>
                <w:rFonts w:cs="Arial"/>
                <w:b/>
                <w:sz w:val="19"/>
                <w:szCs w:val="19"/>
              </w:rPr>
            </w:pPr>
          </w:p>
        </w:tc>
        <w:tc>
          <w:tcPr>
            <w:tcW w:w="1560" w:type="dxa"/>
            <w:tcBorders>
              <w:bottom w:val="single" w:sz="4" w:space="0" w:color="auto"/>
            </w:tcBorders>
          </w:tcPr>
          <w:p w14:paraId="1A0475CD" w14:textId="77777777" w:rsidR="00720B79" w:rsidRPr="00720B79" w:rsidRDefault="00720B79" w:rsidP="002F1B32">
            <w:pPr>
              <w:pStyle w:val="BodyText"/>
              <w:spacing w:before="60" w:after="60"/>
              <w:rPr>
                <w:rFonts w:cs="Arial"/>
                <w:b/>
                <w:sz w:val="19"/>
                <w:szCs w:val="19"/>
              </w:rPr>
            </w:pPr>
            <w:r w:rsidRPr="00720B79">
              <w:rPr>
                <w:rFonts w:cs="Arial"/>
                <w:b/>
                <w:sz w:val="19"/>
                <w:szCs w:val="19"/>
              </w:rPr>
              <w:t>Threat of dispute for small shippers</w:t>
            </w:r>
          </w:p>
        </w:tc>
        <w:tc>
          <w:tcPr>
            <w:tcW w:w="6306" w:type="dxa"/>
            <w:tcBorders>
              <w:bottom w:val="single" w:sz="4" w:space="0" w:color="auto"/>
            </w:tcBorders>
          </w:tcPr>
          <w:p w14:paraId="3827F471" w14:textId="77777777" w:rsidR="00720B79" w:rsidRPr="00720B79" w:rsidRDefault="00720B79" w:rsidP="002F1B32">
            <w:pPr>
              <w:pStyle w:val="BodyText"/>
              <w:spacing w:before="20" w:after="20" w:line="247" w:lineRule="auto"/>
              <w:rPr>
                <w:rFonts w:cs="Arial"/>
                <w:sz w:val="19"/>
                <w:szCs w:val="19"/>
              </w:rPr>
            </w:pPr>
            <w:r w:rsidRPr="00720B79">
              <w:rPr>
                <w:rFonts w:cs="Arial"/>
                <w:sz w:val="19"/>
                <w:szCs w:val="19"/>
              </w:rPr>
              <w:t>The credibility of the threat of smaller shippers triggering a dispute would be strengthened by:</w:t>
            </w:r>
          </w:p>
          <w:p w14:paraId="6FD96B04" w14:textId="77777777" w:rsidR="00720B79" w:rsidRPr="00720B79" w:rsidRDefault="00720B79" w:rsidP="002F1B32">
            <w:pPr>
              <w:pStyle w:val="BodyText"/>
              <w:numPr>
                <w:ilvl w:val="0"/>
                <w:numId w:val="58"/>
              </w:numPr>
              <w:spacing w:before="20" w:after="20" w:line="247" w:lineRule="auto"/>
              <w:ind w:left="312" w:hanging="227"/>
              <w:rPr>
                <w:rFonts w:cs="Arial"/>
                <w:sz w:val="19"/>
                <w:szCs w:val="19"/>
              </w:rPr>
            </w:pPr>
            <w:r w:rsidRPr="00720B79">
              <w:rPr>
                <w:rFonts w:cs="Arial"/>
                <w:sz w:val="19"/>
                <w:szCs w:val="19"/>
              </w:rPr>
              <w:t>changing the dispute related cost provisions</w:t>
            </w:r>
          </w:p>
          <w:p w14:paraId="02EB5BBD" w14:textId="77777777" w:rsidR="00720B79" w:rsidRPr="00720B79" w:rsidRDefault="00720B79" w:rsidP="002F1B32">
            <w:pPr>
              <w:pStyle w:val="BodyText"/>
              <w:numPr>
                <w:ilvl w:val="0"/>
                <w:numId w:val="58"/>
              </w:numPr>
              <w:spacing w:before="20" w:after="20" w:line="247" w:lineRule="auto"/>
              <w:ind w:left="312" w:hanging="227"/>
              <w:rPr>
                <w:rFonts w:cs="Arial"/>
                <w:sz w:val="19"/>
                <w:szCs w:val="19"/>
              </w:rPr>
            </w:pPr>
            <w:r w:rsidRPr="00720B79">
              <w:rPr>
                <w:rFonts w:cs="Arial"/>
                <w:sz w:val="19"/>
                <w:szCs w:val="19"/>
              </w:rPr>
              <w:t>allowing user bodies to be joined to proceedings involving smaller shippers</w:t>
            </w:r>
          </w:p>
          <w:p w14:paraId="1A2B08B3" w14:textId="77777777" w:rsidR="00720B79" w:rsidRPr="00720B79" w:rsidRDefault="00720B79" w:rsidP="002F1B32">
            <w:pPr>
              <w:pStyle w:val="BodyText"/>
              <w:numPr>
                <w:ilvl w:val="0"/>
                <w:numId w:val="58"/>
              </w:numPr>
              <w:spacing w:before="20" w:after="20"/>
              <w:ind w:left="312" w:hanging="227"/>
              <w:rPr>
                <w:sz w:val="19"/>
                <w:szCs w:val="19"/>
              </w:rPr>
            </w:pPr>
            <w:r w:rsidRPr="00720B79">
              <w:rPr>
                <w:rFonts w:cs="Arial"/>
                <w:sz w:val="19"/>
                <w:szCs w:val="19"/>
              </w:rPr>
              <w:t>allowing smaller shippers to elect to have a dispute involving a pipeline subject to the lighter form of regulation mediated by a regulator appointed party (who will be required to report back to the regulator to help inform the monitoring process).</w:t>
            </w:r>
          </w:p>
        </w:tc>
      </w:tr>
      <w:tr w:rsidR="00720B79" w:rsidRPr="00720B79" w14:paraId="446F9574" w14:textId="77777777" w:rsidTr="002F1B32">
        <w:trPr>
          <w:cnfStyle w:val="000000010000" w:firstRow="0" w:lastRow="0" w:firstColumn="0" w:lastColumn="0" w:oddVBand="0" w:evenVBand="0" w:oddHBand="0" w:evenHBand="1" w:firstRowFirstColumn="0" w:firstRowLastColumn="0" w:lastRowFirstColumn="0" w:lastRowLastColumn="0"/>
          <w:trHeight w:val="263"/>
        </w:trPr>
        <w:tc>
          <w:tcPr>
            <w:tcW w:w="567" w:type="dxa"/>
            <w:vMerge/>
            <w:shd w:val="clear" w:color="auto" w:fill="FFFFFF" w:themeFill="background1"/>
          </w:tcPr>
          <w:p w14:paraId="22B76982" w14:textId="77777777" w:rsidR="00720B79" w:rsidRPr="00720B79" w:rsidRDefault="00720B79" w:rsidP="002F1B32">
            <w:pPr>
              <w:pStyle w:val="BodyText"/>
              <w:spacing w:before="60" w:after="60"/>
              <w:rPr>
                <w:rFonts w:cs="Arial"/>
                <w:b/>
                <w:sz w:val="19"/>
                <w:szCs w:val="19"/>
              </w:rPr>
            </w:pPr>
          </w:p>
        </w:tc>
        <w:tc>
          <w:tcPr>
            <w:tcW w:w="1560" w:type="dxa"/>
            <w:shd w:val="clear" w:color="auto" w:fill="F2F2F2" w:themeFill="background1" w:themeFillShade="F2"/>
          </w:tcPr>
          <w:p w14:paraId="71577412" w14:textId="77777777" w:rsidR="00720B79" w:rsidRPr="00720B79" w:rsidRDefault="00720B79" w:rsidP="002F1B32">
            <w:pPr>
              <w:pStyle w:val="BodyText"/>
              <w:spacing w:before="60" w:after="60"/>
              <w:rPr>
                <w:rFonts w:cs="Arial"/>
                <w:b/>
                <w:sz w:val="19"/>
                <w:szCs w:val="19"/>
              </w:rPr>
            </w:pPr>
            <w:r w:rsidRPr="00720B79">
              <w:rPr>
                <w:rFonts w:cs="Arial"/>
                <w:b/>
                <w:sz w:val="19"/>
                <w:szCs w:val="19"/>
              </w:rPr>
              <w:t xml:space="preserve">Dispute resolution mechanisms </w:t>
            </w:r>
          </w:p>
        </w:tc>
        <w:tc>
          <w:tcPr>
            <w:tcW w:w="6306" w:type="dxa"/>
            <w:shd w:val="clear" w:color="auto" w:fill="F2F2F2" w:themeFill="background1" w:themeFillShade="F2"/>
          </w:tcPr>
          <w:p w14:paraId="430CBA32" w14:textId="77777777" w:rsidR="00720B79" w:rsidRPr="00720B79" w:rsidRDefault="00720B79" w:rsidP="002F1B32">
            <w:pPr>
              <w:pStyle w:val="BodyText"/>
              <w:spacing w:before="60" w:after="60"/>
              <w:rPr>
                <w:rFonts w:cs="Arial"/>
                <w:sz w:val="19"/>
                <w:szCs w:val="19"/>
              </w:rPr>
            </w:pPr>
            <w:r w:rsidRPr="00720B79">
              <w:rPr>
                <w:rFonts w:cs="Arial"/>
                <w:sz w:val="19"/>
                <w:szCs w:val="19"/>
              </w:rPr>
              <w:t xml:space="preserve">The Part 23 commercially-oriented mechanism would be maintained for the lighter form of regulation and the scheme pipeline regulatory-oriented mechanism would be used for the stronger form of regulation. </w:t>
            </w:r>
          </w:p>
          <w:p w14:paraId="5A4FDA1E" w14:textId="77777777" w:rsidR="00720B79" w:rsidRPr="00720B79" w:rsidRDefault="00720B79" w:rsidP="002F1B32">
            <w:pPr>
              <w:pStyle w:val="BodyText"/>
              <w:spacing w:before="60" w:after="60"/>
              <w:rPr>
                <w:rFonts w:cs="Arial"/>
                <w:sz w:val="19"/>
                <w:szCs w:val="19"/>
              </w:rPr>
            </w:pPr>
            <w:r w:rsidRPr="00720B79">
              <w:rPr>
                <w:rFonts w:cs="Arial"/>
                <w:sz w:val="19"/>
                <w:szCs w:val="19"/>
              </w:rPr>
              <w:t>The scheme pipeline dispute resolution mechanism would be strengthened in the manner set out in Box 8.3.</w:t>
            </w:r>
          </w:p>
        </w:tc>
      </w:tr>
    </w:tbl>
    <w:p w14:paraId="321E8585" w14:textId="11AFDE0E" w:rsidR="001B5C8A" w:rsidRDefault="001B5C8A" w:rsidP="001B5C8A">
      <w:pPr>
        <w:pStyle w:val="Caption"/>
        <w:rPr>
          <w:noProof/>
        </w:rPr>
      </w:pPr>
      <w:r>
        <w:lastRenderedPageBreak/>
        <w:t xml:space="preserve">Figure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10</w:t>
      </w:r>
      <w:r w:rsidR="00F323B2">
        <w:rPr>
          <w:noProof/>
        </w:rPr>
        <w:fldChar w:fldCharType="end"/>
      </w:r>
      <w:r>
        <w:t>.</w:t>
      </w:r>
      <w:r w:rsidR="00F323B2">
        <w:rPr>
          <w:noProof/>
        </w:rPr>
        <w:fldChar w:fldCharType="begin"/>
      </w:r>
      <w:r w:rsidR="00F323B2">
        <w:rPr>
          <w:noProof/>
        </w:rPr>
        <w:instrText xml:space="preserve"> SEQ Figure \* ARABIC \s 1 </w:instrText>
      </w:r>
      <w:r w:rsidR="00F323B2">
        <w:rPr>
          <w:noProof/>
        </w:rPr>
        <w:fldChar w:fldCharType="separate"/>
      </w:r>
      <w:r w:rsidR="004031E8">
        <w:rPr>
          <w:noProof/>
        </w:rPr>
        <w:t>1</w:t>
      </w:r>
      <w:r w:rsidR="00F323B2">
        <w:rPr>
          <w:noProof/>
        </w:rPr>
        <w:fldChar w:fldCharType="end"/>
      </w:r>
      <w:r>
        <w:t>: How the regulatory framework would operate under Option 3B</w:t>
      </w:r>
    </w:p>
    <w:p w14:paraId="57F50D17" w14:textId="77777777" w:rsidR="001B5C8A" w:rsidRDefault="001B5C8A" w:rsidP="00AD36B8">
      <w:pPr>
        <w:pStyle w:val="ListBullet"/>
        <w:numPr>
          <w:ilvl w:val="0"/>
          <w:numId w:val="0"/>
        </w:numPr>
        <w:rPr>
          <w:noProof/>
        </w:rPr>
      </w:pPr>
      <w:r>
        <w:rPr>
          <w:noProof/>
        </w:rPr>
        <w:drawing>
          <wp:inline distT="0" distB="0" distL="0" distR="0" wp14:anchorId="3D4472CE" wp14:editId="05F5169E">
            <wp:extent cx="5924550" cy="7436715"/>
            <wp:effectExtent l="0" t="0" r="0" b="0"/>
            <wp:docPr id="12" name="Picture 12" descr="P44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4431#yIS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29487" cy="7442912"/>
                    </a:xfrm>
                    <a:prstGeom prst="rect">
                      <a:avLst/>
                    </a:prstGeom>
                    <a:noFill/>
                  </pic:spPr>
                </pic:pic>
              </a:graphicData>
            </a:graphic>
          </wp:inline>
        </w:drawing>
      </w:r>
    </w:p>
    <w:p w14:paraId="6F041A06" w14:textId="0BCD0CB1" w:rsidR="006B06E0" w:rsidRDefault="006B06E0" w:rsidP="006B06E0">
      <w:pPr>
        <w:pStyle w:val="BodyText"/>
      </w:pPr>
      <w:r>
        <w:t xml:space="preserve">In addition to yielding the greatest net benefit for the community, Option 3B is </w:t>
      </w:r>
      <w:r w:rsidR="008E0C01">
        <w:t xml:space="preserve">also </w:t>
      </w:r>
      <w:r w:rsidRPr="003E4A01">
        <w:t xml:space="preserve">consistent with the NGO, the </w:t>
      </w:r>
      <w:r>
        <w:t xml:space="preserve">Vision and the objectives of </w:t>
      </w:r>
      <w:r w:rsidRPr="00807EA1">
        <w:t>Energy National Cabinet Reform Committee</w:t>
      </w:r>
      <w:r>
        <w:t xml:space="preserve"> action, which as noted in section </w:t>
      </w:r>
      <w:r>
        <w:rPr>
          <w:highlight w:val="yellow"/>
        </w:rPr>
        <w:fldChar w:fldCharType="begin" w:fldLock="1"/>
      </w:r>
      <w:r>
        <w:instrText xml:space="preserve"> REF _Ref59385881 \r \h </w:instrText>
      </w:r>
      <w:r>
        <w:rPr>
          <w:highlight w:val="yellow"/>
        </w:rPr>
      </w:r>
      <w:r>
        <w:rPr>
          <w:highlight w:val="yellow"/>
        </w:rPr>
        <w:fldChar w:fldCharType="separate"/>
      </w:r>
      <w:r w:rsidR="00036405">
        <w:t>3.2</w:t>
      </w:r>
      <w:r>
        <w:rPr>
          <w:highlight w:val="yellow"/>
        </w:rPr>
        <w:fldChar w:fldCharType="end"/>
      </w:r>
      <w:r>
        <w:t xml:space="preserve"> are to implement </w:t>
      </w:r>
      <w:r w:rsidRPr="00623324">
        <w:t>a more efficient, effective and integrated regulatory framework that</w:t>
      </w:r>
      <w:r>
        <w:t>:</w:t>
      </w:r>
      <w:r w:rsidRPr="00623324">
        <w:t xml:space="preserve"> </w:t>
      </w:r>
    </w:p>
    <w:p w14:paraId="0B673CE3" w14:textId="77777777" w:rsidR="006B06E0" w:rsidRDefault="006B06E0" w:rsidP="00AD36B8">
      <w:pPr>
        <w:pStyle w:val="ListBullet"/>
      </w:pPr>
      <w:r w:rsidRPr="00623324">
        <w:t>supports the efficient operation of the gas market and the long term interests of gas users</w:t>
      </w:r>
      <w:r>
        <w:t xml:space="preserve">; and </w:t>
      </w:r>
    </w:p>
    <w:p w14:paraId="129788BD" w14:textId="77777777" w:rsidR="006B06E0" w:rsidRDefault="006B06E0" w:rsidP="00AD36B8">
      <w:pPr>
        <w:pStyle w:val="ListBullet"/>
      </w:pPr>
      <w:r w:rsidRPr="00623324">
        <w:lastRenderedPageBreak/>
        <w:t xml:space="preserve">is fit for purpose, targeted and proportionate to the issues it is intended to address. </w:t>
      </w:r>
    </w:p>
    <w:p w14:paraId="5A657DF2" w14:textId="088918F0" w:rsidR="006B06E0" w:rsidRPr="006B4639" w:rsidRDefault="006B06E0" w:rsidP="006B06E0">
      <w:pPr>
        <w:pStyle w:val="BodyText"/>
      </w:pPr>
      <w:r>
        <w:t xml:space="preserve">As </w:t>
      </w:r>
      <w:r>
        <w:fldChar w:fldCharType="begin" w:fldLock="1"/>
      </w:r>
      <w:r>
        <w:instrText xml:space="preserve"> REF _Ref59388073 \h </w:instrText>
      </w:r>
      <w:r>
        <w:fldChar w:fldCharType="separate"/>
      </w:r>
      <w:r w:rsidR="00036405">
        <w:t xml:space="preserve">Figure </w:t>
      </w:r>
      <w:r w:rsidR="00036405">
        <w:rPr>
          <w:noProof/>
        </w:rPr>
        <w:t>10</w:t>
      </w:r>
      <w:r w:rsidR="00036405">
        <w:t>.</w:t>
      </w:r>
      <w:r w:rsidR="00036405">
        <w:rPr>
          <w:noProof/>
        </w:rPr>
        <w:t>2</w:t>
      </w:r>
      <w:r>
        <w:fldChar w:fldCharType="end"/>
      </w:r>
      <w:r>
        <w:t xml:space="preserve"> highlights, it will achieve these objectives by:</w:t>
      </w:r>
    </w:p>
    <w:p w14:paraId="029D8B1A" w14:textId="77777777" w:rsidR="006B06E0" w:rsidRDefault="006B06E0" w:rsidP="00AD36B8">
      <w:pPr>
        <w:pStyle w:val="ListBullet"/>
      </w:pPr>
      <w:r>
        <w:t>providing for a simpler framework for access to pipelines that are not voluntarily providing third party access;</w:t>
      </w:r>
    </w:p>
    <w:p w14:paraId="70EE2448" w14:textId="77777777" w:rsidR="006B06E0" w:rsidRDefault="006B06E0" w:rsidP="00AD36B8">
      <w:pPr>
        <w:pStyle w:val="ListBullet"/>
      </w:pPr>
      <w:r>
        <w:t xml:space="preserve">continuing to support </w:t>
      </w:r>
      <w:r w:rsidRPr="006B4639">
        <w:t xml:space="preserve">efficient investment </w:t>
      </w:r>
      <w:r>
        <w:t>in new pipelines;</w:t>
      </w:r>
    </w:p>
    <w:p w14:paraId="7AF2D511" w14:textId="77777777" w:rsidR="006B06E0" w:rsidRPr="006B4639" w:rsidRDefault="006B06E0" w:rsidP="00AD36B8">
      <w:pPr>
        <w:pStyle w:val="ListBullet"/>
      </w:pPr>
      <w:r>
        <w:t xml:space="preserve">simplifying the forms of regulation and ensuring each form provides effective constraints on static and dynamic market power, while continuing to support </w:t>
      </w:r>
      <w:r w:rsidRPr="006B4639">
        <w:t>the safe, reliable and efficient operation</w:t>
      </w:r>
      <w:r>
        <w:t>,</w:t>
      </w:r>
      <w:r w:rsidRPr="006B4639">
        <w:t xml:space="preserve"> use of </w:t>
      </w:r>
      <w:r>
        <w:t xml:space="preserve">and investment in </w:t>
      </w:r>
      <w:r w:rsidRPr="006B4639">
        <w:t>pipelines;</w:t>
      </w:r>
      <w:r>
        <w:t xml:space="preserve"> </w:t>
      </w:r>
    </w:p>
    <w:p w14:paraId="50E4E822" w14:textId="77777777" w:rsidR="006B06E0" w:rsidRDefault="006B06E0" w:rsidP="00AD36B8">
      <w:pPr>
        <w:pStyle w:val="ListBullet"/>
      </w:pPr>
      <w:r>
        <w:t>posing a more credible threat of a stronger form of regulation if market power is exercised by service providers; and</w:t>
      </w:r>
    </w:p>
    <w:p w14:paraId="78AA3D09" w14:textId="77777777" w:rsidR="006B06E0" w:rsidRDefault="006B06E0" w:rsidP="00AD36B8">
      <w:pPr>
        <w:pStyle w:val="ListBullet"/>
      </w:pPr>
      <w:r>
        <w:t>better supporting commercial negotiations between shippers and service providers, while also minimising administrative burdens and costs.</w:t>
      </w:r>
    </w:p>
    <w:p w14:paraId="35F4768F" w14:textId="32AE76DE" w:rsidR="006B06E0" w:rsidRDefault="006B06E0" w:rsidP="006B06E0">
      <w:pPr>
        <w:pStyle w:val="Caption"/>
        <w:spacing w:after="0"/>
        <w:rPr>
          <w:noProof/>
        </w:rPr>
      </w:pPr>
      <w:bookmarkStart w:id="237" w:name="_Ref59388073"/>
      <w:r>
        <w:t xml:space="preserve">Figure </w:t>
      </w:r>
      <w:r w:rsidR="00F323B2">
        <w:rPr>
          <w:noProof/>
        </w:rPr>
        <w:fldChar w:fldCharType="begin" w:fldLock="1"/>
      </w:r>
      <w:r w:rsidR="00F323B2">
        <w:rPr>
          <w:noProof/>
        </w:rPr>
        <w:instrText xml:space="preserve"> STYLEREF 1 \s </w:instrText>
      </w:r>
      <w:r w:rsidR="00F323B2">
        <w:rPr>
          <w:noProof/>
        </w:rPr>
        <w:fldChar w:fldCharType="separate"/>
      </w:r>
      <w:r w:rsidR="00036405">
        <w:rPr>
          <w:noProof/>
        </w:rPr>
        <w:t>10</w:t>
      </w:r>
      <w:r w:rsidR="00F323B2">
        <w:rPr>
          <w:noProof/>
        </w:rPr>
        <w:fldChar w:fldCharType="end"/>
      </w:r>
      <w:r w:rsidR="001B5C8A">
        <w:t>.</w:t>
      </w:r>
      <w:r w:rsidR="00F323B2">
        <w:rPr>
          <w:noProof/>
        </w:rPr>
        <w:fldChar w:fldCharType="begin"/>
      </w:r>
      <w:r w:rsidR="00F323B2">
        <w:rPr>
          <w:noProof/>
        </w:rPr>
        <w:instrText xml:space="preserve"> SEQ Figure \* ARABIC \s 1 </w:instrText>
      </w:r>
      <w:r w:rsidR="00F323B2">
        <w:rPr>
          <w:noProof/>
        </w:rPr>
        <w:fldChar w:fldCharType="separate"/>
      </w:r>
      <w:r w:rsidR="004031E8">
        <w:rPr>
          <w:noProof/>
        </w:rPr>
        <w:t>2</w:t>
      </w:r>
      <w:r w:rsidR="00F323B2">
        <w:rPr>
          <w:noProof/>
        </w:rPr>
        <w:fldChar w:fldCharType="end"/>
      </w:r>
      <w:bookmarkEnd w:id="237"/>
      <w:r>
        <w:t>: Summary of how the preferred option will achieve the stated objectives</w:t>
      </w:r>
    </w:p>
    <w:p w14:paraId="7E752230" w14:textId="77777777" w:rsidR="006B06E0" w:rsidRDefault="00433BA8" w:rsidP="00AD36B8">
      <w:pPr>
        <w:pStyle w:val="ListBullet"/>
        <w:numPr>
          <w:ilvl w:val="0"/>
          <w:numId w:val="0"/>
        </w:numPr>
      </w:pPr>
      <w:r>
        <w:rPr>
          <w:noProof/>
        </w:rPr>
        <w:drawing>
          <wp:inline distT="0" distB="0" distL="0" distR="0" wp14:anchorId="26714D58" wp14:editId="63B0E74F">
            <wp:extent cx="5573596" cy="3439236"/>
            <wp:effectExtent l="0" t="0" r="8255" b="8890"/>
            <wp:docPr id="31" name="Picture 31" descr="P44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4442#yIS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81435" cy="3444073"/>
                    </a:xfrm>
                    <a:prstGeom prst="rect">
                      <a:avLst/>
                    </a:prstGeom>
                    <a:noFill/>
                  </pic:spPr>
                </pic:pic>
              </a:graphicData>
            </a:graphic>
          </wp:inline>
        </w:drawing>
      </w:r>
    </w:p>
    <w:p w14:paraId="6EAD8E43" w14:textId="77777777" w:rsidR="00F06F85" w:rsidRPr="00722330" w:rsidRDefault="00F06F85" w:rsidP="00AD36B8">
      <w:pPr>
        <w:pStyle w:val="ListBullet"/>
        <w:numPr>
          <w:ilvl w:val="0"/>
          <w:numId w:val="0"/>
        </w:numPr>
      </w:pPr>
    </w:p>
    <w:p w14:paraId="13377FE0" w14:textId="77777777" w:rsidR="001F261C" w:rsidRPr="006B4639" w:rsidRDefault="00637BD5" w:rsidP="001F261C">
      <w:pPr>
        <w:pStyle w:val="Heading2"/>
        <w:spacing w:before="0" w:after="120"/>
      </w:pPr>
      <w:bookmarkStart w:id="238" w:name="_Toc62219435"/>
      <w:r>
        <w:t>How will the preferred option be implemented?</w:t>
      </w:r>
      <w:bookmarkEnd w:id="238"/>
    </w:p>
    <w:p w14:paraId="53317EA1" w14:textId="77777777" w:rsidR="00F74FF2" w:rsidRPr="006B4639" w:rsidRDefault="00F74FF2" w:rsidP="00F74FF2">
      <w:pPr>
        <w:rPr>
          <w:iCs/>
        </w:rPr>
      </w:pPr>
      <w:r>
        <w:t xml:space="preserve">To implement the preferred option, </w:t>
      </w:r>
      <w:r w:rsidRPr="006B4639">
        <w:rPr>
          <w:iCs/>
        </w:rPr>
        <w:t xml:space="preserve">changes to the NGL, Regulations and NGR will be required. </w:t>
      </w:r>
      <w:r>
        <w:t xml:space="preserve">Subject to </w:t>
      </w:r>
      <w:r w:rsidR="00E67ED3" w:rsidRPr="00807EA1">
        <w:t>Energy National Cabinet Reform Committee</w:t>
      </w:r>
      <w:r w:rsidR="00E67ED3">
        <w:t xml:space="preserve"> </w:t>
      </w:r>
      <w:r>
        <w:t xml:space="preserve">agreeing to implement the </w:t>
      </w:r>
      <w:r w:rsidRPr="00D03762">
        <w:rPr>
          <w:rFonts w:cs="Arial"/>
        </w:rPr>
        <w:t>preferred option</w:t>
      </w:r>
      <w:r>
        <w:rPr>
          <w:rFonts w:cs="Arial"/>
        </w:rPr>
        <w:t>,</w:t>
      </w:r>
      <w:r>
        <w:t xml:space="preserve"> the amendments to the NGL, NGR and Regulations required to give effect to the option will be prepared for public consultation</w:t>
      </w:r>
      <w:r>
        <w:rPr>
          <w:iCs/>
        </w:rPr>
        <w:t xml:space="preserve">. </w:t>
      </w:r>
    </w:p>
    <w:p w14:paraId="2CD3C08E" w14:textId="77777777" w:rsidR="00F74FF2" w:rsidRPr="006B4639" w:rsidRDefault="00F74FF2" w:rsidP="00F74FF2">
      <w:pPr>
        <w:pStyle w:val="BodyText"/>
      </w:pPr>
      <w:r>
        <w:t>Following</w:t>
      </w:r>
      <w:r w:rsidRPr="006B4639">
        <w:t xml:space="preserve"> </w:t>
      </w:r>
      <w:r>
        <w:t>consultation a</w:t>
      </w:r>
      <w:r w:rsidRPr="006B4639">
        <w:t xml:space="preserve"> package of changes to the</w:t>
      </w:r>
      <w:r>
        <w:t xml:space="preserve">se legal instruments </w:t>
      </w:r>
      <w:r w:rsidR="00C45B9A">
        <w:t>will</w:t>
      </w:r>
      <w:r w:rsidRPr="006B4639">
        <w:t xml:space="preserve"> be submitted to </w:t>
      </w:r>
      <w:r w:rsidR="00E67ED3" w:rsidRPr="00807EA1">
        <w:t>Energy National Cabinet Reform Committee</w:t>
      </w:r>
      <w:r w:rsidR="00E67ED3" w:rsidRPr="006B4639">
        <w:t xml:space="preserve"> </w:t>
      </w:r>
      <w:r w:rsidRPr="006B4639">
        <w:t xml:space="preserve">for its approval. If the package </w:t>
      </w:r>
      <w:r w:rsidR="00C45B9A">
        <w:t xml:space="preserve">of changes </w:t>
      </w:r>
      <w:r w:rsidRPr="006B4639">
        <w:t>is approved, then:</w:t>
      </w:r>
    </w:p>
    <w:p w14:paraId="528EC7CC" w14:textId="77777777" w:rsidR="00F74FF2" w:rsidRPr="006B4639" w:rsidRDefault="00F74FF2" w:rsidP="00AD36B8">
      <w:pPr>
        <w:pStyle w:val="ListBullet"/>
      </w:pPr>
      <w:r w:rsidRPr="006B4639">
        <w:t xml:space="preserve">the required changes to the NGL </w:t>
      </w:r>
      <w:r>
        <w:t>would</w:t>
      </w:r>
      <w:r w:rsidRPr="006B4639">
        <w:t xml:space="preserve"> be progressed through the South Australian Parliament by the South Australian Minister for Energy and Mining; and</w:t>
      </w:r>
    </w:p>
    <w:p w14:paraId="4A93D080" w14:textId="77777777" w:rsidR="00F74FF2" w:rsidRPr="006B4639" w:rsidRDefault="00F74FF2" w:rsidP="00AD36B8">
      <w:pPr>
        <w:pStyle w:val="ListBullet"/>
      </w:pPr>
      <w:r>
        <w:lastRenderedPageBreak/>
        <w:t xml:space="preserve">following the proclamation of </w:t>
      </w:r>
      <w:r w:rsidRPr="006B4639">
        <w:t xml:space="preserve">changes to the NGL, the required amendments to: </w:t>
      </w:r>
    </w:p>
    <w:p w14:paraId="23B28DDA" w14:textId="77777777" w:rsidR="00F74FF2" w:rsidRPr="006B4639" w:rsidRDefault="00F74FF2" w:rsidP="006516C2">
      <w:pPr>
        <w:pStyle w:val="BodyText"/>
        <w:numPr>
          <w:ilvl w:val="0"/>
          <w:numId w:val="22"/>
        </w:numPr>
        <w:spacing w:before="120"/>
        <w:ind w:left="714" w:hanging="357"/>
      </w:pPr>
      <w:r w:rsidRPr="006B4639">
        <w:t xml:space="preserve">the Regulations </w:t>
      </w:r>
      <w:r>
        <w:t>would</w:t>
      </w:r>
      <w:r w:rsidRPr="006B4639">
        <w:t xml:space="preserve"> be made by the South Australian Governor; and </w:t>
      </w:r>
    </w:p>
    <w:p w14:paraId="13F8A563" w14:textId="77777777" w:rsidR="00F74FF2" w:rsidRDefault="00F74FF2" w:rsidP="006516C2">
      <w:pPr>
        <w:pStyle w:val="BodyText"/>
        <w:numPr>
          <w:ilvl w:val="0"/>
          <w:numId w:val="22"/>
        </w:numPr>
        <w:spacing w:before="120"/>
        <w:ind w:left="714" w:hanging="357"/>
      </w:pPr>
      <w:r w:rsidRPr="006B4639">
        <w:t xml:space="preserve">the NGR </w:t>
      </w:r>
      <w:r>
        <w:t>would</w:t>
      </w:r>
      <w:r w:rsidRPr="006B4639">
        <w:t xml:space="preserve"> be made by the South Australian Minister for Energy and Mining as initial rules.</w:t>
      </w:r>
    </w:p>
    <w:p w14:paraId="6CF4D681" w14:textId="175297CE" w:rsidR="003E3450" w:rsidRDefault="003E3450" w:rsidP="007005BB">
      <w:pPr>
        <w:pStyle w:val="BodyText"/>
      </w:pPr>
      <w:r>
        <w:rPr>
          <w:rFonts w:cs="Arial"/>
        </w:rPr>
        <w:t>In Western Australia, which has adopted modified versions of the NGL, the NGR and Regulations, the WA Government will be responsible for determining what changes it will adopt.</w:t>
      </w:r>
    </w:p>
    <w:p w14:paraId="44ED7B7D" w14:textId="1096317A" w:rsidR="006F1141" w:rsidRDefault="006F1141" w:rsidP="007005BB">
      <w:pPr>
        <w:pStyle w:val="BodyText"/>
      </w:pPr>
      <w:r>
        <w:t xml:space="preserve">Subject to the completion of the </w:t>
      </w:r>
      <w:r w:rsidR="004C542C">
        <w:t>South Australian legislative amendment process, it is anticipated that the new regulatory framework will commence in 2022.</w:t>
      </w:r>
    </w:p>
    <w:p w14:paraId="65A750E9" w14:textId="77777777" w:rsidR="001F261C" w:rsidRPr="006B4639" w:rsidRDefault="00DC777E" w:rsidP="007005BB">
      <w:pPr>
        <w:pStyle w:val="Heading2"/>
      </w:pPr>
      <w:bookmarkStart w:id="239" w:name="_Toc62219436"/>
      <w:r>
        <w:t>How will the effectiveness of the preferred option be monitored and reviewed over time?</w:t>
      </w:r>
      <w:bookmarkEnd w:id="239"/>
      <w:r>
        <w:t xml:space="preserve"> </w:t>
      </w:r>
    </w:p>
    <w:p w14:paraId="5ED7E710" w14:textId="77777777" w:rsidR="001F261C" w:rsidRPr="006B4639" w:rsidRDefault="001F261C" w:rsidP="001F261C">
      <w:pPr>
        <w:pStyle w:val="BodyText"/>
      </w:pPr>
      <w:r w:rsidRPr="006B4639">
        <w:t xml:space="preserve">The effectiveness of </w:t>
      </w:r>
      <w:r w:rsidR="006C24C7">
        <w:t xml:space="preserve">the preferred option </w:t>
      </w:r>
      <w:r w:rsidRPr="006B4639">
        <w:t xml:space="preserve">will be monitored and reviewed </w:t>
      </w:r>
      <w:r w:rsidR="006C24C7">
        <w:t xml:space="preserve">over time </w:t>
      </w:r>
      <w:r w:rsidRPr="006B4639">
        <w:t xml:space="preserve">by </w:t>
      </w:r>
      <w:r w:rsidR="00A246B6">
        <w:t>Energy Senior Officials</w:t>
      </w:r>
      <w:r w:rsidRPr="006B4639">
        <w:t>. It is also expected to be monitored by the ACCC as part of its gas market inquiry</w:t>
      </w:r>
      <w:r w:rsidR="005B0593">
        <w:t>, which is scheduled to run until 2025</w:t>
      </w:r>
      <w:r w:rsidRPr="006B4639">
        <w:t xml:space="preserve">. </w:t>
      </w:r>
    </w:p>
    <w:p w14:paraId="1BC84AA6" w14:textId="77777777" w:rsidR="005F5C42" w:rsidRDefault="001F261C" w:rsidP="001F261C">
      <w:pPr>
        <w:pStyle w:val="BodyText"/>
        <w:rPr>
          <w:lang w:eastAsia="fr-CA"/>
        </w:rPr>
      </w:pPr>
      <w:r w:rsidRPr="006B4639">
        <w:t xml:space="preserve">In addition to these reviews, it will be open to market participants and other interested parties to submit a rule change to the AEMC if any of the reforms implemented through the NGR are found not to be working as intended. </w:t>
      </w:r>
      <w:r w:rsidRPr="006B4639">
        <w:rPr>
          <w:lang w:eastAsia="fr-CA"/>
        </w:rPr>
        <w:t xml:space="preserve"> </w:t>
      </w:r>
      <w:r w:rsidR="005F5C42">
        <w:rPr>
          <w:lang w:eastAsia="fr-CA"/>
        </w:rPr>
        <w:br w:type="page"/>
      </w:r>
    </w:p>
    <w:p w14:paraId="6DE4831D" w14:textId="77777777" w:rsidR="00A30755" w:rsidRPr="006B4639" w:rsidRDefault="00A30755" w:rsidP="00F251D2">
      <w:pPr>
        <w:sectPr w:rsidR="00A30755" w:rsidRPr="006B4639" w:rsidSect="003B45FF">
          <w:headerReference w:type="default" r:id="rId84"/>
          <w:footerReference w:type="default" r:id="rId85"/>
          <w:pgSz w:w="11907" w:h="16839" w:code="9"/>
          <w:pgMar w:top="1361" w:right="1418" w:bottom="992" w:left="1701" w:header="567" w:footer="397" w:gutter="0"/>
          <w:cols w:space="708"/>
          <w:docGrid w:linePitch="360"/>
        </w:sectPr>
      </w:pPr>
    </w:p>
    <w:p w14:paraId="7286F44E" w14:textId="77777777" w:rsidR="000D153F" w:rsidRDefault="004E0C35" w:rsidP="00AD50BB">
      <w:pPr>
        <w:pStyle w:val="Heading9"/>
      </w:pPr>
      <w:bookmarkStart w:id="240" w:name="_Ref49752928"/>
      <w:bookmarkStart w:id="241" w:name="_Toc62219437"/>
      <w:bookmarkStart w:id="242" w:name="_Hlk20233174"/>
      <w:r>
        <w:lastRenderedPageBreak/>
        <w:t xml:space="preserve">Gas pipeline </w:t>
      </w:r>
      <w:r w:rsidR="000D153F">
        <w:t>regulatory framework</w:t>
      </w:r>
      <w:bookmarkEnd w:id="240"/>
      <w:bookmarkEnd w:id="241"/>
    </w:p>
    <w:p w14:paraId="3E574F72" w14:textId="77777777" w:rsidR="000D153F" w:rsidRPr="006B4639" w:rsidRDefault="009D0283" w:rsidP="000D153F">
      <w:pPr>
        <w:pStyle w:val="BodyText"/>
        <w:rPr>
          <w:rFonts w:eastAsiaTheme="minorHAnsi" w:cs="Arial"/>
        </w:rPr>
      </w:pPr>
      <w:r>
        <w:rPr>
          <w:rFonts w:eastAsiaTheme="minorHAnsi" w:cs="Arial"/>
        </w:rPr>
        <w:t xml:space="preserve">This </w:t>
      </w:r>
      <w:r w:rsidR="00DC599A">
        <w:rPr>
          <w:rFonts w:eastAsiaTheme="minorHAnsi" w:cs="Arial"/>
        </w:rPr>
        <w:t xml:space="preserve">appendix </w:t>
      </w:r>
      <w:r w:rsidR="000D153F" w:rsidRPr="006B4639">
        <w:rPr>
          <w:rFonts w:eastAsiaTheme="minorHAnsi" w:cs="Arial"/>
        </w:rPr>
        <w:t xml:space="preserve">provides further detail on: </w:t>
      </w:r>
    </w:p>
    <w:p w14:paraId="368F8CAD" w14:textId="77777777" w:rsidR="000D153F" w:rsidRPr="006B4639" w:rsidRDefault="000D153F" w:rsidP="00AD36B8">
      <w:pPr>
        <w:pStyle w:val="ListBullet"/>
      </w:pPr>
      <w:r w:rsidRPr="006B4639">
        <w:t>how a pipeline can currently become subject to regulation;</w:t>
      </w:r>
    </w:p>
    <w:p w14:paraId="3C148E88" w14:textId="77777777" w:rsidR="000D153F" w:rsidRPr="006B4639" w:rsidRDefault="000D153F" w:rsidP="00AD36B8">
      <w:pPr>
        <w:pStyle w:val="ListBullet"/>
      </w:pPr>
      <w:r w:rsidRPr="006B4639">
        <w:t xml:space="preserve">the alternative forms of regulation; and </w:t>
      </w:r>
    </w:p>
    <w:p w14:paraId="7BACCE65" w14:textId="77777777" w:rsidR="000D153F" w:rsidRPr="006B4639" w:rsidRDefault="000D153F" w:rsidP="00AD36B8">
      <w:pPr>
        <w:pStyle w:val="ListBullet"/>
      </w:pPr>
      <w:r w:rsidRPr="006B4639">
        <w:t>the provisions that have been included in the regulatory framework to encourage investment.</w:t>
      </w:r>
    </w:p>
    <w:p w14:paraId="2F76F479" w14:textId="77777777" w:rsidR="000D153F" w:rsidRPr="006B4639" w:rsidRDefault="000D153F" w:rsidP="000D153F">
      <w:pPr>
        <w:pStyle w:val="AppendixHeading2"/>
      </w:pPr>
      <w:r w:rsidRPr="006B4639">
        <w:t xml:space="preserve">How a pipeline can currently become subject to regulation </w:t>
      </w:r>
    </w:p>
    <w:p w14:paraId="018DA27F" w14:textId="77777777" w:rsidR="000D153F" w:rsidRPr="006B4639" w:rsidRDefault="000D153F" w:rsidP="000D153F">
      <w:pPr>
        <w:tabs>
          <w:tab w:val="left" w:pos="360"/>
          <w:tab w:val="left" w:pos="7065"/>
        </w:tabs>
        <w:spacing w:after="160"/>
        <w:rPr>
          <w:rFonts w:eastAsiaTheme="minorHAnsi" w:cs="Arial"/>
        </w:rPr>
      </w:pPr>
      <w:r w:rsidRPr="006B4639">
        <w:rPr>
          <w:rFonts w:eastAsiaTheme="minorHAnsi" w:cs="Arial"/>
        </w:rPr>
        <w:t xml:space="preserve">Under the current regulatory framework, a pipeline can become subject to: </w:t>
      </w:r>
    </w:p>
    <w:p w14:paraId="319FA220" w14:textId="77777777" w:rsidR="000D153F" w:rsidRPr="006B4639" w:rsidRDefault="000D153F" w:rsidP="00AD36B8">
      <w:pPr>
        <w:pStyle w:val="ListBullet"/>
      </w:pPr>
      <w:r w:rsidRPr="006B4639">
        <w:t xml:space="preserve">full or light regulation if the pipeline has been classified as a scheme (covered) pipeline; or </w:t>
      </w:r>
    </w:p>
    <w:p w14:paraId="541B841C" w14:textId="77777777" w:rsidR="000D153F" w:rsidRPr="006B4639" w:rsidRDefault="000D153F" w:rsidP="00AD36B8">
      <w:pPr>
        <w:pStyle w:val="ListBullet"/>
      </w:pPr>
      <w:r w:rsidRPr="006B4639">
        <w:t>Part 23 if the pipeline is a non-scheme pipeline and is providing third party access.</w:t>
      </w:r>
    </w:p>
    <w:p w14:paraId="3EA80D63" w14:textId="77777777" w:rsidR="000D153F" w:rsidRPr="006B4639" w:rsidRDefault="000D153F" w:rsidP="000D153F">
      <w:pPr>
        <w:pStyle w:val="BodyText"/>
        <w:rPr>
          <w:rFonts w:eastAsiaTheme="minorHAnsi"/>
        </w:rPr>
      </w:pPr>
      <w:r w:rsidRPr="006B4639">
        <w:rPr>
          <w:rFonts w:eastAsiaTheme="minorHAnsi"/>
        </w:rPr>
        <w:t>A pipeline can be classified as a scheme (covered) pipeline if:</w:t>
      </w:r>
    </w:p>
    <w:p w14:paraId="50165DA4" w14:textId="77777777" w:rsidR="000D153F" w:rsidRPr="006B4639" w:rsidRDefault="000D153F" w:rsidP="00AD36B8">
      <w:pPr>
        <w:pStyle w:val="ListBullet"/>
      </w:pPr>
      <w:r w:rsidRPr="006B4639">
        <w:t xml:space="preserve">the pipeline was deemed to be a covered pipeline when the Gas Code came into effect and coverage has not subsequently been revoked; </w:t>
      </w:r>
    </w:p>
    <w:p w14:paraId="05132BC8" w14:textId="4913DB62" w:rsidR="000D153F" w:rsidRPr="006B4639" w:rsidRDefault="000D153F" w:rsidP="00AD36B8">
      <w:pPr>
        <w:pStyle w:val="ListBullet"/>
      </w:pPr>
      <w:r w:rsidRPr="006B4639">
        <w:t>a coverage application is made to the NCC and the relevant Minister,</w:t>
      </w:r>
      <w:r w:rsidR="00370905">
        <w:rPr>
          <w:rFonts w:ascii="ZWAdobeF" w:hAnsi="ZWAdobeF" w:cs="ZWAdobeF"/>
          <w:sz w:val="2"/>
          <w:szCs w:val="2"/>
        </w:rPr>
        <w:t>224F</w:t>
      </w:r>
      <w:r w:rsidRPr="006B4639">
        <w:rPr>
          <w:rStyle w:val="FootnoteReference"/>
        </w:rPr>
        <w:footnoteReference w:id="226"/>
      </w:r>
      <w:r w:rsidRPr="006B4639">
        <w:t xml:space="preserve"> having regard to the NCC’s recommendation, is satisfied the pipeline meets </w:t>
      </w:r>
      <w:r w:rsidRPr="006B4639">
        <w:rPr>
          <w:u w:val="single"/>
        </w:rPr>
        <w:t>all</w:t>
      </w:r>
      <w:r w:rsidRPr="006B4639">
        <w:t xml:space="preserve"> the coverage criteria set out in s. 15 of the NGL (see </w:t>
      </w:r>
      <w:r w:rsidR="002C2DC0">
        <w:fldChar w:fldCharType="begin" w:fldLock="1"/>
      </w:r>
      <w:r w:rsidR="002C2DC0">
        <w:instrText xml:space="preserve"> REF _Ref49700216 \h </w:instrText>
      </w:r>
      <w:r w:rsidR="002C2DC0">
        <w:fldChar w:fldCharType="separate"/>
      </w:r>
      <w:r w:rsidR="00036405">
        <w:t xml:space="preserve">Box </w:t>
      </w:r>
      <w:r w:rsidR="00036405">
        <w:rPr>
          <w:noProof/>
        </w:rPr>
        <w:t>2</w:t>
      </w:r>
      <w:r w:rsidR="00036405">
        <w:t>.</w:t>
      </w:r>
      <w:r w:rsidR="00036405">
        <w:rPr>
          <w:noProof/>
        </w:rPr>
        <w:t>4</w:t>
      </w:r>
      <w:r w:rsidR="002C2DC0">
        <w:fldChar w:fldCharType="end"/>
      </w:r>
      <w:r w:rsidRPr="006B4639">
        <w:t>);</w:t>
      </w:r>
    </w:p>
    <w:p w14:paraId="4B834AE8" w14:textId="19D40C3B" w:rsidR="000D153F" w:rsidRPr="006B4639" w:rsidRDefault="000D153F" w:rsidP="00AD36B8">
      <w:pPr>
        <w:pStyle w:val="ListBullet"/>
      </w:pPr>
      <w:r w:rsidRPr="006B4639">
        <w:t>a service provider voluntarily submits a full AA for the pipeline to the relevant regulator;</w:t>
      </w:r>
      <w:r w:rsidR="00370905">
        <w:rPr>
          <w:rFonts w:ascii="ZWAdobeF" w:hAnsi="ZWAdobeF" w:cs="ZWAdobeF"/>
          <w:sz w:val="2"/>
          <w:szCs w:val="2"/>
        </w:rPr>
        <w:t>225F</w:t>
      </w:r>
      <w:r w:rsidRPr="006B4639">
        <w:rPr>
          <w:rStyle w:val="FootnoteReference"/>
        </w:rPr>
        <w:footnoteReference w:id="227"/>
      </w:r>
      <w:r w:rsidRPr="006B4639">
        <w:t xml:space="preserve"> or </w:t>
      </w:r>
    </w:p>
    <w:p w14:paraId="06DD896A" w14:textId="76E5EDCD" w:rsidR="000D153F" w:rsidRPr="006B4639" w:rsidRDefault="000D153F" w:rsidP="00AD36B8">
      <w:pPr>
        <w:pStyle w:val="ListBullet"/>
      </w:pPr>
      <w:r w:rsidRPr="006B4639">
        <w:t xml:space="preserve">the pipeline is developed through a </w:t>
      </w:r>
      <w:r w:rsidR="00242D4A">
        <w:t xml:space="preserve">CTP </w:t>
      </w:r>
      <w:r w:rsidRPr="006B4639">
        <w:t>that is approved by the relevant regulator.</w:t>
      </w:r>
      <w:r w:rsidR="00370905">
        <w:rPr>
          <w:rFonts w:ascii="ZWAdobeF" w:hAnsi="ZWAdobeF" w:cs="ZWAdobeF"/>
          <w:sz w:val="2"/>
          <w:szCs w:val="2"/>
        </w:rPr>
        <w:t>226F</w:t>
      </w:r>
      <w:r w:rsidRPr="006B4639">
        <w:rPr>
          <w:rStyle w:val="FootnoteReference"/>
        </w:rPr>
        <w:footnoteReference w:id="228"/>
      </w:r>
      <w:r w:rsidRPr="006B4639">
        <w:t xml:space="preserve"> </w:t>
      </w:r>
    </w:p>
    <w:p w14:paraId="7BED66E5" w14:textId="77777777" w:rsidR="000D153F" w:rsidRPr="006B4639" w:rsidRDefault="000D153F" w:rsidP="000D153F">
      <w:pPr>
        <w:pStyle w:val="BodyText"/>
      </w:pPr>
      <w:r w:rsidRPr="006B4639">
        <w:t>The regulatory framework also provides for coverage to be revoked if the relevant Minister, having regard to the NCC’s recommendation, finds that at least one of the coverage criteria is not satisfied.</w:t>
      </w:r>
    </w:p>
    <w:p w14:paraId="5D9152A8" w14:textId="77777777" w:rsidR="000D153F" w:rsidRPr="006B4639" w:rsidRDefault="000D153F" w:rsidP="000D153F">
      <w:pPr>
        <w:pStyle w:val="BodyText"/>
      </w:pPr>
      <w:r w:rsidRPr="006B4639">
        <w:t xml:space="preserve">In addition, the regulatory framework provides for the following greenfield pipeline </w:t>
      </w:r>
      <w:r w:rsidR="00242D4A">
        <w:t xml:space="preserve">related </w:t>
      </w:r>
      <w:r w:rsidRPr="006B4639">
        <w:t>exemptions:</w:t>
      </w:r>
    </w:p>
    <w:p w14:paraId="2B1CCD6D" w14:textId="61F5ECE8" w:rsidR="000D153F" w:rsidRPr="006B4639" w:rsidRDefault="000D153F" w:rsidP="00AD36B8">
      <w:pPr>
        <w:pStyle w:val="ListBullet"/>
      </w:pPr>
      <w:r w:rsidRPr="006B4639">
        <w:t>a 15-year exemption from coverage can be obtained by a pipeline prior to commissioning if the relevant Minister, having regard to the NCC’s recommendation, finds the pipeline does not satisfy one or more of the coverage criteria;</w:t>
      </w:r>
      <w:r w:rsidR="00370905">
        <w:rPr>
          <w:rFonts w:ascii="ZWAdobeF" w:hAnsi="ZWAdobeF" w:cs="ZWAdobeF"/>
          <w:sz w:val="2"/>
          <w:szCs w:val="2"/>
        </w:rPr>
        <w:t>227F</w:t>
      </w:r>
      <w:r w:rsidR="00242D4A">
        <w:rPr>
          <w:rStyle w:val="FootnoteReference"/>
        </w:rPr>
        <w:footnoteReference w:id="229"/>
      </w:r>
      <w:r w:rsidR="00927547" w:rsidRPr="00927547">
        <w:rPr>
          <w:vertAlign w:val="superscript"/>
        </w:rPr>
        <w:t>,</w:t>
      </w:r>
      <w:r w:rsidR="00370905">
        <w:rPr>
          <w:rFonts w:ascii="ZWAdobeF" w:hAnsi="ZWAdobeF" w:cs="ZWAdobeF"/>
          <w:sz w:val="2"/>
          <w:szCs w:val="2"/>
        </w:rPr>
        <w:t>228F</w:t>
      </w:r>
      <w:r w:rsidRPr="006B4639">
        <w:rPr>
          <w:rStyle w:val="FootnoteReference"/>
        </w:rPr>
        <w:footnoteReference w:id="230"/>
      </w:r>
      <w:r w:rsidRPr="006B4639">
        <w:t xml:space="preserve"> and </w:t>
      </w:r>
    </w:p>
    <w:p w14:paraId="0B0192A3" w14:textId="77777777" w:rsidR="000D153F" w:rsidRPr="006B4639" w:rsidRDefault="000D153F" w:rsidP="00AD36B8">
      <w:pPr>
        <w:pStyle w:val="ListBullet"/>
      </w:pPr>
      <w:r w:rsidRPr="006B4639">
        <w:lastRenderedPageBreak/>
        <w:t>a 15-year exemption from price regulation (and a 15-year exemption from coverage) can be obtained by an international pipeline prior to commissioning, if the relevant Minister, having regard to the NCC’s recommendation finds the benefits to the public of granting the exemption outweigh the detriments.</w:t>
      </w:r>
    </w:p>
    <w:p w14:paraId="566327FE" w14:textId="77777777" w:rsidR="000D153F" w:rsidRPr="006B4639" w:rsidRDefault="000D153F" w:rsidP="000D153F">
      <w:pPr>
        <w:pStyle w:val="BodyText"/>
      </w:pPr>
      <w:r w:rsidRPr="006B4639">
        <w:t>The regulatory framework also provides for the coverage status of a pipeline to change over time (except in those cases where a 15-year greenfield exemption has been granted) if circumstances change.</w:t>
      </w:r>
    </w:p>
    <w:p w14:paraId="35021EA1" w14:textId="328E589F" w:rsidR="000D153F" w:rsidRPr="006B4639" w:rsidRDefault="000D153F" w:rsidP="000D153F">
      <w:pPr>
        <w:pStyle w:val="BodyText"/>
        <w:rPr>
          <w:rFonts w:asciiTheme="majorHAnsi" w:hAnsiTheme="majorHAnsi" w:cstheme="majorHAnsi"/>
          <w:lang w:eastAsia="fr-CA"/>
        </w:rPr>
      </w:pPr>
      <w:r w:rsidRPr="006B4639">
        <w:rPr>
          <w:rFonts w:asciiTheme="majorHAnsi" w:hAnsiTheme="majorHAnsi" w:cstheme="majorHAnsi"/>
          <w:lang w:eastAsia="fr-CA"/>
        </w:rPr>
        <w:t>If a pipeline is a scheme pipeline and it has been classified as a ‘designated’ pipeline in the Regulations or in the application Act of a participating jurisdiction,</w:t>
      </w:r>
      <w:r w:rsidR="00370905">
        <w:rPr>
          <w:rFonts w:ascii="ZWAdobeF" w:hAnsi="ZWAdobeF" w:cs="ZWAdobeF"/>
          <w:sz w:val="2"/>
          <w:szCs w:val="2"/>
          <w:lang w:eastAsia="fr-CA"/>
        </w:rPr>
        <w:t>229F</w:t>
      </w:r>
      <w:r w:rsidRPr="006B4639">
        <w:rPr>
          <w:rStyle w:val="FootnoteReference"/>
          <w:rFonts w:asciiTheme="majorHAnsi" w:hAnsiTheme="majorHAnsi" w:cstheme="majorHAnsi"/>
          <w:lang w:eastAsia="fr-CA"/>
        </w:rPr>
        <w:footnoteReference w:id="231"/>
      </w:r>
      <w:r w:rsidRPr="006B4639">
        <w:rPr>
          <w:rFonts w:asciiTheme="majorHAnsi" w:hAnsiTheme="majorHAnsi" w:cstheme="majorHAnsi"/>
          <w:lang w:eastAsia="fr-CA"/>
        </w:rPr>
        <w:t xml:space="preserve"> it will be subject to full regulation. For all other scheme pipelines, the pipeline may be subject to full or light regulation. </w:t>
      </w:r>
    </w:p>
    <w:p w14:paraId="2D5DDAC9" w14:textId="02F3F228" w:rsidR="000D153F" w:rsidRPr="006B4639" w:rsidRDefault="000D153F" w:rsidP="000D153F">
      <w:pPr>
        <w:pStyle w:val="BodyText"/>
        <w:rPr>
          <w:rFonts w:asciiTheme="majorHAnsi" w:hAnsiTheme="majorHAnsi" w:cstheme="majorHAnsi"/>
          <w:color w:val="000000"/>
        </w:rPr>
      </w:pPr>
      <w:r w:rsidRPr="006B4639">
        <w:rPr>
          <w:rFonts w:asciiTheme="majorHAnsi" w:hAnsiTheme="majorHAnsi" w:cstheme="majorHAnsi"/>
          <w:lang w:eastAsia="fr-CA"/>
        </w:rPr>
        <w:t>Under the current regulatory framework, the NCC is responsible for deciding what form of regulation should apply to a pipeline that becomes a covered pipeline.</w:t>
      </w:r>
      <w:r w:rsidR="00370905">
        <w:rPr>
          <w:rFonts w:ascii="ZWAdobeF" w:hAnsi="ZWAdobeF" w:cs="ZWAdobeF"/>
          <w:sz w:val="2"/>
          <w:szCs w:val="2"/>
          <w:lang w:eastAsia="fr-CA"/>
        </w:rPr>
        <w:t>230F</w:t>
      </w:r>
      <w:r w:rsidRPr="006B4639">
        <w:rPr>
          <w:rStyle w:val="FootnoteReference"/>
          <w:rFonts w:asciiTheme="majorHAnsi" w:hAnsiTheme="majorHAnsi" w:cstheme="majorHAnsi"/>
          <w:lang w:eastAsia="fr-CA"/>
        </w:rPr>
        <w:footnoteReference w:id="232"/>
      </w:r>
      <w:r w:rsidRPr="006B4639">
        <w:rPr>
          <w:rFonts w:asciiTheme="majorHAnsi" w:hAnsiTheme="majorHAnsi" w:cstheme="majorHAnsi"/>
          <w:lang w:eastAsia="fr-CA"/>
        </w:rPr>
        <w:t xml:space="preserve"> The NCC is also responsible for determining whether full or light regulation should apply to other scheme pipelines that are not ‘designated’ if an application is made for the form of regulation to change.</w:t>
      </w:r>
      <w:r w:rsidRPr="006B4639">
        <w:rPr>
          <w:rStyle w:val="FootnoteReference"/>
          <w:rFonts w:asciiTheme="majorHAnsi" w:hAnsiTheme="majorHAnsi" w:cstheme="majorHAnsi"/>
          <w:lang w:eastAsia="fr-CA"/>
        </w:rPr>
        <w:t xml:space="preserve"> </w:t>
      </w:r>
      <w:r w:rsidR="00370905">
        <w:rPr>
          <w:rFonts w:ascii="ZWAdobeF" w:hAnsi="ZWAdobeF" w:cs="ZWAdobeF"/>
          <w:sz w:val="2"/>
          <w:szCs w:val="2"/>
          <w:lang w:eastAsia="fr-CA"/>
        </w:rPr>
        <w:t>231F</w:t>
      </w:r>
      <w:r w:rsidRPr="006B4639">
        <w:rPr>
          <w:rStyle w:val="FootnoteReference"/>
          <w:rFonts w:asciiTheme="majorHAnsi" w:hAnsiTheme="majorHAnsi" w:cstheme="majorHAnsi"/>
          <w:lang w:eastAsia="fr-CA"/>
        </w:rPr>
        <w:footnoteReference w:id="233"/>
      </w:r>
      <w:r w:rsidRPr="006B4639">
        <w:rPr>
          <w:rFonts w:asciiTheme="majorHAnsi" w:hAnsiTheme="majorHAnsi" w:cstheme="majorHAnsi"/>
          <w:lang w:eastAsia="fr-CA"/>
        </w:rPr>
        <w:t xml:space="preserve"> </w:t>
      </w:r>
      <w:r w:rsidRPr="006B4639">
        <w:rPr>
          <w:rFonts w:asciiTheme="majorHAnsi" w:hAnsiTheme="majorHAnsi" w:cstheme="majorHAnsi"/>
          <w:color w:val="000000"/>
        </w:rPr>
        <w:t>When making its determination, the NCC is required to consider:</w:t>
      </w:r>
      <w:r w:rsidR="00370905">
        <w:rPr>
          <w:rFonts w:ascii="ZWAdobeF" w:hAnsi="ZWAdobeF" w:cs="ZWAdobeF"/>
          <w:sz w:val="2"/>
          <w:szCs w:val="2"/>
        </w:rPr>
        <w:t>232F</w:t>
      </w:r>
      <w:r w:rsidRPr="006B4639">
        <w:rPr>
          <w:rStyle w:val="FootnoteReference"/>
          <w:rFonts w:asciiTheme="majorHAnsi" w:hAnsiTheme="majorHAnsi" w:cstheme="majorHAnsi"/>
          <w:color w:val="000000"/>
        </w:rPr>
        <w:footnoteReference w:id="234"/>
      </w:r>
      <w:r w:rsidRPr="006B4639">
        <w:rPr>
          <w:rFonts w:asciiTheme="majorHAnsi" w:hAnsiTheme="majorHAnsi" w:cstheme="majorHAnsi"/>
          <w:color w:val="000000"/>
        </w:rPr>
        <w:t xml:space="preserve"> </w:t>
      </w:r>
    </w:p>
    <w:p w14:paraId="049F11C3" w14:textId="77777777" w:rsidR="000D153F" w:rsidRPr="006B4639" w:rsidRDefault="000D153F" w:rsidP="00AD36B8">
      <w:pPr>
        <w:pStyle w:val="ListBullet"/>
      </w:pPr>
      <w:r w:rsidRPr="006B4639">
        <w:t>the likely effectiveness of full and light regulation in promoting access to the services provided by the pipeline, and</w:t>
      </w:r>
    </w:p>
    <w:p w14:paraId="657916EA" w14:textId="77777777" w:rsidR="000D153F" w:rsidRPr="006B4639" w:rsidRDefault="000D153F" w:rsidP="00AD36B8">
      <w:pPr>
        <w:pStyle w:val="ListBullet"/>
      </w:pPr>
      <w:r w:rsidRPr="006B4639">
        <w:t xml:space="preserve">the effect of full and light regulation on the costs that may be incurred by an efficient service provider, efficient users and prospective users, and end-users. </w:t>
      </w:r>
    </w:p>
    <w:p w14:paraId="71710E3C" w14:textId="158D138C" w:rsidR="000D153F" w:rsidRPr="006B4639" w:rsidRDefault="000D153F" w:rsidP="000D153F">
      <w:pPr>
        <w:pStyle w:val="BodyText"/>
      </w:pPr>
      <w:r w:rsidRPr="006B4639">
        <w:t xml:space="preserve">In doing so, the NCC must have regard to the form of regulation factors (see </w:t>
      </w:r>
      <w:r w:rsidR="008C799B">
        <w:fldChar w:fldCharType="begin" w:fldLock="1"/>
      </w:r>
      <w:r w:rsidR="008C799B">
        <w:instrText xml:space="preserve"> REF _Ref18328964 \h </w:instrText>
      </w:r>
      <w:r w:rsidR="008C799B">
        <w:fldChar w:fldCharType="separate"/>
      </w:r>
      <w:r w:rsidR="00036405" w:rsidRPr="006B4639">
        <w:t xml:space="preserve">Box </w:t>
      </w:r>
      <w:r w:rsidR="00036405">
        <w:rPr>
          <w:noProof/>
        </w:rPr>
        <w:t>2</w:t>
      </w:r>
      <w:r w:rsidR="00036405">
        <w:t>.</w:t>
      </w:r>
      <w:r w:rsidR="00036405">
        <w:rPr>
          <w:noProof/>
        </w:rPr>
        <w:t>5</w:t>
      </w:r>
      <w:r w:rsidR="008C799B">
        <w:fldChar w:fldCharType="end"/>
      </w:r>
      <w:r w:rsidRPr="006B4639">
        <w:t xml:space="preserve">), the NGO and any other matters it considers relevant. Like a coverage decision, the form of regulation applied to a particular pipeline can change over time if conditions change. </w:t>
      </w:r>
    </w:p>
    <w:p w14:paraId="193BFDF9" w14:textId="77777777" w:rsidR="000D153F" w:rsidRPr="006B4639" w:rsidRDefault="000D153F" w:rsidP="000D153F">
      <w:pPr>
        <w:pStyle w:val="BodyText"/>
      </w:pPr>
      <w:r w:rsidRPr="006B4639">
        <w:rPr>
          <w:rFonts w:eastAsiaTheme="minorHAnsi" w:cs="Arial"/>
        </w:rPr>
        <w:t xml:space="preserve">Pipelines that are not classified as a scheme pipeline are referred to as ‘non-scheme’ pipelines (this includes </w:t>
      </w:r>
      <w:r w:rsidRPr="006B4639">
        <w:t>greenfield pipelines that have obtained a 15 year no coverage determination) and are subject to Part 23. Exemptions from Part 23 are available, on application to the relevant regulator, to pipelines that are not providing third party access.</w:t>
      </w:r>
    </w:p>
    <w:p w14:paraId="2D8AFBC5" w14:textId="77777777" w:rsidR="000D153F" w:rsidRPr="006B4639" w:rsidRDefault="000D153F" w:rsidP="000D153F">
      <w:pPr>
        <w:pStyle w:val="AppendixHeading2"/>
      </w:pPr>
      <w:r w:rsidRPr="006B4639">
        <w:t>Alternative forms of regulation</w:t>
      </w:r>
    </w:p>
    <w:p w14:paraId="47E984E4" w14:textId="77777777" w:rsidR="000D153F" w:rsidRPr="006B4639" w:rsidRDefault="000D153F" w:rsidP="000D153F">
      <w:pPr>
        <w:pStyle w:val="BodyText"/>
        <w:spacing w:after="300" w:line="252" w:lineRule="auto"/>
      </w:pPr>
      <w:r w:rsidRPr="006B4639">
        <w:t>As noted above, there are currently three forms of regulation that may be applied to a gas pipeline in Australia: full regulation, light regulation and Part 23, all of which are variants of the negotiate-arbitrate model. Further detail on these three forms of regulation is provided below. Note the regulator for scheme pipelines is the</w:t>
      </w:r>
      <w:r w:rsidR="00190A6F">
        <w:t xml:space="preserve"> </w:t>
      </w:r>
      <w:r w:rsidRPr="006B4639">
        <w:rPr>
          <w:rFonts w:eastAsiaTheme="minorHAnsi" w:cs="Arial"/>
        </w:rPr>
        <w:t>AER for</w:t>
      </w:r>
      <w:r w:rsidRPr="006B4639">
        <w:t xml:space="preserve"> all states and territories except Western Australia, where the ERA is the regulator.</w:t>
      </w:r>
    </w:p>
    <w:p w14:paraId="649BEDE0" w14:textId="77777777" w:rsidR="000D153F" w:rsidRPr="006B4639" w:rsidRDefault="000D153F" w:rsidP="000D153F">
      <w:pPr>
        <w:pStyle w:val="AppendixHeading3"/>
      </w:pPr>
      <w:r w:rsidRPr="006B4639">
        <w:lastRenderedPageBreak/>
        <w:t>Full regulation</w:t>
      </w:r>
    </w:p>
    <w:p w14:paraId="4D019C6A" w14:textId="1A2618C9" w:rsidR="000D153F" w:rsidRPr="006B4639" w:rsidRDefault="000D153F" w:rsidP="000D153F">
      <w:pPr>
        <w:pStyle w:val="BodyText"/>
      </w:pPr>
      <w:r w:rsidRPr="006B4639">
        <w:t xml:space="preserve">The service provider of a pipeline that is subject to full regulation must periodically submit a ‘full’ AA to the relevant regulator for approval. An AA is a document that sets out the reference service(s) to be provided by the pipeline and the price and non-price terms and conditions </w:t>
      </w:r>
      <w:r>
        <w:t xml:space="preserve">applicable </w:t>
      </w:r>
      <w:r w:rsidRPr="006B4639">
        <w:t xml:space="preserve">to each reference service, which must be approved by the regulator on an </w:t>
      </w:r>
      <w:r w:rsidRPr="006B4639">
        <w:rPr>
          <w:i/>
          <w:iCs/>
        </w:rPr>
        <w:t>ex ante</w:t>
      </w:r>
      <w:r w:rsidRPr="006B4639">
        <w:t xml:space="preserve"> basis. An AA must also set out the pipeline’s queuing,</w:t>
      </w:r>
      <w:r w:rsidR="00370905">
        <w:rPr>
          <w:rFonts w:ascii="ZWAdobeF" w:hAnsi="ZWAdobeF" w:cs="ZWAdobeF"/>
          <w:sz w:val="2"/>
          <w:szCs w:val="2"/>
        </w:rPr>
        <w:t>233F</w:t>
      </w:r>
      <w:r w:rsidRPr="006B4639">
        <w:rPr>
          <w:rStyle w:val="FootnoteReference"/>
        </w:rPr>
        <w:footnoteReference w:id="235"/>
      </w:r>
      <w:r w:rsidRPr="006B4639">
        <w:t xml:space="preserve"> extension and expansion</w:t>
      </w:r>
      <w:r w:rsidR="00370905">
        <w:rPr>
          <w:rFonts w:ascii="ZWAdobeF" w:hAnsi="ZWAdobeF" w:cs="ZWAdobeF"/>
          <w:sz w:val="2"/>
          <w:szCs w:val="2"/>
        </w:rPr>
        <w:t>234F</w:t>
      </w:r>
      <w:r w:rsidRPr="006B4639">
        <w:rPr>
          <w:rStyle w:val="FootnoteReference"/>
        </w:rPr>
        <w:footnoteReference w:id="236"/>
      </w:r>
      <w:r w:rsidRPr="006B4639">
        <w:t xml:space="preserve"> and capacity trading requirements,</w:t>
      </w:r>
      <w:r w:rsidR="00370905">
        <w:rPr>
          <w:rFonts w:ascii="ZWAdobeF" w:hAnsi="ZWAdobeF" w:cs="ZWAdobeF"/>
          <w:sz w:val="2"/>
          <w:szCs w:val="2"/>
        </w:rPr>
        <w:t>235F</w:t>
      </w:r>
      <w:r w:rsidRPr="006B4639">
        <w:rPr>
          <w:rStyle w:val="FootnoteReference"/>
        </w:rPr>
        <w:footnoteReference w:id="237"/>
      </w:r>
      <w:r w:rsidRPr="006B4639">
        <w:t xml:space="preserve"> as well as the terms on which receipt and delivery points can change.</w:t>
      </w:r>
      <w:r w:rsidR="00370905">
        <w:rPr>
          <w:rFonts w:ascii="ZWAdobeF" w:hAnsi="ZWAdobeF" w:cs="ZWAdobeF"/>
          <w:sz w:val="2"/>
          <w:szCs w:val="2"/>
        </w:rPr>
        <w:t>236F</w:t>
      </w:r>
      <w:r w:rsidRPr="006B4639">
        <w:rPr>
          <w:rStyle w:val="FootnoteReference"/>
        </w:rPr>
        <w:footnoteReference w:id="238"/>
      </w:r>
    </w:p>
    <w:p w14:paraId="51DA79E1" w14:textId="77777777" w:rsidR="000D153F" w:rsidRPr="006B4639" w:rsidRDefault="000D153F" w:rsidP="000D153F">
      <w:pPr>
        <w:pStyle w:val="BodyText"/>
      </w:pPr>
      <w:r w:rsidRPr="006B4639">
        <w:t xml:space="preserve">A proposed AA is assessed by the regulator through a multi-stage public consultation process. When assessing the proposed AA, the regulator must have regard to the matters set out in Parts 8-12 of the NGR, the revenue and pricing principles in the NGL and the NGO. The outcome of the regulatory process is an approved full AA. </w:t>
      </w:r>
    </w:p>
    <w:p w14:paraId="458291BE" w14:textId="680FF28D" w:rsidR="000D153F" w:rsidRPr="006B4639" w:rsidRDefault="000D153F" w:rsidP="000D153F">
      <w:pPr>
        <w:pStyle w:val="BodyText"/>
      </w:pPr>
      <w:r w:rsidRPr="006B4639">
        <w:t>Although regulatory approval of an AA is required, provision has been made in the NGL for service providers and shippers to negotiate alternative arrangements either for reference services or for non-reference services.</w:t>
      </w:r>
      <w:r w:rsidR="00370905">
        <w:rPr>
          <w:rFonts w:ascii="ZWAdobeF" w:hAnsi="ZWAdobeF" w:cs="ZWAdobeF"/>
          <w:sz w:val="2"/>
          <w:szCs w:val="2"/>
        </w:rPr>
        <w:t>237F</w:t>
      </w:r>
      <w:r w:rsidRPr="006B4639">
        <w:rPr>
          <w:rStyle w:val="FootnoteReference"/>
        </w:rPr>
        <w:footnoteReference w:id="239"/>
      </w:r>
      <w:r w:rsidRPr="006B4639">
        <w:rPr>
          <w:vertAlign w:val="superscript"/>
        </w:rPr>
        <w:t>,</w:t>
      </w:r>
      <w:r w:rsidR="00370905">
        <w:rPr>
          <w:rFonts w:ascii="ZWAdobeF" w:hAnsi="ZWAdobeF" w:cs="ZWAdobeF"/>
          <w:sz w:val="2"/>
          <w:szCs w:val="2"/>
        </w:rPr>
        <w:t>238F</w:t>
      </w:r>
      <w:r w:rsidRPr="006B4639">
        <w:rPr>
          <w:rStyle w:val="FootnoteReference"/>
        </w:rPr>
        <w:footnoteReference w:id="240"/>
      </w:r>
      <w:r w:rsidRPr="006B4639">
        <w:t xml:space="preserve"> </w:t>
      </w:r>
    </w:p>
    <w:p w14:paraId="3D1DFA2B" w14:textId="77777777" w:rsidR="000D153F" w:rsidRPr="006B4639" w:rsidRDefault="000D153F" w:rsidP="000D153F">
      <w:pPr>
        <w:pStyle w:val="BodyText"/>
      </w:pPr>
      <w:r w:rsidRPr="006B4639">
        <w:t xml:space="preserve">To ensure that shippers (prospective or existing) have some degree of protection if they decide to negotiate an alternative arrangement, provision has been made in the NGL for either party to trigger the regulatory-oriented dispute resolution mechanism in Chapter 6 of the NGL and Part 12 of the NGR if an access dispute arises. The dispute resolution body in eastern Australia and the Northern Territory is the AER, while in Western Australia it is the Energy Disputes Arbitrator. The dispute resolution mechanism has not been triggered on any full regulation pipelines to date. </w:t>
      </w:r>
    </w:p>
    <w:p w14:paraId="42131CC9" w14:textId="77777777" w:rsidR="000D153F" w:rsidRPr="006B4639" w:rsidRDefault="000D153F" w:rsidP="000D153F">
      <w:pPr>
        <w:pStyle w:val="BodyText"/>
        <w:rPr>
          <w:sz w:val="14"/>
          <w:szCs w:val="14"/>
        </w:rPr>
      </w:pPr>
      <w:r w:rsidRPr="006B4639">
        <w:t>In addition to this safeguard, service providers of full regulation pipelines are required to: comply with the facilitation of, and request for, access rules in Part 11 of the NGR. They are also prohibited from:</w:t>
      </w:r>
    </w:p>
    <w:p w14:paraId="72442AB3" w14:textId="46D900B6" w:rsidR="000D153F" w:rsidRPr="006B4639" w:rsidRDefault="000D153F" w:rsidP="00AD36B8">
      <w:pPr>
        <w:pStyle w:val="ListBullet"/>
      </w:pPr>
      <w:r w:rsidRPr="006B4639">
        <w:t>bundling services unless it is “reasonably necessary”;</w:t>
      </w:r>
      <w:r w:rsidRPr="006B4639">
        <w:rPr>
          <w:rStyle w:val="FootnoteReference"/>
        </w:rPr>
        <w:t xml:space="preserve"> </w:t>
      </w:r>
      <w:r w:rsidR="00370905">
        <w:rPr>
          <w:rFonts w:ascii="ZWAdobeF" w:hAnsi="ZWAdobeF" w:cs="ZWAdobeF"/>
          <w:sz w:val="2"/>
          <w:szCs w:val="2"/>
        </w:rPr>
        <w:t>239F</w:t>
      </w:r>
      <w:r w:rsidRPr="006B4639">
        <w:rPr>
          <w:rStyle w:val="FootnoteReference"/>
        </w:rPr>
        <w:footnoteReference w:id="241"/>
      </w:r>
    </w:p>
    <w:p w14:paraId="3C271382" w14:textId="0DFD18C4" w:rsidR="000D153F" w:rsidRPr="006B4639" w:rsidRDefault="000D153F" w:rsidP="00AD36B8">
      <w:pPr>
        <w:pStyle w:val="ListBullet"/>
      </w:pPr>
      <w:r w:rsidRPr="006B4639">
        <w:t>engaging in conduct that would prevent or hinder access to pipeline services;</w:t>
      </w:r>
      <w:r w:rsidR="00370905">
        <w:rPr>
          <w:rFonts w:ascii="ZWAdobeF" w:hAnsi="ZWAdobeF" w:cs="ZWAdobeF"/>
          <w:sz w:val="2"/>
          <w:szCs w:val="2"/>
        </w:rPr>
        <w:t>240F</w:t>
      </w:r>
      <w:r w:rsidRPr="006B4639">
        <w:rPr>
          <w:rStyle w:val="FootnoteReference"/>
        </w:rPr>
        <w:footnoteReference w:id="242"/>
      </w:r>
      <w:r w:rsidRPr="006B4639">
        <w:t xml:space="preserve"> and</w:t>
      </w:r>
    </w:p>
    <w:p w14:paraId="42242D15" w14:textId="41ABD817" w:rsidR="000D153F" w:rsidRPr="006B4639" w:rsidRDefault="000D153F" w:rsidP="00AD36B8">
      <w:pPr>
        <w:pStyle w:val="ListBullet"/>
      </w:pPr>
      <w:r w:rsidRPr="006B4639">
        <w:t>adversely affecting competition in related markets, by carrying on a related business or by conferring an advantage on an associate that takes part in a related business (i.e. through the ring-fencing and associate contract provisions in the NGL).</w:t>
      </w:r>
      <w:r w:rsidR="00370905">
        <w:rPr>
          <w:rFonts w:ascii="ZWAdobeF" w:hAnsi="ZWAdobeF" w:cs="ZWAdobeF"/>
          <w:sz w:val="2"/>
          <w:szCs w:val="2"/>
        </w:rPr>
        <w:t>241F</w:t>
      </w:r>
      <w:r w:rsidRPr="006B4639">
        <w:rPr>
          <w:rStyle w:val="FootnoteReference"/>
        </w:rPr>
        <w:footnoteReference w:id="243"/>
      </w:r>
      <w:r w:rsidRPr="006B4639">
        <w:t xml:space="preserve"> </w:t>
      </w:r>
    </w:p>
    <w:p w14:paraId="00E243B8" w14:textId="2358348E" w:rsidR="000D153F" w:rsidRPr="006B4639" w:rsidRDefault="000D153F" w:rsidP="000D153F">
      <w:pPr>
        <w:pStyle w:val="BodyText"/>
        <w:spacing w:after="240" w:line="252" w:lineRule="auto"/>
      </w:pPr>
      <w:r w:rsidRPr="006B4639">
        <w:t xml:space="preserve">Following recent amendments to the NGR, all full regulation transmission pipelines in eastern and northern Australia are now classified as </w:t>
      </w:r>
      <w:r w:rsidR="00265DEB">
        <w:t xml:space="preserve">BB </w:t>
      </w:r>
      <w:r w:rsidRPr="006B4639">
        <w:t>pipelines and are therefore subject to the reporting obligations in Part 18 of the NGR.</w:t>
      </w:r>
    </w:p>
    <w:p w14:paraId="034C8918" w14:textId="77777777" w:rsidR="000D153F" w:rsidRPr="006B4639" w:rsidRDefault="000D153F" w:rsidP="000D153F">
      <w:pPr>
        <w:pStyle w:val="AppendixHeading3"/>
      </w:pPr>
      <w:r w:rsidRPr="006B4639">
        <w:lastRenderedPageBreak/>
        <w:t>Light regulation</w:t>
      </w:r>
    </w:p>
    <w:p w14:paraId="2A340762" w14:textId="77777777" w:rsidR="000D153F" w:rsidRPr="006B4639" w:rsidRDefault="000D153F" w:rsidP="000D153F">
      <w:pPr>
        <w:spacing w:before="120" w:after="120"/>
      </w:pPr>
      <w:r w:rsidRPr="006B4639">
        <w:rPr>
          <w:rFonts w:cs="Arial"/>
        </w:rPr>
        <w:t xml:space="preserve">Under light regulation, there is no </w:t>
      </w:r>
      <w:r w:rsidRPr="006B4639">
        <w:rPr>
          <w:rFonts w:cs="Arial"/>
          <w:i/>
          <w:iCs/>
        </w:rPr>
        <w:t>ex ante</w:t>
      </w:r>
      <w:r w:rsidRPr="006B4639">
        <w:rPr>
          <w:rFonts w:cs="Arial"/>
        </w:rPr>
        <w:t xml:space="preserve"> regulatory approval of prices for reference services. </w:t>
      </w:r>
      <w:r w:rsidR="00943DFA">
        <w:rPr>
          <w:rFonts w:cs="Arial"/>
        </w:rPr>
        <w:t xml:space="preserve">Rather, </w:t>
      </w:r>
      <w:r w:rsidR="00056C17">
        <w:rPr>
          <w:rFonts w:cs="Arial"/>
        </w:rPr>
        <w:t>g</w:t>
      </w:r>
      <w:r w:rsidRPr="006B4639">
        <w:rPr>
          <w:rFonts w:cs="Arial"/>
        </w:rPr>
        <w:t xml:space="preserve">reater emphasis is placed on commercial negotiations. To facilitate these negotiations, </w:t>
      </w:r>
      <w:r w:rsidRPr="006B4639">
        <w:t>service providers</w:t>
      </w:r>
      <w:r w:rsidRPr="006B4639">
        <w:rPr>
          <w:sz w:val="20"/>
          <w:szCs w:val="20"/>
        </w:rPr>
        <w:t xml:space="preserve"> </w:t>
      </w:r>
      <w:r w:rsidRPr="006B4639">
        <w:rPr>
          <w:rFonts w:cs="Arial"/>
        </w:rPr>
        <w:t>of light regulation pipelines are required to publish</w:t>
      </w:r>
      <w:r w:rsidRPr="006B4639">
        <w:t>:</w:t>
      </w:r>
    </w:p>
    <w:p w14:paraId="290BF947" w14:textId="73672FEB" w:rsidR="000D153F" w:rsidRPr="006B4639" w:rsidRDefault="000D153F" w:rsidP="004F5A3E">
      <w:pPr>
        <w:pStyle w:val="ListBullet"/>
        <w:numPr>
          <w:ilvl w:val="0"/>
          <w:numId w:val="30"/>
        </w:numPr>
        <w:ind w:left="357" w:hanging="357"/>
      </w:pPr>
      <w:r w:rsidRPr="006B4639">
        <w:t>the price and non-price terms and conditions of access to light regulation services</w:t>
      </w:r>
      <w:r w:rsidR="00370905">
        <w:rPr>
          <w:rFonts w:ascii="ZWAdobeF" w:hAnsi="ZWAdobeF" w:cs="ZWAdobeF"/>
          <w:sz w:val="2"/>
          <w:szCs w:val="2"/>
        </w:rPr>
        <w:t>242F</w:t>
      </w:r>
      <w:r w:rsidRPr="006B4639">
        <w:rPr>
          <w:rStyle w:val="FootnoteReference"/>
        </w:rPr>
        <w:footnoteReference w:id="244"/>
      </w:r>
      <w:r w:rsidRPr="006B4639">
        <w:t xml:space="preserve"> and the methodology used to calculate prices;</w:t>
      </w:r>
      <w:r w:rsidR="00370905">
        <w:rPr>
          <w:rFonts w:ascii="ZWAdobeF" w:hAnsi="ZWAdobeF" w:cs="ZWAdobeF"/>
          <w:sz w:val="2"/>
          <w:szCs w:val="2"/>
        </w:rPr>
        <w:t>243F</w:t>
      </w:r>
      <w:r w:rsidRPr="006B4639">
        <w:rPr>
          <w:rStyle w:val="FootnoteReference"/>
        </w:rPr>
        <w:footnoteReference w:id="245"/>
      </w:r>
    </w:p>
    <w:p w14:paraId="4B66EC9A" w14:textId="7B575FE0" w:rsidR="000D153F" w:rsidRPr="006B4639" w:rsidRDefault="000D153F" w:rsidP="004F5A3E">
      <w:pPr>
        <w:pStyle w:val="ListBullet"/>
        <w:numPr>
          <w:ilvl w:val="0"/>
          <w:numId w:val="30"/>
        </w:numPr>
        <w:ind w:left="357" w:hanging="357"/>
      </w:pPr>
      <w:r w:rsidRPr="006B4639">
        <w:t>a range of service and access information (i.e. pipeline information, pipeline service information, service usage information and service availability information);</w:t>
      </w:r>
      <w:r w:rsidR="00370905">
        <w:rPr>
          <w:rFonts w:ascii="ZWAdobeF" w:hAnsi="ZWAdobeF" w:cs="ZWAdobeF"/>
          <w:sz w:val="2"/>
          <w:szCs w:val="2"/>
        </w:rPr>
        <w:t>244F</w:t>
      </w:r>
      <w:r w:rsidRPr="006B4639">
        <w:rPr>
          <w:rStyle w:val="FootnoteReference"/>
        </w:rPr>
        <w:footnoteReference w:id="246"/>
      </w:r>
      <w:r w:rsidRPr="006B4639">
        <w:rPr>
          <w:rStyle w:val="FootnoteReference"/>
        </w:rPr>
        <w:t>,</w:t>
      </w:r>
      <w:r w:rsidR="00370905">
        <w:rPr>
          <w:rFonts w:ascii="ZWAdobeF" w:hAnsi="ZWAdobeF" w:cs="ZWAdobeF"/>
          <w:sz w:val="2"/>
          <w:szCs w:val="2"/>
        </w:rPr>
        <w:t>245F</w:t>
      </w:r>
      <w:r w:rsidRPr="006B4639">
        <w:rPr>
          <w:rStyle w:val="FootnoteReference"/>
        </w:rPr>
        <w:footnoteReference w:id="247"/>
      </w:r>
      <w:r w:rsidRPr="006B4639">
        <w:t xml:space="preserve"> and</w:t>
      </w:r>
    </w:p>
    <w:p w14:paraId="468F9CEF" w14:textId="62060836" w:rsidR="000D153F" w:rsidRPr="006B4639" w:rsidRDefault="000D153F" w:rsidP="004F5A3E">
      <w:pPr>
        <w:pStyle w:val="ListBullet"/>
        <w:numPr>
          <w:ilvl w:val="0"/>
          <w:numId w:val="30"/>
        </w:numPr>
        <w:ind w:left="357" w:hanging="357"/>
      </w:pPr>
      <w:r w:rsidRPr="006B4639">
        <w:t>financial and weighted average price information (the obligation to publish this information commences in 2020).</w:t>
      </w:r>
      <w:r w:rsidR="00370905">
        <w:rPr>
          <w:rFonts w:ascii="ZWAdobeF" w:hAnsi="ZWAdobeF" w:cs="ZWAdobeF"/>
          <w:sz w:val="2"/>
          <w:szCs w:val="2"/>
        </w:rPr>
        <w:t>246F</w:t>
      </w:r>
      <w:r w:rsidRPr="006B4639">
        <w:rPr>
          <w:rStyle w:val="FootnoteReference"/>
        </w:rPr>
        <w:footnoteReference w:id="248"/>
      </w:r>
    </w:p>
    <w:p w14:paraId="0E845BD6" w14:textId="1C75F8EE" w:rsidR="000D153F" w:rsidRPr="006B4639" w:rsidRDefault="000D153F" w:rsidP="000D153F">
      <w:pPr>
        <w:pStyle w:val="BodyText"/>
        <w:rPr>
          <w:rFonts w:cs="Arial"/>
        </w:rPr>
      </w:pPr>
      <w:r w:rsidRPr="006B4639">
        <w:t>Service providers are also required to comply with the facilitation of, and request for, access rules in Part 11 of the NGR and must also report to the relevant regulator on access negotiations (at least annually).</w:t>
      </w:r>
      <w:r w:rsidR="00370905">
        <w:rPr>
          <w:rFonts w:ascii="ZWAdobeF" w:hAnsi="ZWAdobeF" w:cs="ZWAdobeF"/>
          <w:sz w:val="2"/>
          <w:szCs w:val="2"/>
        </w:rPr>
        <w:t>247F</w:t>
      </w:r>
      <w:r w:rsidRPr="006B4639">
        <w:rPr>
          <w:rStyle w:val="FootnoteReference"/>
        </w:rPr>
        <w:footnoteReference w:id="249"/>
      </w:r>
    </w:p>
    <w:p w14:paraId="06C3E083" w14:textId="74DB78DB" w:rsidR="000D153F" w:rsidRPr="006B4639" w:rsidRDefault="000D153F" w:rsidP="000D153F">
      <w:pPr>
        <w:pStyle w:val="BodyText"/>
      </w:pPr>
      <w:r w:rsidRPr="006B4639">
        <w:t>The service provider of a light regulation pipeline also has the option under s. 116 of the NGL to develop a ‘limited’ AA for approval by the relevant regulator, but this option has not been used to date.</w:t>
      </w:r>
      <w:r w:rsidR="00370905">
        <w:rPr>
          <w:rFonts w:ascii="ZWAdobeF" w:hAnsi="ZWAdobeF" w:cs="ZWAdobeF"/>
          <w:sz w:val="2"/>
          <w:szCs w:val="2"/>
        </w:rPr>
        <w:t>248F</w:t>
      </w:r>
      <w:r w:rsidRPr="006B4639">
        <w:rPr>
          <w:rStyle w:val="FootnoteReference"/>
        </w:rPr>
        <w:footnoteReference w:id="250"/>
      </w:r>
      <w:r w:rsidRPr="006B4639">
        <w:t xml:space="preserve"> The key difference between a limited and full AA is that the limited version does not need to include reference tariffs. </w:t>
      </w:r>
    </w:p>
    <w:p w14:paraId="2388A4CF" w14:textId="22B864D1" w:rsidR="000D153F" w:rsidRPr="006B4639" w:rsidRDefault="000D153F" w:rsidP="000D153F">
      <w:pPr>
        <w:pStyle w:val="BodyText"/>
      </w:pPr>
      <w:r w:rsidRPr="006B4639">
        <w:t>If negotiations between the service provider of a light regulation pipeline and a shipper fail, then either party can trigger the regulatory-oriented access dispute mechanism in Chapter 6 of the NGL and Part 12 of the NGR, which is administered by the AER and Energy Disputes Arbitrator in WA.</w:t>
      </w:r>
      <w:r w:rsidR="00370905">
        <w:rPr>
          <w:rFonts w:ascii="ZWAdobeF" w:hAnsi="ZWAdobeF" w:cs="ZWAdobeF"/>
          <w:sz w:val="2"/>
          <w:szCs w:val="2"/>
        </w:rPr>
        <w:t>249F</w:t>
      </w:r>
      <w:r w:rsidRPr="006B4639">
        <w:rPr>
          <w:rStyle w:val="FootnoteReference"/>
        </w:rPr>
        <w:footnoteReference w:id="251"/>
      </w:r>
      <w:r w:rsidRPr="006B4639">
        <w:t xml:space="preserve"> The dispute resolution mechanism has not yet been triggered on any light regulation pipelines.</w:t>
      </w:r>
    </w:p>
    <w:p w14:paraId="4C275AE9" w14:textId="17007820" w:rsidR="000D153F" w:rsidRPr="006B4639" w:rsidRDefault="000D153F" w:rsidP="000D153F">
      <w:pPr>
        <w:pStyle w:val="BodyText"/>
      </w:pPr>
      <w:r w:rsidRPr="006B4639">
        <w:t>Like full regulation pipelines, the service providers of light regulation pipelines are prohibited from bundling (unless it is reasonably necessary), preventing or hindering access and adversely affecting competition in related markets. Service providers of light regulation pipelines are also prohibited from engaging in price discrimination, unless it is conducive to efficient service provision.</w:t>
      </w:r>
      <w:r w:rsidR="00370905">
        <w:rPr>
          <w:rFonts w:ascii="ZWAdobeF" w:hAnsi="ZWAdobeF" w:cs="ZWAdobeF"/>
          <w:sz w:val="2"/>
          <w:szCs w:val="2"/>
        </w:rPr>
        <w:t>250F</w:t>
      </w:r>
      <w:r w:rsidRPr="006B4639">
        <w:rPr>
          <w:rStyle w:val="FootnoteReference"/>
        </w:rPr>
        <w:footnoteReference w:id="252"/>
      </w:r>
      <w:r w:rsidRPr="006B4639">
        <w:t xml:space="preserve"> </w:t>
      </w:r>
    </w:p>
    <w:p w14:paraId="1CD781F3" w14:textId="09E4E8BB" w:rsidR="000D153F" w:rsidRPr="006B4639" w:rsidRDefault="000D153F" w:rsidP="000D153F">
      <w:pPr>
        <w:pStyle w:val="BodyText"/>
        <w:spacing w:after="240" w:line="252" w:lineRule="auto"/>
      </w:pPr>
      <w:r w:rsidRPr="006B4639">
        <w:t xml:space="preserve">In a similar manner to full regulation, all light regulation transmission pipelines in eastern and northern Australia are now classified as </w:t>
      </w:r>
      <w:r w:rsidR="00265DEB">
        <w:t xml:space="preserve">BB </w:t>
      </w:r>
      <w:r w:rsidRPr="006B4639">
        <w:t xml:space="preserve">pipelines and subject to the reporting obligations in Part 18 of the NGR. Recent amendments to parts 7 and 11 of the NGR have also resulted in light regulation pipelines being subject to similar information disclosure </w:t>
      </w:r>
      <w:r w:rsidRPr="006B4639">
        <w:lastRenderedPageBreak/>
        <w:t>obligations as those applying under Part 23 (albeit with some differences in reporting for larger distribution systems).</w:t>
      </w:r>
    </w:p>
    <w:p w14:paraId="12A110EF" w14:textId="77777777" w:rsidR="000D153F" w:rsidRPr="006B4639" w:rsidRDefault="000D153F" w:rsidP="000D153F">
      <w:pPr>
        <w:pStyle w:val="AppendixHeading3"/>
      </w:pPr>
      <w:r w:rsidRPr="006B4639">
        <w:t xml:space="preserve">Part 23 </w:t>
      </w:r>
    </w:p>
    <w:p w14:paraId="48136981" w14:textId="080D2112" w:rsidR="000D153F" w:rsidRPr="006B4639" w:rsidRDefault="000D153F" w:rsidP="000D153F">
      <w:pPr>
        <w:pStyle w:val="BodyText"/>
        <w:spacing w:line="252" w:lineRule="auto"/>
      </w:pPr>
      <w:r w:rsidRPr="006B4639">
        <w:t>Non-scheme pipelines that are providing third party access are subject to the information disclosure and arbitration framework set out in Chapter 6A of the NGL and Part 23 of the NGR, the objective of which is to:</w:t>
      </w:r>
      <w:r w:rsidR="00370905">
        <w:rPr>
          <w:rFonts w:ascii="ZWAdobeF" w:hAnsi="ZWAdobeF" w:cs="ZWAdobeF"/>
          <w:sz w:val="2"/>
          <w:szCs w:val="2"/>
        </w:rPr>
        <w:t>251F</w:t>
      </w:r>
      <w:r w:rsidRPr="006B4639">
        <w:rPr>
          <w:rStyle w:val="FootnoteReference"/>
        </w:rPr>
        <w:footnoteReference w:id="253"/>
      </w:r>
    </w:p>
    <w:p w14:paraId="2BC35B0C" w14:textId="77777777" w:rsidR="000D153F" w:rsidRPr="006B4639" w:rsidRDefault="000D153F" w:rsidP="000D153F">
      <w:pPr>
        <w:spacing w:after="120" w:line="252" w:lineRule="auto"/>
        <w:ind w:left="425"/>
        <w:rPr>
          <w:i/>
          <w:sz w:val="23"/>
          <w:szCs w:val="23"/>
        </w:rPr>
      </w:pPr>
      <w:r w:rsidRPr="006B4639">
        <w:rPr>
          <w:i/>
        </w:rPr>
        <w:t>“…facilitate access to pipeline services on non-scheme pipelines on reasonable terms, which … is taken to mean at prices and on other terms and conditions that, so far as practical, reflect the outcomes of a workably competitive market”.</w:t>
      </w:r>
      <w:r w:rsidRPr="006B4639">
        <w:rPr>
          <w:i/>
          <w:sz w:val="23"/>
          <w:szCs w:val="23"/>
        </w:rPr>
        <w:t xml:space="preserve"> </w:t>
      </w:r>
    </w:p>
    <w:p w14:paraId="0088A565" w14:textId="77777777" w:rsidR="000D153F" w:rsidRPr="006B4639" w:rsidRDefault="000D153F" w:rsidP="000D153F">
      <w:pPr>
        <w:pStyle w:val="BodyText"/>
        <w:spacing w:before="40" w:line="252" w:lineRule="auto"/>
        <w:rPr>
          <w:iCs/>
        </w:rPr>
      </w:pPr>
      <w:r w:rsidRPr="006B4639">
        <w:rPr>
          <w:iCs/>
        </w:rPr>
        <w:t xml:space="preserve">As noted in rule 546, Part 23 is intended to contribute to the attainment of this objective through: </w:t>
      </w:r>
    </w:p>
    <w:p w14:paraId="153DB27D" w14:textId="77777777" w:rsidR="000D153F" w:rsidRPr="006B4639" w:rsidRDefault="000D153F" w:rsidP="000D153F">
      <w:pPr>
        <w:pStyle w:val="Quote"/>
        <w:tabs>
          <w:tab w:val="left" w:pos="709"/>
        </w:tabs>
        <w:spacing w:before="40" w:after="40" w:line="252" w:lineRule="auto"/>
        <w:ind w:left="709" w:hanging="352"/>
      </w:pPr>
      <w:r w:rsidRPr="006B4639">
        <w:t xml:space="preserve">“(a) requirements for the publication and exchange of information to facilitate timely and effective commercial negotiations in relation to access to non-scheme pipelines; </w:t>
      </w:r>
    </w:p>
    <w:p w14:paraId="7AF531FC" w14:textId="77777777" w:rsidR="000D153F" w:rsidRPr="006B4639" w:rsidRDefault="000D153F" w:rsidP="000D153F">
      <w:pPr>
        <w:pStyle w:val="Quote"/>
        <w:tabs>
          <w:tab w:val="left" w:pos="709"/>
        </w:tabs>
        <w:spacing w:before="40" w:after="40" w:line="252" w:lineRule="auto"/>
        <w:ind w:left="709" w:hanging="352"/>
      </w:pPr>
      <w:r w:rsidRPr="006B4639">
        <w:t xml:space="preserve">(b) </w:t>
      </w:r>
      <w:r w:rsidRPr="006B4639">
        <w:tab/>
        <w:t xml:space="preserve">a commercially-orientated arbitration process to resolve access disputes in a cost-effective and efficient manner; and </w:t>
      </w:r>
    </w:p>
    <w:p w14:paraId="2B8B8E51" w14:textId="77777777" w:rsidR="000D153F" w:rsidRPr="006B4639" w:rsidRDefault="000D153F" w:rsidP="000D153F">
      <w:pPr>
        <w:pStyle w:val="Quote"/>
        <w:tabs>
          <w:tab w:val="left" w:pos="709"/>
        </w:tabs>
        <w:spacing w:before="40" w:after="40" w:line="252" w:lineRule="auto"/>
        <w:ind w:left="709" w:hanging="352"/>
      </w:pPr>
      <w:r w:rsidRPr="006B4639">
        <w:t xml:space="preserve">(c) </w:t>
      </w:r>
      <w:r w:rsidRPr="006B4639">
        <w:tab/>
        <w:t>principles that the arbitrator must have regard to when determining access disputes, which are consistent with the outcomes of a workably competitive market.”</w:t>
      </w:r>
    </w:p>
    <w:p w14:paraId="23DF7BBD" w14:textId="77777777" w:rsidR="000D153F" w:rsidRPr="006B4639" w:rsidRDefault="000D153F" w:rsidP="000D153F">
      <w:pPr>
        <w:pStyle w:val="BodyText"/>
        <w:spacing w:line="252" w:lineRule="auto"/>
      </w:pPr>
      <w:r w:rsidRPr="006B4639">
        <w:t>The key elements of this framework include:</w:t>
      </w:r>
    </w:p>
    <w:p w14:paraId="4F9AD1FC" w14:textId="77777777" w:rsidR="000D153F" w:rsidRPr="006B4639" w:rsidRDefault="000D153F" w:rsidP="00AD36B8">
      <w:pPr>
        <w:pStyle w:val="ListBullet"/>
      </w:pPr>
      <w:r w:rsidRPr="006B4639">
        <w:rPr>
          <w:b/>
        </w:rPr>
        <w:t>An information disclosure regime</w:t>
      </w:r>
      <w:r w:rsidRPr="006B4639">
        <w:t xml:space="preserve"> that requires service providers to publish a user access guide and a range of other information that shippers can use to make an informed decision about whether to seek access and to carry out a high level assessment of the reasonableness of a service provider’s offer, including: </w:t>
      </w:r>
    </w:p>
    <w:p w14:paraId="01767F9A" w14:textId="77777777" w:rsidR="000D153F" w:rsidRPr="006B4639" w:rsidRDefault="000D153F" w:rsidP="006516C2">
      <w:pPr>
        <w:pStyle w:val="ListNumber2"/>
        <w:numPr>
          <w:ilvl w:val="3"/>
          <w:numId w:val="28"/>
        </w:numPr>
        <w:spacing w:line="252" w:lineRule="auto"/>
        <w:ind w:left="714" w:hanging="357"/>
      </w:pPr>
      <w:r w:rsidRPr="006B4639">
        <w:t>the standing terms for each pipeline service (including the standing price) and the methodology used to calculate the standing price;</w:t>
      </w:r>
    </w:p>
    <w:p w14:paraId="3A09DC43" w14:textId="77777777" w:rsidR="000D153F" w:rsidRPr="006B4639" w:rsidRDefault="000D153F" w:rsidP="006516C2">
      <w:pPr>
        <w:pStyle w:val="ListNumber2"/>
        <w:numPr>
          <w:ilvl w:val="3"/>
          <w:numId w:val="28"/>
        </w:numPr>
        <w:spacing w:line="252" w:lineRule="auto"/>
        <w:ind w:left="714" w:hanging="357"/>
      </w:pPr>
      <w:r w:rsidRPr="006B4639">
        <w:t>a range of service and access information (i.e. pipeline information, service information, service usage information and service availability information); and</w:t>
      </w:r>
    </w:p>
    <w:p w14:paraId="2753BB5A" w14:textId="7ABA60EA" w:rsidR="000D153F" w:rsidRPr="006B4639" w:rsidRDefault="000D153F" w:rsidP="006516C2">
      <w:pPr>
        <w:pStyle w:val="ListNumber2"/>
        <w:numPr>
          <w:ilvl w:val="3"/>
          <w:numId w:val="28"/>
        </w:numPr>
        <w:spacing w:line="252" w:lineRule="auto"/>
        <w:ind w:left="714" w:hanging="357"/>
      </w:pPr>
      <w:r w:rsidRPr="006B4639">
        <w:t>financial and weighted average price information.</w:t>
      </w:r>
      <w:r w:rsidR="00370905">
        <w:rPr>
          <w:rFonts w:ascii="ZWAdobeF" w:hAnsi="ZWAdobeF" w:cs="ZWAdobeF"/>
          <w:sz w:val="2"/>
          <w:szCs w:val="2"/>
        </w:rPr>
        <w:t>252F</w:t>
      </w:r>
      <w:r w:rsidRPr="006B4639">
        <w:rPr>
          <w:rStyle w:val="FootnoteReference"/>
        </w:rPr>
        <w:footnoteReference w:id="254"/>
      </w:r>
    </w:p>
    <w:p w14:paraId="524735CC" w14:textId="77777777" w:rsidR="000D153F" w:rsidRPr="006B4639" w:rsidRDefault="000D153F" w:rsidP="00AD36B8">
      <w:pPr>
        <w:pStyle w:val="ListBullet"/>
      </w:pPr>
      <w:r w:rsidRPr="006B4639">
        <w:rPr>
          <w:b/>
        </w:rPr>
        <w:t>An access request and negotiation framework</w:t>
      </w:r>
      <w:r w:rsidRPr="006B4639">
        <w:t xml:space="preserve"> that is intended to facilitate timely and effective commercial negotiations and minimise the reliance on arbitration. </w:t>
      </w:r>
    </w:p>
    <w:p w14:paraId="10E7C59A" w14:textId="77777777" w:rsidR="000D153F" w:rsidRPr="006B4639" w:rsidRDefault="000D153F" w:rsidP="00AD36B8">
      <w:pPr>
        <w:pStyle w:val="ListBullet"/>
      </w:pPr>
      <w:r w:rsidRPr="006B4639">
        <w:rPr>
          <w:b/>
        </w:rPr>
        <w:t>A commercially-oriented arbitration mechanism</w:t>
      </w:r>
      <w:r w:rsidRPr="006B4639">
        <w:t xml:space="preserve"> that can be triggered by either party if agreement cannot be reached during negotiations. To enable disputes to be resolved in a timely manner, Part 23 requires the arbitration to be conducted using the information exchanged in negotiations and to be completed within 50 business days (or 90 business days if the parties agree to </w:t>
      </w:r>
      <w:r w:rsidR="00056C17">
        <w:t>an extension</w:t>
      </w:r>
      <w:r w:rsidRPr="006B4639">
        <w:t xml:space="preserve">). Part 23 also sets out the pricing and other principles the arbitrator (a commercial arbitrator selected from a panel of arbitrators established by the relevant regulator) must have regard to when determining access disputes. </w:t>
      </w:r>
    </w:p>
    <w:p w14:paraId="26946D67" w14:textId="72566317" w:rsidR="00584AFD" w:rsidRDefault="00584AFD" w:rsidP="000D153F">
      <w:pPr>
        <w:pStyle w:val="BodyText"/>
        <w:spacing w:line="252" w:lineRule="auto"/>
      </w:pPr>
      <w:r>
        <w:t>Since its introduction in August 2017, t</w:t>
      </w:r>
      <w:r w:rsidRPr="006B4639">
        <w:t xml:space="preserve">he dispute resolution mechanism has been triggered </w:t>
      </w:r>
      <w:r>
        <w:t>twice</w:t>
      </w:r>
      <w:r w:rsidR="00263DB3">
        <w:t xml:space="preserve">, with the first dispute being triggered on the Tasmanian Gas Pipeline in </w:t>
      </w:r>
      <w:r w:rsidR="00580C57">
        <w:t>2017-18 and the second being triggered on the Carisbrook to Horsham Pipeline in 2020</w:t>
      </w:r>
      <w:r>
        <w:t>.</w:t>
      </w:r>
      <w:r w:rsidR="00253730">
        <w:rPr>
          <w:rFonts w:ascii="ZWAdobeF" w:hAnsi="ZWAdobeF" w:cs="ZWAdobeF"/>
          <w:sz w:val="2"/>
          <w:szCs w:val="2"/>
        </w:rPr>
        <w:t>253F</w:t>
      </w:r>
      <w:r w:rsidR="00263DB3">
        <w:rPr>
          <w:rStyle w:val="FootnoteReference"/>
        </w:rPr>
        <w:footnoteReference w:id="255"/>
      </w:r>
      <w:r>
        <w:t xml:space="preserve"> </w:t>
      </w:r>
    </w:p>
    <w:p w14:paraId="2735D4B2" w14:textId="77777777" w:rsidR="000D153F" w:rsidRPr="006B4639" w:rsidRDefault="000D153F" w:rsidP="000D153F">
      <w:pPr>
        <w:pStyle w:val="BodyText"/>
        <w:spacing w:line="252" w:lineRule="auto"/>
      </w:pPr>
      <w:r w:rsidRPr="006B4639">
        <w:lastRenderedPageBreak/>
        <w:t xml:space="preserve">As noted above, a service provider can apply to the relevant regulator for a full exemption from Part 23 if it is not providing third party access. Exemptions from some or all of the obligations to publish the information set out in (a)-(c) above can also be sought for pipelines that: </w:t>
      </w:r>
    </w:p>
    <w:p w14:paraId="572D870E" w14:textId="77777777" w:rsidR="000D153F" w:rsidRPr="006B4639" w:rsidRDefault="000D153F" w:rsidP="00AD36B8">
      <w:pPr>
        <w:pStyle w:val="ListBullet"/>
      </w:pPr>
      <w:r w:rsidRPr="006B4639">
        <w:rPr>
          <w:b/>
          <w:bCs/>
        </w:rPr>
        <w:t>supply a single shipper</w:t>
      </w:r>
      <w:r w:rsidRPr="006B4639">
        <w:t xml:space="preserve">: In this case the service provider can obtain an exemption from the obligation to publish all of the information in (a)-(c); and </w:t>
      </w:r>
    </w:p>
    <w:p w14:paraId="08A30E7D" w14:textId="77777777" w:rsidR="000D153F" w:rsidRPr="006B4639" w:rsidRDefault="000D153F" w:rsidP="00AD36B8">
      <w:pPr>
        <w:pStyle w:val="ListBullet"/>
      </w:pPr>
      <w:r w:rsidRPr="006B4639">
        <w:rPr>
          <w:b/>
          <w:bCs/>
        </w:rPr>
        <w:t>fall below a specified size threshold</w:t>
      </w:r>
      <w:r w:rsidRPr="006B4639">
        <w:t xml:space="preserve"> (i.e. pipelines with an average daily injection for the preceding 24 months of less than 10TJ/d): In this case the service provider is required to publish pipeline and pipeline service information, but can obtain an exemption from the obligation to publish all of the other information in (a)-(c). </w:t>
      </w:r>
    </w:p>
    <w:p w14:paraId="726F8230" w14:textId="77246090" w:rsidR="000D153F" w:rsidRPr="006B4639" w:rsidRDefault="000D153F" w:rsidP="000D153F">
      <w:pPr>
        <w:pStyle w:val="BodyText"/>
        <w:spacing w:line="252" w:lineRule="auto"/>
      </w:pPr>
      <w:r w:rsidRPr="006B4639">
        <w:t>These exemptions were implemented to address the concerns that were raised during the development of Part 23 that the costs associated with publishing some of the information may outweigh the benefits on small pipelines and on pipelines supplying a single shipper.</w:t>
      </w:r>
      <w:r w:rsidR="00253730">
        <w:rPr>
          <w:rFonts w:ascii="ZWAdobeF" w:hAnsi="ZWAdobeF" w:cs="ZWAdobeF"/>
          <w:sz w:val="2"/>
          <w:szCs w:val="2"/>
        </w:rPr>
        <w:t>254F</w:t>
      </w:r>
      <w:r w:rsidRPr="006B4639">
        <w:rPr>
          <w:rStyle w:val="FootnoteReference"/>
        </w:rPr>
        <w:footnoteReference w:id="256"/>
      </w:r>
      <w:r w:rsidRPr="006B4639">
        <w:t xml:space="preserve"> While exemptions from the obligation to publish information are available to these pipelines, prospective shippers can still request the same information from service providers in negotiations. </w:t>
      </w:r>
    </w:p>
    <w:p w14:paraId="3AE24ECB" w14:textId="77777777" w:rsidR="000D153F" w:rsidRPr="006B4639" w:rsidRDefault="000D153F" w:rsidP="000D153F">
      <w:pPr>
        <w:pStyle w:val="BodyText"/>
        <w:spacing w:line="252" w:lineRule="auto"/>
      </w:pPr>
      <w:r w:rsidRPr="006B4639">
        <w:t xml:space="preserve">Table </w:t>
      </w:r>
      <w:r w:rsidR="00056C17">
        <w:t>A</w:t>
      </w:r>
      <w:r w:rsidRPr="006B4639">
        <w:t xml:space="preserve">.1 sets out the number of exemptions from Part 23 that have been obtained by pipelines that are not providing third party access and the number of exemptions from the information disclosure requirements that have been obtained by other pipelines. </w:t>
      </w:r>
    </w:p>
    <w:p w14:paraId="16F59631" w14:textId="77777777" w:rsidR="000D153F" w:rsidRPr="006B4639" w:rsidRDefault="000D153F" w:rsidP="000D153F">
      <w:pPr>
        <w:pStyle w:val="Caption"/>
        <w:spacing w:before="0" w:after="0"/>
      </w:pPr>
      <w:r w:rsidRPr="006B4639">
        <w:t xml:space="preserve">Table </w:t>
      </w:r>
      <w:r w:rsidR="00056C17">
        <w:t>A.1</w:t>
      </w:r>
      <w:r w:rsidRPr="006B4639">
        <w:t>: Exemptions granted under Part 23 (as at July 201</w:t>
      </w:r>
      <w:r w:rsidR="00056C17">
        <w:t>9</w:t>
      </w:r>
      <w:r w:rsidRPr="006B4639">
        <w:t>)</w:t>
      </w:r>
    </w:p>
    <w:tbl>
      <w:tblPr>
        <w:tblStyle w:val="TableGrid"/>
        <w:tblW w:w="5000" w:type="pct"/>
        <w:tblLook w:val="04A0" w:firstRow="1" w:lastRow="0" w:firstColumn="1" w:lastColumn="0" w:noHBand="0" w:noVBand="1"/>
      </w:tblPr>
      <w:tblGrid>
        <w:gridCol w:w="2011"/>
        <w:gridCol w:w="1974"/>
        <w:gridCol w:w="1693"/>
        <w:gridCol w:w="1708"/>
        <w:gridCol w:w="1402"/>
      </w:tblGrid>
      <w:tr w:rsidR="000D153F" w:rsidRPr="006B4639" w14:paraId="7630559C" w14:textId="77777777" w:rsidTr="001A440E">
        <w:trPr>
          <w:cnfStyle w:val="100000000000" w:firstRow="1" w:lastRow="0" w:firstColumn="0" w:lastColumn="0" w:oddVBand="0" w:evenVBand="0" w:oddHBand="0" w:evenHBand="0" w:firstRowFirstColumn="0" w:firstRowLastColumn="0" w:lastRowFirstColumn="0" w:lastRowLastColumn="0"/>
        </w:trPr>
        <w:tc>
          <w:tcPr>
            <w:tcW w:w="2127" w:type="dxa"/>
            <w:vMerge w:val="restart"/>
            <w:shd w:val="clear" w:color="auto" w:fill="002060"/>
          </w:tcPr>
          <w:p w14:paraId="668FA479" w14:textId="77777777" w:rsidR="000D153F" w:rsidRPr="006B4639" w:rsidRDefault="000D153F" w:rsidP="001A440E">
            <w:pPr>
              <w:pStyle w:val="BodyText"/>
              <w:spacing w:before="20" w:after="20" w:line="240" w:lineRule="auto"/>
            </w:pPr>
          </w:p>
        </w:tc>
        <w:tc>
          <w:tcPr>
            <w:tcW w:w="2111" w:type="dxa"/>
            <w:shd w:val="clear" w:color="auto" w:fill="002060"/>
            <w:vAlign w:val="bottom"/>
          </w:tcPr>
          <w:p w14:paraId="2FA5AB85" w14:textId="77777777" w:rsidR="000D153F" w:rsidRPr="006B4639" w:rsidRDefault="000D153F" w:rsidP="001A440E">
            <w:pPr>
              <w:pStyle w:val="BodyText"/>
              <w:spacing w:before="20" w:after="20" w:line="240" w:lineRule="auto"/>
              <w:jc w:val="center"/>
            </w:pPr>
            <w:r w:rsidRPr="006B4639">
              <w:t>Full exemption</w:t>
            </w:r>
          </w:p>
        </w:tc>
        <w:tc>
          <w:tcPr>
            <w:tcW w:w="3645" w:type="dxa"/>
            <w:gridSpan w:val="2"/>
            <w:shd w:val="clear" w:color="auto" w:fill="002060"/>
            <w:vAlign w:val="bottom"/>
          </w:tcPr>
          <w:p w14:paraId="01B1E6EF" w14:textId="77777777" w:rsidR="000D153F" w:rsidRPr="006B4639" w:rsidRDefault="000D153F" w:rsidP="001A440E">
            <w:pPr>
              <w:pStyle w:val="BodyText"/>
              <w:spacing w:before="20" w:after="20" w:line="240" w:lineRule="auto"/>
              <w:jc w:val="center"/>
            </w:pPr>
            <w:r w:rsidRPr="006B4639">
              <w:t>Exemption from some or all of the obligations to publish information</w:t>
            </w:r>
          </w:p>
        </w:tc>
        <w:tc>
          <w:tcPr>
            <w:tcW w:w="1524" w:type="dxa"/>
            <w:vMerge w:val="restart"/>
            <w:shd w:val="clear" w:color="auto" w:fill="002060"/>
            <w:vAlign w:val="bottom"/>
          </w:tcPr>
          <w:p w14:paraId="20F51B98" w14:textId="77777777" w:rsidR="000D153F" w:rsidRPr="006B4639" w:rsidRDefault="000D153F" w:rsidP="001A440E">
            <w:pPr>
              <w:pStyle w:val="BodyText"/>
              <w:spacing w:before="20" w:after="20" w:line="240" w:lineRule="auto"/>
              <w:jc w:val="center"/>
            </w:pPr>
            <w:r w:rsidRPr="006B4639">
              <w:t>Total</w:t>
            </w:r>
          </w:p>
        </w:tc>
      </w:tr>
      <w:tr w:rsidR="000D153F" w:rsidRPr="006B4639" w14:paraId="586A6F77" w14:textId="77777777" w:rsidTr="001A440E">
        <w:tc>
          <w:tcPr>
            <w:tcW w:w="2127" w:type="dxa"/>
            <w:vMerge/>
            <w:tcBorders>
              <w:bottom w:val="single" w:sz="4" w:space="0" w:color="auto"/>
            </w:tcBorders>
            <w:shd w:val="clear" w:color="auto" w:fill="002060"/>
          </w:tcPr>
          <w:p w14:paraId="375125C7" w14:textId="77777777" w:rsidR="000D153F" w:rsidRPr="006B4639" w:rsidRDefault="000D153F" w:rsidP="001A440E">
            <w:pPr>
              <w:pStyle w:val="BodyText"/>
              <w:spacing w:before="20" w:after="20" w:line="240" w:lineRule="auto"/>
            </w:pPr>
          </w:p>
        </w:tc>
        <w:tc>
          <w:tcPr>
            <w:tcW w:w="2111" w:type="dxa"/>
            <w:tcBorders>
              <w:bottom w:val="single" w:sz="4" w:space="0" w:color="auto"/>
            </w:tcBorders>
            <w:shd w:val="clear" w:color="auto" w:fill="002060"/>
            <w:vAlign w:val="bottom"/>
          </w:tcPr>
          <w:p w14:paraId="3F23108B" w14:textId="77777777" w:rsidR="000D153F" w:rsidRPr="006B4639" w:rsidRDefault="000D153F" w:rsidP="001A440E">
            <w:pPr>
              <w:pStyle w:val="BodyText"/>
              <w:spacing w:before="20" w:after="20" w:line="240" w:lineRule="auto"/>
              <w:jc w:val="center"/>
            </w:pPr>
            <w:r w:rsidRPr="006B4639">
              <w:t>Pipeline not providing third party access</w:t>
            </w:r>
          </w:p>
        </w:tc>
        <w:tc>
          <w:tcPr>
            <w:tcW w:w="1816" w:type="dxa"/>
            <w:tcBorders>
              <w:bottom w:val="single" w:sz="4" w:space="0" w:color="auto"/>
            </w:tcBorders>
            <w:shd w:val="clear" w:color="auto" w:fill="002060"/>
            <w:vAlign w:val="bottom"/>
          </w:tcPr>
          <w:p w14:paraId="3F3E88C0" w14:textId="77777777" w:rsidR="000D153F" w:rsidRPr="006B4639" w:rsidRDefault="000D153F" w:rsidP="001A440E">
            <w:pPr>
              <w:pStyle w:val="BodyText"/>
              <w:spacing w:before="20" w:after="20" w:line="240" w:lineRule="auto"/>
              <w:jc w:val="center"/>
            </w:pPr>
            <w:r w:rsidRPr="006B4639">
              <w:t>Single shipper pipelines</w:t>
            </w:r>
          </w:p>
        </w:tc>
        <w:tc>
          <w:tcPr>
            <w:tcW w:w="1829" w:type="dxa"/>
            <w:tcBorders>
              <w:bottom w:val="single" w:sz="4" w:space="0" w:color="auto"/>
            </w:tcBorders>
            <w:shd w:val="clear" w:color="auto" w:fill="002060"/>
            <w:vAlign w:val="bottom"/>
          </w:tcPr>
          <w:p w14:paraId="5D1108F0" w14:textId="77777777" w:rsidR="000D153F" w:rsidRPr="006B4639" w:rsidRDefault="000D153F" w:rsidP="001A440E">
            <w:pPr>
              <w:pStyle w:val="BodyText"/>
              <w:spacing w:before="20" w:after="20" w:line="240" w:lineRule="auto"/>
              <w:jc w:val="center"/>
            </w:pPr>
            <w:r w:rsidRPr="006B4639">
              <w:t>Pipelines below size threshold</w:t>
            </w:r>
          </w:p>
        </w:tc>
        <w:tc>
          <w:tcPr>
            <w:tcW w:w="1524" w:type="dxa"/>
            <w:vMerge/>
            <w:tcBorders>
              <w:bottom w:val="single" w:sz="4" w:space="0" w:color="auto"/>
            </w:tcBorders>
            <w:shd w:val="clear" w:color="auto" w:fill="002060"/>
            <w:vAlign w:val="bottom"/>
          </w:tcPr>
          <w:p w14:paraId="7190BB32" w14:textId="77777777" w:rsidR="000D153F" w:rsidRPr="006B4639" w:rsidRDefault="000D153F" w:rsidP="001A440E">
            <w:pPr>
              <w:pStyle w:val="BodyText"/>
              <w:spacing w:before="20" w:after="20" w:line="240" w:lineRule="auto"/>
              <w:jc w:val="center"/>
            </w:pPr>
          </w:p>
        </w:tc>
      </w:tr>
      <w:tr w:rsidR="000D153F" w:rsidRPr="006B4639" w14:paraId="3F955DA8" w14:textId="77777777" w:rsidTr="001A440E">
        <w:trPr>
          <w:cnfStyle w:val="000000010000" w:firstRow="0" w:lastRow="0" w:firstColumn="0" w:lastColumn="0" w:oddVBand="0" w:evenVBand="0" w:oddHBand="0" w:evenHBand="1" w:firstRowFirstColumn="0" w:firstRowLastColumn="0" w:lastRowFirstColumn="0" w:lastRowLastColumn="0"/>
        </w:trPr>
        <w:tc>
          <w:tcPr>
            <w:tcW w:w="2127" w:type="dxa"/>
            <w:shd w:val="clear" w:color="auto" w:fill="FFFFFF" w:themeFill="background1"/>
          </w:tcPr>
          <w:p w14:paraId="0642FD47" w14:textId="77777777" w:rsidR="000D153F" w:rsidRPr="006B4639" w:rsidRDefault="000D153F" w:rsidP="001A440E">
            <w:pPr>
              <w:pStyle w:val="BodyText"/>
              <w:spacing w:before="20" w:after="20" w:line="240" w:lineRule="auto"/>
            </w:pPr>
            <w:r w:rsidRPr="006B4639">
              <w:t xml:space="preserve">Eastern Australia and Northern Territory </w:t>
            </w:r>
          </w:p>
        </w:tc>
        <w:tc>
          <w:tcPr>
            <w:tcW w:w="2111" w:type="dxa"/>
            <w:shd w:val="clear" w:color="auto" w:fill="FFFFFF" w:themeFill="background1"/>
          </w:tcPr>
          <w:p w14:paraId="52FB467D" w14:textId="77777777" w:rsidR="000D153F" w:rsidRPr="006B4639" w:rsidRDefault="000D153F" w:rsidP="001A440E">
            <w:pPr>
              <w:pStyle w:val="BodyText"/>
              <w:spacing w:before="20" w:after="20" w:line="240" w:lineRule="auto"/>
              <w:jc w:val="center"/>
            </w:pPr>
            <w:r w:rsidRPr="006B4639">
              <w:t>37</w:t>
            </w:r>
          </w:p>
        </w:tc>
        <w:tc>
          <w:tcPr>
            <w:tcW w:w="1816" w:type="dxa"/>
            <w:shd w:val="clear" w:color="auto" w:fill="FFFFFF" w:themeFill="background1"/>
          </w:tcPr>
          <w:p w14:paraId="0CCBFE02" w14:textId="77777777" w:rsidR="000D153F" w:rsidRPr="006B4639" w:rsidRDefault="000D153F" w:rsidP="001A440E">
            <w:pPr>
              <w:pStyle w:val="BodyText"/>
              <w:spacing w:before="20" w:after="20" w:line="240" w:lineRule="auto"/>
              <w:jc w:val="center"/>
            </w:pPr>
            <w:r w:rsidRPr="006B4639">
              <w:t>22</w:t>
            </w:r>
          </w:p>
        </w:tc>
        <w:tc>
          <w:tcPr>
            <w:tcW w:w="1829" w:type="dxa"/>
            <w:shd w:val="clear" w:color="auto" w:fill="FFFFFF" w:themeFill="background1"/>
          </w:tcPr>
          <w:p w14:paraId="08DC48FA" w14:textId="77777777" w:rsidR="000D153F" w:rsidRPr="006B4639" w:rsidRDefault="000D153F" w:rsidP="001A440E">
            <w:pPr>
              <w:pStyle w:val="BodyText"/>
              <w:spacing w:before="20" w:after="20" w:line="240" w:lineRule="auto"/>
              <w:jc w:val="center"/>
            </w:pPr>
            <w:r w:rsidRPr="006B4639">
              <w:t>17</w:t>
            </w:r>
          </w:p>
        </w:tc>
        <w:tc>
          <w:tcPr>
            <w:tcW w:w="1524" w:type="dxa"/>
            <w:shd w:val="clear" w:color="auto" w:fill="FFFFFF" w:themeFill="background1"/>
          </w:tcPr>
          <w:p w14:paraId="05E865C8" w14:textId="77777777" w:rsidR="000D153F" w:rsidRPr="006B4639" w:rsidRDefault="000D153F" w:rsidP="001A440E">
            <w:pPr>
              <w:pStyle w:val="BodyText"/>
              <w:spacing w:before="20" w:after="20" w:line="240" w:lineRule="auto"/>
              <w:jc w:val="center"/>
              <w:rPr>
                <w:b/>
              </w:rPr>
            </w:pPr>
            <w:r w:rsidRPr="006B4639">
              <w:rPr>
                <w:b/>
              </w:rPr>
              <w:t>76</w:t>
            </w:r>
          </w:p>
        </w:tc>
      </w:tr>
      <w:tr w:rsidR="000D153F" w:rsidRPr="006B4639" w14:paraId="155001A6" w14:textId="77777777" w:rsidTr="001A440E">
        <w:tc>
          <w:tcPr>
            <w:tcW w:w="2127" w:type="dxa"/>
          </w:tcPr>
          <w:p w14:paraId="6036D21E" w14:textId="77777777" w:rsidR="000D153F" w:rsidRPr="006B4639" w:rsidRDefault="000D153F" w:rsidP="001A440E">
            <w:pPr>
              <w:pStyle w:val="BodyText"/>
              <w:spacing w:before="20" w:after="20" w:line="240" w:lineRule="auto"/>
            </w:pPr>
            <w:r w:rsidRPr="006B4639">
              <w:t>Western Australia</w:t>
            </w:r>
          </w:p>
        </w:tc>
        <w:tc>
          <w:tcPr>
            <w:tcW w:w="2111" w:type="dxa"/>
          </w:tcPr>
          <w:p w14:paraId="3227ABCE" w14:textId="77777777" w:rsidR="000D153F" w:rsidRPr="006B4639" w:rsidRDefault="000D153F" w:rsidP="001A440E">
            <w:pPr>
              <w:pStyle w:val="BodyText"/>
              <w:spacing w:before="20" w:after="20" w:line="240" w:lineRule="auto"/>
              <w:jc w:val="center"/>
            </w:pPr>
            <w:r w:rsidRPr="006B4639">
              <w:t>18</w:t>
            </w:r>
          </w:p>
        </w:tc>
        <w:tc>
          <w:tcPr>
            <w:tcW w:w="1816" w:type="dxa"/>
          </w:tcPr>
          <w:p w14:paraId="36F6CEAF" w14:textId="77777777" w:rsidR="000D153F" w:rsidRPr="006B4639" w:rsidRDefault="000D153F" w:rsidP="001A440E">
            <w:pPr>
              <w:pStyle w:val="BodyText"/>
              <w:spacing w:before="20" w:after="20" w:line="240" w:lineRule="auto"/>
              <w:jc w:val="center"/>
            </w:pPr>
            <w:r w:rsidRPr="006B4639">
              <w:t>19</w:t>
            </w:r>
          </w:p>
        </w:tc>
        <w:tc>
          <w:tcPr>
            <w:tcW w:w="1829" w:type="dxa"/>
          </w:tcPr>
          <w:p w14:paraId="3563E90A" w14:textId="77777777" w:rsidR="000D153F" w:rsidRPr="006B4639" w:rsidRDefault="000D153F" w:rsidP="001A440E">
            <w:pPr>
              <w:pStyle w:val="BodyText"/>
              <w:spacing w:before="20" w:after="20" w:line="240" w:lineRule="auto"/>
              <w:jc w:val="center"/>
            </w:pPr>
            <w:r w:rsidRPr="006B4639">
              <w:t>6</w:t>
            </w:r>
          </w:p>
        </w:tc>
        <w:tc>
          <w:tcPr>
            <w:tcW w:w="1524" w:type="dxa"/>
          </w:tcPr>
          <w:p w14:paraId="54EFF9D3" w14:textId="77777777" w:rsidR="000D153F" w:rsidRPr="006B4639" w:rsidRDefault="000D153F" w:rsidP="001A440E">
            <w:pPr>
              <w:pStyle w:val="BodyText"/>
              <w:spacing w:before="20" w:after="20" w:line="240" w:lineRule="auto"/>
              <w:jc w:val="center"/>
              <w:rPr>
                <w:b/>
              </w:rPr>
            </w:pPr>
            <w:r w:rsidRPr="006B4639">
              <w:rPr>
                <w:b/>
              </w:rPr>
              <w:t>43</w:t>
            </w:r>
          </w:p>
        </w:tc>
      </w:tr>
      <w:tr w:rsidR="000D153F" w:rsidRPr="006B4639" w14:paraId="50DB8319" w14:textId="77777777" w:rsidTr="001A440E">
        <w:trPr>
          <w:cnfStyle w:val="000000010000" w:firstRow="0" w:lastRow="0" w:firstColumn="0" w:lastColumn="0" w:oddVBand="0" w:evenVBand="0" w:oddHBand="0" w:evenHBand="1" w:firstRowFirstColumn="0" w:firstRowLastColumn="0" w:lastRowFirstColumn="0" w:lastRowLastColumn="0"/>
        </w:trPr>
        <w:tc>
          <w:tcPr>
            <w:tcW w:w="2127" w:type="dxa"/>
            <w:tcBorders>
              <w:bottom w:val="single" w:sz="4" w:space="0" w:color="auto"/>
            </w:tcBorders>
          </w:tcPr>
          <w:p w14:paraId="395C09A8" w14:textId="77777777" w:rsidR="000D153F" w:rsidRPr="006B4639" w:rsidRDefault="000D153F" w:rsidP="001A440E">
            <w:pPr>
              <w:pStyle w:val="BodyText"/>
              <w:spacing w:before="20" w:after="20" w:line="240" w:lineRule="auto"/>
              <w:rPr>
                <w:b/>
                <w:bCs/>
              </w:rPr>
            </w:pPr>
            <w:r w:rsidRPr="006B4639">
              <w:rPr>
                <w:b/>
                <w:bCs/>
              </w:rPr>
              <w:t>Total</w:t>
            </w:r>
          </w:p>
        </w:tc>
        <w:tc>
          <w:tcPr>
            <w:tcW w:w="2111" w:type="dxa"/>
            <w:tcBorders>
              <w:bottom w:val="single" w:sz="4" w:space="0" w:color="auto"/>
            </w:tcBorders>
          </w:tcPr>
          <w:p w14:paraId="1AEB4F65" w14:textId="77777777" w:rsidR="000D153F" w:rsidRPr="006B4639" w:rsidRDefault="000D153F" w:rsidP="001A440E">
            <w:pPr>
              <w:pStyle w:val="BodyText"/>
              <w:spacing w:before="20" w:after="20" w:line="240" w:lineRule="auto"/>
              <w:jc w:val="center"/>
              <w:rPr>
                <w:b/>
                <w:bCs/>
              </w:rPr>
            </w:pPr>
            <w:r w:rsidRPr="006B4639">
              <w:rPr>
                <w:b/>
                <w:bCs/>
              </w:rPr>
              <w:t>55</w:t>
            </w:r>
          </w:p>
        </w:tc>
        <w:tc>
          <w:tcPr>
            <w:tcW w:w="1816" w:type="dxa"/>
            <w:tcBorders>
              <w:bottom w:val="single" w:sz="4" w:space="0" w:color="auto"/>
            </w:tcBorders>
          </w:tcPr>
          <w:p w14:paraId="5051959B" w14:textId="77777777" w:rsidR="000D153F" w:rsidRPr="006B4639" w:rsidRDefault="000D153F" w:rsidP="001A440E">
            <w:pPr>
              <w:pStyle w:val="BodyText"/>
              <w:spacing w:before="20" w:after="20" w:line="240" w:lineRule="auto"/>
              <w:jc w:val="center"/>
              <w:rPr>
                <w:b/>
                <w:bCs/>
              </w:rPr>
            </w:pPr>
            <w:r w:rsidRPr="006B4639">
              <w:rPr>
                <w:b/>
                <w:bCs/>
              </w:rPr>
              <w:t>41</w:t>
            </w:r>
          </w:p>
        </w:tc>
        <w:tc>
          <w:tcPr>
            <w:tcW w:w="1829" w:type="dxa"/>
            <w:tcBorders>
              <w:bottom w:val="single" w:sz="4" w:space="0" w:color="auto"/>
            </w:tcBorders>
          </w:tcPr>
          <w:p w14:paraId="64E532D3" w14:textId="77777777" w:rsidR="000D153F" w:rsidRPr="006B4639" w:rsidRDefault="000D153F" w:rsidP="001A440E">
            <w:pPr>
              <w:pStyle w:val="BodyText"/>
              <w:spacing w:before="20" w:after="20" w:line="240" w:lineRule="auto"/>
              <w:jc w:val="center"/>
              <w:rPr>
                <w:b/>
                <w:bCs/>
              </w:rPr>
            </w:pPr>
            <w:r w:rsidRPr="006B4639">
              <w:rPr>
                <w:b/>
                <w:bCs/>
              </w:rPr>
              <w:t>23</w:t>
            </w:r>
          </w:p>
        </w:tc>
        <w:tc>
          <w:tcPr>
            <w:tcW w:w="1524" w:type="dxa"/>
            <w:tcBorders>
              <w:bottom w:val="single" w:sz="4" w:space="0" w:color="auto"/>
            </w:tcBorders>
          </w:tcPr>
          <w:p w14:paraId="47DBA87C" w14:textId="77777777" w:rsidR="000D153F" w:rsidRPr="006B4639" w:rsidRDefault="000D153F" w:rsidP="001A440E">
            <w:pPr>
              <w:pStyle w:val="BodyText"/>
              <w:spacing w:before="20" w:after="20" w:line="240" w:lineRule="auto"/>
              <w:jc w:val="center"/>
              <w:rPr>
                <w:b/>
              </w:rPr>
            </w:pPr>
            <w:r w:rsidRPr="006B4639">
              <w:rPr>
                <w:b/>
              </w:rPr>
              <w:t>119</w:t>
            </w:r>
          </w:p>
        </w:tc>
      </w:tr>
      <w:tr w:rsidR="000D153F" w:rsidRPr="006B4639" w14:paraId="67FF6D97" w14:textId="77777777" w:rsidTr="001A440E">
        <w:tc>
          <w:tcPr>
            <w:tcW w:w="2127" w:type="dxa"/>
            <w:shd w:val="clear" w:color="auto" w:fill="E1E2E7" w:themeFill="background2"/>
          </w:tcPr>
          <w:p w14:paraId="10413F0F" w14:textId="77777777" w:rsidR="000D153F" w:rsidRPr="006B4639" w:rsidRDefault="000D153F" w:rsidP="001A440E">
            <w:pPr>
              <w:pStyle w:val="BodyText"/>
              <w:spacing w:before="20" w:after="20" w:line="240" w:lineRule="auto"/>
              <w:rPr>
                <w:i/>
                <w:iCs/>
              </w:rPr>
            </w:pPr>
            <w:r w:rsidRPr="006B4639">
              <w:rPr>
                <w:i/>
                <w:iCs/>
              </w:rPr>
              <w:t>Transmission</w:t>
            </w:r>
          </w:p>
        </w:tc>
        <w:tc>
          <w:tcPr>
            <w:tcW w:w="2111" w:type="dxa"/>
            <w:shd w:val="clear" w:color="auto" w:fill="E1E2E7" w:themeFill="background2"/>
          </w:tcPr>
          <w:p w14:paraId="321CE849" w14:textId="77777777" w:rsidR="000D153F" w:rsidRPr="006B4639" w:rsidRDefault="000D153F" w:rsidP="001A440E">
            <w:pPr>
              <w:pStyle w:val="BodyText"/>
              <w:spacing w:before="20" w:after="20" w:line="240" w:lineRule="auto"/>
              <w:jc w:val="center"/>
              <w:rPr>
                <w:i/>
                <w:iCs/>
              </w:rPr>
            </w:pPr>
            <w:r w:rsidRPr="006B4639">
              <w:rPr>
                <w:i/>
                <w:iCs/>
              </w:rPr>
              <w:t>51</w:t>
            </w:r>
          </w:p>
        </w:tc>
        <w:tc>
          <w:tcPr>
            <w:tcW w:w="1816" w:type="dxa"/>
            <w:shd w:val="clear" w:color="auto" w:fill="E1E2E7" w:themeFill="background2"/>
          </w:tcPr>
          <w:p w14:paraId="1A07F716" w14:textId="77777777" w:rsidR="000D153F" w:rsidRPr="006B4639" w:rsidRDefault="000D153F" w:rsidP="001A440E">
            <w:pPr>
              <w:pStyle w:val="BodyText"/>
              <w:spacing w:before="20" w:after="20" w:line="240" w:lineRule="auto"/>
              <w:jc w:val="center"/>
              <w:rPr>
                <w:i/>
                <w:iCs/>
              </w:rPr>
            </w:pPr>
            <w:r w:rsidRPr="006B4639">
              <w:rPr>
                <w:i/>
                <w:iCs/>
              </w:rPr>
              <w:t>35</w:t>
            </w:r>
          </w:p>
        </w:tc>
        <w:tc>
          <w:tcPr>
            <w:tcW w:w="1829" w:type="dxa"/>
            <w:shd w:val="clear" w:color="auto" w:fill="E1E2E7" w:themeFill="background2"/>
          </w:tcPr>
          <w:p w14:paraId="3E9ED42B" w14:textId="77777777" w:rsidR="000D153F" w:rsidRPr="006B4639" w:rsidRDefault="000D153F" w:rsidP="001A440E">
            <w:pPr>
              <w:pStyle w:val="BodyText"/>
              <w:spacing w:before="20" w:after="20" w:line="240" w:lineRule="auto"/>
              <w:jc w:val="center"/>
              <w:rPr>
                <w:i/>
                <w:iCs/>
              </w:rPr>
            </w:pPr>
            <w:r w:rsidRPr="006B4639">
              <w:rPr>
                <w:i/>
                <w:iCs/>
              </w:rPr>
              <w:t>10</w:t>
            </w:r>
          </w:p>
        </w:tc>
        <w:tc>
          <w:tcPr>
            <w:tcW w:w="1524" w:type="dxa"/>
            <w:shd w:val="clear" w:color="auto" w:fill="E1E2E7" w:themeFill="background2"/>
          </w:tcPr>
          <w:p w14:paraId="6E3E52E8" w14:textId="77777777" w:rsidR="000D153F" w:rsidRPr="006B4639" w:rsidRDefault="000D153F" w:rsidP="001A440E">
            <w:pPr>
              <w:pStyle w:val="BodyText"/>
              <w:spacing w:before="20" w:after="20" w:line="240" w:lineRule="auto"/>
              <w:jc w:val="center"/>
              <w:rPr>
                <w:b/>
                <w:i/>
                <w:iCs/>
              </w:rPr>
            </w:pPr>
            <w:r w:rsidRPr="006B4639">
              <w:rPr>
                <w:b/>
                <w:i/>
                <w:iCs/>
              </w:rPr>
              <w:t>96</w:t>
            </w:r>
          </w:p>
        </w:tc>
      </w:tr>
      <w:tr w:rsidR="000D153F" w:rsidRPr="006B4639" w14:paraId="3D632E8C" w14:textId="77777777" w:rsidTr="001A440E">
        <w:trPr>
          <w:cnfStyle w:val="000000010000" w:firstRow="0" w:lastRow="0" w:firstColumn="0" w:lastColumn="0" w:oddVBand="0" w:evenVBand="0" w:oddHBand="0" w:evenHBand="1" w:firstRowFirstColumn="0" w:firstRowLastColumn="0" w:lastRowFirstColumn="0" w:lastRowLastColumn="0"/>
        </w:trPr>
        <w:tc>
          <w:tcPr>
            <w:tcW w:w="2127" w:type="dxa"/>
          </w:tcPr>
          <w:p w14:paraId="4D1C157E" w14:textId="77777777" w:rsidR="000D153F" w:rsidRPr="006B4639" w:rsidRDefault="000D153F" w:rsidP="001A440E">
            <w:pPr>
              <w:pStyle w:val="BodyText"/>
              <w:spacing w:before="20" w:after="20" w:line="240" w:lineRule="auto"/>
              <w:rPr>
                <w:i/>
                <w:iCs/>
              </w:rPr>
            </w:pPr>
            <w:r w:rsidRPr="006B4639">
              <w:rPr>
                <w:i/>
                <w:iCs/>
              </w:rPr>
              <w:t xml:space="preserve">Distribution </w:t>
            </w:r>
          </w:p>
        </w:tc>
        <w:tc>
          <w:tcPr>
            <w:tcW w:w="2111" w:type="dxa"/>
          </w:tcPr>
          <w:p w14:paraId="4971623B" w14:textId="77777777" w:rsidR="000D153F" w:rsidRPr="006B4639" w:rsidRDefault="000D153F" w:rsidP="001A440E">
            <w:pPr>
              <w:pStyle w:val="BodyText"/>
              <w:spacing w:before="20" w:after="20" w:line="240" w:lineRule="auto"/>
              <w:jc w:val="center"/>
              <w:rPr>
                <w:i/>
                <w:iCs/>
              </w:rPr>
            </w:pPr>
            <w:r w:rsidRPr="006B4639">
              <w:rPr>
                <w:i/>
                <w:iCs/>
              </w:rPr>
              <w:t>4</w:t>
            </w:r>
          </w:p>
        </w:tc>
        <w:tc>
          <w:tcPr>
            <w:tcW w:w="1816" w:type="dxa"/>
          </w:tcPr>
          <w:p w14:paraId="1DD25B03" w14:textId="77777777" w:rsidR="000D153F" w:rsidRPr="006B4639" w:rsidRDefault="000D153F" w:rsidP="001A440E">
            <w:pPr>
              <w:pStyle w:val="BodyText"/>
              <w:spacing w:before="20" w:after="20" w:line="240" w:lineRule="auto"/>
              <w:jc w:val="center"/>
              <w:rPr>
                <w:i/>
                <w:iCs/>
              </w:rPr>
            </w:pPr>
            <w:r w:rsidRPr="006B4639">
              <w:rPr>
                <w:i/>
                <w:iCs/>
              </w:rPr>
              <w:t>6</w:t>
            </w:r>
          </w:p>
        </w:tc>
        <w:tc>
          <w:tcPr>
            <w:tcW w:w="1829" w:type="dxa"/>
          </w:tcPr>
          <w:p w14:paraId="29FA32F2" w14:textId="77777777" w:rsidR="000D153F" w:rsidRPr="006B4639" w:rsidRDefault="000D153F" w:rsidP="001A440E">
            <w:pPr>
              <w:pStyle w:val="BodyText"/>
              <w:spacing w:before="20" w:after="20" w:line="240" w:lineRule="auto"/>
              <w:jc w:val="center"/>
              <w:rPr>
                <w:i/>
                <w:iCs/>
              </w:rPr>
            </w:pPr>
            <w:r w:rsidRPr="006B4639">
              <w:rPr>
                <w:i/>
                <w:iCs/>
              </w:rPr>
              <w:t>13</w:t>
            </w:r>
          </w:p>
        </w:tc>
        <w:tc>
          <w:tcPr>
            <w:tcW w:w="1524" w:type="dxa"/>
          </w:tcPr>
          <w:p w14:paraId="7E8131DF" w14:textId="77777777" w:rsidR="000D153F" w:rsidRPr="006B4639" w:rsidRDefault="000D153F" w:rsidP="001A440E">
            <w:pPr>
              <w:pStyle w:val="BodyText"/>
              <w:spacing w:before="20" w:after="20" w:line="240" w:lineRule="auto"/>
              <w:jc w:val="center"/>
              <w:rPr>
                <w:b/>
                <w:i/>
                <w:iCs/>
              </w:rPr>
            </w:pPr>
            <w:r w:rsidRPr="006B4639">
              <w:rPr>
                <w:b/>
                <w:i/>
                <w:iCs/>
              </w:rPr>
              <w:t>23</w:t>
            </w:r>
          </w:p>
        </w:tc>
      </w:tr>
    </w:tbl>
    <w:p w14:paraId="20FD987D" w14:textId="77777777" w:rsidR="000D153F" w:rsidRPr="006B4639" w:rsidRDefault="000D153F" w:rsidP="000D153F">
      <w:pPr>
        <w:pStyle w:val="BodyText"/>
        <w:spacing w:before="0"/>
        <w:rPr>
          <w:sz w:val="18"/>
          <w:szCs w:val="18"/>
        </w:rPr>
      </w:pPr>
      <w:r w:rsidRPr="006B4639">
        <w:rPr>
          <w:sz w:val="18"/>
          <w:szCs w:val="18"/>
        </w:rPr>
        <w:t>Source: AER and ERA Public registers.</w:t>
      </w:r>
    </w:p>
    <w:p w14:paraId="3BCFAEE7" w14:textId="77777777" w:rsidR="000D153F" w:rsidRPr="006B4639" w:rsidRDefault="000D153F" w:rsidP="000D153F">
      <w:pPr>
        <w:pStyle w:val="BodyText"/>
        <w:spacing w:after="240" w:line="252" w:lineRule="auto"/>
      </w:pPr>
      <w:r w:rsidRPr="006B4639">
        <w:t>As this table shows, a large number of pipelines that are not providing third party access have obtained an exemption from Part 23. In eastern Australia and the Northern Territory, the pipelines that are not providing third party access are predominantly dedicated pipelines owned and operated by gas producers</w:t>
      </w:r>
      <w:r>
        <w:t xml:space="preserve">, LNG producers </w:t>
      </w:r>
      <w:r w:rsidRPr="006B4639">
        <w:t xml:space="preserve">and gas fired generators, while in Western Australia a large number are owned by mining companies. The majority of single shipper pipelines are also used by gas fired generators and mining companies, although some pipelines that are servicing demand centres that have been fully contracted by a single retailer and are therefore considered a single shipper pipeline. </w:t>
      </w:r>
    </w:p>
    <w:p w14:paraId="2975B64D" w14:textId="77777777" w:rsidR="000D153F" w:rsidRPr="006B4639" w:rsidRDefault="000D153F" w:rsidP="000D153F">
      <w:pPr>
        <w:pStyle w:val="AppendixHeading2"/>
      </w:pPr>
      <w:r w:rsidRPr="006B4639">
        <w:t>Investment</w:t>
      </w:r>
    </w:p>
    <w:p w14:paraId="23DF6E68" w14:textId="77777777" w:rsidR="000D153F" w:rsidRPr="006B4639" w:rsidRDefault="000D153F" w:rsidP="000D153F">
      <w:pPr>
        <w:pStyle w:val="BodyText"/>
      </w:pPr>
      <w:r w:rsidRPr="006B4639">
        <w:t>The regulatory framework currently includes the following mechanisms, which were implemented to counter the adverse effects that regulation may otherwise have on pipeline investments:</w:t>
      </w:r>
    </w:p>
    <w:p w14:paraId="4D9B5BBB" w14:textId="33BBB4D3" w:rsidR="000D153F" w:rsidRPr="006B4639" w:rsidRDefault="000D153F" w:rsidP="00AD36B8">
      <w:pPr>
        <w:pStyle w:val="ListBullet"/>
      </w:pPr>
      <w:r w:rsidRPr="006B4639">
        <w:lastRenderedPageBreak/>
        <w:t>The greenfield provisions in Chapter 5 of the NGL, which enable pipelines (including major extensions of existing non-scheme pipelines) that are yet to be commissioned to obtain a 15-year exemption from coverage if one or more of the coverage criteria are not met (see section 3.1.1 for more detail).</w:t>
      </w:r>
      <w:r w:rsidR="00253730">
        <w:rPr>
          <w:rFonts w:ascii="ZWAdobeF" w:hAnsi="ZWAdobeF" w:cs="ZWAdobeF"/>
          <w:sz w:val="2"/>
          <w:szCs w:val="2"/>
        </w:rPr>
        <w:t>255F</w:t>
      </w:r>
      <w:r w:rsidRPr="006B4639">
        <w:rPr>
          <w:rStyle w:val="FootnoteReference"/>
        </w:rPr>
        <w:footnoteReference w:id="257"/>
      </w:r>
      <w:r w:rsidRPr="006B4639">
        <w:rPr>
          <w:rStyle w:val="FootnoteReference"/>
        </w:rPr>
        <w:t xml:space="preserve">, </w:t>
      </w:r>
      <w:r w:rsidR="00253730">
        <w:rPr>
          <w:rFonts w:ascii="ZWAdobeF" w:hAnsi="ZWAdobeF" w:cs="ZWAdobeF"/>
          <w:sz w:val="2"/>
          <w:szCs w:val="2"/>
        </w:rPr>
        <w:t>256F</w:t>
      </w:r>
      <w:r w:rsidRPr="006B4639">
        <w:rPr>
          <w:rStyle w:val="FootnoteReference"/>
        </w:rPr>
        <w:footnoteReference w:id="258"/>
      </w:r>
      <w:r w:rsidRPr="006B4639">
        <w:t xml:space="preserve"> If such an exemption is granted, the pipeline will be exempt from full and light regulation but not from Part 23. To date, four pipelines have been granted such an exemption, one of which is subject to Part 23.</w:t>
      </w:r>
      <w:r w:rsidR="00253730">
        <w:rPr>
          <w:rFonts w:ascii="ZWAdobeF" w:hAnsi="ZWAdobeF" w:cs="ZWAdobeF"/>
          <w:sz w:val="2"/>
          <w:szCs w:val="2"/>
        </w:rPr>
        <w:t>257F</w:t>
      </w:r>
      <w:r w:rsidRPr="006B4639">
        <w:rPr>
          <w:rStyle w:val="FootnoteReference"/>
        </w:rPr>
        <w:footnoteReference w:id="259"/>
      </w:r>
    </w:p>
    <w:p w14:paraId="5C1AE781" w14:textId="4CBD8EF3" w:rsidR="000D153F" w:rsidRPr="006B4639" w:rsidRDefault="000D153F" w:rsidP="00AD36B8">
      <w:pPr>
        <w:pStyle w:val="ListBullet"/>
      </w:pPr>
      <w:r w:rsidRPr="006B4639">
        <w:t xml:space="preserve">The </w:t>
      </w:r>
      <w:r w:rsidR="008A66E8">
        <w:t xml:space="preserve">CTP </w:t>
      </w:r>
      <w:r w:rsidRPr="006B4639">
        <w:t>provisions in Part 5 of the NGR, which allow the proponents of new pipelines</w:t>
      </w:r>
      <w:r w:rsidR="00253730">
        <w:rPr>
          <w:rFonts w:ascii="ZWAdobeF" w:hAnsi="ZWAdobeF" w:cs="ZWAdobeF"/>
          <w:sz w:val="2"/>
          <w:szCs w:val="2"/>
        </w:rPr>
        <w:t>258F</w:t>
      </w:r>
      <w:r w:rsidRPr="006B4639">
        <w:rPr>
          <w:rStyle w:val="FootnoteReference"/>
        </w:rPr>
        <w:footnoteReference w:id="260"/>
      </w:r>
      <w:r w:rsidRPr="006B4639">
        <w:t xml:space="preserve"> (e.g. prospective users or government bodies) to apply to the relevant regulator to have a proposed tender approved as a competitive tender process. If the tender is approved by the relevant regulator, then the successful tenderer must submit an AA proposal to the relevant regulator for approval. If the regulator is satisfied the proposed AA reasonably reflects</w:t>
      </w:r>
      <w:r w:rsidR="00253730">
        <w:rPr>
          <w:rFonts w:ascii="ZWAdobeF" w:hAnsi="ZWAdobeF" w:cs="ZWAdobeF"/>
          <w:sz w:val="2"/>
          <w:szCs w:val="2"/>
        </w:rPr>
        <w:t>259F</w:t>
      </w:r>
      <w:r w:rsidRPr="006B4639">
        <w:rPr>
          <w:rStyle w:val="FootnoteReference"/>
        </w:rPr>
        <w:footnoteReference w:id="261"/>
      </w:r>
      <w:r w:rsidRPr="006B4639">
        <w:t xml:space="preserve"> the price and non-price terms and conditions established through the tender, then it must approve the AA. In effect, these provisions allow the price and non-price terms and conditions established through the competition for the market to be locked in for the period specified in the tender. To date, only two pipelines have been developed using these provisions.</w:t>
      </w:r>
      <w:r w:rsidR="00253730">
        <w:rPr>
          <w:rFonts w:ascii="ZWAdobeF" w:hAnsi="ZWAdobeF" w:cs="ZWAdobeF"/>
          <w:sz w:val="2"/>
          <w:szCs w:val="2"/>
        </w:rPr>
        <w:t>260F</w:t>
      </w:r>
      <w:r w:rsidRPr="006B4639">
        <w:rPr>
          <w:rStyle w:val="FootnoteReference"/>
        </w:rPr>
        <w:footnoteReference w:id="262"/>
      </w:r>
    </w:p>
    <w:p w14:paraId="0F302026" w14:textId="77777777" w:rsidR="006C7C89" w:rsidRPr="00576B62" w:rsidRDefault="000D153F" w:rsidP="004F5A3E">
      <w:pPr>
        <w:pStyle w:val="BodyText"/>
        <w:spacing w:before="120" w:after="60"/>
      </w:pPr>
      <w:r w:rsidRPr="006B4639">
        <w:rPr>
          <w:rFonts w:asciiTheme="majorHAnsi" w:hAnsiTheme="majorHAnsi" w:cstheme="majorHAnsi"/>
        </w:rPr>
        <w:t>A number of provisions have also been included in the regulatory framework applying to full regulation pipelines to reduce the regulatory related investment risks and to ensure that investments can still occur in a timely and efficient manner</w:t>
      </w:r>
      <w:r>
        <w:rPr>
          <w:rFonts w:asciiTheme="majorHAnsi" w:hAnsiTheme="majorHAnsi" w:cstheme="majorHAnsi"/>
        </w:rPr>
        <w:t>, which have been used to varying extents by service providers.</w:t>
      </w:r>
      <w:r w:rsidR="008A66E8">
        <w:rPr>
          <w:lang w:eastAsia="en-US"/>
        </w:rPr>
        <w:t xml:space="preserve"> </w:t>
      </w:r>
      <w:r w:rsidR="006C7C89" w:rsidRPr="00576B62">
        <w:t>These provisions include:</w:t>
      </w:r>
    </w:p>
    <w:p w14:paraId="444E14F1" w14:textId="2DC109CE" w:rsidR="006C7C89" w:rsidRPr="00576B62" w:rsidRDefault="006C7C89" w:rsidP="004F5A3E">
      <w:pPr>
        <w:pStyle w:val="ListBullet"/>
        <w:spacing w:before="60" w:after="60" w:line="252" w:lineRule="auto"/>
        <w:ind w:left="357" w:hanging="357"/>
      </w:pPr>
      <w:r w:rsidRPr="00576B62">
        <w:t xml:space="preserve">Sections 321 and 322 of the NGL, which protect pre-existing contractual rights and allow parties to reach alternative arrangements to those set out in an AA. </w:t>
      </w:r>
      <w:r w:rsidR="008A66E8">
        <w:t>In effect, t</w:t>
      </w:r>
      <w:r w:rsidRPr="00576B62">
        <w:t>hese provisions</w:t>
      </w:r>
      <w:r w:rsidR="008A66E8">
        <w:t xml:space="preserve"> </w:t>
      </w:r>
      <w:r w:rsidRPr="00576B62">
        <w:t xml:space="preserve">allow investments to be underwritten by shippers through medium-to long-term GTAs, irrespective of whether or not they </w:t>
      </w:r>
      <w:r w:rsidR="004F5A3E">
        <w:t xml:space="preserve">are </w:t>
      </w:r>
      <w:r w:rsidRPr="00576B62">
        <w:t>approved by the regulator.</w:t>
      </w:r>
      <w:r w:rsidRPr="00576B62">
        <w:rPr>
          <w:rStyle w:val="FootnoteReference"/>
          <w:rFonts w:asciiTheme="majorHAnsi" w:hAnsiTheme="majorHAnsi" w:cstheme="majorHAnsi"/>
          <w:sz w:val="16"/>
          <w:szCs w:val="16"/>
        </w:rPr>
        <w:footnoteRef/>
      </w:r>
      <w:r w:rsidRPr="00576B62">
        <w:t xml:space="preserve"> </w:t>
      </w:r>
    </w:p>
    <w:p w14:paraId="028631CE" w14:textId="77777777" w:rsidR="006C7C89" w:rsidRPr="00576B62" w:rsidRDefault="006C7C89" w:rsidP="004F5A3E">
      <w:pPr>
        <w:pStyle w:val="ListBullet"/>
        <w:spacing w:before="60" w:after="60" w:line="252" w:lineRule="auto"/>
        <w:ind w:left="357" w:hanging="357"/>
      </w:pPr>
      <w:r w:rsidRPr="00576B62">
        <w:t xml:space="preserve">Rule 80 of the NGR, which allows service providers to seek an advance determination from the relevant regulator on whether capital expenditure it proposes to undertake within an AA period will meet the conforming capital expenditure criteria. This rule, in effect, allows investments that were not approved at the time the AA decision was made to still be carried out within the regulatory period and for the service provider to have some certainty as to how the investment will be treated. </w:t>
      </w:r>
    </w:p>
    <w:p w14:paraId="71314D8D" w14:textId="77777777" w:rsidR="006C7C89" w:rsidRPr="00576B62" w:rsidRDefault="006C7C89" w:rsidP="004F5A3E">
      <w:pPr>
        <w:pStyle w:val="ListBullet"/>
        <w:spacing w:before="60" w:after="60" w:line="252" w:lineRule="auto"/>
        <w:ind w:left="357" w:hanging="357"/>
      </w:pPr>
      <w:r w:rsidRPr="00576B62">
        <w:t xml:space="preserve">Rule 51 of the NGR, which allows an AA to be reviewed at an earlier date if a trigger event specified in the approved AA occurs. The trigger event could, for example, include a significant investment in the pipeline (e.g. an expansion, extension or interconnection of the pipeline with another pipeline). </w:t>
      </w:r>
    </w:p>
    <w:p w14:paraId="0B791064" w14:textId="77777777" w:rsidR="006C7C89" w:rsidRDefault="006C7C89" w:rsidP="004F5A3E">
      <w:pPr>
        <w:pStyle w:val="ListBullet"/>
        <w:spacing w:before="60" w:after="60" w:line="252" w:lineRule="auto"/>
        <w:ind w:left="357" w:hanging="357"/>
      </w:pPr>
      <w:r w:rsidRPr="00576B62">
        <w:t xml:space="preserve">Rule 65 of the NGR, which allows a service provider to seek the approval of the regulator to vary its AA during the regulatory period. </w:t>
      </w:r>
    </w:p>
    <w:p w14:paraId="3E76819A" w14:textId="77777777" w:rsidR="006C7C89" w:rsidRPr="00576B62" w:rsidRDefault="006C7C89" w:rsidP="004F5A3E">
      <w:pPr>
        <w:pStyle w:val="ListBullet"/>
        <w:spacing w:before="60" w:after="60" w:line="252" w:lineRule="auto"/>
        <w:ind w:left="357" w:hanging="357"/>
      </w:pPr>
      <w:r w:rsidRPr="00576B62">
        <w:t xml:space="preserve">Rules 81-84 of the NGR, which enable service providers that decide to undertake capital expenditure that has not been approved by the regulator to either: </w:t>
      </w:r>
    </w:p>
    <w:p w14:paraId="6356D067" w14:textId="77777777" w:rsidR="006C7C89" w:rsidRPr="00576B62" w:rsidRDefault="006C7C89" w:rsidP="004F5A3E">
      <w:pPr>
        <w:pStyle w:val="ListBullet2"/>
        <w:spacing w:before="20" w:after="20"/>
      </w:pPr>
      <w:r w:rsidRPr="00576B62">
        <w:t xml:space="preserve">recover that expenditure, or a portion thereof, through a surcharge approved by the relevant regulator or a capital contribution; or </w:t>
      </w:r>
    </w:p>
    <w:p w14:paraId="1485E8FF" w14:textId="77777777" w:rsidR="000D153F" w:rsidRDefault="006C7C89" w:rsidP="004F5A3E">
      <w:pPr>
        <w:pStyle w:val="ListBullet2"/>
        <w:spacing w:before="20" w:after="20"/>
      </w:pPr>
      <w:r w:rsidRPr="00576B62">
        <w:lastRenderedPageBreak/>
        <w:t>include the investment (or a portion thereof) in a ‘speculative capital expenditure account’, which may be rolled into the regulated asset base at a later point in time if the investment is later found to be conforming capital expenditure.</w:t>
      </w:r>
      <w:r w:rsidR="000D153F">
        <w:br w:type="page"/>
      </w:r>
    </w:p>
    <w:p w14:paraId="70482F7D" w14:textId="77777777" w:rsidR="00AD50BB" w:rsidRPr="00AD50BB" w:rsidRDefault="00AD50BB" w:rsidP="00AD50BB">
      <w:pPr>
        <w:pStyle w:val="Heading9"/>
      </w:pPr>
      <w:bookmarkStart w:id="243" w:name="_Ref49753024"/>
      <w:bookmarkStart w:id="244" w:name="_Toc62219438"/>
      <w:r w:rsidRPr="00AD50BB">
        <w:lastRenderedPageBreak/>
        <w:t>Recent reviews</w:t>
      </w:r>
      <w:bookmarkEnd w:id="243"/>
      <w:r w:rsidRPr="00AD50BB">
        <w:t xml:space="preserve"> </w:t>
      </w:r>
      <w:r w:rsidR="008A66E8">
        <w:t>of regulatory framework</w:t>
      </w:r>
      <w:bookmarkEnd w:id="244"/>
    </w:p>
    <w:p w14:paraId="1C52B8BC" w14:textId="77777777" w:rsidR="00AD50BB" w:rsidRPr="006B4639" w:rsidRDefault="00AD50BB" w:rsidP="00AD50BB">
      <w:pPr>
        <w:pStyle w:val="BodyText"/>
      </w:pPr>
      <w:r w:rsidRPr="006B4639">
        <w:t xml:space="preserve">The gas pipeline regulatory framework has been subject to a number of reviews over the last five years, including by: </w:t>
      </w:r>
    </w:p>
    <w:p w14:paraId="2C85D48C" w14:textId="77777777" w:rsidR="00AD50BB" w:rsidRPr="006B4639" w:rsidRDefault="00AD50BB" w:rsidP="00AD36B8">
      <w:pPr>
        <w:pStyle w:val="ListBullet"/>
      </w:pPr>
      <w:r w:rsidRPr="006B4639">
        <w:t xml:space="preserve">the ACCC through its 2015-16 </w:t>
      </w:r>
      <w:r w:rsidRPr="002D047C">
        <w:rPr>
          <w:i/>
          <w:iCs/>
        </w:rPr>
        <w:t>Inquiry</w:t>
      </w:r>
      <w:r w:rsidR="00EF190F" w:rsidRPr="002D047C">
        <w:rPr>
          <w:i/>
          <w:iCs/>
        </w:rPr>
        <w:t xml:space="preserve"> </w:t>
      </w:r>
      <w:r w:rsidR="002D047C" w:rsidRPr="002D047C">
        <w:rPr>
          <w:i/>
          <w:iCs/>
        </w:rPr>
        <w:t>into the east coast gas market</w:t>
      </w:r>
      <w:r w:rsidR="002D047C">
        <w:t xml:space="preserve"> </w:t>
      </w:r>
      <w:r w:rsidR="00EF190F">
        <w:t>(Inquiry)</w:t>
      </w:r>
      <w:r w:rsidRPr="006B4639">
        <w:rPr>
          <w:i/>
          <w:iCs/>
        </w:rPr>
        <w:t>;</w:t>
      </w:r>
    </w:p>
    <w:p w14:paraId="2537C6F1" w14:textId="77777777" w:rsidR="00AD50BB" w:rsidRPr="006B4639" w:rsidRDefault="00AD50BB" w:rsidP="00AD36B8">
      <w:pPr>
        <w:pStyle w:val="ListBullet"/>
      </w:pPr>
      <w:r w:rsidRPr="006B4639">
        <w:t xml:space="preserve">the AEMC through its 2015-16 </w:t>
      </w:r>
      <w:r w:rsidRPr="002D047C">
        <w:t>East Coast Wholesale Gas Market and Pipeline Frameworks Review</w:t>
      </w:r>
      <w:r w:rsidRPr="006B4639">
        <w:t xml:space="preserve"> (East Coast Review) and 2017-18 </w:t>
      </w:r>
      <w:r w:rsidRPr="002D047C">
        <w:t>Review into the scope of economic regulation applied to gas pipelines</w:t>
      </w:r>
      <w:r w:rsidRPr="006B4639">
        <w:t xml:space="preserve"> (</w:t>
      </w:r>
      <w:r w:rsidR="002D047C">
        <w:t xml:space="preserve">Economic </w:t>
      </w:r>
      <w:r w:rsidRPr="006B4639">
        <w:t>regulation</w:t>
      </w:r>
      <w:r w:rsidR="00050483">
        <w:t xml:space="preserve"> review</w:t>
      </w:r>
      <w:r w:rsidRPr="006B4639">
        <w:t>); and</w:t>
      </w:r>
    </w:p>
    <w:p w14:paraId="67D7DB59" w14:textId="77777777" w:rsidR="00AD50BB" w:rsidRDefault="00AD50BB" w:rsidP="00AD36B8">
      <w:pPr>
        <w:pStyle w:val="ListBullet"/>
      </w:pPr>
      <w:r w:rsidRPr="006B4639">
        <w:t xml:space="preserve">Dr Michael Vertigan AC through the </w:t>
      </w:r>
      <w:r w:rsidRPr="006B4639">
        <w:rPr>
          <w:i/>
          <w:iCs/>
        </w:rPr>
        <w:t xml:space="preserve">Examination of the current test for the regulation of gas pipelines </w:t>
      </w:r>
      <w:r w:rsidRPr="006B4639">
        <w:t>(Examination)</w:t>
      </w:r>
      <w:r w:rsidRPr="006B4639">
        <w:rPr>
          <w:i/>
          <w:iCs/>
        </w:rPr>
        <w:t xml:space="preserve"> </w:t>
      </w:r>
      <w:r w:rsidRPr="006B4639">
        <w:t xml:space="preserve">and the GMRG through the subsequent development of Part 23 and preparation of a joint report with the ACCC on measures to improve the transparency of the gas market. </w:t>
      </w:r>
    </w:p>
    <w:p w14:paraId="5F06D054" w14:textId="1F21EB6D" w:rsidR="008A66E8" w:rsidRPr="006B4639" w:rsidRDefault="005C03FE" w:rsidP="00682DD8">
      <w:pPr>
        <w:pStyle w:val="BodyText"/>
      </w:pPr>
      <w:r>
        <w:t xml:space="preserve">In 2019, three </w:t>
      </w:r>
      <w:r w:rsidR="002E3A0A">
        <w:t xml:space="preserve">reviews of Part 23 were also undertaken, two of which were commissioned for this </w:t>
      </w:r>
      <w:r>
        <w:t xml:space="preserve">RIS (i.e. by </w:t>
      </w:r>
      <w:r w:rsidR="008A66E8" w:rsidRPr="006B4639">
        <w:t xml:space="preserve">OGW </w:t>
      </w:r>
      <w:r>
        <w:t>and by Brattle)</w:t>
      </w:r>
      <w:r w:rsidR="00253730">
        <w:rPr>
          <w:rFonts w:ascii="ZWAdobeF" w:hAnsi="ZWAdobeF" w:cs="ZWAdobeF"/>
          <w:sz w:val="2"/>
          <w:szCs w:val="2"/>
        </w:rPr>
        <w:t>261F</w:t>
      </w:r>
      <w:r w:rsidR="008A66E8" w:rsidRPr="006B4639">
        <w:rPr>
          <w:rStyle w:val="FootnoteReference"/>
        </w:rPr>
        <w:footnoteReference w:id="263"/>
      </w:r>
      <w:r w:rsidR="008A66E8" w:rsidRPr="006B4639">
        <w:t xml:space="preserve"> </w:t>
      </w:r>
      <w:r>
        <w:t xml:space="preserve">and the third </w:t>
      </w:r>
      <w:r w:rsidR="00682DD8">
        <w:t xml:space="preserve">undertaken by the ACCC. </w:t>
      </w:r>
    </w:p>
    <w:p w14:paraId="23730F0B" w14:textId="77777777" w:rsidR="00AD50BB" w:rsidRPr="006B4639" w:rsidRDefault="00AD50BB" w:rsidP="00682DD8">
      <w:pPr>
        <w:pStyle w:val="BodyText"/>
      </w:pPr>
      <w:r w:rsidRPr="006B4639">
        <w:t xml:space="preserve">The key findings of these reviews are outlined below. </w:t>
      </w:r>
    </w:p>
    <w:p w14:paraId="1014DB63" w14:textId="77777777" w:rsidR="00AD50BB" w:rsidRPr="006B4639" w:rsidRDefault="00AD50BB" w:rsidP="00682DD8">
      <w:pPr>
        <w:pStyle w:val="AppendixHeading2"/>
      </w:pPr>
      <w:bookmarkStart w:id="245" w:name="_Ref18299791"/>
      <w:r w:rsidRPr="006B4639">
        <w:t>ACCC 2015-16 Inquiry</w:t>
      </w:r>
      <w:bookmarkEnd w:id="245"/>
      <w:r w:rsidRPr="006B4639">
        <w:t xml:space="preserve"> </w:t>
      </w:r>
    </w:p>
    <w:p w14:paraId="0B3115E6" w14:textId="735184B1" w:rsidR="00682DD8" w:rsidRDefault="00AD50BB" w:rsidP="00AD50BB">
      <w:pPr>
        <w:pStyle w:val="BodyText"/>
      </w:pPr>
      <w:r w:rsidRPr="006B4639">
        <w:t>One of the key findings of the ACCC’s 2015-16 Inquiry was that while the service providers had responded well to the changes underway in the market, there was evidence that a large number of existing pipelines were engaging in monopoly pricing to the detriment of economic efficiency and consumers more generally.</w:t>
      </w:r>
      <w:r w:rsidR="00253730">
        <w:rPr>
          <w:rFonts w:ascii="ZWAdobeF" w:hAnsi="ZWAdobeF" w:cs="ZWAdobeF"/>
          <w:sz w:val="2"/>
          <w:szCs w:val="2"/>
        </w:rPr>
        <w:t>262F</w:t>
      </w:r>
      <w:r w:rsidRPr="006B4639">
        <w:rPr>
          <w:rStyle w:val="FootnoteReference"/>
        </w:rPr>
        <w:footnoteReference w:id="264"/>
      </w:r>
      <w:r w:rsidRPr="006B4639">
        <w:t xml:space="preserve"> </w:t>
      </w:r>
    </w:p>
    <w:p w14:paraId="7521BD1E" w14:textId="0CD44D07" w:rsidR="00AD50BB" w:rsidRPr="006B4639" w:rsidRDefault="00AD50BB" w:rsidP="00AD50BB">
      <w:pPr>
        <w:pStyle w:val="BodyText"/>
      </w:pPr>
      <w:r w:rsidRPr="006B4639">
        <w:t>The ACCC also found that the ability and incentive for service providers to engage in this behaviour was not being effectively constrained by the countervailing power of shippers, or by competition from other pipelines or energy sources.</w:t>
      </w:r>
      <w:r w:rsidRPr="006B4639">
        <w:rPr>
          <w:rStyle w:val="FootnoteReference"/>
        </w:rPr>
        <w:t xml:space="preserve"> </w:t>
      </w:r>
      <w:r w:rsidR="00253730">
        <w:rPr>
          <w:rFonts w:ascii="ZWAdobeF" w:hAnsi="ZWAdobeF" w:cs="ZWAdobeF"/>
          <w:sz w:val="2"/>
          <w:szCs w:val="2"/>
        </w:rPr>
        <w:t>263F</w:t>
      </w:r>
      <w:r w:rsidRPr="006B4639">
        <w:rPr>
          <w:rStyle w:val="FootnoteReference"/>
        </w:rPr>
        <w:footnoteReference w:id="265"/>
      </w:r>
      <w:r w:rsidRPr="006B4639">
        <w:t xml:space="preserve"> Similarly, the ACCC found that:</w:t>
      </w:r>
      <w:r w:rsidRPr="006B4639">
        <w:rPr>
          <w:rStyle w:val="FootnoteReference"/>
        </w:rPr>
        <w:t xml:space="preserve"> </w:t>
      </w:r>
      <w:r w:rsidR="00253730">
        <w:rPr>
          <w:rFonts w:ascii="ZWAdobeF" w:hAnsi="ZWAdobeF" w:cs="ZWAdobeF"/>
          <w:sz w:val="2"/>
          <w:szCs w:val="2"/>
        </w:rPr>
        <w:t>264F</w:t>
      </w:r>
      <w:r w:rsidRPr="006B4639">
        <w:rPr>
          <w:rStyle w:val="FootnoteReference"/>
        </w:rPr>
        <w:footnoteReference w:id="266"/>
      </w:r>
      <w:r w:rsidRPr="006B4639">
        <w:t xml:space="preserve"> </w:t>
      </w:r>
    </w:p>
    <w:p w14:paraId="2A611A51" w14:textId="77777777" w:rsidR="00AD50BB" w:rsidRPr="006B4639" w:rsidRDefault="00AD50BB" w:rsidP="00AD36B8">
      <w:pPr>
        <w:pStyle w:val="ListBullet"/>
      </w:pPr>
      <w:r w:rsidRPr="006B4639">
        <w:t>the threat of regulation was failing to impose an effective constraint on service providers because the coverage test was not directed to the right market failure (i.e. monopoly pricing that results in economic inefficiencies with little or no effect on competition in dependent markets) and was unlikely therefore to be met by most pipelines;</w:t>
      </w:r>
    </w:p>
    <w:p w14:paraId="6A3B56FC" w14:textId="3E8B4A2B" w:rsidR="00AD50BB" w:rsidRPr="006B4639" w:rsidRDefault="00AD50BB" w:rsidP="00AD36B8">
      <w:pPr>
        <w:pStyle w:val="ListBullet"/>
      </w:pPr>
      <w:r w:rsidRPr="006B4639">
        <w:t>other gaps in the regulatory framework</w:t>
      </w:r>
      <w:r w:rsidR="00253730">
        <w:rPr>
          <w:rFonts w:ascii="ZWAdobeF" w:hAnsi="ZWAdobeF" w:cs="ZWAdobeF"/>
          <w:sz w:val="2"/>
          <w:szCs w:val="2"/>
        </w:rPr>
        <w:t>265F</w:t>
      </w:r>
      <w:r w:rsidRPr="006B4639">
        <w:rPr>
          <w:rStyle w:val="FootnoteReference"/>
        </w:rPr>
        <w:footnoteReference w:id="267"/>
      </w:r>
      <w:r w:rsidRPr="006B4639">
        <w:t xml:space="preserve"> and limitations with the dispute resolution mechanism</w:t>
      </w:r>
      <w:r w:rsidR="00253730">
        <w:rPr>
          <w:rFonts w:ascii="ZWAdobeF" w:hAnsi="ZWAdobeF" w:cs="ZWAdobeF"/>
          <w:sz w:val="2"/>
          <w:szCs w:val="2"/>
        </w:rPr>
        <w:t>266F</w:t>
      </w:r>
      <w:r w:rsidRPr="006B4639">
        <w:rPr>
          <w:rStyle w:val="FootnoteReference"/>
        </w:rPr>
        <w:footnoteReference w:id="268"/>
      </w:r>
      <w:r w:rsidRPr="006B4639">
        <w:t xml:space="preserve"> were allowing pipelines subject to full and light regulation to continue to engage in monopoly pricing; and</w:t>
      </w:r>
    </w:p>
    <w:p w14:paraId="0184FF48" w14:textId="77777777" w:rsidR="00AD50BB" w:rsidRPr="006B4639" w:rsidRDefault="00AD50BB" w:rsidP="00AD36B8">
      <w:pPr>
        <w:pStyle w:val="ListBullet"/>
      </w:pPr>
      <w:r w:rsidRPr="006B4639">
        <w:t xml:space="preserve">the limited publicly available information on the costs incurred by service providers and the relationship between these costs and the prices charged for services were limiting </w:t>
      </w:r>
      <w:r w:rsidRPr="006B4639">
        <w:lastRenderedPageBreak/>
        <w:t>the ability of shippers to readily identify any exercise of market power and to negotiate effectively with service providers.</w:t>
      </w:r>
    </w:p>
    <w:p w14:paraId="664218B0" w14:textId="00A918DC" w:rsidR="00AD50BB" w:rsidRPr="006B4639" w:rsidRDefault="00AD50BB" w:rsidP="00AD50BB">
      <w:pPr>
        <w:pStyle w:val="BodyText"/>
      </w:pPr>
      <w:r w:rsidRPr="006B4639">
        <w:t xml:space="preserve">To address these issues, the ACCC recommended that the </w:t>
      </w:r>
      <w:r w:rsidR="00BA5B0B">
        <w:t xml:space="preserve">former </w:t>
      </w:r>
      <w:r w:rsidR="00FA1168">
        <w:t xml:space="preserve">COAG </w:t>
      </w:r>
      <w:r w:rsidRPr="006B4639">
        <w:t>Energy Council:</w:t>
      </w:r>
      <w:r w:rsidR="00253730">
        <w:rPr>
          <w:rFonts w:ascii="ZWAdobeF" w:hAnsi="ZWAdobeF" w:cs="ZWAdobeF"/>
          <w:sz w:val="2"/>
          <w:szCs w:val="2"/>
        </w:rPr>
        <w:t>267F</w:t>
      </w:r>
      <w:r w:rsidRPr="006B4639">
        <w:rPr>
          <w:rStyle w:val="FootnoteReference"/>
        </w:rPr>
        <w:footnoteReference w:id="269"/>
      </w:r>
    </w:p>
    <w:p w14:paraId="10BA063C" w14:textId="77777777" w:rsidR="00AD50BB" w:rsidRPr="006B4639" w:rsidRDefault="00AD50BB" w:rsidP="00D73A94">
      <w:pPr>
        <w:pStyle w:val="ListNumber"/>
        <w:numPr>
          <w:ilvl w:val="0"/>
          <w:numId w:val="32"/>
        </w:numPr>
      </w:pPr>
      <w:r w:rsidRPr="006B4639">
        <w:t xml:space="preserve">Replace the coverage test with a new test for regulation that would be triggered if the relevant Minister, having regard to the NCC”s recommendation, was satisfied that: </w:t>
      </w:r>
    </w:p>
    <w:p w14:paraId="4B8DF91F" w14:textId="77777777" w:rsidR="00AD50BB" w:rsidRPr="006B4639" w:rsidRDefault="00AD50BB" w:rsidP="00AD36B8">
      <w:pPr>
        <w:pStyle w:val="ListBullet2"/>
      </w:pPr>
      <w:r w:rsidRPr="006B4639">
        <w:t>the pipeline in question has substantial market power and the market power was likely to continue in the medium term; and</w:t>
      </w:r>
    </w:p>
    <w:p w14:paraId="209B057D" w14:textId="77777777" w:rsidR="00AD50BB" w:rsidRPr="006B4639" w:rsidRDefault="00AD50BB" w:rsidP="00AD36B8">
      <w:pPr>
        <w:pStyle w:val="ListBullet2"/>
      </w:pPr>
      <w:r w:rsidRPr="006B4639">
        <w:t>coverage would, or would likely, contribute to the achievement of the NGO.</w:t>
      </w:r>
    </w:p>
    <w:p w14:paraId="762E3D1C" w14:textId="77777777" w:rsidR="00AD50BB" w:rsidRPr="006B4639" w:rsidRDefault="00AD50BB" w:rsidP="00AD50BB">
      <w:pPr>
        <w:pStyle w:val="ListNumber"/>
      </w:pPr>
      <w:r w:rsidRPr="006B4639">
        <w:t xml:space="preserve">Ask the AEMC to conduct a review </w:t>
      </w:r>
      <w:r w:rsidR="008E3762">
        <w:t xml:space="preserve">of </w:t>
      </w:r>
      <w:r w:rsidRPr="006B4639">
        <w:t xml:space="preserve">Parts 8-12 of the NGR and make any amendments that may be required to: </w:t>
      </w:r>
    </w:p>
    <w:p w14:paraId="66EB5DEB" w14:textId="77777777" w:rsidR="00AD50BB" w:rsidRPr="006B4639" w:rsidRDefault="00AD50BB" w:rsidP="00AD36B8">
      <w:pPr>
        <w:pStyle w:val="ListBullet2"/>
      </w:pPr>
      <w:r w:rsidRPr="006B4639">
        <w:t xml:space="preserve">address the concern that pipelines subject to full regulation may still be able to exercise market power; and </w:t>
      </w:r>
    </w:p>
    <w:p w14:paraId="6E7EFF39" w14:textId="77777777" w:rsidR="00AD50BB" w:rsidRPr="006B4639" w:rsidRDefault="00AD50BB" w:rsidP="00AD36B8">
      <w:pPr>
        <w:pStyle w:val="ListBullet2"/>
      </w:pPr>
      <w:r w:rsidRPr="006B4639">
        <w:t>make the dispute resolution mechanism more accessible to shippers, so that it poses a more effective constraint on the behaviour of service providers.</w:t>
      </w:r>
    </w:p>
    <w:p w14:paraId="19121B68" w14:textId="77777777" w:rsidR="00AD50BB" w:rsidRPr="006B4639" w:rsidRDefault="00AD50BB" w:rsidP="00AD50BB">
      <w:pPr>
        <w:pStyle w:val="ListNumber"/>
      </w:pPr>
      <w:r w:rsidRPr="006B4639">
        <w:t>Ask the AEMC to consider expanding the scope of the information disclosure requirements to require all pipelines providing third party access to publish financial information that shippers can use to determine whether or not the prices they are offered are cost reflective and to readily identify any exercise of market power.</w:t>
      </w:r>
    </w:p>
    <w:p w14:paraId="66B21542" w14:textId="27E73DD2" w:rsidR="00AD50BB" w:rsidRPr="006B4639" w:rsidRDefault="00AD50BB" w:rsidP="00AD50BB">
      <w:pPr>
        <w:pStyle w:val="BodyText"/>
      </w:pPr>
      <w:r w:rsidRPr="006B4639">
        <w:t>The ACCC also noted the importance of maintaining the existing investment related safeguards in the NGL and NGR (e.g. the 15-year exemption from coverage for greenfield pipelines and the protection accorded to commercially negotiated contracts) to minimise the risk of regulation distorting investment incentives.</w:t>
      </w:r>
      <w:r w:rsidR="00971A43">
        <w:rPr>
          <w:rFonts w:ascii="ZWAdobeF" w:hAnsi="ZWAdobeF" w:cs="ZWAdobeF"/>
          <w:sz w:val="2"/>
          <w:szCs w:val="2"/>
        </w:rPr>
        <w:t>268F</w:t>
      </w:r>
      <w:r w:rsidRPr="006B4639">
        <w:rPr>
          <w:rStyle w:val="FootnoteReference"/>
        </w:rPr>
        <w:footnoteReference w:id="270"/>
      </w:r>
      <w:r w:rsidRPr="006B4639">
        <w:t xml:space="preserve"> </w:t>
      </w:r>
    </w:p>
    <w:p w14:paraId="58E672D2" w14:textId="6D3B69F8" w:rsidR="00AD50BB" w:rsidRPr="006B4639" w:rsidRDefault="00AD50BB" w:rsidP="00AD50BB">
      <w:pPr>
        <w:pStyle w:val="BodyText"/>
      </w:pPr>
      <w:r w:rsidRPr="006B4639">
        <w:t xml:space="preserve">The </w:t>
      </w:r>
      <w:r w:rsidR="00482A25">
        <w:t xml:space="preserve">former </w:t>
      </w:r>
      <w:r w:rsidR="00FA1168">
        <w:t xml:space="preserve">COAG </w:t>
      </w:r>
      <w:r w:rsidRPr="006B4639">
        <w:t>Energy Council responded to these recommendations in August 2016 by directing:</w:t>
      </w:r>
      <w:r w:rsidR="00971A43">
        <w:rPr>
          <w:rFonts w:ascii="ZWAdobeF" w:hAnsi="ZWAdobeF" w:cs="ZWAdobeF"/>
          <w:sz w:val="2"/>
          <w:szCs w:val="2"/>
        </w:rPr>
        <w:t>269F</w:t>
      </w:r>
      <w:r w:rsidRPr="006B4639">
        <w:rPr>
          <w:rStyle w:val="FootnoteReference"/>
        </w:rPr>
        <w:footnoteReference w:id="271"/>
      </w:r>
      <w:r w:rsidRPr="006B4639">
        <w:t xml:space="preserve"> </w:t>
      </w:r>
    </w:p>
    <w:p w14:paraId="1BCFC712" w14:textId="77777777" w:rsidR="00AD50BB" w:rsidRPr="006B4639" w:rsidRDefault="00AD50BB" w:rsidP="00AD36B8">
      <w:pPr>
        <w:pStyle w:val="ListBullet"/>
      </w:pPr>
      <w:r w:rsidRPr="006B4639">
        <w:t xml:space="preserve">the Independent chair of the GMRG, Dr Vertigan, to examine the test for regulation and to review the information disclosure requirements (see </w:t>
      </w:r>
      <w:r w:rsidR="00C90A1D">
        <w:t>B.</w:t>
      </w:r>
      <w:r w:rsidRPr="006B4639">
        <w:t xml:space="preserve">3), and </w:t>
      </w:r>
    </w:p>
    <w:p w14:paraId="0D14BCC8" w14:textId="77777777" w:rsidR="00AD50BB" w:rsidRPr="006B4639" w:rsidRDefault="00AD50BB" w:rsidP="00AD36B8">
      <w:pPr>
        <w:pStyle w:val="ListBullet"/>
      </w:pPr>
      <w:r w:rsidRPr="006B4639">
        <w:t xml:space="preserve">the AEMC to conduct a review of Parts 8-12 of the NGR (see section </w:t>
      </w:r>
      <w:r w:rsidR="00C90A1D">
        <w:t>B</w:t>
      </w:r>
      <w:r w:rsidRPr="006B4639">
        <w:t>.4).</w:t>
      </w:r>
    </w:p>
    <w:p w14:paraId="6F9B03D1" w14:textId="77777777" w:rsidR="00AD50BB" w:rsidRPr="006B4639" w:rsidRDefault="00AD50BB" w:rsidP="00682DD8">
      <w:pPr>
        <w:pStyle w:val="AppendixHeading2"/>
      </w:pPr>
      <w:bookmarkStart w:id="246" w:name="_Ref18299794"/>
      <w:r w:rsidRPr="006B4639">
        <w:t>AEMC 2015-16 East Cost Review</w:t>
      </w:r>
      <w:bookmarkEnd w:id="246"/>
    </w:p>
    <w:p w14:paraId="28EE6DDA" w14:textId="77777777" w:rsidR="00AD50BB" w:rsidRPr="006B4639" w:rsidRDefault="00AD50BB" w:rsidP="00AD50BB">
      <w:pPr>
        <w:pStyle w:val="BodyText"/>
      </w:pPr>
      <w:r w:rsidRPr="006B4639">
        <w:t xml:space="preserve">At the same time the ACCC was undertaking its inquiry, the AEMC was conducting its East Coast Review. </w:t>
      </w:r>
    </w:p>
    <w:p w14:paraId="5DF900A9" w14:textId="1B5D3047" w:rsidR="00AD50BB" w:rsidRPr="006B4639" w:rsidRDefault="00AD50BB" w:rsidP="00AD50BB">
      <w:pPr>
        <w:pStyle w:val="BodyText"/>
      </w:pPr>
      <w:r w:rsidRPr="006B4639">
        <w:t xml:space="preserve">Like the ACCC, the AEMC examined the coverage test and found it may not be directed to the right market </w:t>
      </w:r>
      <w:r w:rsidRPr="00AD57CF">
        <w:t xml:space="preserve">failure and, as a consequence, pipelines may not be subject to the appropriate level of regulation (see Box </w:t>
      </w:r>
      <w:r w:rsidR="00AD57CF" w:rsidRPr="00AD57CF">
        <w:t>B</w:t>
      </w:r>
      <w:r w:rsidRPr="00AD57CF">
        <w:t>.1 for</w:t>
      </w:r>
      <w:r w:rsidRPr="006B4639">
        <w:t xml:space="preserve"> more detail):</w:t>
      </w:r>
      <w:r w:rsidRPr="006B4639">
        <w:rPr>
          <w:rStyle w:val="FootnoteReference"/>
          <w:lang w:eastAsia="fr-CA"/>
        </w:rPr>
        <w:t xml:space="preserve"> </w:t>
      </w:r>
      <w:r w:rsidR="00971A43">
        <w:rPr>
          <w:rFonts w:ascii="ZWAdobeF" w:hAnsi="ZWAdobeF" w:cs="ZWAdobeF"/>
          <w:sz w:val="2"/>
          <w:szCs w:val="2"/>
          <w:lang w:eastAsia="fr-CA"/>
        </w:rPr>
        <w:t>270F</w:t>
      </w:r>
      <w:r w:rsidRPr="006B4639">
        <w:rPr>
          <w:rStyle w:val="FootnoteReference"/>
          <w:lang w:eastAsia="fr-CA"/>
        </w:rPr>
        <w:footnoteReference w:id="272"/>
      </w:r>
      <w:r w:rsidRPr="006B4639">
        <w:t xml:space="preserve"> </w:t>
      </w:r>
    </w:p>
    <w:p w14:paraId="349B43A3" w14:textId="77777777" w:rsidR="00AD50BB" w:rsidRPr="006B4639" w:rsidRDefault="00AD50BB" w:rsidP="00AD50BB">
      <w:pPr>
        <w:pStyle w:val="Quote"/>
      </w:pPr>
      <w:r w:rsidRPr="006B4639">
        <w:t xml:space="preserve"> “…the Gas Access Regime is not a comprehensive regulatory instrument designed to solve a broad range of problems such as monopoly pricing and that if such behaviour was </w:t>
      </w:r>
      <w:r w:rsidRPr="006B4639">
        <w:lastRenderedPageBreak/>
        <w:t xml:space="preserve">occurring pipelines may not be subject to the appropriate level of regulation. Unconstrained by competition or regulation, pipeline operators may be able to price capacity at a level higher than that which would be expected to prevail in a workably competitive market, which could have a detrimental effect on economic efficiency and consumers more generally, against the interests of the NGO. </w:t>
      </w:r>
    </w:p>
    <w:p w14:paraId="437EA1CD" w14:textId="77777777" w:rsidR="00AD50BB" w:rsidRPr="006B4639" w:rsidRDefault="00AD50BB" w:rsidP="00AD50BB">
      <w:pPr>
        <w:pStyle w:val="Quote"/>
        <w:rPr>
          <w:color w:val="0000FF"/>
        </w:rPr>
      </w:pPr>
      <w:r w:rsidRPr="006B4639">
        <w:t>Given the ACCC's analysis and evidence of the problem, which is consistent with the AEMC's own analysis, the AEMC concurs with the ACCC's recommended approach to progressing reforms to the Gas Access Regime. The AEMC further notes that moves to make a more industry specific access regime for gas in the manner envisaged by the ACCC is not inconsistent with the approach taken in some other sectors – indeed, the electricity sector is a clear example of an industry specific access regime.”</w:t>
      </w:r>
    </w:p>
    <w:p w14:paraId="6C120A4A" w14:textId="77777777" w:rsidR="00AD50BB" w:rsidRPr="006B4639" w:rsidRDefault="00AD50BB" w:rsidP="00AD50BB">
      <w:pPr>
        <w:pStyle w:val="Caption"/>
        <w:spacing w:after="0"/>
      </w:pPr>
      <w:r w:rsidRPr="006B4639">
        <w:t xml:space="preserve">Box </w:t>
      </w:r>
      <w:r w:rsidR="00A74302">
        <w:t>B.1</w:t>
      </w:r>
      <w:r w:rsidRPr="006B4639">
        <w:t>: AEMC findings on the coverage test</w:t>
      </w:r>
    </w:p>
    <w:tbl>
      <w:tblPr>
        <w:tblStyle w:val="PullOutBoxTable"/>
        <w:tblW w:w="5000" w:type="pct"/>
        <w:tblLook w:val="0600" w:firstRow="0" w:lastRow="0" w:firstColumn="0" w:lastColumn="0" w:noHBand="1" w:noVBand="1"/>
      </w:tblPr>
      <w:tblGrid>
        <w:gridCol w:w="8788"/>
      </w:tblGrid>
      <w:tr w:rsidR="00AD50BB" w:rsidRPr="006B4639" w14:paraId="6571201A" w14:textId="77777777" w:rsidTr="001A440E">
        <w:tc>
          <w:tcPr>
            <w:tcW w:w="5000" w:type="pct"/>
          </w:tcPr>
          <w:p w14:paraId="0B21AA67" w14:textId="77777777" w:rsidR="00AD50BB" w:rsidRPr="006B4639" w:rsidRDefault="00AD50BB" w:rsidP="001A440E">
            <w:pPr>
              <w:pStyle w:val="Quote"/>
              <w:spacing w:before="80"/>
              <w:ind w:left="0"/>
              <w:rPr>
                <w:i w:val="0"/>
                <w:iCs w:val="0"/>
              </w:rPr>
            </w:pPr>
            <w:r w:rsidRPr="006B4639">
              <w:rPr>
                <w:i w:val="0"/>
                <w:iCs w:val="0"/>
              </w:rPr>
              <w:t>The AEMC’s findings on the coverage test, were informed by two independent economic experts that were engaged by the AEMC: Incenta and Castalia.</w:t>
            </w:r>
          </w:p>
          <w:p w14:paraId="2592EC17" w14:textId="77777777" w:rsidR="00AD50BB" w:rsidRPr="006B4639" w:rsidRDefault="00AD50BB" w:rsidP="001A440E">
            <w:pPr>
              <w:pStyle w:val="Quote"/>
              <w:ind w:left="0"/>
              <w:rPr>
                <w:i w:val="0"/>
                <w:iCs w:val="0"/>
              </w:rPr>
            </w:pPr>
            <w:r w:rsidRPr="006B4639">
              <w:rPr>
                <w:i w:val="0"/>
                <w:iCs w:val="0"/>
              </w:rPr>
              <w:t>In its report to the AEMC, Incenta noted that:</w:t>
            </w:r>
          </w:p>
          <w:p w14:paraId="1077EA74" w14:textId="6111DDE5" w:rsidR="00AD50BB" w:rsidRPr="006B4639" w:rsidRDefault="00AD50BB" w:rsidP="001A440E">
            <w:pPr>
              <w:pStyle w:val="Quote"/>
            </w:pPr>
            <w:r w:rsidRPr="006B4639">
              <w:t>“Rather than a problem of the denial of access, the issue with respect to gas pipelines is one of monopoly pricing. It is our view that criterion (a) is not centrally focused on this question, which in turn raises a prospect that price regulation may not be applied when it is justified.”</w:t>
            </w:r>
            <w:r w:rsidR="00971A43">
              <w:rPr>
                <w:rFonts w:ascii="ZWAdobeF" w:hAnsi="ZWAdobeF" w:cs="ZWAdobeF"/>
                <w:i w:val="0"/>
                <w:sz w:val="2"/>
                <w:szCs w:val="2"/>
              </w:rPr>
              <w:t>271F</w:t>
            </w:r>
            <w:r w:rsidRPr="006B4639">
              <w:rPr>
                <w:rStyle w:val="FootnoteReference"/>
              </w:rPr>
              <w:footnoteReference w:id="273"/>
            </w:r>
          </w:p>
          <w:p w14:paraId="636A0B2D" w14:textId="057A8CB0" w:rsidR="00AD50BB" w:rsidRPr="006B4639" w:rsidRDefault="00AD50BB" w:rsidP="001A440E">
            <w:pPr>
              <w:pStyle w:val="Quote"/>
            </w:pPr>
            <w:r w:rsidRPr="006B4639">
              <w:t>“As demonstrated by the Hilmer Review, the national access regime was never intended to provide a regime for price regulation in instances of market power. By continuing to apply a form of test focused on providing regulated access to a circumstance where regulation should focus more on price, there is an increased risk that regulation is not applied in circumstances where it would otherwise be justified.”</w:t>
            </w:r>
            <w:r w:rsidRPr="006B4639">
              <w:rPr>
                <w:rStyle w:val="FootnoteReference"/>
              </w:rPr>
              <w:t xml:space="preserve"> </w:t>
            </w:r>
            <w:r w:rsidR="00971A43">
              <w:rPr>
                <w:rFonts w:ascii="ZWAdobeF" w:hAnsi="ZWAdobeF" w:cs="ZWAdobeF"/>
                <w:i w:val="0"/>
                <w:sz w:val="2"/>
                <w:szCs w:val="2"/>
              </w:rPr>
              <w:t>272F</w:t>
            </w:r>
            <w:r w:rsidRPr="006B4639">
              <w:rPr>
                <w:rStyle w:val="FootnoteReference"/>
              </w:rPr>
              <w:footnoteReference w:id="274"/>
            </w:r>
            <w:r w:rsidRPr="006B4639">
              <w:t xml:space="preserve"> </w:t>
            </w:r>
          </w:p>
          <w:p w14:paraId="763BAF89" w14:textId="4973DE08" w:rsidR="00AD50BB" w:rsidRPr="006B4639" w:rsidRDefault="00AD50BB" w:rsidP="001A440E">
            <w:pPr>
              <w:pStyle w:val="Quote"/>
            </w:pPr>
            <w:r w:rsidRPr="006B4639">
              <w:t>“It is our view that the potential risks of under or over-regulation that arise under the current regime for gas coverage can be addressed by asking a more straightforward question, namely: do the costs of regulation outweigh its benefits. In this case, this question can largely be answered by asking whether a gas pipeline owner possesses, and is able to apply, substantial and enduring market power.”</w:t>
            </w:r>
            <w:r w:rsidRPr="006B4639">
              <w:rPr>
                <w:rStyle w:val="FootnoteReference"/>
              </w:rPr>
              <w:t xml:space="preserve"> </w:t>
            </w:r>
            <w:r w:rsidR="00971A43">
              <w:rPr>
                <w:rFonts w:ascii="ZWAdobeF" w:hAnsi="ZWAdobeF" w:cs="ZWAdobeF"/>
                <w:i w:val="0"/>
                <w:sz w:val="2"/>
                <w:szCs w:val="2"/>
              </w:rPr>
              <w:t>273F</w:t>
            </w:r>
            <w:r w:rsidRPr="006B4639">
              <w:rPr>
                <w:rStyle w:val="FootnoteReference"/>
              </w:rPr>
              <w:footnoteReference w:id="275"/>
            </w:r>
          </w:p>
          <w:p w14:paraId="6ACA1413" w14:textId="7D19A52E" w:rsidR="00AD50BB" w:rsidRPr="006B4639" w:rsidRDefault="00AD50BB" w:rsidP="001A440E">
            <w:pPr>
              <w:pStyle w:val="BodyText"/>
              <w:rPr>
                <w:sz w:val="20"/>
                <w:szCs w:val="20"/>
                <w:lang w:eastAsia="fr-CA"/>
              </w:rPr>
            </w:pPr>
            <w:r w:rsidRPr="006B4639">
              <w:rPr>
                <w:sz w:val="20"/>
                <w:szCs w:val="20"/>
                <w:lang w:eastAsia="fr-CA"/>
              </w:rPr>
              <w:t>Castalia formed a similar view, although it suggested that the test for regulation could be amended by replacing the term ‘competition’ in criterion (a) with the term ‘efficiency’.</w:t>
            </w:r>
            <w:r w:rsidR="00971A43">
              <w:rPr>
                <w:rFonts w:ascii="ZWAdobeF" w:hAnsi="ZWAdobeF" w:cs="ZWAdobeF"/>
                <w:sz w:val="2"/>
                <w:szCs w:val="2"/>
                <w:lang w:eastAsia="fr-CA"/>
              </w:rPr>
              <w:t>274F</w:t>
            </w:r>
            <w:r w:rsidRPr="006B4639">
              <w:rPr>
                <w:rStyle w:val="FootnoteReference"/>
                <w:sz w:val="20"/>
                <w:szCs w:val="20"/>
                <w:lang w:eastAsia="fr-CA"/>
              </w:rPr>
              <w:footnoteReference w:id="276"/>
            </w:r>
          </w:p>
        </w:tc>
      </w:tr>
    </w:tbl>
    <w:p w14:paraId="3FE96162" w14:textId="5BE2D277" w:rsidR="00AD50BB" w:rsidRPr="006B4639" w:rsidRDefault="00AD50BB" w:rsidP="00AD50BB">
      <w:pPr>
        <w:pStyle w:val="BodyText"/>
        <w:rPr>
          <w:lang w:eastAsia="fr-CA"/>
        </w:rPr>
      </w:pPr>
      <w:r w:rsidRPr="006B4639">
        <w:rPr>
          <w:lang w:eastAsia="fr-CA"/>
        </w:rPr>
        <w:t>The AEMC also formed a similar view to the ACCC on the need for greater information disclosure by service providers and recommended that further consideration be given to these requirements, including the publication of information on the prices paid by shippers for capacity.</w:t>
      </w:r>
      <w:r w:rsidR="00971A43">
        <w:rPr>
          <w:rFonts w:ascii="ZWAdobeF" w:hAnsi="ZWAdobeF" w:cs="ZWAdobeF"/>
          <w:sz w:val="2"/>
          <w:szCs w:val="2"/>
          <w:lang w:eastAsia="fr-CA"/>
        </w:rPr>
        <w:t>275F</w:t>
      </w:r>
      <w:r w:rsidRPr="006B4639">
        <w:rPr>
          <w:rStyle w:val="FootnoteReference"/>
          <w:lang w:eastAsia="fr-CA"/>
        </w:rPr>
        <w:footnoteReference w:id="277"/>
      </w:r>
      <w:r w:rsidRPr="006B4639">
        <w:rPr>
          <w:lang w:eastAsia="fr-CA"/>
        </w:rPr>
        <w:t xml:space="preserve"> </w:t>
      </w:r>
    </w:p>
    <w:p w14:paraId="7749C191" w14:textId="4DCE1C80" w:rsidR="00AD50BB" w:rsidRPr="006B4639" w:rsidRDefault="00AD50BB" w:rsidP="00AD50BB">
      <w:pPr>
        <w:pStyle w:val="BodyText"/>
      </w:pPr>
      <w:r w:rsidRPr="006B4639">
        <w:t xml:space="preserve">In addition to these primary capacity related recommendations, the AEMC recommended a range of reforms to facilitate more secondary capacity trading on transmission pipelines operating under the contract carriage model to improve the efficiency with which capacity is allocated and used on these pipelines (see Chapter 2). These recommendations </w:t>
      </w:r>
      <w:r>
        <w:t xml:space="preserve">were </w:t>
      </w:r>
      <w:r w:rsidRPr="006B4639">
        <w:t xml:space="preserve">endorsed by the </w:t>
      </w:r>
      <w:r w:rsidR="00833E0A">
        <w:t xml:space="preserve">former </w:t>
      </w:r>
      <w:r w:rsidR="00FA1168">
        <w:t xml:space="preserve">COAG </w:t>
      </w:r>
      <w:r w:rsidRPr="006B4639">
        <w:t>Energy Council at its August 2016 meeting,</w:t>
      </w:r>
      <w:r w:rsidR="00971A43">
        <w:rPr>
          <w:rFonts w:ascii="ZWAdobeF" w:hAnsi="ZWAdobeF" w:cs="ZWAdobeF"/>
          <w:sz w:val="2"/>
          <w:szCs w:val="2"/>
        </w:rPr>
        <w:t>276F</w:t>
      </w:r>
      <w:r w:rsidRPr="006B4639">
        <w:rPr>
          <w:rStyle w:val="FootnoteReference"/>
        </w:rPr>
        <w:footnoteReference w:id="278"/>
      </w:r>
      <w:r w:rsidRPr="006B4639">
        <w:t xml:space="preserve"> and </w:t>
      </w:r>
      <w:r w:rsidR="00A42FF0">
        <w:t xml:space="preserve">were </w:t>
      </w:r>
      <w:r w:rsidRPr="006B4639">
        <w:lastRenderedPageBreak/>
        <w:t>implemented in eastern Australia and the Northern Territory</w:t>
      </w:r>
      <w:r w:rsidR="00A42FF0">
        <w:t xml:space="preserve"> in </w:t>
      </w:r>
      <w:r w:rsidR="00B86B9A">
        <w:t>late 2018 (with the capacity trading platform and day-ahead auction of contracted but un-nominated capacity commencing on 1 March 2019)</w:t>
      </w:r>
      <w:r w:rsidRPr="006B4639">
        <w:t>.</w:t>
      </w:r>
      <w:r w:rsidR="00971A43">
        <w:rPr>
          <w:rFonts w:ascii="ZWAdobeF" w:hAnsi="ZWAdobeF" w:cs="ZWAdobeF"/>
          <w:sz w:val="2"/>
          <w:szCs w:val="2"/>
        </w:rPr>
        <w:t>277F</w:t>
      </w:r>
      <w:r w:rsidRPr="006B4639">
        <w:rPr>
          <w:rStyle w:val="FootnoteReference"/>
          <w:rFonts w:cs="Arial"/>
        </w:rPr>
        <w:footnoteReference w:id="279"/>
      </w:r>
    </w:p>
    <w:p w14:paraId="6393D721" w14:textId="77777777" w:rsidR="00AD50BB" w:rsidRPr="006B4639" w:rsidRDefault="00AD50BB" w:rsidP="00682DD8">
      <w:pPr>
        <w:pStyle w:val="AppendixHeading2"/>
      </w:pPr>
      <w:r w:rsidRPr="006B4639">
        <w:t xml:space="preserve">Dr Vertigan’s Examination of the test for regulation and other work </w:t>
      </w:r>
    </w:p>
    <w:p w14:paraId="39B0E5C7" w14:textId="77777777" w:rsidR="00AD50BB" w:rsidRPr="00E4332D" w:rsidRDefault="00AD50BB" w:rsidP="00AD50BB">
      <w:pPr>
        <w:pStyle w:val="Heading6"/>
      </w:pPr>
      <w:r w:rsidRPr="00E4332D">
        <w:t>Examination and the development of Part 23</w:t>
      </w:r>
    </w:p>
    <w:p w14:paraId="526BE67F" w14:textId="77777777" w:rsidR="00AD50BB" w:rsidRPr="006B4639" w:rsidRDefault="00AD50BB" w:rsidP="00AD50BB">
      <w:pPr>
        <w:pStyle w:val="BodyText"/>
      </w:pPr>
      <w:r w:rsidRPr="006B4639">
        <w:t>In response to a direction from the</w:t>
      </w:r>
      <w:r w:rsidR="00D71650">
        <w:t xml:space="preserve"> </w:t>
      </w:r>
      <w:r w:rsidR="0066066C">
        <w:t xml:space="preserve">former </w:t>
      </w:r>
      <w:r w:rsidR="00D71650">
        <w:t>COAG</w:t>
      </w:r>
      <w:r w:rsidRPr="006B4639">
        <w:t xml:space="preserve"> Energy Council, Dr Vertigan, as independent chair of the GMRG, conducted an examination of the test for regulatio</w:t>
      </w:r>
      <w:r>
        <w:t>n</w:t>
      </w:r>
      <w:r w:rsidR="000E7390">
        <w:t xml:space="preserve"> </w:t>
      </w:r>
      <w:r w:rsidRPr="006B4639">
        <w:t xml:space="preserve">in the latter half of 2016. </w:t>
      </w:r>
    </w:p>
    <w:p w14:paraId="107682DC" w14:textId="77777777" w:rsidR="00AD50BB" w:rsidRPr="006B4639" w:rsidRDefault="00AD50BB" w:rsidP="00AD50BB">
      <w:pPr>
        <w:pStyle w:val="BodyText"/>
      </w:pPr>
      <w:r w:rsidRPr="006B4639">
        <w:t xml:space="preserve">In a similar manner to the ACCC, Dr Vertigan found: </w:t>
      </w:r>
    </w:p>
    <w:p w14:paraId="2D86FAE7" w14:textId="772839BB" w:rsidR="00AD50BB" w:rsidRPr="006B4639" w:rsidRDefault="00AD50BB" w:rsidP="00AD36B8">
      <w:pPr>
        <w:pStyle w:val="ListBullet"/>
      </w:pPr>
      <w:r w:rsidRPr="006B4639">
        <w:t xml:space="preserve">that operators of existing pipelines have market power and the exercise of this power in some instances was resulting in inefficient outcomes that did not promote the NGO, or facilitate the achievement of the </w:t>
      </w:r>
      <w:r w:rsidR="00B86C82" w:rsidRPr="00807EA1">
        <w:t xml:space="preserve">Energy </w:t>
      </w:r>
      <w:r w:rsidR="0095085A">
        <w:t xml:space="preserve">Ministers’ </w:t>
      </w:r>
      <w:r w:rsidRPr="006B4639">
        <w:rPr>
          <w:iCs/>
        </w:rPr>
        <w:t>Vision</w:t>
      </w:r>
      <w:r w:rsidRPr="006B4639">
        <w:t>;</w:t>
      </w:r>
      <w:r w:rsidR="00971A43">
        <w:rPr>
          <w:rFonts w:ascii="ZWAdobeF" w:hAnsi="ZWAdobeF" w:cs="ZWAdobeF"/>
          <w:sz w:val="2"/>
          <w:szCs w:val="2"/>
        </w:rPr>
        <w:t>278F</w:t>
      </w:r>
      <w:r w:rsidRPr="006B4639">
        <w:rPr>
          <w:rStyle w:val="FootnoteReference"/>
        </w:rPr>
        <w:footnoteReference w:id="280"/>
      </w:r>
      <w:r w:rsidRPr="006B4639">
        <w:t xml:space="preserve"> and</w:t>
      </w:r>
    </w:p>
    <w:p w14:paraId="2E54469D" w14:textId="5D3BB5F7" w:rsidR="00AD50BB" w:rsidRPr="006B4639" w:rsidRDefault="00AD50BB" w:rsidP="00AD36B8">
      <w:pPr>
        <w:pStyle w:val="ListBullet"/>
      </w:pPr>
      <w:r w:rsidRPr="006B4639">
        <w:t xml:space="preserve">the </w:t>
      </w:r>
      <w:r w:rsidRPr="006B4639">
        <w:rPr>
          <w:bCs/>
        </w:rPr>
        <w:t>test</w:t>
      </w:r>
      <w:r w:rsidRPr="006B4639">
        <w:t xml:space="preserve"> for regulation did not appear to be posing a credible threat to pipelines.</w:t>
      </w:r>
      <w:r w:rsidR="00971A43">
        <w:rPr>
          <w:rFonts w:ascii="ZWAdobeF" w:hAnsi="ZWAdobeF" w:cs="ZWAdobeF"/>
          <w:sz w:val="2"/>
          <w:szCs w:val="2"/>
        </w:rPr>
        <w:t>279F</w:t>
      </w:r>
      <w:r w:rsidRPr="006B4639">
        <w:rPr>
          <w:rStyle w:val="FootnoteReference"/>
        </w:rPr>
        <w:footnoteReference w:id="281"/>
      </w:r>
    </w:p>
    <w:p w14:paraId="7225AE94" w14:textId="56C0A875" w:rsidR="00AD50BB" w:rsidRPr="003F5EDF" w:rsidRDefault="00AD50BB" w:rsidP="00AD50BB">
      <w:pPr>
        <w:pStyle w:val="BodyText"/>
      </w:pPr>
      <w:r w:rsidRPr="006B4639">
        <w:t xml:space="preserve">While a change to the coverage test was explored with stakeholders </w:t>
      </w:r>
      <w:r w:rsidR="000E7390">
        <w:t>through</w:t>
      </w:r>
      <w:r w:rsidRPr="006B4639">
        <w:t xml:space="preserve"> the </w:t>
      </w:r>
      <w:r w:rsidRPr="003F5EDF">
        <w:rPr>
          <w:iCs/>
        </w:rPr>
        <w:t>Examination</w:t>
      </w:r>
      <w:r w:rsidRPr="003F5EDF">
        <w:rPr>
          <w:i/>
        </w:rPr>
        <w:t xml:space="preserve">, </w:t>
      </w:r>
      <w:r w:rsidRPr="003F5EDF">
        <w:t xml:space="preserve">most shippers </w:t>
      </w:r>
      <w:r w:rsidR="00C90A1D">
        <w:t xml:space="preserve">stated </w:t>
      </w:r>
      <w:r w:rsidRPr="003F5EDF">
        <w:t>they were not looking for a traditional regulatory solution. Rather, they wanted to find a way to reduce the imbalance in bargaining power they can face in negotiations.</w:t>
      </w:r>
      <w:r w:rsidR="00971A43">
        <w:rPr>
          <w:rFonts w:ascii="ZWAdobeF" w:hAnsi="ZWAdobeF" w:cs="ZWAdobeF"/>
          <w:sz w:val="2"/>
          <w:szCs w:val="2"/>
        </w:rPr>
        <w:t>280F</w:t>
      </w:r>
      <w:r w:rsidRPr="003F5EDF">
        <w:rPr>
          <w:rStyle w:val="FootnoteReference"/>
        </w:rPr>
        <w:footnoteReference w:id="282"/>
      </w:r>
      <w:r w:rsidRPr="003F5EDF">
        <w:t xml:space="preserve"> </w:t>
      </w:r>
    </w:p>
    <w:p w14:paraId="2AA750CA" w14:textId="0A67656A" w:rsidR="00AD50BB" w:rsidRPr="003F5EDF" w:rsidRDefault="00AD50BB" w:rsidP="00AD50BB">
      <w:pPr>
        <w:pStyle w:val="BodyText"/>
      </w:pPr>
      <w:r w:rsidRPr="003F5EDF">
        <w:t>Dr Vertigan therefore recommended that a new information disclosure and arbitration framework be introduced, to reduce the information asymmetry and imbalance in bargaining power shippers can face when negotiating with service providers.  Specifically, Dr Vertigan recommended that the bargaining power of shippers be strengthened by:</w:t>
      </w:r>
      <w:r w:rsidR="00603D18">
        <w:rPr>
          <w:rFonts w:ascii="ZWAdobeF" w:hAnsi="ZWAdobeF" w:cs="ZWAdobeF"/>
          <w:sz w:val="2"/>
          <w:szCs w:val="2"/>
        </w:rPr>
        <w:t>281F</w:t>
      </w:r>
      <w:r w:rsidRPr="003F5EDF">
        <w:rPr>
          <w:rStyle w:val="FootnoteReference"/>
        </w:rPr>
        <w:footnoteReference w:id="283"/>
      </w:r>
    </w:p>
    <w:p w14:paraId="6FD313F2" w14:textId="77777777" w:rsidR="00AD50BB" w:rsidRPr="006B4639" w:rsidRDefault="00AD50BB" w:rsidP="00AD36B8">
      <w:pPr>
        <w:pStyle w:val="ListBullet"/>
      </w:pPr>
      <w:r w:rsidRPr="006B4639">
        <w:t xml:space="preserve">requiring service providers to publish the information that shippers need to make an informed decision about whether to seek access to a pipeline service and to assess the reasonableness of an offer made by the service provider; and </w:t>
      </w:r>
    </w:p>
    <w:p w14:paraId="0FB11E75" w14:textId="77777777" w:rsidR="00AD50BB" w:rsidRPr="006B4639" w:rsidRDefault="00AD50BB" w:rsidP="00AD36B8">
      <w:pPr>
        <w:pStyle w:val="ListBullet"/>
      </w:pPr>
      <w:r w:rsidRPr="006B4639">
        <w:t>introducing a commercially oriented arbitration mechanism into the NGL that would be available to parties as a backstop if commercial agreement could not be reached.</w:t>
      </w:r>
    </w:p>
    <w:p w14:paraId="18EA2594" w14:textId="3BAA5A17" w:rsidR="00AD50BB" w:rsidRPr="006B4639" w:rsidRDefault="00AD50BB" w:rsidP="00AD50BB">
      <w:pPr>
        <w:pStyle w:val="BodyText"/>
        <w:rPr>
          <w:rFonts w:cs="Arial"/>
          <w:color w:val="000000"/>
        </w:rPr>
      </w:pPr>
      <w:r w:rsidRPr="006B4639">
        <w:t xml:space="preserve">Dr Vertigan recommended that this framework apply to all pipelines providing third party access, including those greenfield pipelines that had obtained a 15-year exemption from coverage but were providing third party access. In doing so, Dr Vertigan noted that </w:t>
      </w:r>
      <w:r w:rsidRPr="006B4639">
        <w:rPr>
          <w:rFonts w:cs="Arial"/>
          <w:color w:val="000000"/>
        </w:rPr>
        <w:t>“new shippers and existing shippers that want to negotiate access to new services are likely to face the same imbalance in bargaining power as shippers on other pipelines”.</w:t>
      </w:r>
      <w:r w:rsidR="00603D18">
        <w:rPr>
          <w:rFonts w:ascii="ZWAdobeF" w:hAnsi="ZWAdobeF" w:cs="ZWAdobeF"/>
          <w:sz w:val="2"/>
          <w:szCs w:val="2"/>
        </w:rPr>
        <w:t>282F</w:t>
      </w:r>
      <w:r w:rsidRPr="006B4639">
        <w:rPr>
          <w:rStyle w:val="FootnoteReference"/>
          <w:rFonts w:cs="Arial"/>
          <w:color w:val="000000"/>
        </w:rPr>
        <w:footnoteReference w:id="284"/>
      </w:r>
      <w:r w:rsidRPr="006B4639">
        <w:rPr>
          <w:rFonts w:cs="Arial"/>
          <w:color w:val="000000"/>
        </w:rPr>
        <w:t xml:space="preserve"> </w:t>
      </w:r>
    </w:p>
    <w:p w14:paraId="69B065A5" w14:textId="114F023E" w:rsidR="00AD50BB" w:rsidRPr="006B4639" w:rsidRDefault="00AD50BB" w:rsidP="00AD50BB">
      <w:pPr>
        <w:pStyle w:val="BodyText"/>
      </w:pPr>
      <w:r w:rsidRPr="006B4639">
        <w:t xml:space="preserve">Dr Vertigan also recommended that a post-implementation review be conducted and that as part of this review consideration be given to whether the test for regulation should be </w:t>
      </w:r>
      <w:r w:rsidRPr="006B4639">
        <w:lastRenderedPageBreak/>
        <w:t>amended.</w:t>
      </w:r>
      <w:r w:rsidR="00603D18">
        <w:rPr>
          <w:rFonts w:ascii="ZWAdobeF" w:hAnsi="ZWAdobeF" w:cs="ZWAdobeF"/>
          <w:sz w:val="2"/>
          <w:szCs w:val="2"/>
        </w:rPr>
        <w:t>283F</w:t>
      </w:r>
      <w:r w:rsidRPr="006B4639">
        <w:rPr>
          <w:rStyle w:val="FootnoteReference"/>
        </w:rPr>
        <w:footnoteReference w:id="285"/>
      </w:r>
      <w:r w:rsidRPr="006B4639">
        <w:t xml:space="preserve"> These recommendations were endorsed by the </w:t>
      </w:r>
      <w:r w:rsidR="00F54AA7">
        <w:t xml:space="preserve">former </w:t>
      </w:r>
      <w:r w:rsidR="00B86C82">
        <w:t xml:space="preserve">COAG </w:t>
      </w:r>
      <w:r w:rsidRPr="006B4639">
        <w:t xml:space="preserve">Energy Council in December 2016 and the new framework, which was developed by the GMRG in consultation with stakeholders, was implemented in August 2017. </w:t>
      </w:r>
    </w:p>
    <w:p w14:paraId="2F3864B4" w14:textId="77777777" w:rsidR="00AD50BB" w:rsidRPr="00E4332D" w:rsidRDefault="00AD50BB" w:rsidP="00AD50BB">
      <w:pPr>
        <w:pStyle w:val="Heading6"/>
      </w:pPr>
      <w:r w:rsidRPr="00E4332D">
        <w:t>Light regulation</w:t>
      </w:r>
    </w:p>
    <w:p w14:paraId="217C073D" w14:textId="77777777" w:rsidR="00AD50BB" w:rsidRPr="006B4639" w:rsidRDefault="00AD50BB" w:rsidP="00AD50BB">
      <w:pPr>
        <w:pStyle w:val="BodyText"/>
        <w:rPr>
          <w:rFonts w:cs="Arial"/>
          <w:color w:val="000000"/>
        </w:rPr>
      </w:pPr>
      <w:r w:rsidRPr="006B4639">
        <w:t xml:space="preserve">In late 2017, Dr Vertigan was asked by the Chair of the </w:t>
      </w:r>
      <w:r w:rsidR="00F812B4">
        <w:t xml:space="preserve">former COAG </w:t>
      </w:r>
      <w:r w:rsidRPr="006B4639">
        <w:t xml:space="preserve">Energy Council for his view on whether light regulation should be retained. In response to this question, Dr Vertigan noted that </w:t>
      </w:r>
      <w:r w:rsidRPr="006B4639">
        <w:rPr>
          <w:rFonts w:cs="Arial"/>
          <w:color w:val="000000"/>
        </w:rPr>
        <w:t xml:space="preserve">while </w:t>
      </w:r>
      <w:r w:rsidRPr="006B4639">
        <w:t xml:space="preserve">the objectives of light regulation and Part 23 are essentially the same, a number of elements of Part 23 are more rigorous than they are under light regulation. Elaborating on this further, </w:t>
      </w:r>
      <w:r w:rsidRPr="006B4639">
        <w:rPr>
          <w:rFonts w:cs="Arial"/>
          <w:color w:val="000000"/>
        </w:rPr>
        <w:t>Dr Vertigan noted that if light regulation was retained in its current form it could operate to the detriment of shippers because:</w:t>
      </w:r>
      <w:r w:rsidRPr="006B4639">
        <w:rPr>
          <w:rStyle w:val="CommentReference"/>
          <w:rFonts w:asciiTheme="minorHAnsi" w:eastAsiaTheme="minorHAnsi" w:hAnsiTheme="minorHAnsi" w:cstheme="minorBidi"/>
          <w:lang w:eastAsia="en-US"/>
        </w:rPr>
        <w:t xml:space="preserve"> </w:t>
      </w:r>
      <w:r w:rsidRPr="006B4639">
        <w:rPr>
          <w:rFonts w:cs="Arial"/>
          <w:color w:val="000000"/>
        </w:rPr>
        <w:t xml:space="preserve"> </w:t>
      </w:r>
    </w:p>
    <w:p w14:paraId="2E2E6B54" w14:textId="77777777" w:rsidR="00AD50BB" w:rsidRPr="006B4639" w:rsidRDefault="00AD50BB" w:rsidP="00AD36B8">
      <w:pPr>
        <w:pStyle w:val="ListBullet"/>
      </w:pPr>
      <w:r w:rsidRPr="006B4639">
        <w:t xml:space="preserve">the information disclosure requirements do not adequately address the information asymmetries shippers face and do not facilitate timely and effective negotiations; </w:t>
      </w:r>
    </w:p>
    <w:p w14:paraId="45D849E3" w14:textId="77777777" w:rsidR="00AD50BB" w:rsidRPr="006B4639" w:rsidRDefault="00AD50BB" w:rsidP="00AD36B8">
      <w:pPr>
        <w:pStyle w:val="ListBullet"/>
      </w:pPr>
      <w:r w:rsidRPr="006B4639">
        <w:t xml:space="preserve">insufficient guidance is provided on how an arbitration would be conducted, which could discourage users from having recourse to it; and </w:t>
      </w:r>
    </w:p>
    <w:p w14:paraId="1597512D" w14:textId="77777777" w:rsidR="00AD50BB" w:rsidRPr="006B4639" w:rsidRDefault="00AD50BB" w:rsidP="00AD36B8">
      <w:pPr>
        <w:pStyle w:val="ListBullet"/>
      </w:pPr>
      <w:r w:rsidRPr="006B4639">
        <w:t xml:space="preserve">the regulatory-oriented arbitration mechanism does not provide for a timely and cost-effective process to resolve disputes. </w:t>
      </w:r>
    </w:p>
    <w:p w14:paraId="6911D84D" w14:textId="1F15CEDB" w:rsidR="00AD50BB" w:rsidRPr="006B4639" w:rsidRDefault="00AD50BB" w:rsidP="00AD50BB">
      <w:pPr>
        <w:pStyle w:val="BodyText"/>
        <w:rPr>
          <w:rFonts w:cs="Arial"/>
          <w:color w:val="000000"/>
        </w:rPr>
      </w:pPr>
      <w:r w:rsidRPr="006B4639">
        <w:rPr>
          <w:rFonts w:cs="Arial"/>
          <w:color w:val="000000"/>
        </w:rPr>
        <w:t>While noting the potential for these shortcomings of light regulation to be addressed through amendments to the NGL and NGR, Dr Vertigan concluded that the differences that would remain after doing so were not sufficiently material to warrant the retention of light regulation.</w:t>
      </w:r>
      <w:r w:rsidR="00603D18">
        <w:rPr>
          <w:rFonts w:ascii="ZWAdobeF" w:hAnsi="ZWAdobeF" w:cs="ZWAdobeF"/>
          <w:sz w:val="2"/>
          <w:szCs w:val="2"/>
        </w:rPr>
        <w:t>284F</w:t>
      </w:r>
      <w:r w:rsidRPr="006B4639">
        <w:rPr>
          <w:rStyle w:val="FootnoteReference"/>
          <w:rFonts w:cs="Arial"/>
          <w:color w:val="000000"/>
        </w:rPr>
        <w:footnoteReference w:id="286"/>
      </w:r>
      <w:r w:rsidRPr="006B4639">
        <w:rPr>
          <w:rFonts w:cs="Arial"/>
          <w:color w:val="000000"/>
        </w:rPr>
        <w:t xml:space="preserve"> Dr Vertigan therefore recommended that light regulation be removed and that refinements be made to Part 23 to: </w:t>
      </w:r>
    </w:p>
    <w:p w14:paraId="6CA40193" w14:textId="22AD623B" w:rsidR="00AD50BB" w:rsidRPr="006B4639" w:rsidRDefault="00AD50BB" w:rsidP="00AD36B8">
      <w:pPr>
        <w:pStyle w:val="ListBullet"/>
      </w:pPr>
      <w:r w:rsidRPr="006B4639">
        <w:t>adopt some of the safeguards</w:t>
      </w:r>
      <w:r w:rsidRPr="006B4639">
        <w:rPr>
          <w:sz w:val="14"/>
          <w:szCs w:val="14"/>
        </w:rPr>
        <w:t xml:space="preserve"> </w:t>
      </w:r>
      <w:r w:rsidRPr="006B4639">
        <w:t>that currently apply to light regulation pipelines</w:t>
      </w:r>
      <w:r>
        <w:t>;</w:t>
      </w:r>
      <w:r w:rsidRPr="006B4639">
        <w:rPr>
          <w:rStyle w:val="FootnoteReference"/>
        </w:rPr>
        <w:t xml:space="preserve"> </w:t>
      </w:r>
      <w:r w:rsidR="00603D18">
        <w:rPr>
          <w:rFonts w:ascii="ZWAdobeF" w:hAnsi="ZWAdobeF" w:cs="ZWAdobeF"/>
          <w:sz w:val="2"/>
          <w:szCs w:val="2"/>
        </w:rPr>
        <w:t>285F</w:t>
      </w:r>
      <w:r w:rsidRPr="006B4639">
        <w:rPr>
          <w:rStyle w:val="FootnoteReference"/>
        </w:rPr>
        <w:footnoteReference w:id="287"/>
      </w:r>
      <w:r w:rsidRPr="006B4639">
        <w:t xml:space="preserve"> and </w:t>
      </w:r>
    </w:p>
    <w:p w14:paraId="6ADD4B0D" w14:textId="77777777" w:rsidR="00AD50BB" w:rsidRPr="006B4639" w:rsidRDefault="00AD50BB" w:rsidP="00AD36B8">
      <w:pPr>
        <w:pStyle w:val="ListBullet"/>
      </w:pPr>
      <w:r w:rsidRPr="006B4639">
        <w:t xml:space="preserve">allow for joint access dispute hearings to be held if two or more disputes about access arise at a particular time and there are one or more matters common to the dispute. </w:t>
      </w:r>
    </w:p>
    <w:p w14:paraId="46952C3B" w14:textId="77777777" w:rsidR="00AD50BB" w:rsidRPr="00E4332D" w:rsidRDefault="00AD50BB" w:rsidP="00AD50BB">
      <w:pPr>
        <w:pStyle w:val="Heading6"/>
      </w:pPr>
      <w:r w:rsidRPr="00E4332D">
        <w:t>Joint ACCC-GMRG transparency recommendations</w:t>
      </w:r>
    </w:p>
    <w:p w14:paraId="63CEACAC" w14:textId="709E2D86" w:rsidR="00AD50BB" w:rsidRPr="006B4639" w:rsidRDefault="00AD50BB" w:rsidP="00AD50BB">
      <w:pPr>
        <w:pStyle w:val="BodyText"/>
        <w:spacing w:line="252" w:lineRule="auto"/>
      </w:pPr>
      <w:r w:rsidRPr="006B4639">
        <w:t xml:space="preserve">In December 2018, the ACCC and GMRG provided the </w:t>
      </w:r>
      <w:r w:rsidR="000F38E6">
        <w:t xml:space="preserve">former </w:t>
      </w:r>
      <w:r w:rsidR="00B86C82">
        <w:t xml:space="preserve">COAG </w:t>
      </w:r>
      <w:r w:rsidRPr="006B4639">
        <w:t>Energy Council with their joint recommendations on measures to improve the transparency of the gas market. While the recommendations spanned the entire gas supply chain, the ACCC and GMRG recommended a number of pricing related transparency measures for pipelines. Specifically, the ACCC and GMRG recommended that:</w:t>
      </w:r>
      <w:r w:rsidR="00603D18">
        <w:rPr>
          <w:rFonts w:ascii="ZWAdobeF" w:hAnsi="ZWAdobeF" w:cs="ZWAdobeF"/>
          <w:sz w:val="2"/>
          <w:szCs w:val="2"/>
        </w:rPr>
        <w:t>286F</w:t>
      </w:r>
      <w:r w:rsidRPr="006B4639">
        <w:rPr>
          <w:rStyle w:val="FootnoteReference"/>
        </w:rPr>
        <w:footnoteReference w:id="288"/>
      </w:r>
    </w:p>
    <w:p w14:paraId="0AC32924" w14:textId="77777777" w:rsidR="00AD50BB" w:rsidRPr="006B4639" w:rsidRDefault="00AD50BB" w:rsidP="00AD36B8">
      <w:pPr>
        <w:pStyle w:val="ListBullet"/>
      </w:pPr>
      <w:r w:rsidRPr="006B4639">
        <w:t xml:space="preserve">Scheme (full and light regulation) pipelines be subject to the same price and financial reporting obligations as non-scheme pipelines. </w:t>
      </w:r>
    </w:p>
    <w:p w14:paraId="7C0DF7B5" w14:textId="77777777" w:rsidR="00AD50BB" w:rsidRPr="006B4639" w:rsidRDefault="00A246B6" w:rsidP="00AD36B8">
      <w:pPr>
        <w:pStyle w:val="ListBullet"/>
      </w:pPr>
      <w:r>
        <w:lastRenderedPageBreak/>
        <w:t>Energy Senior Officials</w:t>
      </w:r>
      <w:r w:rsidRPr="006B4639">
        <w:t xml:space="preserve"> </w:t>
      </w:r>
      <w:r w:rsidR="00AD50BB" w:rsidRPr="006B4639">
        <w:t xml:space="preserve">consider whether all non-scheme pipelines providing third party access should be required to publish standing prices. </w:t>
      </w:r>
    </w:p>
    <w:p w14:paraId="3EE4CC58" w14:textId="7FFAFD2B" w:rsidR="00AD50BB" w:rsidRPr="006B4639" w:rsidRDefault="00AD50BB" w:rsidP="00AD36B8">
      <w:pPr>
        <w:pStyle w:val="ListBullet"/>
      </w:pPr>
      <w:r w:rsidRPr="006B4639">
        <w:t xml:space="preserve">The ACCC examine the adequacy of the weighted average prices published by non-scheme pipelines in 2019 and provide advice on whether this metric should be retained in the NGR or replaced by a requirement to report individual prices. The results of this examination are set out in section </w:t>
      </w:r>
      <w:r w:rsidR="0001371D">
        <w:t>B.7</w:t>
      </w:r>
      <w:r w:rsidR="006E75BE">
        <w:t>.</w:t>
      </w:r>
    </w:p>
    <w:p w14:paraId="6A8033E4" w14:textId="7F456171" w:rsidR="00AD50BB" w:rsidRPr="006B4639" w:rsidRDefault="00AD50BB" w:rsidP="00AD50BB">
      <w:pPr>
        <w:pStyle w:val="BodyText"/>
        <w:spacing w:line="252" w:lineRule="auto"/>
        <w:rPr>
          <w:rFonts w:cs="Arial"/>
          <w:color w:val="000000"/>
        </w:rPr>
      </w:pPr>
      <w:r w:rsidRPr="006B4639">
        <w:t xml:space="preserve">To facilitate more efficient planning and investment decisions, the ACCC and GMRG also recommended that </w:t>
      </w:r>
      <w:r w:rsidRPr="006B4639">
        <w:rPr>
          <w:rFonts w:cs="Arial"/>
          <w:color w:val="000000"/>
        </w:rPr>
        <w:t xml:space="preserve">entities proposing to develop new transmission pipelines with a nameplate capacity of 10TJ or more, be required to report on ‘proposed’ and ‘committed’ developments to AEMO for publication on the </w:t>
      </w:r>
      <w:r w:rsidR="00265DEB">
        <w:rPr>
          <w:rFonts w:cs="Arial"/>
          <w:color w:val="000000"/>
        </w:rPr>
        <w:t>BB</w:t>
      </w:r>
      <w:r w:rsidRPr="006B4639">
        <w:rPr>
          <w:rFonts w:cs="Arial"/>
          <w:color w:val="000000"/>
        </w:rPr>
        <w:t>.</w:t>
      </w:r>
      <w:r w:rsidR="00603D18">
        <w:rPr>
          <w:rFonts w:ascii="ZWAdobeF" w:hAnsi="ZWAdobeF" w:cs="ZWAdobeF"/>
          <w:sz w:val="2"/>
          <w:szCs w:val="2"/>
        </w:rPr>
        <w:t>287F</w:t>
      </w:r>
      <w:r w:rsidRPr="006B4639">
        <w:rPr>
          <w:rStyle w:val="FootnoteReference"/>
          <w:rFonts w:cs="Arial"/>
          <w:color w:val="000000"/>
        </w:rPr>
        <w:footnoteReference w:id="289"/>
      </w:r>
      <w:r w:rsidRPr="006B4639">
        <w:rPr>
          <w:rFonts w:cs="Arial"/>
          <w:color w:val="000000"/>
        </w:rPr>
        <w:t xml:space="preserve"> </w:t>
      </w:r>
    </w:p>
    <w:p w14:paraId="5353AF8F" w14:textId="77777777" w:rsidR="00AD50BB" w:rsidRPr="006B4639" w:rsidRDefault="00AD50BB" w:rsidP="00682DD8">
      <w:pPr>
        <w:pStyle w:val="AppendixHeading2"/>
      </w:pPr>
      <w:bookmarkStart w:id="247" w:name="_Ref18255399"/>
      <w:r w:rsidRPr="006B4639">
        <w:t>AEMC 2017-18 review into scope of economic regulation and subsequent rule change</w:t>
      </w:r>
      <w:bookmarkEnd w:id="247"/>
    </w:p>
    <w:p w14:paraId="4C82D2D8" w14:textId="77777777" w:rsidR="00AD50BB" w:rsidRPr="006B4639" w:rsidRDefault="00AD50BB" w:rsidP="00AD50BB">
      <w:pPr>
        <w:pStyle w:val="BodyText"/>
        <w:spacing w:line="252" w:lineRule="auto"/>
      </w:pPr>
      <w:r w:rsidRPr="006B4639">
        <w:t xml:space="preserve">In 2017-18 the AEMC conducted a comprehensive review into the scope of economic regulation applied to scheme pipelines and provided its final recommendations to the </w:t>
      </w:r>
      <w:r w:rsidR="0028389C">
        <w:t xml:space="preserve">former </w:t>
      </w:r>
      <w:r w:rsidR="003A5FCE">
        <w:t xml:space="preserve">COAG </w:t>
      </w:r>
      <w:r w:rsidRPr="006B4639">
        <w:t xml:space="preserve">Energy Council in mid-2018. </w:t>
      </w:r>
    </w:p>
    <w:p w14:paraId="51DF96C3" w14:textId="77777777" w:rsidR="00AD50BB" w:rsidRPr="006B4639" w:rsidRDefault="00AD50BB" w:rsidP="009019B4">
      <w:pPr>
        <w:pStyle w:val="Heading6"/>
        <w:spacing w:before="0" w:after="0" w:line="252" w:lineRule="auto"/>
      </w:pPr>
      <w:r w:rsidRPr="006B4639">
        <w:t>Recommended changes to the NGL and NGR and subsequent rule change</w:t>
      </w:r>
    </w:p>
    <w:p w14:paraId="09A79F12" w14:textId="77777777" w:rsidR="00AD50BB" w:rsidRPr="006B4639" w:rsidRDefault="00AD50BB" w:rsidP="00AD50BB">
      <w:pPr>
        <w:pStyle w:val="BodyText"/>
        <w:spacing w:line="252" w:lineRule="auto"/>
      </w:pPr>
      <w:r w:rsidRPr="006B4639">
        <w:t xml:space="preserve">One of the key recommendations emerging from the AEMC’s review was that the negotiate-arbitrate model that underpins full and light regulation should be retained, but changes should be made to the NGL and the NGR to: </w:t>
      </w:r>
    </w:p>
    <w:p w14:paraId="7E8E1C0C" w14:textId="77777777" w:rsidR="00AD50BB" w:rsidRPr="006B4639" w:rsidRDefault="009019B4" w:rsidP="00AD36B8">
      <w:pPr>
        <w:pStyle w:val="ListBullet"/>
      </w:pPr>
      <w:r>
        <w:t xml:space="preserve">better </w:t>
      </w:r>
      <w:r w:rsidR="00AD50BB" w:rsidRPr="006B4639">
        <w:t>support negotiations between shippers and service providers (i.e. through greater information disclosure and greater clarity around the negotiation process); and</w:t>
      </w:r>
    </w:p>
    <w:p w14:paraId="2CD70680" w14:textId="77777777" w:rsidR="00AD50BB" w:rsidRPr="006B4639" w:rsidRDefault="00AD50BB" w:rsidP="00AD36B8">
      <w:pPr>
        <w:pStyle w:val="ListBullet"/>
      </w:pPr>
      <w:r w:rsidRPr="006B4639">
        <w:t xml:space="preserve">strengthen the credibility of the threat of arbitration (i.e. by clarifying the bases for determinations, improving the arbitration process and enhancing transparency). </w:t>
      </w:r>
    </w:p>
    <w:p w14:paraId="50212601" w14:textId="23B81E52" w:rsidR="00AD50BB" w:rsidRPr="006B4639" w:rsidRDefault="00AD50BB" w:rsidP="009019B4">
      <w:pPr>
        <w:pStyle w:val="BodyText"/>
        <w:spacing w:before="200" w:line="252" w:lineRule="auto"/>
      </w:pPr>
      <w:r w:rsidRPr="006B4639">
        <w:t xml:space="preserve">The AEMC also recommended that light regulation be retained, but that it be strengthened by incorporating a number of aspects of Part 23. While the recommendation to retain light regulation was supported by the AER and a number of service providers and retailers, the ACCC, NCC and </w:t>
      </w:r>
      <w:r w:rsidR="00790657">
        <w:t xml:space="preserve">MEU </w:t>
      </w:r>
      <w:r w:rsidRPr="006B4639">
        <w:t>had a number of reservations with the recommendation. The ACCC and NCC, for example, were concerned about the complexity, duplication and costs associated with retaining both light regulation and Part 23. The MEU, on the other hand, noted that the proposed changes to light regulation would result in the regulatory costs approaching that of full regulation and, in so doing, weaken the rationale for retaining light regulation.</w:t>
      </w:r>
      <w:r w:rsidR="00603D18">
        <w:rPr>
          <w:rFonts w:ascii="ZWAdobeF" w:hAnsi="ZWAdobeF" w:cs="ZWAdobeF"/>
          <w:sz w:val="2"/>
          <w:szCs w:val="2"/>
        </w:rPr>
        <w:t>288F</w:t>
      </w:r>
      <w:r w:rsidRPr="006B4639">
        <w:rPr>
          <w:rStyle w:val="FootnoteReference"/>
        </w:rPr>
        <w:footnoteReference w:id="290"/>
      </w:r>
      <w:r w:rsidRPr="006B4639">
        <w:t xml:space="preserve"> </w:t>
      </w:r>
    </w:p>
    <w:p w14:paraId="22BBD579" w14:textId="696FE36A" w:rsidR="009019B4" w:rsidRDefault="00AD50BB" w:rsidP="009019B4">
      <w:pPr>
        <w:pStyle w:val="BodyText"/>
        <w:spacing w:before="200" w:after="200" w:line="252" w:lineRule="auto"/>
      </w:pPr>
      <w:r w:rsidRPr="006B4639">
        <w:t>While acknowledging these issues, the AEMC noted that there were advantages to having multiple forms of regulation from which to choose and that removing light regulation would be a complex process, particularly given the need to decide what to do with the existing light regulation pipelines. The AEMC therefore recommended that an amended form of light regulation be retained but noted that the issue and the proposal by some stakeholders to incorporate some of the safeguards embodied in light regulation into Part 23 could be revisited as part of a broader review of the regulatory framework.</w:t>
      </w:r>
      <w:r w:rsidR="00603D18">
        <w:rPr>
          <w:rFonts w:ascii="ZWAdobeF" w:hAnsi="ZWAdobeF" w:cs="ZWAdobeF"/>
          <w:sz w:val="2"/>
          <w:szCs w:val="2"/>
        </w:rPr>
        <w:t>289F</w:t>
      </w:r>
      <w:r w:rsidRPr="006B4639">
        <w:rPr>
          <w:rStyle w:val="FootnoteReference"/>
        </w:rPr>
        <w:footnoteReference w:id="291"/>
      </w:r>
      <w:r w:rsidR="009019B4">
        <w:t xml:space="preserve"> </w:t>
      </w:r>
    </w:p>
    <w:p w14:paraId="1AF94605" w14:textId="77777777" w:rsidR="00AD50BB" w:rsidRPr="006B4639" w:rsidRDefault="00AD50BB" w:rsidP="009019B4">
      <w:pPr>
        <w:pStyle w:val="BodyText"/>
        <w:spacing w:before="0" w:line="252" w:lineRule="auto"/>
      </w:pPr>
      <w:r w:rsidRPr="006B4639">
        <w:t>The AEMC</w:t>
      </w:r>
      <w:r w:rsidR="00D73A94">
        <w:t>’</w:t>
      </w:r>
      <w:r w:rsidRPr="006B4639">
        <w:t xml:space="preserve">s recommendations on how full and light regulation should be strengthened are summarised in Table </w:t>
      </w:r>
      <w:r w:rsidR="00D73A94">
        <w:t>B.1</w:t>
      </w:r>
      <w:r w:rsidRPr="006B4639">
        <w:t xml:space="preserve">. </w:t>
      </w:r>
    </w:p>
    <w:p w14:paraId="67FFF718" w14:textId="77777777" w:rsidR="00AD50BB" w:rsidRPr="006B4639" w:rsidRDefault="00AD50BB" w:rsidP="00AD50BB">
      <w:pPr>
        <w:pStyle w:val="Caption"/>
        <w:spacing w:before="0" w:after="0"/>
      </w:pPr>
      <w:bookmarkStart w:id="248" w:name="_Ref19284124"/>
      <w:r w:rsidRPr="006B4639">
        <w:lastRenderedPageBreak/>
        <w:t xml:space="preserve">Table </w:t>
      </w:r>
      <w:bookmarkEnd w:id="248"/>
      <w:r w:rsidR="00A74302">
        <w:t>B</w:t>
      </w:r>
      <w:r w:rsidR="005F5C42">
        <w:t>.1</w:t>
      </w:r>
      <w:r w:rsidRPr="006B4639">
        <w:t>: Summary of AEMC recommendations</w:t>
      </w:r>
    </w:p>
    <w:tbl>
      <w:tblPr>
        <w:tblStyle w:val="TableGrid"/>
        <w:tblW w:w="5295" w:type="pct"/>
        <w:tblLayout w:type="fixed"/>
        <w:tblLook w:val="0420" w:firstRow="1" w:lastRow="0" w:firstColumn="0" w:lastColumn="0" w:noHBand="0" w:noVBand="1"/>
      </w:tblPr>
      <w:tblGrid>
        <w:gridCol w:w="1217"/>
        <w:gridCol w:w="4028"/>
        <w:gridCol w:w="4061"/>
      </w:tblGrid>
      <w:tr w:rsidR="00AD50BB" w:rsidRPr="006B4639" w14:paraId="5B953A4E" w14:textId="77777777" w:rsidTr="001A440E">
        <w:trPr>
          <w:cnfStyle w:val="100000000000" w:firstRow="1" w:lastRow="0" w:firstColumn="0" w:lastColumn="0" w:oddVBand="0" w:evenVBand="0" w:oddHBand="0" w:evenHBand="0" w:firstRowFirstColumn="0" w:firstRowLastColumn="0" w:lastRowFirstColumn="0" w:lastRowLastColumn="0"/>
          <w:cantSplit/>
          <w:tblHeader/>
        </w:trPr>
        <w:tc>
          <w:tcPr>
            <w:tcW w:w="654" w:type="pct"/>
            <w:tcBorders>
              <w:bottom w:val="single" w:sz="4" w:space="0" w:color="auto"/>
            </w:tcBorders>
            <w:shd w:val="clear" w:color="auto" w:fill="002060"/>
          </w:tcPr>
          <w:p w14:paraId="61B74648" w14:textId="77777777" w:rsidR="00AD50BB" w:rsidRPr="006B4639" w:rsidRDefault="00AD50BB" w:rsidP="001A440E">
            <w:pPr>
              <w:pStyle w:val="TableHeading"/>
              <w:keepNext/>
              <w:spacing w:before="0" w:after="20" w:line="252" w:lineRule="auto"/>
              <w:rPr>
                <w:szCs w:val="18"/>
                <w:lang w:eastAsia="fr-CA"/>
              </w:rPr>
            </w:pPr>
          </w:p>
        </w:tc>
        <w:tc>
          <w:tcPr>
            <w:tcW w:w="2164" w:type="pct"/>
            <w:tcBorders>
              <w:bottom w:val="single" w:sz="4" w:space="0" w:color="auto"/>
            </w:tcBorders>
            <w:shd w:val="clear" w:color="auto" w:fill="002060"/>
          </w:tcPr>
          <w:p w14:paraId="4F102DF1" w14:textId="77777777" w:rsidR="00AD50BB" w:rsidRPr="006B4639" w:rsidRDefault="00AD50BB" w:rsidP="001A440E">
            <w:pPr>
              <w:pStyle w:val="TableHeading"/>
              <w:keepNext/>
              <w:spacing w:before="0" w:after="20" w:line="252" w:lineRule="auto"/>
              <w:rPr>
                <w:szCs w:val="18"/>
                <w:lang w:eastAsia="fr-CA"/>
              </w:rPr>
            </w:pPr>
            <w:r w:rsidRPr="006B4639">
              <w:rPr>
                <w:szCs w:val="18"/>
                <w:lang w:eastAsia="fr-CA"/>
              </w:rPr>
              <w:t>Full Regulation</w:t>
            </w:r>
          </w:p>
        </w:tc>
        <w:tc>
          <w:tcPr>
            <w:tcW w:w="2182" w:type="pct"/>
            <w:tcBorders>
              <w:bottom w:val="single" w:sz="4" w:space="0" w:color="auto"/>
            </w:tcBorders>
            <w:shd w:val="clear" w:color="auto" w:fill="002060"/>
          </w:tcPr>
          <w:p w14:paraId="3ABF6512" w14:textId="77777777" w:rsidR="00AD50BB" w:rsidRPr="006B4639" w:rsidRDefault="00AD50BB" w:rsidP="001A440E">
            <w:pPr>
              <w:pStyle w:val="TableHeading"/>
              <w:keepNext/>
              <w:spacing w:before="0" w:after="20" w:line="252" w:lineRule="auto"/>
              <w:rPr>
                <w:szCs w:val="18"/>
                <w:lang w:eastAsia="fr-CA"/>
              </w:rPr>
            </w:pPr>
            <w:r w:rsidRPr="006B4639">
              <w:rPr>
                <w:szCs w:val="18"/>
                <w:lang w:eastAsia="fr-CA"/>
              </w:rPr>
              <w:t>Light Regulation</w:t>
            </w:r>
          </w:p>
        </w:tc>
      </w:tr>
      <w:tr w:rsidR="00AD50BB" w:rsidRPr="006B4639" w14:paraId="00292C84" w14:textId="77777777" w:rsidTr="001A440E">
        <w:trPr>
          <w:cantSplit/>
        </w:trPr>
        <w:tc>
          <w:tcPr>
            <w:tcW w:w="654" w:type="pct"/>
            <w:vMerge w:val="restart"/>
            <w:shd w:val="clear" w:color="auto" w:fill="auto"/>
          </w:tcPr>
          <w:p w14:paraId="06EAA937" w14:textId="77777777" w:rsidR="00AD50BB" w:rsidRPr="006B4639" w:rsidRDefault="00AD50BB" w:rsidP="001A440E">
            <w:pPr>
              <w:pStyle w:val="TableBodyText"/>
              <w:keepNext/>
              <w:spacing w:before="0" w:after="20" w:line="252" w:lineRule="auto"/>
              <w:rPr>
                <w:b/>
                <w:bCs/>
                <w:szCs w:val="18"/>
                <w:lang w:eastAsia="fr-CA"/>
              </w:rPr>
            </w:pPr>
            <w:r w:rsidRPr="006B4639">
              <w:rPr>
                <w:b/>
                <w:bCs/>
                <w:szCs w:val="18"/>
                <w:lang w:eastAsia="fr-CA"/>
              </w:rPr>
              <w:t>Information disclosure</w:t>
            </w:r>
          </w:p>
        </w:tc>
        <w:tc>
          <w:tcPr>
            <w:tcW w:w="4345" w:type="pct"/>
            <w:gridSpan w:val="2"/>
            <w:shd w:val="clear" w:color="auto" w:fill="auto"/>
          </w:tcPr>
          <w:p w14:paraId="736A6584" w14:textId="77777777" w:rsidR="00AD50BB" w:rsidRPr="006B4639" w:rsidRDefault="00AD50BB" w:rsidP="001A440E">
            <w:pPr>
              <w:pStyle w:val="TableBodyText"/>
              <w:keepNext/>
              <w:spacing w:before="0" w:after="20" w:line="252" w:lineRule="auto"/>
              <w:rPr>
                <w:szCs w:val="18"/>
                <w:lang w:eastAsia="fr-CA"/>
              </w:rPr>
            </w:pPr>
            <w:r w:rsidRPr="006B4639">
              <w:rPr>
                <w:szCs w:val="18"/>
                <w:lang w:eastAsia="fr-CA"/>
              </w:rPr>
              <w:t xml:space="preserve">Amend the NGR to require: </w:t>
            </w:r>
          </w:p>
          <w:p w14:paraId="53C55E2E" w14:textId="0AFA615D" w:rsidR="00AD50BB" w:rsidRPr="006B4639" w:rsidRDefault="00AD50BB" w:rsidP="001A440E">
            <w:pPr>
              <w:pStyle w:val="TableBullet10"/>
              <w:keepNext/>
              <w:spacing w:before="0" w:after="20" w:line="252" w:lineRule="auto"/>
              <w:rPr>
                <w:szCs w:val="18"/>
                <w:lang w:eastAsia="fr-CA"/>
              </w:rPr>
            </w:pPr>
            <w:r w:rsidRPr="006B4639">
              <w:rPr>
                <w:szCs w:val="18"/>
                <w:lang w:eastAsia="fr-CA"/>
              </w:rPr>
              <w:t xml:space="preserve">all full and light regulation transmission pipelines in eastern and northern Australia to become </w:t>
            </w:r>
            <w:r w:rsidR="00AF663F">
              <w:rPr>
                <w:szCs w:val="18"/>
                <w:lang w:eastAsia="fr-CA"/>
              </w:rPr>
              <w:t xml:space="preserve">BB </w:t>
            </w:r>
            <w:r w:rsidRPr="006B4639">
              <w:rPr>
                <w:szCs w:val="18"/>
                <w:lang w:eastAsia="fr-CA"/>
              </w:rPr>
              <w:t xml:space="preserve">pipelines and subject to </w:t>
            </w:r>
            <w:r w:rsidR="00AF663F">
              <w:rPr>
                <w:szCs w:val="18"/>
                <w:lang w:eastAsia="fr-CA"/>
              </w:rPr>
              <w:t xml:space="preserve">BB </w:t>
            </w:r>
            <w:r w:rsidRPr="006B4639">
              <w:rPr>
                <w:szCs w:val="18"/>
                <w:lang w:eastAsia="fr-CA"/>
              </w:rPr>
              <w:t>reporting requirements (including capacity and usage information); and</w:t>
            </w:r>
          </w:p>
          <w:p w14:paraId="55BAF3D6" w14:textId="77777777" w:rsidR="00AD50BB" w:rsidRPr="006B4639" w:rsidRDefault="00AD50BB" w:rsidP="001A440E">
            <w:pPr>
              <w:pStyle w:val="TableBullet10"/>
              <w:keepNext/>
              <w:spacing w:before="0" w:after="20" w:line="252" w:lineRule="auto"/>
              <w:rPr>
                <w:szCs w:val="18"/>
                <w:lang w:eastAsia="fr-CA"/>
              </w:rPr>
            </w:pPr>
            <w:r w:rsidRPr="006B4639">
              <w:rPr>
                <w:szCs w:val="18"/>
                <w:lang w:eastAsia="fr-CA"/>
              </w:rPr>
              <w:t xml:space="preserve">all distribution pipelines to publish capacity and usage information and large distribution pipelines subject to some additional reporting obligations. </w:t>
            </w:r>
          </w:p>
        </w:tc>
      </w:tr>
      <w:tr w:rsidR="00AD50BB" w:rsidRPr="006B4639" w14:paraId="34066338" w14:textId="77777777" w:rsidTr="001A440E">
        <w:trPr>
          <w:cnfStyle w:val="000000010000" w:firstRow="0" w:lastRow="0" w:firstColumn="0" w:lastColumn="0" w:oddVBand="0" w:evenVBand="0" w:oddHBand="0" w:evenHBand="1" w:firstRowFirstColumn="0" w:firstRowLastColumn="0" w:lastRowFirstColumn="0" w:lastRowLastColumn="0"/>
          <w:cantSplit/>
        </w:trPr>
        <w:tc>
          <w:tcPr>
            <w:tcW w:w="654" w:type="pct"/>
            <w:vMerge/>
            <w:tcBorders>
              <w:bottom w:val="single" w:sz="4" w:space="0" w:color="auto"/>
            </w:tcBorders>
            <w:shd w:val="clear" w:color="auto" w:fill="auto"/>
          </w:tcPr>
          <w:p w14:paraId="469D7A47" w14:textId="77777777" w:rsidR="00AD50BB" w:rsidRPr="006B4639" w:rsidRDefault="00AD50BB" w:rsidP="001A440E">
            <w:pPr>
              <w:pStyle w:val="TableBodyText"/>
              <w:keepNext/>
              <w:spacing w:before="0" w:after="20" w:line="252" w:lineRule="auto"/>
              <w:rPr>
                <w:b/>
                <w:bCs/>
                <w:szCs w:val="18"/>
                <w:lang w:eastAsia="fr-CA"/>
              </w:rPr>
            </w:pPr>
          </w:p>
        </w:tc>
        <w:tc>
          <w:tcPr>
            <w:tcW w:w="2164" w:type="pct"/>
            <w:tcBorders>
              <w:bottom w:val="single" w:sz="4" w:space="0" w:color="auto"/>
            </w:tcBorders>
            <w:shd w:val="clear" w:color="auto" w:fill="auto"/>
          </w:tcPr>
          <w:p w14:paraId="2268C3B9" w14:textId="77777777" w:rsidR="00AD50BB" w:rsidRPr="006B4639" w:rsidRDefault="00AD50BB" w:rsidP="001A440E">
            <w:pPr>
              <w:pStyle w:val="TableBodyText"/>
              <w:keepNext/>
              <w:spacing w:before="0" w:after="20" w:line="252" w:lineRule="auto"/>
              <w:rPr>
                <w:szCs w:val="18"/>
                <w:lang w:eastAsia="fr-CA"/>
              </w:rPr>
            </w:pPr>
            <w:r w:rsidRPr="006B4639">
              <w:rPr>
                <w:szCs w:val="18"/>
                <w:lang w:eastAsia="fr-CA"/>
              </w:rPr>
              <w:t>n.a.</w:t>
            </w:r>
          </w:p>
        </w:tc>
        <w:tc>
          <w:tcPr>
            <w:tcW w:w="2182" w:type="pct"/>
            <w:tcBorders>
              <w:bottom w:val="single" w:sz="4" w:space="0" w:color="auto"/>
            </w:tcBorders>
            <w:shd w:val="clear" w:color="auto" w:fill="auto"/>
          </w:tcPr>
          <w:p w14:paraId="28294E79" w14:textId="77777777" w:rsidR="00AD50BB" w:rsidRPr="006B4639" w:rsidRDefault="00AD50BB" w:rsidP="001A440E">
            <w:pPr>
              <w:pStyle w:val="TableBodyText"/>
              <w:keepNext/>
              <w:spacing w:before="0" w:after="20" w:line="252" w:lineRule="auto"/>
              <w:rPr>
                <w:szCs w:val="18"/>
                <w:lang w:eastAsia="fr-CA"/>
              </w:rPr>
            </w:pPr>
            <w:r w:rsidRPr="006B4639">
              <w:rPr>
                <w:szCs w:val="18"/>
                <w:lang w:eastAsia="fr-CA"/>
              </w:rPr>
              <w:t xml:space="preserve">Amend the NGR to require: </w:t>
            </w:r>
          </w:p>
          <w:p w14:paraId="53B44F9F" w14:textId="77777777" w:rsidR="00AD50BB" w:rsidRPr="006B4639" w:rsidRDefault="00AD50BB" w:rsidP="001A440E">
            <w:pPr>
              <w:pStyle w:val="TableBullet10"/>
              <w:keepNext/>
              <w:spacing w:before="0" w:after="20" w:line="252" w:lineRule="auto"/>
              <w:rPr>
                <w:szCs w:val="18"/>
                <w:lang w:eastAsia="fr-CA"/>
              </w:rPr>
            </w:pPr>
            <w:r w:rsidRPr="006B4639">
              <w:rPr>
                <w:szCs w:val="18"/>
                <w:lang w:eastAsia="fr-CA"/>
              </w:rPr>
              <w:t>light regulation service providers to publish financial information and weighted average prices; and</w:t>
            </w:r>
          </w:p>
          <w:p w14:paraId="475F7488" w14:textId="77777777" w:rsidR="00AD50BB" w:rsidRPr="006B4639" w:rsidRDefault="00AD50BB" w:rsidP="001A440E">
            <w:pPr>
              <w:pStyle w:val="TableBullet10"/>
              <w:keepNext/>
              <w:spacing w:before="0" w:after="20" w:line="252" w:lineRule="auto"/>
              <w:rPr>
                <w:szCs w:val="18"/>
                <w:lang w:eastAsia="fr-CA"/>
              </w:rPr>
            </w:pPr>
            <w:r w:rsidRPr="006B4639">
              <w:rPr>
                <w:szCs w:val="18"/>
                <w:shd w:val="clear" w:color="auto" w:fill="E1E2E7" w:themeFill="background2"/>
                <w:lang w:eastAsia="fr-CA"/>
              </w:rPr>
              <w:t>the relevant regulator to determine an initial capital base for those light regulation pipelines that do not already have one (using the same method applying to full regulation pipelines) and for the value to be published.</w:t>
            </w:r>
          </w:p>
        </w:tc>
      </w:tr>
      <w:tr w:rsidR="00AD50BB" w:rsidRPr="006B4639" w14:paraId="786FEAB9" w14:textId="77777777" w:rsidTr="001A440E">
        <w:trPr>
          <w:cantSplit/>
        </w:trPr>
        <w:tc>
          <w:tcPr>
            <w:tcW w:w="654" w:type="pct"/>
            <w:tcBorders>
              <w:bottom w:val="single" w:sz="4" w:space="0" w:color="auto"/>
            </w:tcBorders>
            <w:shd w:val="clear" w:color="auto" w:fill="FFFFFF" w:themeFill="background1"/>
          </w:tcPr>
          <w:p w14:paraId="74191EB4" w14:textId="77777777" w:rsidR="00AD50BB" w:rsidRPr="006B4639" w:rsidRDefault="00AD50BB" w:rsidP="001A440E">
            <w:pPr>
              <w:pStyle w:val="TableBodyText"/>
              <w:keepNext/>
              <w:spacing w:before="0" w:after="20" w:line="252" w:lineRule="auto"/>
              <w:rPr>
                <w:b/>
                <w:bCs/>
                <w:szCs w:val="18"/>
                <w:lang w:eastAsia="fr-CA"/>
              </w:rPr>
            </w:pPr>
            <w:r w:rsidRPr="006B4639">
              <w:rPr>
                <w:b/>
                <w:bCs/>
                <w:szCs w:val="18"/>
                <w:lang w:eastAsia="fr-CA"/>
              </w:rPr>
              <w:t>Negotiation process</w:t>
            </w:r>
          </w:p>
        </w:tc>
        <w:tc>
          <w:tcPr>
            <w:tcW w:w="4345" w:type="pct"/>
            <w:gridSpan w:val="2"/>
            <w:tcBorders>
              <w:bottom w:val="single" w:sz="4" w:space="0" w:color="auto"/>
            </w:tcBorders>
            <w:shd w:val="clear" w:color="auto" w:fill="FFFFFF" w:themeFill="background1"/>
          </w:tcPr>
          <w:p w14:paraId="02BBC48C" w14:textId="77777777" w:rsidR="00AD50BB" w:rsidRPr="006B4639" w:rsidRDefault="00AD50BB" w:rsidP="001A440E">
            <w:pPr>
              <w:pStyle w:val="TableBodyText"/>
              <w:keepNext/>
              <w:spacing w:before="0" w:after="20" w:line="252" w:lineRule="auto"/>
              <w:rPr>
                <w:szCs w:val="18"/>
                <w:lang w:eastAsia="fr-CA"/>
              </w:rPr>
            </w:pPr>
            <w:r w:rsidRPr="006B4639">
              <w:rPr>
                <w:szCs w:val="18"/>
                <w:lang w:eastAsia="fr-CA"/>
              </w:rPr>
              <w:t>Amend the NGR to provide more prescription on the negotiation process to be followed on full and light regulation pipelines and timeframes within which service providers must respond.</w:t>
            </w:r>
          </w:p>
        </w:tc>
      </w:tr>
      <w:tr w:rsidR="00AD50BB" w:rsidRPr="006B4639" w14:paraId="3348A859" w14:textId="77777777" w:rsidTr="001A440E">
        <w:trPr>
          <w:cnfStyle w:val="000000010000" w:firstRow="0" w:lastRow="0" w:firstColumn="0" w:lastColumn="0" w:oddVBand="0" w:evenVBand="0" w:oddHBand="0" w:evenHBand="1" w:firstRowFirstColumn="0" w:firstRowLastColumn="0" w:lastRowFirstColumn="0" w:lastRowLastColumn="0"/>
          <w:cantSplit/>
        </w:trPr>
        <w:tc>
          <w:tcPr>
            <w:tcW w:w="654" w:type="pct"/>
            <w:tcBorders>
              <w:bottom w:val="single" w:sz="4" w:space="0" w:color="auto"/>
            </w:tcBorders>
          </w:tcPr>
          <w:p w14:paraId="788CC06E" w14:textId="77777777" w:rsidR="00AD50BB" w:rsidRPr="006B4639" w:rsidRDefault="00AD50BB" w:rsidP="001A440E">
            <w:pPr>
              <w:pStyle w:val="TableBodyText"/>
              <w:spacing w:before="0" w:after="20" w:line="252" w:lineRule="auto"/>
              <w:rPr>
                <w:b/>
                <w:bCs/>
                <w:szCs w:val="18"/>
                <w:lang w:eastAsia="fr-CA"/>
              </w:rPr>
            </w:pPr>
            <w:r w:rsidRPr="006B4639">
              <w:rPr>
                <w:b/>
                <w:bCs/>
                <w:szCs w:val="18"/>
                <w:lang w:eastAsia="fr-CA"/>
              </w:rPr>
              <w:t xml:space="preserve">Dispute resolution mechanism </w:t>
            </w:r>
          </w:p>
        </w:tc>
        <w:tc>
          <w:tcPr>
            <w:tcW w:w="4345" w:type="pct"/>
            <w:gridSpan w:val="2"/>
            <w:tcBorders>
              <w:bottom w:val="single" w:sz="4" w:space="0" w:color="auto"/>
            </w:tcBorders>
          </w:tcPr>
          <w:p w14:paraId="4ABF2B3B" w14:textId="77777777" w:rsidR="00AD50BB" w:rsidRPr="006B4639" w:rsidRDefault="00AD50BB" w:rsidP="001A440E">
            <w:pPr>
              <w:pStyle w:val="TableBodyText"/>
              <w:spacing w:before="0" w:after="20" w:line="252" w:lineRule="auto"/>
              <w:rPr>
                <w:szCs w:val="18"/>
                <w:lang w:eastAsia="fr-CA"/>
              </w:rPr>
            </w:pPr>
            <w:r w:rsidRPr="006B4639">
              <w:rPr>
                <w:szCs w:val="18"/>
                <w:lang w:eastAsia="fr-CA"/>
              </w:rPr>
              <w:t xml:space="preserve">Amend the NGL to: </w:t>
            </w:r>
          </w:p>
          <w:p w14:paraId="22EA463C" w14:textId="77777777" w:rsidR="00AD50BB" w:rsidRPr="006B4639" w:rsidRDefault="00AD50BB" w:rsidP="001A440E">
            <w:pPr>
              <w:pStyle w:val="TableBullet10"/>
              <w:spacing w:before="0" w:after="20" w:line="252" w:lineRule="auto"/>
              <w:rPr>
                <w:szCs w:val="18"/>
                <w:lang w:eastAsia="fr-CA"/>
              </w:rPr>
            </w:pPr>
            <w:r w:rsidRPr="006B4639">
              <w:rPr>
                <w:szCs w:val="18"/>
                <w:lang w:eastAsia="fr-CA"/>
              </w:rPr>
              <w:t xml:space="preserve">introduce a 50 business day fast-track dispute resolution process (with stop the clock provisions) for disputes that meet one or more of a set of criteria (i.e. the pipeline is a full regulation pipeline, the service is the same or similar to a reference service, an extension is not required); </w:t>
            </w:r>
          </w:p>
          <w:p w14:paraId="1095306F" w14:textId="77777777" w:rsidR="00AD50BB" w:rsidRPr="006B4639" w:rsidRDefault="00AD50BB" w:rsidP="001A440E">
            <w:pPr>
              <w:pStyle w:val="TableBullet10"/>
              <w:spacing w:before="0" w:after="20" w:line="252" w:lineRule="auto"/>
              <w:rPr>
                <w:szCs w:val="18"/>
                <w:lang w:eastAsia="fr-CA"/>
              </w:rPr>
            </w:pPr>
            <w:r w:rsidRPr="006B4639">
              <w:rPr>
                <w:szCs w:val="18"/>
                <w:lang w:eastAsia="fr-CA"/>
              </w:rPr>
              <w:t>better facilitate joint dispute resolution hearings;</w:t>
            </w:r>
          </w:p>
          <w:p w14:paraId="466FD47C" w14:textId="77777777" w:rsidR="00AD50BB" w:rsidRPr="006B4639" w:rsidRDefault="00AD50BB" w:rsidP="001A440E">
            <w:pPr>
              <w:pStyle w:val="TableBullet10"/>
              <w:spacing w:before="0" w:after="20" w:line="252" w:lineRule="auto"/>
              <w:rPr>
                <w:szCs w:val="18"/>
                <w:lang w:eastAsia="fr-CA"/>
              </w:rPr>
            </w:pPr>
            <w:r w:rsidRPr="006B4639">
              <w:rPr>
                <w:szCs w:val="18"/>
                <w:lang w:eastAsia="fr-CA"/>
              </w:rPr>
              <w:t>establish a reference framework for the dispute resolution body that access determinations would be made with reference to (i.e. the NGO, the revenue and pricing principles, the applicable AA, previous AAs/determinations, pre-existing contractual rights and applicable provisions from Part 9 of the NGR);</w:t>
            </w:r>
          </w:p>
          <w:p w14:paraId="4B3781CC" w14:textId="77777777" w:rsidR="00AD50BB" w:rsidRPr="006B4639" w:rsidRDefault="00AD50BB" w:rsidP="001A440E">
            <w:pPr>
              <w:pStyle w:val="TableBullet10"/>
              <w:spacing w:before="0" w:after="20" w:line="252" w:lineRule="auto"/>
              <w:rPr>
                <w:szCs w:val="18"/>
                <w:lang w:eastAsia="fr-CA"/>
              </w:rPr>
            </w:pPr>
            <w:r w:rsidRPr="006B4639">
              <w:rPr>
                <w:szCs w:val="18"/>
                <w:lang w:eastAsia="fr-CA"/>
              </w:rPr>
              <w:t>provide additional guidance on the role of the dispute resolution expert and the process for appointing and using the evidence of such an expert; and</w:t>
            </w:r>
          </w:p>
          <w:p w14:paraId="2B7B4667" w14:textId="77777777" w:rsidR="00AD50BB" w:rsidRPr="006B4639" w:rsidRDefault="00AD50BB" w:rsidP="001A440E">
            <w:pPr>
              <w:pStyle w:val="TableBullet10"/>
              <w:spacing w:before="0" w:after="20" w:line="252" w:lineRule="auto"/>
              <w:rPr>
                <w:szCs w:val="18"/>
                <w:lang w:eastAsia="fr-CA"/>
              </w:rPr>
            </w:pPr>
            <w:r w:rsidRPr="006B4639">
              <w:rPr>
                <w:szCs w:val="18"/>
                <w:lang w:eastAsia="fr-CA"/>
              </w:rPr>
              <w:t>require the dispute resolution body to publish certain information about the dispute.</w:t>
            </w:r>
          </w:p>
        </w:tc>
      </w:tr>
      <w:tr w:rsidR="00AD50BB" w:rsidRPr="006B4639" w14:paraId="47A012B9" w14:textId="77777777" w:rsidTr="001A440E">
        <w:trPr>
          <w:cantSplit/>
        </w:trPr>
        <w:tc>
          <w:tcPr>
            <w:tcW w:w="654" w:type="pct"/>
            <w:tcBorders>
              <w:bottom w:val="single" w:sz="4" w:space="0" w:color="auto"/>
            </w:tcBorders>
            <w:shd w:val="clear" w:color="auto" w:fill="FFFFFF" w:themeFill="background1"/>
          </w:tcPr>
          <w:p w14:paraId="056F2A63" w14:textId="77777777" w:rsidR="00AD50BB" w:rsidRPr="006B4639" w:rsidRDefault="00AD50BB" w:rsidP="001A440E">
            <w:pPr>
              <w:pStyle w:val="TableBodyText"/>
              <w:spacing w:before="0" w:after="20" w:line="252" w:lineRule="auto"/>
              <w:rPr>
                <w:b/>
                <w:bCs/>
                <w:szCs w:val="18"/>
                <w:lang w:eastAsia="fr-CA"/>
              </w:rPr>
            </w:pPr>
            <w:r w:rsidRPr="006B4639">
              <w:rPr>
                <w:b/>
                <w:bCs/>
                <w:szCs w:val="18"/>
                <w:lang w:eastAsia="fr-CA"/>
              </w:rPr>
              <w:t>Extensions- expansions</w:t>
            </w:r>
          </w:p>
        </w:tc>
        <w:tc>
          <w:tcPr>
            <w:tcW w:w="4345" w:type="pct"/>
            <w:gridSpan w:val="2"/>
            <w:tcBorders>
              <w:bottom w:val="single" w:sz="4" w:space="0" w:color="auto"/>
            </w:tcBorders>
            <w:shd w:val="clear" w:color="auto" w:fill="FFFFFF" w:themeFill="background1"/>
          </w:tcPr>
          <w:p w14:paraId="14B9D975" w14:textId="77777777" w:rsidR="00AD50BB" w:rsidRPr="006B4639" w:rsidRDefault="00AD50BB" w:rsidP="001A440E">
            <w:pPr>
              <w:pStyle w:val="TableBodyText"/>
              <w:spacing w:before="0" w:after="20" w:line="252" w:lineRule="auto"/>
              <w:rPr>
                <w:szCs w:val="18"/>
                <w:lang w:eastAsia="fr-CA"/>
              </w:rPr>
            </w:pPr>
            <w:r w:rsidRPr="006B4639">
              <w:rPr>
                <w:szCs w:val="18"/>
                <w:lang w:eastAsia="fr-CA"/>
              </w:rPr>
              <w:t xml:space="preserve">Amend the: </w:t>
            </w:r>
          </w:p>
          <w:p w14:paraId="38D8078A" w14:textId="77777777" w:rsidR="00AD50BB" w:rsidRPr="006B4639" w:rsidRDefault="00AD50BB" w:rsidP="00D73A94">
            <w:pPr>
              <w:pStyle w:val="TableBodyText"/>
              <w:numPr>
                <w:ilvl w:val="0"/>
                <w:numId w:val="53"/>
              </w:numPr>
              <w:spacing w:before="0" w:after="20" w:line="252" w:lineRule="auto"/>
              <w:ind w:left="442" w:hanging="357"/>
              <w:rPr>
                <w:szCs w:val="18"/>
                <w:lang w:eastAsia="fr-CA"/>
              </w:rPr>
            </w:pPr>
            <w:r w:rsidRPr="006B4639">
              <w:rPr>
                <w:szCs w:val="18"/>
                <w:lang w:eastAsia="fr-CA"/>
              </w:rPr>
              <w:t>NGR to require future expansions to form part of the covered pipeline and allow service providers to include existing extensions in the covered pipeline.</w:t>
            </w:r>
          </w:p>
          <w:p w14:paraId="52A60F26" w14:textId="77777777" w:rsidR="00AD50BB" w:rsidRPr="006B4639" w:rsidRDefault="00AD50BB" w:rsidP="00D73A94">
            <w:pPr>
              <w:pStyle w:val="TableBodyText"/>
              <w:numPr>
                <w:ilvl w:val="0"/>
                <w:numId w:val="53"/>
              </w:numPr>
              <w:spacing w:before="0" w:after="20" w:line="252" w:lineRule="auto"/>
              <w:ind w:left="442" w:hanging="357"/>
              <w:rPr>
                <w:szCs w:val="18"/>
                <w:lang w:eastAsia="fr-CA"/>
              </w:rPr>
            </w:pPr>
            <w:r w:rsidRPr="006B4639">
              <w:rPr>
                <w:szCs w:val="18"/>
                <w:shd w:val="clear" w:color="auto" w:fill="E1E2E7" w:themeFill="background2"/>
                <w:lang w:eastAsia="fr-CA"/>
              </w:rPr>
              <w:t xml:space="preserve">NGL to require existing expansions to form part of the covered pipeline. </w:t>
            </w:r>
          </w:p>
        </w:tc>
      </w:tr>
      <w:tr w:rsidR="00AD50BB" w:rsidRPr="006B4639" w14:paraId="08E90D4D" w14:textId="77777777" w:rsidTr="001A440E">
        <w:trPr>
          <w:cnfStyle w:val="000000010000" w:firstRow="0" w:lastRow="0" w:firstColumn="0" w:lastColumn="0" w:oddVBand="0" w:evenVBand="0" w:oddHBand="0" w:evenHBand="1" w:firstRowFirstColumn="0" w:firstRowLastColumn="0" w:lastRowFirstColumn="0" w:lastRowLastColumn="0"/>
          <w:cantSplit/>
        </w:trPr>
        <w:tc>
          <w:tcPr>
            <w:tcW w:w="654" w:type="pct"/>
            <w:tcBorders>
              <w:bottom w:val="single" w:sz="4" w:space="0" w:color="auto"/>
            </w:tcBorders>
            <w:shd w:val="clear" w:color="auto" w:fill="auto"/>
          </w:tcPr>
          <w:p w14:paraId="62FB2EF4" w14:textId="77777777" w:rsidR="00AD50BB" w:rsidRPr="006B4639" w:rsidRDefault="00AD50BB" w:rsidP="001A440E">
            <w:pPr>
              <w:pStyle w:val="TableBodyText"/>
              <w:spacing w:before="0" w:after="20" w:line="252" w:lineRule="auto"/>
              <w:rPr>
                <w:b/>
                <w:bCs/>
                <w:szCs w:val="18"/>
                <w:lang w:eastAsia="fr-CA"/>
              </w:rPr>
            </w:pPr>
            <w:r w:rsidRPr="006B4639">
              <w:rPr>
                <w:b/>
                <w:bCs/>
                <w:szCs w:val="18"/>
                <w:lang w:eastAsia="fr-CA"/>
              </w:rPr>
              <w:t>Reference services</w:t>
            </w:r>
          </w:p>
        </w:tc>
        <w:tc>
          <w:tcPr>
            <w:tcW w:w="2164" w:type="pct"/>
            <w:tcBorders>
              <w:bottom w:val="single" w:sz="4" w:space="0" w:color="auto"/>
            </w:tcBorders>
            <w:shd w:val="clear" w:color="auto" w:fill="auto"/>
          </w:tcPr>
          <w:p w14:paraId="5945281F" w14:textId="77777777" w:rsidR="00AD50BB" w:rsidRPr="006B4639" w:rsidRDefault="00AD50BB" w:rsidP="001A440E">
            <w:pPr>
              <w:pStyle w:val="TableBodyText"/>
              <w:spacing w:before="0" w:after="20" w:line="252" w:lineRule="auto"/>
              <w:rPr>
                <w:szCs w:val="18"/>
                <w:lang w:eastAsia="fr-CA"/>
              </w:rPr>
            </w:pPr>
            <w:r w:rsidRPr="006B4639">
              <w:rPr>
                <w:szCs w:val="18"/>
                <w:lang w:eastAsia="fr-CA"/>
              </w:rPr>
              <w:t xml:space="preserve">Amend the NGR to enable a greater number of reference services to be identified and to provide for greater engagement with users on the services that should be reference services. </w:t>
            </w:r>
          </w:p>
        </w:tc>
        <w:tc>
          <w:tcPr>
            <w:tcW w:w="2182" w:type="pct"/>
            <w:tcBorders>
              <w:bottom w:val="single" w:sz="4" w:space="0" w:color="auto"/>
            </w:tcBorders>
            <w:shd w:val="clear" w:color="auto" w:fill="auto"/>
          </w:tcPr>
          <w:p w14:paraId="4D21132A" w14:textId="77777777" w:rsidR="00AD50BB" w:rsidRPr="006B4639" w:rsidRDefault="00AD50BB" w:rsidP="001A440E">
            <w:pPr>
              <w:pStyle w:val="TableBodyText"/>
              <w:spacing w:before="0" w:after="20" w:line="252" w:lineRule="auto"/>
              <w:rPr>
                <w:szCs w:val="18"/>
                <w:lang w:eastAsia="fr-CA"/>
              </w:rPr>
            </w:pPr>
            <w:r w:rsidRPr="006B4639">
              <w:rPr>
                <w:szCs w:val="18"/>
                <w:lang w:eastAsia="fr-CA"/>
              </w:rPr>
              <w:t>n.a.</w:t>
            </w:r>
          </w:p>
        </w:tc>
      </w:tr>
      <w:tr w:rsidR="00AD50BB" w:rsidRPr="006B4639" w14:paraId="7C2593E1" w14:textId="77777777" w:rsidTr="001A440E">
        <w:trPr>
          <w:cantSplit/>
        </w:trPr>
        <w:tc>
          <w:tcPr>
            <w:tcW w:w="654" w:type="pct"/>
            <w:tcBorders>
              <w:bottom w:val="single" w:sz="4" w:space="0" w:color="auto"/>
            </w:tcBorders>
            <w:shd w:val="clear" w:color="auto" w:fill="auto"/>
          </w:tcPr>
          <w:p w14:paraId="6FAFEAAF" w14:textId="77777777" w:rsidR="00AD50BB" w:rsidRPr="006B4639" w:rsidRDefault="00AD50BB" w:rsidP="001A440E">
            <w:pPr>
              <w:pStyle w:val="TableBodyText"/>
              <w:spacing w:before="0" w:after="20" w:line="252" w:lineRule="auto"/>
              <w:rPr>
                <w:b/>
                <w:bCs/>
                <w:szCs w:val="18"/>
                <w:lang w:eastAsia="fr-CA"/>
              </w:rPr>
            </w:pPr>
            <w:r w:rsidRPr="006B4639">
              <w:rPr>
                <w:b/>
                <w:bCs/>
                <w:szCs w:val="18"/>
                <w:lang w:eastAsia="fr-CA"/>
              </w:rPr>
              <w:t>Non-price terms and conditions and tariff variations</w:t>
            </w:r>
          </w:p>
        </w:tc>
        <w:tc>
          <w:tcPr>
            <w:tcW w:w="2164" w:type="pct"/>
            <w:tcBorders>
              <w:bottom w:val="single" w:sz="4" w:space="0" w:color="auto"/>
            </w:tcBorders>
            <w:shd w:val="clear" w:color="auto" w:fill="auto"/>
          </w:tcPr>
          <w:p w14:paraId="4ACB1FC1" w14:textId="77777777" w:rsidR="00AD50BB" w:rsidRPr="006B4639" w:rsidRDefault="00AD50BB" w:rsidP="001A440E">
            <w:pPr>
              <w:pStyle w:val="TableBodyText"/>
              <w:spacing w:before="0" w:after="20" w:line="252" w:lineRule="auto"/>
              <w:rPr>
                <w:b/>
                <w:bCs/>
                <w:szCs w:val="18"/>
                <w:lang w:eastAsia="fr-CA"/>
              </w:rPr>
            </w:pPr>
            <w:r w:rsidRPr="006B4639">
              <w:rPr>
                <w:szCs w:val="18"/>
                <w:lang w:eastAsia="fr-CA"/>
              </w:rPr>
              <w:t>Amend the NGR to require the regulator to consider the allocation of risks when making its decision on non-price terms and conditions and the reference tariff variation mechanism.</w:t>
            </w:r>
          </w:p>
        </w:tc>
        <w:tc>
          <w:tcPr>
            <w:tcW w:w="2182" w:type="pct"/>
            <w:tcBorders>
              <w:bottom w:val="single" w:sz="4" w:space="0" w:color="auto"/>
            </w:tcBorders>
            <w:shd w:val="clear" w:color="auto" w:fill="auto"/>
          </w:tcPr>
          <w:p w14:paraId="6D8E0368" w14:textId="77777777" w:rsidR="00AD50BB" w:rsidRPr="006B4639" w:rsidRDefault="00AD50BB" w:rsidP="001A440E">
            <w:pPr>
              <w:pStyle w:val="TableBodyText"/>
              <w:spacing w:before="0" w:after="20" w:line="252" w:lineRule="auto"/>
              <w:rPr>
                <w:szCs w:val="18"/>
                <w:lang w:eastAsia="fr-CA"/>
              </w:rPr>
            </w:pPr>
            <w:r w:rsidRPr="006B4639">
              <w:rPr>
                <w:szCs w:val="18"/>
                <w:lang w:eastAsia="fr-CA"/>
              </w:rPr>
              <w:t>n.a.</w:t>
            </w:r>
          </w:p>
        </w:tc>
      </w:tr>
      <w:tr w:rsidR="00AD50BB" w:rsidRPr="006B4639" w14:paraId="22FC81B6" w14:textId="77777777" w:rsidTr="001A440E">
        <w:trPr>
          <w:cnfStyle w:val="000000010000" w:firstRow="0" w:lastRow="0" w:firstColumn="0" w:lastColumn="0" w:oddVBand="0" w:evenVBand="0" w:oddHBand="0" w:evenHBand="1" w:firstRowFirstColumn="0" w:firstRowLastColumn="0" w:lastRowFirstColumn="0" w:lastRowLastColumn="0"/>
          <w:cantSplit/>
        </w:trPr>
        <w:tc>
          <w:tcPr>
            <w:tcW w:w="654" w:type="pct"/>
            <w:tcBorders>
              <w:bottom w:val="single" w:sz="4" w:space="0" w:color="auto"/>
            </w:tcBorders>
            <w:shd w:val="clear" w:color="auto" w:fill="auto"/>
          </w:tcPr>
          <w:p w14:paraId="48A71C8B" w14:textId="77777777" w:rsidR="00AD50BB" w:rsidRPr="006B4639" w:rsidRDefault="00AD50BB" w:rsidP="001A440E">
            <w:pPr>
              <w:pStyle w:val="TableBodyText"/>
              <w:spacing w:before="0" w:after="20" w:line="252" w:lineRule="auto"/>
              <w:rPr>
                <w:b/>
                <w:bCs/>
                <w:szCs w:val="18"/>
                <w:lang w:eastAsia="fr-CA"/>
              </w:rPr>
            </w:pPr>
            <w:r w:rsidRPr="006B4639">
              <w:rPr>
                <w:b/>
                <w:bCs/>
                <w:szCs w:val="18"/>
                <w:lang w:eastAsia="fr-CA"/>
              </w:rPr>
              <w:t>Investment provisions and efficient costs</w:t>
            </w:r>
          </w:p>
        </w:tc>
        <w:tc>
          <w:tcPr>
            <w:tcW w:w="2164" w:type="pct"/>
            <w:tcBorders>
              <w:bottom w:val="single" w:sz="4" w:space="0" w:color="auto"/>
            </w:tcBorders>
            <w:shd w:val="clear" w:color="auto" w:fill="auto"/>
          </w:tcPr>
          <w:p w14:paraId="4DFED96F" w14:textId="77777777" w:rsidR="00AD50BB" w:rsidRPr="006B4639" w:rsidRDefault="00AD50BB" w:rsidP="001A440E">
            <w:pPr>
              <w:pStyle w:val="TableBodyText"/>
              <w:spacing w:before="0" w:after="20" w:line="252" w:lineRule="auto"/>
              <w:rPr>
                <w:szCs w:val="18"/>
                <w:lang w:eastAsia="fr-CA"/>
              </w:rPr>
            </w:pPr>
            <w:r w:rsidRPr="006B4639">
              <w:rPr>
                <w:szCs w:val="18"/>
                <w:lang w:eastAsia="fr-CA"/>
              </w:rPr>
              <w:t xml:space="preserve">Amend the NGR to provide greater guidance on the matters the regulator must have regard to when making decisions on new capital expenditure, speculative capital expenditure and cost allocation. </w:t>
            </w:r>
          </w:p>
        </w:tc>
        <w:tc>
          <w:tcPr>
            <w:tcW w:w="2182" w:type="pct"/>
            <w:tcBorders>
              <w:bottom w:val="single" w:sz="4" w:space="0" w:color="auto"/>
            </w:tcBorders>
            <w:shd w:val="clear" w:color="auto" w:fill="auto"/>
          </w:tcPr>
          <w:p w14:paraId="44E86877" w14:textId="77777777" w:rsidR="00AD50BB" w:rsidRPr="006B4639" w:rsidRDefault="00AD50BB" w:rsidP="001A440E">
            <w:pPr>
              <w:pStyle w:val="TableBodyText"/>
              <w:spacing w:before="0" w:after="20" w:line="252" w:lineRule="auto"/>
              <w:rPr>
                <w:szCs w:val="18"/>
                <w:lang w:eastAsia="fr-CA"/>
              </w:rPr>
            </w:pPr>
            <w:r w:rsidRPr="006B4639">
              <w:rPr>
                <w:szCs w:val="18"/>
                <w:lang w:eastAsia="fr-CA"/>
              </w:rPr>
              <w:t>n.a.</w:t>
            </w:r>
          </w:p>
        </w:tc>
      </w:tr>
      <w:tr w:rsidR="00AD50BB" w:rsidRPr="006B4639" w14:paraId="2A619618" w14:textId="77777777" w:rsidTr="001A440E">
        <w:trPr>
          <w:cantSplit/>
        </w:trPr>
        <w:tc>
          <w:tcPr>
            <w:tcW w:w="654" w:type="pct"/>
            <w:shd w:val="clear" w:color="auto" w:fill="auto"/>
          </w:tcPr>
          <w:p w14:paraId="4C08ECD9" w14:textId="77777777" w:rsidR="00AD50BB" w:rsidRPr="006B4639" w:rsidRDefault="00AD50BB" w:rsidP="001A440E">
            <w:pPr>
              <w:pStyle w:val="TableBodyText"/>
              <w:widowControl w:val="0"/>
              <w:spacing w:before="0" w:after="20" w:line="252" w:lineRule="auto"/>
              <w:rPr>
                <w:b/>
                <w:bCs/>
                <w:szCs w:val="18"/>
                <w:lang w:eastAsia="fr-CA"/>
              </w:rPr>
            </w:pPr>
            <w:r w:rsidRPr="006B4639">
              <w:rPr>
                <w:b/>
                <w:bCs/>
                <w:szCs w:val="18"/>
                <w:lang w:eastAsia="fr-CA"/>
              </w:rPr>
              <w:t xml:space="preserve">Other </w:t>
            </w:r>
          </w:p>
        </w:tc>
        <w:tc>
          <w:tcPr>
            <w:tcW w:w="2164" w:type="pct"/>
            <w:shd w:val="clear" w:color="auto" w:fill="auto"/>
          </w:tcPr>
          <w:p w14:paraId="0D73107C" w14:textId="77777777" w:rsidR="00AD50BB" w:rsidRPr="006B4639" w:rsidRDefault="00AD50BB" w:rsidP="001A440E">
            <w:pPr>
              <w:pStyle w:val="TableBodyText"/>
              <w:widowControl w:val="0"/>
              <w:spacing w:before="0" w:after="20" w:line="252" w:lineRule="auto"/>
              <w:rPr>
                <w:szCs w:val="18"/>
                <w:lang w:eastAsia="fr-CA"/>
              </w:rPr>
            </w:pPr>
            <w:r w:rsidRPr="006B4639">
              <w:rPr>
                <w:szCs w:val="18"/>
                <w:lang w:eastAsia="fr-CA"/>
              </w:rPr>
              <w:t xml:space="preserve">Amend the NGR to: </w:t>
            </w:r>
          </w:p>
          <w:p w14:paraId="124C1BBF" w14:textId="77777777" w:rsidR="00AD50BB" w:rsidRPr="006B4639" w:rsidRDefault="00AD50BB" w:rsidP="001A440E">
            <w:pPr>
              <w:pStyle w:val="TableBullet10"/>
              <w:widowControl w:val="0"/>
              <w:spacing w:before="0" w:after="20" w:line="252" w:lineRule="auto"/>
              <w:rPr>
                <w:szCs w:val="18"/>
                <w:lang w:eastAsia="fr-CA"/>
              </w:rPr>
            </w:pPr>
            <w:r w:rsidRPr="006B4639">
              <w:rPr>
                <w:szCs w:val="18"/>
                <w:lang w:eastAsia="fr-CA"/>
              </w:rPr>
              <w:t>remove the current limitations on the exercise of regulatory discretion;</w:t>
            </w:r>
          </w:p>
          <w:p w14:paraId="0CD138CB" w14:textId="77777777" w:rsidR="00AD50BB" w:rsidRPr="006B4639" w:rsidRDefault="00AD50BB" w:rsidP="001A440E">
            <w:pPr>
              <w:pStyle w:val="TableBullet10"/>
              <w:widowControl w:val="0"/>
              <w:spacing w:before="0" w:after="20" w:line="252" w:lineRule="auto"/>
              <w:rPr>
                <w:szCs w:val="18"/>
                <w:lang w:eastAsia="fr-CA"/>
              </w:rPr>
            </w:pPr>
            <w:r w:rsidRPr="006B4639">
              <w:rPr>
                <w:szCs w:val="18"/>
                <w:lang w:eastAsia="fr-CA"/>
              </w:rPr>
              <w:t xml:space="preserve">provide more time for engagement on AA proposals; </w:t>
            </w:r>
          </w:p>
          <w:p w14:paraId="517C8562" w14:textId="77777777" w:rsidR="00AD50BB" w:rsidRPr="006B4639" w:rsidRDefault="00AD50BB" w:rsidP="001A440E">
            <w:pPr>
              <w:pStyle w:val="TableBullet10"/>
              <w:widowControl w:val="0"/>
              <w:spacing w:before="0" w:after="20" w:line="252" w:lineRule="auto"/>
              <w:rPr>
                <w:szCs w:val="18"/>
                <w:lang w:eastAsia="fr-CA"/>
              </w:rPr>
            </w:pPr>
            <w:r w:rsidRPr="006B4639">
              <w:rPr>
                <w:szCs w:val="18"/>
                <w:lang w:eastAsia="fr-CA"/>
              </w:rPr>
              <w:t>require service providers to use financial models developed by the regulator;</w:t>
            </w:r>
          </w:p>
          <w:p w14:paraId="3115DEF0" w14:textId="77777777" w:rsidR="00AD50BB" w:rsidRPr="006B4639" w:rsidRDefault="00AD50BB" w:rsidP="001A440E">
            <w:pPr>
              <w:pStyle w:val="TableBullet10"/>
              <w:widowControl w:val="0"/>
              <w:spacing w:before="0" w:after="20" w:line="252" w:lineRule="auto"/>
              <w:rPr>
                <w:szCs w:val="18"/>
                <w:lang w:eastAsia="fr-CA"/>
              </w:rPr>
            </w:pPr>
            <w:r w:rsidRPr="006B4639">
              <w:rPr>
                <w:szCs w:val="18"/>
                <w:lang w:eastAsia="fr-CA"/>
              </w:rPr>
              <w:t>clarify the operation of revenue caps and the interval of delay provisions;</w:t>
            </w:r>
          </w:p>
          <w:p w14:paraId="2F166AF7" w14:textId="77777777" w:rsidR="00AD50BB" w:rsidRPr="006B4639" w:rsidRDefault="00AD50BB" w:rsidP="001A440E">
            <w:pPr>
              <w:pStyle w:val="TableBullet10"/>
              <w:widowControl w:val="0"/>
              <w:spacing w:before="0" w:after="20" w:line="252" w:lineRule="auto"/>
              <w:rPr>
                <w:szCs w:val="18"/>
                <w:lang w:eastAsia="fr-CA"/>
              </w:rPr>
            </w:pPr>
            <w:r w:rsidRPr="006B4639">
              <w:rPr>
                <w:szCs w:val="18"/>
                <w:lang w:eastAsia="fr-CA"/>
              </w:rPr>
              <w:t>amend the definition of rebateable services and the rebate methodology; and</w:t>
            </w:r>
          </w:p>
          <w:p w14:paraId="0A124E0A" w14:textId="77777777" w:rsidR="00AD50BB" w:rsidRPr="006B4639" w:rsidRDefault="00AD50BB" w:rsidP="001A440E">
            <w:pPr>
              <w:pStyle w:val="TableBullet10"/>
              <w:widowControl w:val="0"/>
              <w:spacing w:before="0" w:after="20" w:line="252" w:lineRule="auto"/>
              <w:rPr>
                <w:szCs w:val="18"/>
                <w:lang w:eastAsia="fr-CA"/>
              </w:rPr>
            </w:pPr>
            <w:r w:rsidRPr="006B4639">
              <w:rPr>
                <w:szCs w:val="18"/>
                <w:lang w:eastAsia="fr-CA"/>
              </w:rPr>
              <w:t>remove the requirement to report KPIs.</w:t>
            </w:r>
          </w:p>
        </w:tc>
        <w:tc>
          <w:tcPr>
            <w:tcW w:w="2182" w:type="pct"/>
            <w:shd w:val="clear" w:color="auto" w:fill="auto"/>
          </w:tcPr>
          <w:p w14:paraId="7B4893F8" w14:textId="77777777" w:rsidR="00AD50BB" w:rsidRPr="006B4639" w:rsidRDefault="00AD50BB" w:rsidP="001A440E">
            <w:pPr>
              <w:pStyle w:val="TableBodyText"/>
              <w:widowControl w:val="0"/>
              <w:spacing w:before="0" w:after="20" w:line="252" w:lineRule="auto"/>
              <w:rPr>
                <w:szCs w:val="18"/>
                <w:lang w:eastAsia="fr-CA"/>
              </w:rPr>
            </w:pPr>
            <w:r w:rsidRPr="006B4639">
              <w:rPr>
                <w:szCs w:val="18"/>
                <w:lang w:eastAsia="fr-CA"/>
              </w:rPr>
              <w:t>n.a.</w:t>
            </w:r>
          </w:p>
        </w:tc>
      </w:tr>
    </w:tbl>
    <w:p w14:paraId="7CC7DA13" w14:textId="77777777" w:rsidR="00AD50BB" w:rsidRDefault="00AD50BB" w:rsidP="00AD50BB">
      <w:pPr>
        <w:pStyle w:val="BodyText"/>
        <w:spacing w:before="0"/>
        <w:rPr>
          <w:sz w:val="18"/>
          <w:szCs w:val="18"/>
          <w:lang w:eastAsia="fr-CA"/>
        </w:rPr>
      </w:pPr>
      <w:r w:rsidRPr="006B4639">
        <w:rPr>
          <w:sz w:val="18"/>
          <w:szCs w:val="18"/>
          <w:lang w:eastAsia="fr-CA"/>
        </w:rPr>
        <w:t xml:space="preserve">Source: </w:t>
      </w:r>
      <w:bookmarkStart w:id="249" w:name="_Hlk16486795"/>
      <w:r w:rsidRPr="006B4639">
        <w:rPr>
          <w:sz w:val="18"/>
          <w:szCs w:val="18"/>
          <w:lang w:eastAsia="fr-CA"/>
        </w:rPr>
        <w:t xml:space="preserve">AEMC, Final Report: </w:t>
      </w:r>
      <w:bookmarkStart w:id="250" w:name="_Hlk16486744"/>
      <w:r w:rsidRPr="006B4639">
        <w:rPr>
          <w:sz w:val="18"/>
          <w:szCs w:val="18"/>
          <w:lang w:eastAsia="fr-CA"/>
        </w:rPr>
        <w:t>Review into the scope of economic regulation applied to covered pipelines</w:t>
      </w:r>
      <w:bookmarkEnd w:id="250"/>
      <w:r w:rsidRPr="006B4639">
        <w:rPr>
          <w:sz w:val="18"/>
          <w:szCs w:val="18"/>
          <w:lang w:eastAsia="fr-CA"/>
        </w:rPr>
        <w:t>, 3 July 2018.</w:t>
      </w:r>
      <w:bookmarkEnd w:id="249"/>
    </w:p>
    <w:p w14:paraId="1A06166C" w14:textId="0474391F" w:rsidR="009019B4" w:rsidRPr="006B4639" w:rsidRDefault="009019B4" w:rsidP="009019B4">
      <w:pPr>
        <w:pStyle w:val="BodyText"/>
        <w:spacing w:line="252" w:lineRule="auto"/>
      </w:pPr>
      <w:r w:rsidRPr="006B4639">
        <w:lastRenderedPageBreak/>
        <w:t>As this table shows, the AEMC recommended a number of changes to the investment related provisions applying to full regulation pipelines. This followed a detailed review of the capital expenditure provisions and the concerns that service providers raised about a number of specific provisions.</w:t>
      </w:r>
      <w:r w:rsidR="00603D18">
        <w:rPr>
          <w:rFonts w:ascii="ZWAdobeF" w:hAnsi="ZWAdobeF" w:cs="ZWAdobeF"/>
          <w:sz w:val="2"/>
          <w:szCs w:val="2"/>
        </w:rPr>
        <w:t>290F</w:t>
      </w:r>
      <w:r w:rsidRPr="006B4639">
        <w:rPr>
          <w:rStyle w:val="FootnoteReference"/>
        </w:rPr>
        <w:footnoteReference w:id="292"/>
      </w:r>
      <w:r w:rsidRPr="006B4639">
        <w:t xml:space="preserve"> </w:t>
      </w:r>
    </w:p>
    <w:p w14:paraId="7696E919" w14:textId="77777777" w:rsidR="009019B4" w:rsidRPr="006B4639" w:rsidRDefault="009019B4" w:rsidP="009019B4">
      <w:pPr>
        <w:pStyle w:val="BodyText"/>
        <w:spacing w:line="252" w:lineRule="auto"/>
      </w:pPr>
      <w:r w:rsidRPr="006B4639">
        <w:t xml:space="preserve">To enable the recommendations set out in Table </w:t>
      </w:r>
      <w:r>
        <w:t>B</w:t>
      </w:r>
      <w:r w:rsidRPr="006B4639">
        <w:t xml:space="preserve">.1 to be implemented as quickly as possible, the AEMC suggested that they be implemented in two packages, with: </w:t>
      </w:r>
    </w:p>
    <w:p w14:paraId="1679694F" w14:textId="77777777" w:rsidR="009019B4" w:rsidRPr="006B4639" w:rsidRDefault="009019B4" w:rsidP="00AD36B8">
      <w:pPr>
        <w:pStyle w:val="ListBullet"/>
      </w:pPr>
      <w:r w:rsidRPr="006B4639">
        <w:t>package 1 focusing on changes to the NGR that were not dependent on changes to the NGL, and</w:t>
      </w:r>
    </w:p>
    <w:p w14:paraId="4AC9ADAD" w14:textId="77777777" w:rsidR="009019B4" w:rsidRPr="006B4639" w:rsidRDefault="009019B4" w:rsidP="00AD36B8">
      <w:pPr>
        <w:pStyle w:val="ListBullet"/>
      </w:pPr>
      <w:r w:rsidRPr="006B4639">
        <w:t xml:space="preserve">package 2 dealing with all the other changes to the NGL and NGR, including changes to the dispute resolution mechanism and the treatment of existing expansions. </w:t>
      </w:r>
    </w:p>
    <w:p w14:paraId="3618A59B" w14:textId="568E6C55" w:rsidR="009019B4" w:rsidRPr="006B4639" w:rsidRDefault="009019B4" w:rsidP="009019B4">
      <w:pPr>
        <w:pStyle w:val="BodyText"/>
      </w:pPr>
      <w:r w:rsidRPr="006B4639">
        <w:t xml:space="preserve">These recommendations were considered by the </w:t>
      </w:r>
      <w:r w:rsidR="001C0B42">
        <w:t xml:space="preserve">former </w:t>
      </w:r>
      <w:r>
        <w:t xml:space="preserve">COAG </w:t>
      </w:r>
      <w:r w:rsidRPr="006B4639">
        <w:t>Energy Council at its August 2018 meeting and it agreed to implement most of the recommendations identified in Package 1.</w:t>
      </w:r>
      <w:r w:rsidR="00603D18">
        <w:rPr>
          <w:rFonts w:ascii="ZWAdobeF" w:hAnsi="ZWAdobeF" w:cs="ZWAdobeF"/>
          <w:sz w:val="2"/>
          <w:szCs w:val="2"/>
        </w:rPr>
        <w:t>291F</w:t>
      </w:r>
      <w:r w:rsidRPr="006B4639">
        <w:rPr>
          <w:rStyle w:val="FootnoteReference"/>
        </w:rPr>
        <w:footnoteReference w:id="293"/>
      </w:r>
      <w:r w:rsidRPr="006B4639">
        <w:t xml:space="preserve"> The </w:t>
      </w:r>
      <w:r w:rsidR="001C0B42">
        <w:t xml:space="preserve">former </w:t>
      </w:r>
      <w:r w:rsidR="00BC37CA">
        <w:t xml:space="preserve">COAG </w:t>
      </w:r>
      <w:r w:rsidRPr="006B4639">
        <w:t>Energy Council subsequently submitted a rule change proposal, which was completed by the AEMC in March 2019.</w:t>
      </w:r>
      <w:r w:rsidR="00603D18">
        <w:rPr>
          <w:rFonts w:ascii="ZWAdobeF" w:hAnsi="ZWAdobeF" w:cs="ZWAdobeF"/>
          <w:sz w:val="2"/>
          <w:szCs w:val="2"/>
        </w:rPr>
        <w:t>292F</w:t>
      </w:r>
      <w:r w:rsidRPr="006B4639">
        <w:rPr>
          <w:rStyle w:val="FootnoteReference"/>
        </w:rPr>
        <w:footnoteReference w:id="294"/>
      </w:r>
      <w:r w:rsidRPr="006B4639">
        <w:t xml:space="preserve"> Those recommendations that are still to be implemented are shaded in grey in Table </w:t>
      </w:r>
      <w:r>
        <w:t>B</w:t>
      </w:r>
      <w:r w:rsidRPr="006B4639">
        <w:t>.1.</w:t>
      </w:r>
    </w:p>
    <w:p w14:paraId="6A960A64" w14:textId="77777777" w:rsidR="00AD50BB" w:rsidRPr="006B4639" w:rsidRDefault="00AD50BB" w:rsidP="00AD50BB">
      <w:pPr>
        <w:pStyle w:val="Heading6"/>
      </w:pPr>
      <w:r w:rsidRPr="006B4639">
        <w:t xml:space="preserve">Further review of the regulatory framework </w:t>
      </w:r>
    </w:p>
    <w:p w14:paraId="19198B6D" w14:textId="4CF399D0" w:rsidR="00AD50BB" w:rsidRPr="006B4639" w:rsidRDefault="00AD50BB" w:rsidP="00AD50BB">
      <w:pPr>
        <w:pStyle w:val="BodyText"/>
      </w:pPr>
      <w:r w:rsidRPr="006B4639">
        <w:t>In addition to these recommendations, the AEMC suggested that a review of the framework for economic regulation be undertaken and that, as part of this review, consideration be given to:</w:t>
      </w:r>
      <w:r w:rsidRPr="006B4639">
        <w:rPr>
          <w:rStyle w:val="FootnoteReference"/>
        </w:rPr>
        <w:t xml:space="preserve"> </w:t>
      </w:r>
      <w:r w:rsidR="004031E8">
        <w:rPr>
          <w:rFonts w:ascii="ZWAdobeF" w:hAnsi="ZWAdobeF" w:cs="ZWAdobeF"/>
          <w:sz w:val="2"/>
          <w:szCs w:val="2"/>
        </w:rPr>
        <w:t>293F</w:t>
      </w:r>
      <w:r w:rsidRPr="006B4639">
        <w:rPr>
          <w:rStyle w:val="FootnoteReference"/>
        </w:rPr>
        <w:footnoteReference w:id="295"/>
      </w:r>
    </w:p>
    <w:p w14:paraId="04069A0F" w14:textId="77777777" w:rsidR="00AD50BB" w:rsidRPr="006B4639" w:rsidRDefault="00AD50BB" w:rsidP="00AD36B8">
      <w:pPr>
        <w:pStyle w:val="ListBullet"/>
      </w:pPr>
      <w:r w:rsidRPr="006B4639">
        <w:t>the tests to be used to determine what form of regulation should apply;</w:t>
      </w:r>
    </w:p>
    <w:p w14:paraId="0C50F38A" w14:textId="77777777" w:rsidR="00AD50BB" w:rsidRPr="006B4639" w:rsidRDefault="00AD50BB" w:rsidP="00AD36B8">
      <w:pPr>
        <w:pStyle w:val="ListBullet"/>
      </w:pPr>
      <w:r w:rsidRPr="006B4639">
        <w:t>the number and types of forms of regulation that should be available; and</w:t>
      </w:r>
    </w:p>
    <w:p w14:paraId="189BB08E" w14:textId="77777777" w:rsidR="00AD50BB" w:rsidRPr="006B4639" w:rsidRDefault="00AD50BB" w:rsidP="00AD36B8">
      <w:pPr>
        <w:pStyle w:val="ListBullet"/>
      </w:pPr>
      <w:r w:rsidRPr="006B4639">
        <w:t>related institutional, governance and process arrangements.</w:t>
      </w:r>
    </w:p>
    <w:p w14:paraId="27D0ECA3" w14:textId="3860A3D8" w:rsidR="00AD50BB" w:rsidRPr="006B4639" w:rsidRDefault="00AD50BB" w:rsidP="00AD50BB">
      <w:pPr>
        <w:pStyle w:val="BodyText"/>
      </w:pPr>
      <w:r w:rsidRPr="006B4639">
        <w:t>In doing so, the AEMC observed that:</w:t>
      </w:r>
      <w:r w:rsidR="004031E8">
        <w:rPr>
          <w:rFonts w:ascii="ZWAdobeF" w:hAnsi="ZWAdobeF" w:cs="ZWAdobeF"/>
          <w:sz w:val="2"/>
          <w:szCs w:val="2"/>
        </w:rPr>
        <w:t>294F</w:t>
      </w:r>
      <w:r w:rsidRPr="006B4639">
        <w:rPr>
          <w:rStyle w:val="FootnoteReference"/>
        </w:rPr>
        <w:footnoteReference w:id="296"/>
      </w:r>
    </w:p>
    <w:p w14:paraId="1512F3C5" w14:textId="77777777" w:rsidR="00AD50BB" w:rsidRPr="006B4639" w:rsidRDefault="00AD50BB" w:rsidP="00AD50BB">
      <w:pPr>
        <w:pStyle w:val="Quote"/>
      </w:pPr>
      <w:r w:rsidRPr="006B4639">
        <w:t>“…an unintended consequence of the introduction of Part 23 of the NGR is that in the case of pipelines that provide third party access, the coverage determination is no longer a test of whether regulation should be applied or not, but instead is a test of which form of regulation should be applied (full or light on the one hand, or Part 23 on the other). … The questions being asked by the test are designed for assessing whether regulation should apply, but are not the most appropriate for determining which form of regulation is applied.</w:t>
      </w:r>
    </w:p>
    <w:p w14:paraId="131E9C25" w14:textId="77777777" w:rsidR="00AD50BB" w:rsidRPr="006B4639" w:rsidRDefault="00AD50BB" w:rsidP="00AD50BB">
      <w:pPr>
        <w:pStyle w:val="Quote"/>
      </w:pPr>
      <w:r w:rsidRPr="006B4639">
        <w:t>This may result in the inappropriate form of regulation applying to a particular pipeline. Both over-regulation and under-regulation could result, leading to additional costs that are ultimately borne by consumers…</w:t>
      </w:r>
    </w:p>
    <w:p w14:paraId="1858E72C" w14:textId="77777777" w:rsidR="00AD50BB" w:rsidRPr="006B4639" w:rsidRDefault="00AD50BB" w:rsidP="00AD50BB">
      <w:pPr>
        <w:pStyle w:val="Quote"/>
      </w:pPr>
      <w:r w:rsidRPr="006B4639">
        <w:t>Secondly, as noted by the NCC, the practical effect of introducing Part 23 of the NGR has been to apply near-universal regulation regardless of whether a market failure has been identified on a case-by-case basis. Specifically, the market failure of service providers using market power is assumed.. The possible impact of this is unnecessary regulation of those pipelines where there is no or only limited or transient market power, with associated direct and indirect costs.</w:t>
      </w:r>
    </w:p>
    <w:p w14:paraId="25A95183" w14:textId="77777777" w:rsidR="00AD50BB" w:rsidRPr="006B4639" w:rsidRDefault="00AD50BB" w:rsidP="00AD50BB">
      <w:pPr>
        <w:pStyle w:val="Quote"/>
      </w:pPr>
      <w:r w:rsidRPr="006B4639">
        <w:lastRenderedPageBreak/>
        <w:t>Thirdly, as also noted by the NCC, applying economic regulation under Part 23 to those pipelines that have been granted a 15-year no-coverage determination under the greenfields pipeline incentive framework may risk regulatory over-reach, and may distort investment incentives for new pipelines….</w:t>
      </w:r>
    </w:p>
    <w:p w14:paraId="6BA8CFDA" w14:textId="77777777" w:rsidR="00AD50BB" w:rsidRPr="006B4639" w:rsidRDefault="00AD50BB" w:rsidP="00AD50BB">
      <w:pPr>
        <w:pStyle w:val="Quote"/>
      </w:pPr>
      <w:r w:rsidRPr="006B4639">
        <w:t>…</w:t>
      </w:r>
    </w:p>
    <w:p w14:paraId="463AC00D" w14:textId="77777777" w:rsidR="00AD50BB" w:rsidRPr="006B4639" w:rsidRDefault="00AD50BB" w:rsidP="00AD50BB">
      <w:pPr>
        <w:pStyle w:val="Quote"/>
      </w:pPr>
      <w:r w:rsidRPr="006B4639">
        <w:t>In practice, the overarching effect of the introduction of Part 23 may be an appropriate increase in regulation to address previous concerns with the regime…without imposing unnecessary regulation given the widespread monopoly power found by the ACCC, nor having detrimental impacts on future investment. It may be practically more appropriate to apply some form of regulation to (nearly) all pipelines given the likelihood of market power, rather than risking the mis-application of the test for determining whether regulation should be applied (at all) and so under-regulating.</w:t>
      </w:r>
    </w:p>
    <w:p w14:paraId="56E69541" w14:textId="77777777" w:rsidR="00AD50BB" w:rsidRPr="006B4639" w:rsidRDefault="00AD50BB" w:rsidP="00AD50BB">
      <w:pPr>
        <w:pStyle w:val="Quote"/>
      </w:pPr>
      <w:r w:rsidRPr="006B4639">
        <w:t>Nevertheless, the introduction of the access regime for non-scheme pipelines has introduced the risk of over- or under-regulation on a case by case basis as a result of the coverage determination being used to determine which form of regulation should apply.”</w:t>
      </w:r>
    </w:p>
    <w:p w14:paraId="66F8B2FB" w14:textId="77777777" w:rsidR="00AD50BB" w:rsidRPr="006B4639" w:rsidRDefault="00AD50BB" w:rsidP="00AD50BB">
      <w:pPr>
        <w:pStyle w:val="BodyText"/>
      </w:pPr>
      <w:r w:rsidRPr="006B4639">
        <w:t xml:space="preserve">It was on the basis of this recommendation that the </w:t>
      </w:r>
      <w:r w:rsidR="00326665">
        <w:t xml:space="preserve">former </w:t>
      </w:r>
      <w:r w:rsidR="0070172D">
        <w:t xml:space="preserve">COAG </w:t>
      </w:r>
      <w:r w:rsidRPr="006B4639">
        <w:t xml:space="preserve">Energy Council decided that a RIS should be conducted to examine options to improve the regulatory framework. </w:t>
      </w:r>
    </w:p>
    <w:p w14:paraId="6DF73540" w14:textId="77777777" w:rsidR="00AD50BB" w:rsidRPr="006B4639" w:rsidRDefault="00AD50BB" w:rsidP="00BC37CA">
      <w:pPr>
        <w:pStyle w:val="AppendixHeading2"/>
      </w:pPr>
      <w:bookmarkStart w:id="251" w:name="_Ref19079200"/>
      <w:bookmarkStart w:id="252" w:name="_Hlk16170547"/>
      <w:r w:rsidRPr="006B4639">
        <w:t xml:space="preserve">Oakley Greenwood </w:t>
      </w:r>
      <w:r w:rsidR="00BC37CA">
        <w:t xml:space="preserve">Part 23 </w:t>
      </w:r>
      <w:r w:rsidRPr="006B4639">
        <w:t>survey of shippers</w:t>
      </w:r>
      <w:bookmarkEnd w:id="251"/>
    </w:p>
    <w:p w14:paraId="3FC2D1EF" w14:textId="77777777" w:rsidR="00AD50BB" w:rsidRPr="006B4639" w:rsidRDefault="00AD50BB" w:rsidP="00AD50BB">
      <w:pPr>
        <w:pStyle w:val="BodyText"/>
      </w:pPr>
      <w:r w:rsidRPr="006B4639">
        <w:t>In June 2019, OGW conducted a survey of 33 existing and prospective shippers. Amongst other things, these shippers were asked for their views on:</w:t>
      </w:r>
    </w:p>
    <w:p w14:paraId="2FFC9711" w14:textId="77777777" w:rsidR="00AD50BB" w:rsidRPr="006B4639" w:rsidRDefault="00AD50BB" w:rsidP="00AD36B8">
      <w:pPr>
        <w:pStyle w:val="ListBullet"/>
      </w:pPr>
      <w:r w:rsidRPr="006B4639">
        <w:t>the information disclosure requirements in Part 23 (including the user access guide);</w:t>
      </w:r>
    </w:p>
    <w:p w14:paraId="083C2778" w14:textId="77777777" w:rsidR="00AD50BB" w:rsidRPr="006B4639" w:rsidRDefault="00AD50BB" w:rsidP="00AD36B8">
      <w:pPr>
        <w:pStyle w:val="ListBullet"/>
      </w:pPr>
      <w:r w:rsidRPr="006B4639">
        <w:t>the access request and negotiation provisions in Part 23;</w:t>
      </w:r>
    </w:p>
    <w:p w14:paraId="06C2D43B" w14:textId="77777777" w:rsidR="00AD50BB" w:rsidRPr="006B4639" w:rsidRDefault="00AD50BB" w:rsidP="00AD36B8">
      <w:pPr>
        <w:pStyle w:val="ListBullet"/>
      </w:pPr>
      <w:r w:rsidRPr="006B4639">
        <w:t>the arbitration process and pricing principles in Part 23; and</w:t>
      </w:r>
    </w:p>
    <w:p w14:paraId="7B54804C" w14:textId="77777777" w:rsidR="00AD50BB" w:rsidRPr="006B4639" w:rsidRDefault="00AD50BB" w:rsidP="00AD36B8">
      <w:pPr>
        <w:pStyle w:val="ListBullet"/>
      </w:pPr>
      <w:r w:rsidRPr="006B4639">
        <w:t>the exemptions available under Part 23.</w:t>
      </w:r>
    </w:p>
    <w:p w14:paraId="73CACB88" w14:textId="77777777" w:rsidR="00AD50BB" w:rsidRPr="006B4639" w:rsidRDefault="005F5C42" w:rsidP="00AD50BB">
      <w:pPr>
        <w:pStyle w:val="BodyText"/>
      </w:pPr>
      <w:r>
        <w:t xml:space="preserve">Table </w:t>
      </w:r>
      <w:r w:rsidR="00D73A94">
        <w:t>B</w:t>
      </w:r>
      <w:r>
        <w:t>.2</w:t>
      </w:r>
      <w:r w:rsidR="00AD50BB" w:rsidRPr="006B4639">
        <w:t xml:space="preserve"> provides a summary of the responses that were received on each of these issues. It is worth noting that because only a relatively small number of shippers were able to undertake the survey and a smaller number were able to express an opinion on Part 23, it was not possible to apply conventional statistical techniques to analyse the data. </w:t>
      </w:r>
    </w:p>
    <w:p w14:paraId="45EF1E36" w14:textId="77777777" w:rsidR="00AD50BB" w:rsidRPr="006B4639" w:rsidRDefault="00AD50BB" w:rsidP="00AD50BB">
      <w:pPr>
        <w:pStyle w:val="Caption"/>
        <w:spacing w:before="0" w:after="0"/>
      </w:pPr>
      <w:bookmarkStart w:id="253" w:name="Here"/>
      <w:bookmarkStart w:id="254" w:name="_Ref17736090"/>
      <w:bookmarkEnd w:id="253"/>
      <w:r w:rsidRPr="006B4639">
        <w:lastRenderedPageBreak/>
        <w:t xml:space="preserve">Table </w:t>
      </w:r>
      <w:bookmarkEnd w:id="254"/>
      <w:r w:rsidR="00A74302">
        <w:t>B</w:t>
      </w:r>
      <w:r w:rsidR="005F5C42">
        <w:t>.2</w:t>
      </w:r>
      <w:r w:rsidRPr="006B4639">
        <w:t>: Summary of responses to OGW’s shipper survey</w:t>
      </w:r>
    </w:p>
    <w:tbl>
      <w:tblPr>
        <w:tblStyle w:val="TableGrid"/>
        <w:tblW w:w="5287" w:type="pct"/>
        <w:tblLayout w:type="fixed"/>
        <w:tblLook w:val="0420" w:firstRow="1" w:lastRow="0" w:firstColumn="0" w:lastColumn="0" w:noHBand="0" w:noVBand="1"/>
      </w:tblPr>
      <w:tblGrid>
        <w:gridCol w:w="1102"/>
        <w:gridCol w:w="1308"/>
        <w:gridCol w:w="6882"/>
      </w:tblGrid>
      <w:tr w:rsidR="00AD50BB" w:rsidRPr="00865E66" w14:paraId="3AA3220D" w14:textId="77777777" w:rsidTr="00107369">
        <w:trPr>
          <w:cnfStyle w:val="100000000000" w:firstRow="1" w:lastRow="0" w:firstColumn="0" w:lastColumn="0" w:oddVBand="0" w:evenVBand="0" w:oddHBand="0" w:evenHBand="0" w:firstRowFirstColumn="0" w:firstRowLastColumn="0" w:lastRowFirstColumn="0" w:lastRowLastColumn="0"/>
          <w:cantSplit/>
          <w:tblHeader/>
        </w:trPr>
        <w:tc>
          <w:tcPr>
            <w:tcW w:w="1297" w:type="pct"/>
            <w:gridSpan w:val="2"/>
            <w:shd w:val="clear" w:color="auto" w:fill="002060"/>
          </w:tcPr>
          <w:p w14:paraId="0166D690" w14:textId="77777777" w:rsidR="00AD50BB" w:rsidRPr="00865E66" w:rsidRDefault="00AD50BB" w:rsidP="001A440E">
            <w:pPr>
              <w:pStyle w:val="TableHeading"/>
              <w:spacing w:before="40" w:after="40" w:line="252" w:lineRule="auto"/>
              <w:rPr>
                <w:szCs w:val="18"/>
                <w:lang w:eastAsia="fr-CA"/>
              </w:rPr>
            </w:pPr>
            <w:r w:rsidRPr="00865E66">
              <w:rPr>
                <w:szCs w:val="18"/>
                <w:lang w:eastAsia="fr-CA"/>
              </w:rPr>
              <w:t>Issue</w:t>
            </w:r>
          </w:p>
        </w:tc>
        <w:tc>
          <w:tcPr>
            <w:tcW w:w="3703" w:type="pct"/>
            <w:shd w:val="clear" w:color="auto" w:fill="002060"/>
          </w:tcPr>
          <w:p w14:paraId="6141F6BA" w14:textId="77777777" w:rsidR="00AD50BB" w:rsidRPr="00865E66" w:rsidRDefault="00AD50BB" w:rsidP="001A440E">
            <w:pPr>
              <w:pStyle w:val="TableHeading"/>
              <w:spacing w:before="40" w:after="40" w:line="252" w:lineRule="auto"/>
              <w:rPr>
                <w:szCs w:val="18"/>
                <w:lang w:eastAsia="fr-CA"/>
              </w:rPr>
            </w:pPr>
            <w:r w:rsidRPr="00865E66">
              <w:rPr>
                <w:szCs w:val="18"/>
                <w:lang w:eastAsia="fr-CA"/>
              </w:rPr>
              <w:t>Survey response</w:t>
            </w:r>
          </w:p>
        </w:tc>
      </w:tr>
      <w:tr w:rsidR="00AD50BB" w:rsidRPr="00865E66" w14:paraId="3AFBEA71" w14:textId="77777777" w:rsidTr="00107369">
        <w:trPr>
          <w:cantSplit/>
        </w:trPr>
        <w:tc>
          <w:tcPr>
            <w:tcW w:w="1297" w:type="pct"/>
            <w:gridSpan w:val="2"/>
            <w:tcBorders>
              <w:bottom w:val="single" w:sz="4" w:space="0" w:color="auto"/>
            </w:tcBorders>
          </w:tcPr>
          <w:p w14:paraId="1F5E21EB" w14:textId="77777777" w:rsidR="00AD50BB" w:rsidRPr="00865E66" w:rsidRDefault="00AD50BB" w:rsidP="001A440E">
            <w:pPr>
              <w:pStyle w:val="TableBodyText"/>
              <w:spacing w:before="40" w:after="40" w:line="252" w:lineRule="auto"/>
              <w:rPr>
                <w:szCs w:val="18"/>
                <w:lang w:eastAsia="fr-CA"/>
              </w:rPr>
            </w:pPr>
            <w:r w:rsidRPr="00865E66">
              <w:rPr>
                <w:szCs w:val="18"/>
              </w:rPr>
              <w:t xml:space="preserve">Information disclosure requirements </w:t>
            </w:r>
          </w:p>
        </w:tc>
        <w:tc>
          <w:tcPr>
            <w:tcW w:w="3703" w:type="pct"/>
          </w:tcPr>
          <w:p w14:paraId="7947FC00" w14:textId="77777777" w:rsidR="00AD50BB" w:rsidRPr="00865E66" w:rsidRDefault="00AD50BB" w:rsidP="001A440E">
            <w:pPr>
              <w:pStyle w:val="TableBullet10"/>
              <w:numPr>
                <w:ilvl w:val="0"/>
                <w:numId w:val="0"/>
              </w:numPr>
              <w:spacing w:before="40" w:after="40" w:line="252" w:lineRule="auto"/>
              <w:ind w:left="85"/>
              <w:rPr>
                <w:szCs w:val="18"/>
                <w:lang w:eastAsia="fr-CA"/>
              </w:rPr>
            </w:pPr>
            <w:r w:rsidRPr="00865E66">
              <w:rPr>
                <w:szCs w:val="18"/>
                <w:lang w:eastAsia="fr-CA"/>
              </w:rPr>
              <w:t xml:space="preserve">The majority of respondents were generally satisfied with the information disclosure requirements and the user access guide. However, a reasonable number of respondents expressed some dissatisfaction with the: </w:t>
            </w:r>
          </w:p>
          <w:p w14:paraId="599B7EB7" w14:textId="77777777" w:rsidR="00AD50BB" w:rsidRPr="00865E66" w:rsidRDefault="00AD50BB" w:rsidP="001A440E">
            <w:pPr>
              <w:pStyle w:val="TableBullet10"/>
              <w:spacing w:before="40" w:after="40" w:line="252" w:lineRule="auto"/>
              <w:rPr>
                <w:szCs w:val="18"/>
                <w:lang w:eastAsia="fr-CA"/>
              </w:rPr>
            </w:pPr>
            <w:r w:rsidRPr="00865E66">
              <w:rPr>
                <w:b/>
                <w:bCs/>
                <w:szCs w:val="18"/>
                <w:lang w:eastAsia="fr-CA"/>
              </w:rPr>
              <w:t>standing terms and conditions</w:t>
            </w:r>
            <w:r w:rsidRPr="00865E66">
              <w:rPr>
                <w:szCs w:val="18"/>
                <w:lang w:eastAsia="fr-CA"/>
              </w:rPr>
              <w:t>, with a number of respondents noting that the information published by service providers does not allow them to understand how that published pricing methodology has been used to generate the standing price.</w:t>
            </w:r>
          </w:p>
          <w:p w14:paraId="3D590FEB" w14:textId="77777777" w:rsidR="00AD50BB" w:rsidRPr="00865E66" w:rsidRDefault="00AD50BB" w:rsidP="001A440E">
            <w:pPr>
              <w:pStyle w:val="TableBullet10"/>
              <w:spacing w:before="40" w:after="40" w:line="252" w:lineRule="auto"/>
              <w:rPr>
                <w:szCs w:val="18"/>
                <w:lang w:eastAsia="fr-CA"/>
              </w:rPr>
            </w:pPr>
            <w:r w:rsidRPr="00865E66">
              <w:rPr>
                <w:b/>
                <w:bCs/>
                <w:szCs w:val="18"/>
                <w:lang w:eastAsia="fr-CA"/>
              </w:rPr>
              <w:t>service usage information</w:t>
            </w:r>
            <w:r w:rsidRPr="00865E66">
              <w:rPr>
                <w:szCs w:val="18"/>
                <w:lang w:eastAsia="fr-CA"/>
              </w:rPr>
              <w:t xml:space="preserve">, with some respondents suggesting that the information be available on a daily rather than monthly basis. </w:t>
            </w:r>
          </w:p>
          <w:p w14:paraId="1CC47141" w14:textId="77777777" w:rsidR="00AD50BB" w:rsidRPr="00865E66" w:rsidRDefault="00AD50BB" w:rsidP="001A440E">
            <w:pPr>
              <w:pStyle w:val="TableBullet10"/>
              <w:spacing w:before="40" w:after="40" w:line="252" w:lineRule="auto"/>
              <w:rPr>
                <w:szCs w:val="18"/>
                <w:lang w:eastAsia="fr-CA"/>
              </w:rPr>
            </w:pPr>
            <w:r w:rsidRPr="00865E66">
              <w:rPr>
                <w:b/>
                <w:bCs/>
                <w:szCs w:val="18"/>
                <w:lang w:eastAsia="fr-CA"/>
              </w:rPr>
              <w:t>service availability information</w:t>
            </w:r>
            <w:r w:rsidRPr="00865E66">
              <w:rPr>
                <w:szCs w:val="18"/>
                <w:lang w:eastAsia="fr-CA"/>
              </w:rPr>
              <w:t>, with some respondents suggesting the outlook period should be longer than 36 months.</w:t>
            </w:r>
          </w:p>
          <w:p w14:paraId="37399E02" w14:textId="77777777" w:rsidR="00AD50BB" w:rsidRPr="00865E66" w:rsidRDefault="00AD50BB" w:rsidP="001A440E">
            <w:pPr>
              <w:pStyle w:val="TableBullet10"/>
              <w:spacing w:before="40" w:after="40" w:line="252" w:lineRule="auto"/>
              <w:rPr>
                <w:szCs w:val="18"/>
                <w:lang w:eastAsia="fr-CA"/>
              </w:rPr>
            </w:pPr>
            <w:r w:rsidRPr="00865E66">
              <w:rPr>
                <w:b/>
                <w:bCs/>
                <w:szCs w:val="18"/>
                <w:lang w:eastAsia="fr-CA"/>
              </w:rPr>
              <w:t>price information</w:t>
            </w:r>
            <w:r w:rsidRPr="00865E66">
              <w:rPr>
                <w:szCs w:val="18"/>
                <w:lang w:eastAsia="fr-CA"/>
              </w:rPr>
              <w:t>, with one respondent suggesting that there be full disclosure of the prices paid under each contract, while another suggested that information on the range of prices paid by shippers on the pipeline would be useful.</w:t>
            </w:r>
          </w:p>
          <w:p w14:paraId="386F92EF" w14:textId="77777777" w:rsidR="00AD50BB" w:rsidRPr="00865E66" w:rsidRDefault="00AD50BB" w:rsidP="001A440E">
            <w:pPr>
              <w:pStyle w:val="TableBullet10"/>
              <w:spacing w:before="40" w:after="40" w:line="252" w:lineRule="auto"/>
              <w:rPr>
                <w:szCs w:val="18"/>
                <w:lang w:eastAsia="fr-CA"/>
              </w:rPr>
            </w:pPr>
            <w:r w:rsidRPr="00865E66">
              <w:rPr>
                <w:b/>
                <w:bCs/>
                <w:szCs w:val="18"/>
                <w:lang w:eastAsia="fr-CA"/>
              </w:rPr>
              <w:t xml:space="preserve">financial information, </w:t>
            </w:r>
            <w:r w:rsidRPr="00865E66">
              <w:rPr>
                <w:szCs w:val="18"/>
                <w:lang w:eastAsia="fr-CA"/>
              </w:rPr>
              <w:t>with a number of respondents expressing concerns about the lack of transparency surrounding some information (e.g. how the return on capital was calculated for the recovered capital value (RCV) estimates and, in particular, the rate of return assumed) and the volume of information.</w:t>
            </w:r>
          </w:p>
          <w:p w14:paraId="2B64BD5B" w14:textId="77777777" w:rsidR="00AD50BB" w:rsidRPr="00865E66" w:rsidRDefault="00AD50BB" w:rsidP="001A440E">
            <w:pPr>
              <w:pStyle w:val="TableBullet10"/>
              <w:spacing w:before="40" w:after="40" w:line="252" w:lineRule="auto"/>
              <w:rPr>
                <w:szCs w:val="18"/>
                <w:lang w:eastAsia="fr-CA"/>
              </w:rPr>
            </w:pPr>
            <w:r w:rsidRPr="00865E66">
              <w:rPr>
                <w:b/>
                <w:bCs/>
                <w:szCs w:val="18"/>
                <w:lang w:eastAsia="fr-CA"/>
              </w:rPr>
              <w:t>ease with which the information can be used</w:t>
            </w:r>
            <w:r w:rsidRPr="00865E66">
              <w:rPr>
                <w:szCs w:val="18"/>
                <w:lang w:eastAsia="fr-CA"/>
              </w:rPr>
              <w:t xml:space="preserve">, with a number of respondents noting that it was either difficult or very difficult to understand the information and that prospective shippers would have to undertake extensive modelling and analysis to use the information. </w:t>
            </w:r>
          </w:p>
          <w:p w14:paraId="52C1206D" w14:textId="4275EDC0" w:rsidR="00AD50BB" w:rsidRPr="00865E66" w:rsidRDefault="00AD50BB" w:rsidP="001A440E">
            <w:pPr>
              <w:pStyle w:val="TableBullet10"/>
              <w:spacing w:before="40" w:after="40" w:line="252" w:lineRule="auto"/>
              <w:rPr>
                <w:szCs w:val="18"/>
                <w:lang w:eastAsia="fr-CA"/>
              </w:rPr>
            </w:pPr>
            <w:r w:rsidRPr="00865E66">
              <w:rPr>
                <w:b/>
                <w:bCs/>
                <w:szCs w:val="18"/>
                <w:lang w:eastAsia="fr-CA"/>
              </w:rPr>
              <w:t>accessibility of information</w:t>
            </w:r>
            <w:r w:rsidRPr="00865E66">
              <w:rPr>
                <w:szCs w:val="18"/>
                <w:lang w:eastAsia="fr-CA"/>
              </w:rPr>
              <w:t xml:space="preserve">, with some respondents noting that service providers present information in different ways and in different locations, which can make it difficult to access. Some respondents also noted the potential for information to be removed or changed by a service provider during negotiations. It was therefore suggested that the information be reported in a centralised and independent location (e.g. the AER’s website or the </w:t>
            </w:r>
            <w:r w:rsidR="00AF663F">
              <w:rPr>
                <w:szCs w:val="18"/>
                <w:lang w:eastAsia="fr-CA"/>
              </w:rPr>
              <w:t>BB/GBB</w:t>
            </w:r>
            <w:r w:rsidRPr="00865E66">
              <w:rPr>
                <w:szCs w:val="18"/>
                <w:lang w:eastAsia="fr-CA"/>
              </w:rPr>
              <w:t>).</w:t>
            </w:r>
          </w:p>
          <w:p w14:paraId="5605E3AB" w14:textId="77777777" w:rsidR="00AD50BB" w:rsidRPr="00865E66" w:rsidRDefault="00AD50BB" w:rsidP="001A440E">
            <w:pPr>
              <w:pStyle w:val="TableBullet10"/>
              <w:numPr>
                <w:ilvl w:val="0"/>
                <w:numId w:val="0"/>
              </w:numPr>
              <w:spacing w:before="40" w:after="40" w:line="252" w:lineRule="auto"/>
              <w:ind w:left="85"/>
              <w:rPr>
                <w:szCs w:val="18"/>
              </w:rPr>
            </w:pPr>
            <w:r w:rsidRPr="00865E66">
              <w:rPr>
                <w:szCs w:val="18"/>
                <w:lang w:eastAsia="fr-CA"/>
              </w:rPr>
              <w:t xml:space="preserve">Some respondents also expressed </w:t>
            </w:r>
            <w:r w:rsidRPr="00865E66">
              <w:rPr>
                <w:szCs w:val="18"/>
              </w:rPr>
              <w:t>concerns with how the financial information gets translated into a tangible outcome (via the arbitration process), while others noted that a shippers’ ability to undertake any analysis was limited by their internal resources. These respondents noted that anything that could be done to assist in this regard would make the framework more accessible, particularly for smaller shippers.</w:t>
            </w:r>
          </w:p>
        </w:tc>
      </w:tr>
      <w:tr w:rsidR="00AD50BB" w:rsidRPr="00865E66" w14:paraId="0F13902D" w14:textId="77777777" w:rsidTr="00107369">
        <w:trPr>
          <w:cnfStyle w:val="000000010000" w:firstRow="0" w:lastRow="0" w:firstColumn="0" w:lastColumn="0" w:oddVBand="0" w:evenVBand="0" w:oddHBand="0" w:evenHBand="1" w:firstRowFirstColumn="0" w:firstRowLastColumn="0" w:lastRowFirstColumn="0" w:lastRowLastColumn="0"/>
          <w:cantSplit/>
          <w:trHeight w:val="730"/>
        </w:trPr>
        <w:tc>
          <w:tcPr>
            <w:tcW w:w="593" w:type="pct"/>
            <w:vMerge w:val="restart"/>
          </w:tcPr>
          <w:p w14:paraId="6D5DCA4A" w14:textId="77777777" w:rsidR="00AD50BB" w:rsidRPr="00865E66" w:rsidRDefault="00AD50BB" w:rsidP="001A440E">
            <w:pPr>
              <w:pStyle w:val="TableBodyText"/>
              <w:spacing w:before="40" w:after="40" w:line="252" w:lineRule="auto"/>
              <w:rPr>
                <w:szCs w:val="18"/>
                <w:lang w:eastAsia="fr-CA"/>
              </w:rPr>
            </w:pPr>
            <w:r w:rsidRPr="00865E66">
              <w:rPr>
                <w:szCs w:val="18"/>
              </w:rPr>
              <w:t xml:space="preserve">Negotiation framework </w:t>
            </w:r>
          </w:p>
        </w:tc>
        <w:tc>
          <w:tcPr>
            <w:tcW w:w="704" w:type="pct"/>
            <w:tcBorders>
              <w:bottom w:val="single" w:sz="4" w:space="0" w:color="auto"/>
            </w:tcBorders>
          </w:tcPr>
          <w:p w14:paraId="42265F89" w14:textId="77777777" w:rsidR="00AD50BB" w:rsidRPr="00865E66" w:rsidRDefault="00AD50BB" w:rsidP="001A440E">
            <w:pPr>
              <w:pStyle w:val="TableBodyText"/>
              <w:spacing w:before="40" w:after="40" w:line="252" w:lineRule="auto"/>
              <w:rPr>
                <w:rFonts w:asciiTheme="majorHAnsi" w:hAnsiTheme="majorHAnsi" w:cstheme="majorHAnsi"/>
                <w:szCs w:val="18"/>
                <w:lang w:eastAsia="fr-CA"/>
              </w:rPr>
            </w:pPr>
            <w:r w:rsidRPr="00865E66">
              <w:rPr>
                <w:rFonts w:asciiTheme="majorHAnsi" w:hAnsiTheme="majorHAnsi" w:cstheme="majorHAnsi"/>
                <w:szCs w:val="18"/>
                <w:lang w:eastAsia="fr-CA"/>
              </w:rPr>
              <w:t>Preliminary vs formal access request</w:t>
            </w:r>
          </w:p>
        </w:tc>
        <w:tc>
          <w:tcPr>
            <w:tcW w:w="3703" w:type="pct"/>
            <w:tcBorders>
              <w:bottom w:val="single" w:sz="4" w:space="0" w:color="auto"/>
            </w:tcBorders>
          </w:tcPr>
          <w:p w14:paraId="552BDEEA" w14:textId="77777777" w:rsidR="00AD50BB" w:rsidRPr="00865E66" w:rsidRDefault="00AD50BB" w:rsidP="001A440E">
            <w:pPr>
              <w:pStyle w:val="TableBodyText"/>
              <w:spacing w:before="40" w:after="40" w:line="252" w:lineRule="auto"/>
              <w:rPr>
                <w:rFonts w:asciiTheme="majorHAnsi" w:hAnsiTheme="majorHAnsi" w:cstheme="majorHAnsi"/>
                <w:szCs w:val="18"/>
                <w:lang w:eastAsia="fr-CA"/>
              </w:rPr>
            </w:pPr>
            <w:r w:rsidRPr="00865E66">
              <w:rPr>
                <w:rFonts w:asciiTheme="majorHAnsi" w:hAnsiTheme="majorHAnsi" w:cstheme="majorHAnsi"/>
                <w:szCs w:val="18"/>
                <w:lang w:eastAsia="fr-CA"/>
              </w:rPr>
              <w:t xml:space="preserve">Most respondents that had negotiated access to a non-scheme pipeline noted that they had done so outside the formal Part 23 arrangements through a preliminary enquiry, but stated that having the fall-back position of being able to negotiate under Part 23 assisted them in their informal negotiations. One respondent did, however, raise some concerns with the use of preliminary enquiries because in its case </w:t>
            </w:r>
            <w:r w:rsidRPr="00865E66">
              <w:rPr>
                <w:rFonts w:asciiTheme="majorHAnsi" w:hAnsiTheme="majorHAnsi" w:cstheme="majorHAnsi"/>
                <w:szCs w:val="18"/>
              </w:rPr>
              <w:t>“the service provider required all terms and conditions to be agreed before they made an access offer, so negotiations did not occur within the access offer framework”.</w:t>
            </w:r>
            <w:r w:rsidRPr="00865E66">
              <w:rPr>
                <w:rFonts w:asciiTheme="majorHAnsi" w:hAnsiTheme="majorHAnsi" w:cstheme="majorHAnsi"/>
                <w:szCs w:val="18"/>
                <w:lang w:eastAsia="fr-CA"/>
              </w:rPr>
              <w:t xml:space="preserve"> </w:t>
            </w:r>
          </w:p>
        </w:tc>
      </w:tr>
      <w:tr w:rsidR="00AD50BB" w:rsidRPr="00865E66" w14:paraId="728D4C89" w14:textId="77777777" w:rsidTr="00107369">
        <w:trPr>
          <w:cantSplit/>
          <w:trHeight w:val="262"/>
        </w:trPr>
        <w:tc>
          <w:tcPr>
            <w:tcW w:w="593" w:type="pct"/>
            <w:vMerge/>
            <w:tcBorders>
              <w:bottom w:val="single" w:sz="4" w:space="0" w:color="auto"/>
              <w:right w:val="single" w:sz="4" w:space="0" w:color="auto"/>
            </w:tcBorders>
            <w:shd w:val="clear" w:color="auto" w:fill="E1E2E7" w:themeFill="background2"/>
          </w:tcPr>
          <w:p w14:paraId="7C8EC7AA" w14:textId="77777777" w:rsidR="00AD50BB" w:rsidRPr="00865E66" w:rsidRDefault="00AD50BB" w:rsidP="001A440E">
            <w:pPr>
              <w:pStyle w:val="TableBodyText"/>
              <w:spacing w:before="40" w:after="40" w:line="252" w:lineRule="auto"/>
              <w:rPr>
                <w:szCs w:val="18"/>
              </w:rPr>
            </w:pPr>
          </w:p>
        </w:tc>
        <w:tc>
          <w:tcPr>
            <w:tcW w:w="704" w:type="pct"/>
            <w:tcBorders>
              <w:left w:val="single" w:sz="4" w:space="0" w:color="auto"/>
            </w:tcBorders>
            <w:shd w:val="clear" w:color="auto" w:fill="FFFFFF" w:themeFill="background1"/>
          </w:tcPr>
          <w:p w14:paraId="0C8EC33D" w14:textId="77777777" w:rsidR="00AD50BB" w:rsidRPr="00865E66" w:rsidRDefault="00AD50BB" w:rsidP="001A440E">
            <w:pPr>
              <w:pStyle w:val="TableBodyText"/>
              <w:spacing w:before="40" w:after="40" w:line="252" w:lineRule="auto"/>
              <w:rPr>
                <w:szCs w:val="18"/>
              </w:rPr>
            </w:pPr>
            <w:r w:rsidRPr="00865E66">
              <w:rPr>
                <w:szCs w:val="18"/>
              </w:rPr>
              <w:t xml:space="preserve">Negotiations </w:t>
            </w:r>
          </w:p>
        </w:tc>
        <w:tc>
          <w:tcPr>
            <w:tcW w:w="3703" w:type="pct"/>
            <w:tcBorders>
              <w:right w:val="single" w:sz="4" w:space="0" w:color="auto"/>
            </w:tcBorders>
            <w:shd w:val="clear" w:color="auto" w:fill="FFFFFF" w:themeFill="background1"/>
          </w:tcPr>
          <w:p w14:paraId="5BE4C603" w14:textId="77777777" w:rsidR="00AD50BB" w:rsidRPr="00865E66" w:rsidRDefault="00AD50BB" w:rsidP="001A440E">
            <w:pPr>
              <w:pStyle w:val="TableBodyText"/>
              <w:spacing w:before="40" w:after="40" w:line="252" w:lineRule="auto"/>
              <w:rPr>
                <w:szCs w:val="18"/>
                <w:lang w:eastAsia="fr-CA"/>
              </w:rPr>
            </w:pPr>
            <w:r w:rsidRPr="00865E66">
              <w:rPr>
                <w:szCs w:val="18"/>
                <w:lang w:eastAsia="fr-CA"/>
              </w:rPr>
              <w:t>Most respondents were satisfied with: (a) the requirement for parties to negotiate and exchange information in good faith; (b) the information to be provided by a service provider on request from a shipper; and (c) the timeframes for the provision of information by service providers.</w:t>
            </w:r>
          </w:p>
        </w:tc>
      </w:tr>
      <w:tr w:rsidR="00AD50BB" w:rsidRPr="00865E66" w14:paraId="21034A9C" w14:textId="77777777" w:rsidTr="00107369">
        <w:trPr>
          <w:cnfStyle w:val="000000010000" w:firstRow="0" w:lastRow="0" w:firstColumn="0" w:lastColumn="0" w:oddVBand="0" w:evenVBand="0" w:oddHBand="0" w:evenHBand="1" w:firstRowFirstColumn="0" w:firstRowLastColumn="0" w:lastRowFirstColumn="0" w:lastRowLastColumn="0"/>
          <w:cantSplit/>
          <w:trHeight w:val="610"/>
        </w:trPr>
        <w:tc>
          <w:tcPr>
            <w:tcW w:w="593" w:type="pct"/>
            <w:vMerge w:val="restart"/>
            <w:shd w:val="clear" w:color="auto" w:fill="FFFFFF" w:themeFill="background1"/>
          </w:tcPr>
          <w:p w14:paraId="31BE0FBE" w14:textId="77777777" w:rsidR="00AD50BB" w:rsidRPr="00865E66" w:rsidRDefault="00AD50BB" w:rsidP="001A440E">
            <w:pPr>
              <w:pStyle w:val="TableBodyText"/>
              <w:spacing w:before="40" w:after="40" w:line="252" w:lineRule="auto"/>
              <w:rPr>
                <w:szCs w:val="18"/>
                <w:lang w:eastAsia="fr-CA"/>
              </w:rPr>
            </w:pPr>
            <w:r w:rsidRPr="00865E66">
              <w:rPr>
                <w:szCs w:val="18"/>
              </w:rPr>
              <w:t xml:space="preserve">Arbitration mechanism </w:t>
            </w:r>
          </w:p>
        </w:tc>
        <w:tc>
          <w:tcPr>
            <w:tcW w:w="704" w:type="pct"/>
          </w:tcPr>
          <w:p w14:paraId="636EBC1F" w14:textId="77777777" w:rsidR="00AD50BB" w:rsidRPr="00865E66" w:rsidRDefault="00AD50BB" w:rsidP="001A440E">
            <w:pPr>
              <w:pStyle w:val="TableBodyText"/>
              <w:spacing w:before="40" w:after="40" w:line="252" w:lineRule="auto"/>
              <w:rPr>
                <w:szCs w:val="18"/>
                <w:lang w:eastAsia="fr-CA"/>
              </w:rPr>
            </w:pPr>
            <w:r w:rsidRPr="00865E66">
              <w:rPr>
                <w:szCs w:val="18"/>
                <w:lang w:eastAsia="fr-CA"/>
              </w:rPr>
              <w:t>Use of arbitration</w:t>
            </w:r>
          </w:p>
        </w:tc>
        <w:tc>
          <w:tcPr>
            <w:tcW w:w="3703" w:type="pct"/>
          </w:tcPr>
          <w:p w14:paraId="2A33D1C5" w14:textId="77777777" w:rsidR="00AD50BB" w:rsidRPr="00865E66" w:rsidRDefault="00AD50BB" w:rsidP="001A440E">
            <w:pPr>
              <w:pStyle w:val="TableBodyText"/>
              <w:spacing w:before="40" w:after="40" w:line="252" w:lineRule="auto"/>
              <w:rPr>
                <w:szCs w:val="18"/>
                <w:lang w:eastAsia="fr-CA"/>
              </w:rPr>
            </w:pPr>
            <w:r w:rsidRPr="00865E66">
              <w:rPr>
                <w:szCs w:val="18"/>
                <w:lang w:eastAsia="fr-CA"/>
              </w:rPr>
              <w:t xml:space="preserve">Of the 19 respondents that had negotiated or were negotiating with a non-scheme pipeline service provider, 47% had reached a mutually acceptable conclusion so did not proceed to arbitration, 11% didn’t progress to arbitration because they were concerned about the cost, 5% were unsure why they didn’t proceed to arbitration and the remainder were either still in negotiations or were considering arbitration. One respondent that was considering arbitration and had engaged lawyers to prepare for arbitration noted they were not confident they would get a reasonable outcome so were continuing to pursue commercial negotiations. </w:t>
            </w:r>
          </w:p>
        </w:tc>
      </w:tr>
      <w:tr w:rsidR="00AD50BB" w:rsidRPr="00865E66" w14:paraId="49AF56BF" w14:textId="77777777" w:rsidTr="00107369">
        <w:trPr>
          <w:cantSplit/>
          <w:trHeight w:val="70"/>
        </w:trPr>
        <w:tc>
          <w:tcPr>
            <w:tcW w:w="593" w:type="pct"/>
            <w:vMerge/>
            <w:shd w:val="clear" w:color="auto" w:fill="FFFFFF" w:themeFill="background1"/>
          </w:tcPr>
          <w:p w14:paraId="1652068F" w14:textId="77777777" w:rsidR="00AD50BB" w:rsidRPr="00865E66" w:rsidRDefault="00AD50BB" w:rsidP="001A440E">
            <w:pPr>
              <w:pStyle w:val="TableBodyText"/>
              <w:spacing w:before="40" w:after="40" w:line="252" w:lineRule="auto"/>
              <w:rPr>
                <w:szCs w:val="18"/>
              </w:rPr>
            </w:pPr>
          </w:p>
        </w:tc>
        <w:tc>
          <w:tcPr>
            <w:tcW w:w="704" w:type="pct"/>
          </w:tcPr>
          <w:p w14:paraId="63D26527" w14:textId="77777777" w:rsidR="00AD50BB" w:rsidRPr="00865E66" w:rsidRDefault="00AD50BB" w:rsidP="001A440E">
            <w:pPr>
              <w:pStyle w:val="TableBodyText"/>
              <w:spacing w:before="40" w:after="40" w:line="252" w:lineRule="auto"/>
              <w:rPr>
                <w:szCs w:val="18"/>
              </w:rPr>
            </w:pPr>
            <w:r w:rsidRPr="00865E66">
              <w:rPr>
                <w:szCs w:val="18"/>
              </w:rPr>
              <w:t>Arbitration process</w:t>
            </w:r>
          </w:p>
        </w:tc>
        <w:tc>
          <w:tcPr>
            <w:tcW w:w="3703" w:type="pct"/>
          </w:tcPr>
          <w:p w14:paraId="197F74C5" w14:textId="77777777" w:rsidR="00AD50BB" w:rsidRPr="00865E66" w:rsidRDefault="00AD50BB" w:rsidP="001A440E">
            <w:pPr>
              <w:pStyle w:val="TableBodyText"/>
              <w:spacing w:before="40" w:after="40" w:line="252" w:lineRule="auto"/>
              <w:rPr>
                <w:szCs w:val="18"/>
                <w:lang w:eastAsia="fr-CA"/>
              </w:rPr>
            </w:pPr>
            <w:r w:rsidRPr="00865E66">
              <w:rPr>
                <w:szCs w:val="18"/>
                <w:lang w:eastAsia="fr-CA"/>
              </w:rPr>
              <w:t xml:space="preserve">Respondents were generally supportive of the arbitration process, with a number noting it was critical to the success of framework. The majority of respondents also noted they were comfortable with the timeframes (i.e. 50-90 business days). </w:t>
            </w:r>
          </w:p>
        </w:tc>
      </w:tr>
      <w:tr w:rsidR="00AD50BB" w:rsidRPr="00865E66" w14:paraId="590806AE" w14:textId="77777777" w:rsidTr="00107369">
        <w:trPr>
          <w:cnfStyle w:val="000000010000" w:firstRow="0" w:lastRow="0" w:firstColumn="0" w:lastColumn="0" w:oddVBand="0" w:evenVBand="0" w:oddHBand="0" w:evenHBand="1" w:firstRowFirstColumn="0" w:firstRowLastColumn="0" w:lastRowFirstColumn="0" w:lastRowLastColumn="0"/>
          <w:cantSplit/>
          <w:trHeight w:val="610"/>
        </w:trPr>
        <w:tc>
          <w:tcPr>
            <w:tcW w:w="593" w:type="pct"/>
            <w:vMerge/>
            <w:shd w:val="clear" w:color="auto" w:fill="FFFFFF" w:themeFill="background1"/>
          </w:tcPr>
          <w:p w14:paraId="669FCB87" w14:textId="77777777" w:rsidR="00AD50BB" w:rsidRPr="00865E66" w:rsidRDefault="00AD50BB" w:rsidP="001A440E">
            <w:pPr>
              <w:pStyle w:val="TableBodyText"/>
              <w:spacing w:before="40" w:after="40" w:line="252" w:lineRule="auto"/>
              <w:rPr>
                <w:szCs w:val="18"/>
              </w:rPr>
            </w:pPr>
          </w:p>
        </w:tc>
        <w:tc>
          <w:tcPr>
            <w:tcW w:w="704" w:type="pct"/>
          </w:tcPr>
          <w:p w14:paraId="1B4FFAB3" w14:textId="77777777" w:rsidR="00AD50BB" w:rsidRPr="00865E66" w:rsidRDefault="00AD50BB" w:rsidP="001A440E">
            <w:pPr>
              <w:pStyle w:val="TableBodyText"/>
              <w:spacing w:before="40" w:after="40" w:line="252" w:lineRule="auto"/>
              <w:rPr>
                <w:szCs w:val="18"/>
              </w:rPr>
            </w:pPr>
            <w:r w:rsidRPr="00865E66">
              <w:rPr>
                <w:szCs w:val="18"/>
              </w:rPr>
              <w:t>Pricing principles</w:t>
            </w:r>
          </w:p>
        </w:tc>
        <w:tc>
          <w:tcPr>
            <w:tcW w:w="3703" w:type="pct"/>
          </w:tcPr>
          <w:p w14:paraId="665153C8" w14:textId="77777777" w:rsidR="00AD50BB" w:rsidRPr="00865E66" w:rsidRDefault="00AD50BB" w:rsidP="001A440E">
            <w:pPr>
              <w:pStyle w:val="TableBodyText"/>
              <w:spacing w:before="40" w:after="40" w:line="252" w:lineRule="auto"/>
              <w:rPr>
                <w:szCs w:val="18"/>
                <w:lang w:eastAsia="fr-CA"/>
              </w:rPr>
            </w:pPr>
            <w:r w:rsidRPr="00865E66">
              <w:rPr>
                <w:szCs w:val="18"/>
                <w:lang w:eastAsia="fr-CA"/>
              </w:rPr>
              <w:t>Respondents were supportive of the workably competitive market objective that underpins Part 23 and the pricing principles. However, only slightly more respondents than not were satisfied the pricing principles provided them with sufficient guidance as to what the arbitrator would hand down. When asked how they could be improved, some respondents suggested that the principles were too regulatory in nature and should be more commercially focused. Concerns were also raised about the asset valuation principles, with some respondents noting that more prescription should be provided because there was too much uncertainty under the current principles. Some also suggested more guidance was required on the rate of return and the treatment of shared costs and that the pricing principles should be amended to make it clear that service providers should not recover more than the cost of providing the service</w:t>
            </w:r>
          </w:p>
        </w:tc>
      </w:tr>
      <w:tr w:rsidR="00AD50BB" w:rsidRPr="00865E66" w14:paraId="6B2D2953" w14:textId="77777777" w:rsidTr="00107369">
        <w:trPr>
          <w:cantSplit/>
          <w:trHeight w:val="195"/>
        </w:trPr>
        <w:tc>
          <w:tcPr>
            <w:tcW w:w="593" w:type="pct"/>
            <w:vMerge/>
            <w:shd w:val="clear" w:color="auto" w:fill="FFFFFF" w:themeFill="background1"/>
          </w:tcPr>
          <w:p w14:paraId="23F5380D" w14:textId="77777777" w:rsidR="00AD50BB" w:rsidRPr="00865E66" w:rsidRDefault="00AD50BB" w:rsidP="001A440E">
            <w:pPr>
              <w:pStyle w:val="TableBodyText"/>
              <w:spacing w:before="40" w:after="40" w:line="252" w:lineRule="auto"/>
              <w:rPr>
                <w:szCs w:val="18"/>
              </w:rPr>
            </w:pPr>
          </w:p>
        </w:tc>
        <w:tc>
          <w:tcPr>
            <w:tcW w:w="704" w:type="pct"/>
          </w:tcPr>
          <w:p w14:paraId="11740159" w14:textId="77777777" w:rsidR="00AD50BB" w:rsidRPr="00865E66" w:rsidRDefault="00AD50BB" w:rsidP="001A440E">
            <w:pPr>
              <w:pStyle w:val="TableBodyText"/>
              <w:spacing w:before="40" w:after="40" w:line="252" w:lineRule="auto"/>
              <w:rPr>
                <w:szCs w:val="18"/>
              </w:rPr>
            </w:pPr>
            <w:r w:rsidRPr="00865E66">
              <w:rPr>
                <w:szCs w:val="18"/>
              </w:rPr>
              <w:t>Publication of outcome</w:t>
            </w:r>
          </w:p>
        </w:tc>
        <w:tc>
          <w:tcPr>
            <w:tcW w:w="3703" w:type="pct"/>
          </w:tcPr>
          <w:p w14:paraId="2A6476C5" w14:textId="77777777" w:rsidR="00AD50BB" w:rsidRPr="00865E66" w:rsidRDefault="00AD50BB" w:rsidP="001A440E">
            <w:pPr>
              <w:pStyle w:val="TableBodyText"/>
              <w:spacing w:before="40" w:after="40" w:line="252" w:lineRule="auto"/>
              <w:rPr>
                <w:szCs w:val="18"/>
                <w:lang w:eastAsia="fr-CA"/>
              </w:rPr>
            </w:pPr>
            <w:r w:rsidRPr="00865E66">
              <w:rPr>
                <w:szCs w:val="18"/>
                <w:lang w:eastAsia="fr-CA"/>
              </w:rPr>
              <w:t>A number of respondents noted that there would be benefit in key elements of the arbitrator’s decision being published, including how the tariff was calculated and the information the arbitrator had regard to, so that other shippers could leverage off those outcomes.</w:t>
            </w:r>
          </w:p>
        </w:tc>
      </w:tr>
      <w:tr w:rsidR="00AD50BB" w:rsidRPr="00865E66" w14:paraId="4EE27808" w14:textId="77777777" w:rsidTr="00107369">
        <w:trPr>
          <w:cnfStyle w:val="000000010000" w:firstRow="0" w:lastRow="0" w:firstColumn="0" w:lastColumn="0" w:oddVBand="0" w:evenVBand="0" w:oddHBand="0" w:evenHBand="1" w:firstRowFirstColumn="0" w:firstRowLastColumn="0" w:lastRowFirstColumn="0" w:lastRowLastColumn="0"/>
          <w:cantSplit/>
        </w:trPr>
        <w:tc>
          <w:tcPr>
            <w:tcW w:w="1297" w:type="pct"/>
            <w:gridSpan w:val="2"/>
          </w:tcPr>
          <w:p w14:paraId="3E97331D" w14:textId="77777777" w:rsidR="00AD50BB" w:rsidRPr="00865E66" w:rsidRDefault="00AD50BB" w:rsidP="001A440E">
            <w:pPr>
              <w:pStyle w:val="TableBodyText"/>
              <w:spacing w:before="40" w:after="40" w:line="252" w:lineRule="auto"/>
              <w:rPr>
                <w:szCs w:val="18"/>
                <w:lang w:eastAsia="fr-CA"/>
              </w:rPr>
            </w:pPr>
            <w:r w:rsidRPr="00865E66">
              <w:rPr>
                <w:szCs w:val="18"/>
              </w:rPr>
              <w:t>Exemptions under Part 23.</w:t>
            </w:r>
          </w:p>
        </w:tc>
        <w:tc>
          <w:tcPr>
            <w:tcW w:w="3703" w:type="pct"/>
          </w:tcPr>
          <w:p w14:paraId="4990B0FB" w14:textId="77777777" w:rsidR="00AD50BB" w:rsidRPr="00865E66" w:rsidRDefault="00AD50BB" w:rsidP="001A440E">
            <w:pPr>
              <w:pStyle w:val="TableBodyText"/>
              <w:spacing w:before="40" w:after="40" w:line="252" w:lineRule="auto"/>
              <w:rPr>
                <w:szCs w:val="18"/>
                <w:lang w:eastAsia="fr-CA"/>
              </w:rPr>
            </w:pPr>
            <w:r w:rsidRPr="00865E66">
              <w:rPr>
                <w:szCs w:val="18"/>
                <w:lang w:eastAsia="fr-CA"/>
              </w:rPr>
              <w:t xml:space="preserve">Most respondents thought the exemption criteria were reasonable, although one suggested the single shipper and small pipeline exemptions be removed. </w:t>
            </w:r>
          </w:p>
        </w:tc>
      </w:tr>
    </w:tbl>
    <w:p w14:paraId="6123A57E" w14:textId="77777777" w:rsidR="00AD50BB" w:rsidRPr="006B4639" w:rsidRDefault="00AD50BB" w:rsidP="00AD50BB">
      <w:pPr>
        <w:pStyle w:val="BodyText"/>
        <w:spacing w:before="0" w:after="0" w:line="240" w:lineRule="auto"/>
        <w:rPr>
          <w:color w:val="002060"/>
          <w:sz w:val="2"/>
          <w:szCs w:val="2"/>
        </w:rPr>
      </w:pPr>
    </w:p>
    <w:p w14:paraId="2F90C3C4" w14:textId="77777777" w:rsidR="00AD50BB" w:rsidRPr="006B4639" w:rsidRDefault="00AD50BB" w:rsidP="00AD50BB">
      <w:pPr>
        <w:pStyle w:val="BodyText"/>
        <w:spacing w:before="0" w:after="0" w:line="240" w:lineRule="auto"/>
        <w:rPr>
          <w:color w:val="002060"/>
          <w:sz w:val="2"/>
          <w:szCs w:val="2"/>
        </w:rPr>
      </w:pPr>
    </w:p>
    <w:p w14:paraId="5FB30CBE" w14:textId="77777777" w:rsidR="00107369" w:rsidRDefault="00AD50BB" w:rsidP="00107369">
      <w:pPr>
        <w:pStyle w:val="BodyText"/>
        <w:spacing w:before="0" w:after="0" w:line="240" w:lineRule="auto"/>
        <w:rPr>
          <w:sz w:val="16"/>
          <w:szCs w:val="16"/>
        </w:rPr>
      </w:pPr>
      <w:r w:rsidRPr="006B4639">
        <w:rPr>
          <w:sz w:val="16"/>
          <w:szCs w:val="16"/>
        </w:rPr>
        <w:t xml:space="preserve">Source: </w:t>
      </w:r>
      <w:r>
        <w:rPr>
          <w:sz w:val="16"/>
          <w:szCs w:val="16"/>
        </w:rPr>
        <w:t>OGW</w:t>
      </w:r>
      <w:r w:rsidRPr="006B4639">
        <w:rPr>
          <w:sz w:val="16"/>
          <w:szCs w:val="16"/>
        </w:rPr>
        <w:t xml:space="preserve">, Gas Shippers Survey, </w:t>
      </w:r>
      <w:r>
        <w:rPr>
          <w:sz w:val="16"/>
          <w:szCs w:val="16"/>
        </w:rPr>
        <w:t xml:space="preserve">September </w:t>
      </w:r>
      <w:r w:rsidRPr="006B4639">
        <w:rPr>
          <w:sz w:val="16"/>
          <w:szCs w:val="16"/>
        </w:rPr>
        <w:t>2019.</w:t>
      </w:r>
      <w:r w:rsidR="00107369">
        <w:rPr>
          <w:sz w:val="16"/>
          <w:szCs w:val="16"/>
        </w:rPr>
        <w:t xml:space="preserve"> </w:t>
      </w:r>
    </w:p>
    <w:p w14:paraId="72FCCD5B" w14:textId="77777777" w:rsidR="00107369" w:rsidRDefault="00107369" w:rsidP="00107369">
      <w:pPr>
        <w:pStyle w:val="BodyText"/>
        <w:spacing w:before="0" w:after="0" w:line="240" w:lineRule="auto"/>
        <w:rPr>
          <w:sz w:val="16"/>
          <w:szCs w:val="16"/>
        </w:rPr>
      </w:pPr>
    </w:p>
    <w:p w14:paraId="675F1152" w14:textId="77777777" w:rsidR="00AD50BB" w:rsidRPr="006B4639" w:rsidRDefault="00AD50BB" w:rsidP="00107369">
      <w:pPr>
        <w:pStyle w:val="BodyText"/>
        <w:spacing w:before="0" w:after="0" w:line="240" w:lineRule="auto"/>
      </w:pPr>
      <w:r w:rsidRPr="006B4639">
        <w:t xml:space="preserve">As </w:t>
      </w:r>
      <w:r w:rsidR="005F5C42">
        <w:t xml:space="preserve">Table </w:t>
      </w:r>
      <w:r w:rsidR="00D73A94">
        <w:t>B</w:t>
      </w:r>
      <w:r w:rsidR="005F5C42">
        <w:t xml:space="preserve">.2 </w:t>
      </w:r>
      <w:r w:rsidRPr="006B4639">
        <w:t xml:space="preserve">shows, respondents were generally satisfied with most elements of Part 23, with those respondents that had negotiated access to a pipeline that was subject to Part 23 being satisfied: </w:t>
      </w:r>
    </w:p>
    <w:p w14:paraId="45285AF8" w14:textId="77777777" w:rsidR="00AD50BB" w:rsidRPr="006B4639" w:rsidRDefault="00AD50BB" w:rsidP="00AD36B8">
      <w:pPr>
        <w:pStyle w:val="ListBullet"/>
      </w:pPr>
      <w:r w:rsidRPr="006B4639">
        <w:t xml:space="preserve">with the terms and conditions they had been able to negotiate and the ability of Part 23 to accommodate their specific requirements; and </w:t>
      </w:r>
    </w:p>
    <w:p w14:paraId="3836B050" w14:textId="77777777" w:rsidR="00AD50BB" w:rsidRPr="006B4639" w:rsidRDefault="00AD50BB" w:rsidP="00AD36B8">
      <w:pPr>
        <w:pStyle w:val="ListBullet"/>
      </w:pPr>
      <w:r w:rsidRPr="006B4639">
        <w:t xml:space="preserve">that the design of the arbitration process would result in fair and reasonable outcomes. </w:t>
      </w:r>
    </w:p>
    <w:p w14:paraId="2516CD33" w14:textId="6E7A62CB" w:rsidR="00AD50BB" w:rsidRPr="006B4639" w:rsidRDefault="00AD50BB" w:rsidP="00AD50BB">
      <w:pPr>
        <w:pStyle w:val="BodyText"/>
        <w:spacing w:after="60"/>
      </w:pPr>
      <w:r w:rsidRPr="006B4639">
        <w:t>Some respondents also noted that the introduction of Part 23 had provided service providers an incentive to behave more commercially, as reflected in the following statement by one respondent:</w:t>
      </w:r>
      <w:r w:rsidR="004031E8">
        <w:rPr>
          <w:rFonts w:ascii="ZWAdobeF" w:hAnsi="ZWAdobeF" w:cs="ZWAdobeF"/>
          <w:sz w:val="2"/>
          <w:szCs w:val="2"/>
        </w:rPr>
        <w:t>295F</w:t>
      </w:r>
      <w:r w:rsidRPr="006B4639">
        <w:rPr>
          <w:rStyle w:val="FootnoteReference"/>
        </w:rPr>
        <w:footnoteReference w:id="297"/>
      </w:r>
      <w:r w:rsidRPr="006B4639">
        <w:t xml:space="preserve"> </w:t>
      </w:r>
    </w:p>
    <w:p w14:paraId="76CAD2B9" w14:textId="77777777" w:rsidR="00AD50BB" w:rsidRPr="006B4639" w:rsidRDefault="00AD50BB" w:rsidP="00AD50BB">
      <w:pPr>
        <w:pStyle w:val="Quote"/>
        <w:spacing w:before="60"/>
      </w:pPr>
      <w:r w:rsidRPr="006B4639">
        <w:t>“In the absence of Part 23 there is little recourse available to contain monopoly power of the pipeline. Formal use of Part 23 is only required when there is a bonafide disagreement on some matters or the pipeline is not cooperating in providing reasonable access. Availability of Part 23 has incentivised the pipelines to behave commercially.”</w:t>
      </w:r>
    </w:p>
    <w:p w14:paraId="5E03020F" w14:textId="77777777" w:rsidR="00AD50BB" w:rsidRPr="006B4639" w:rsidRDefault="00AD50BB" w:rsidP="00AD50BB">
      <w:pPr>
        <w:pStyle w:val="BodyText"/>
        <w:spacing w:after="60"/>
      </w:pPr>
      <w:r w:rsidRPr="006B4639">
        <w:t xml:space="preserve">While respondents were generally satisfied with Part 23, their responses do suggest that negotiating access under Part 23 is considered more costly than it is under full regulation. Respondents also suggest that a number of improvements be made to: </w:t>
      </w:r>
    </w:p>
    <w:p w14:paraId="3472E738" w14:textId="77777777" w:rsidR="00AD50BB" w:rsidRPr="006B4639" w:rsidRDefault="00AD50BB" w:rsidP="00AD36B8">
      <w:pPr>
        <w:pStyle w:val="ListBullet"/>
      </w:pPr>
      <w:r w:rsidRPr="006B4639">
        <w:t xml:space="preserve">the information disclosure requirements to make the information more accessible, usable and to address some of the perceived deficiencies with the information; and </w:t>
      </w:r>
    </w:p>
    <w:p w14:paraId="371D2D28" w14:textId="77777777" w:rsidR="00AD50BB" w:rsidRPr="006B4639" w:rsidRDefault="00AD50BB" w:rsidP="00AD36B8">
      <w:pPr>
        <w:pStyle w:val="ListBullet"/>
        <w:rPr>
          <w:color w:val="002060"/>
        </w:rPr>
      </w:pPr>
      <w:r w:rsidRPr="006B4639">
        <w:t xml:space="preserve">the arbitration principles to provide the arbitrator with more guidance on how the asset value, rate of return and shared costs should be calculated. </w:t>
      </w:r>
    </w:p>
    <w:p w14:paraId="755A1AE4" w14:textId="77777777" w:rsidR="00AD50BB" w:rsidRPr="006B4639" w:rsidRDefault="00200D72" w:rsidP="00682DD8">
      <w:pPr>
        <w:pStyle w:val="AppendixHeading2"/>
      </w:pPr>
      <w:bookmarkStart w:id="255" w:name="_Ref18136410"/>
      <w:r>
        <w:t>Brattle</w:t>
      </w:r>
      <w:r w:rsidR="00AD50BB" w:rsidRPr="006B4639">
        <w:t xml:space="preserve"> review of financial information</w:t>
      </w:r>
      <w:bookmarkEnd w:id="255"/>
      <w:r w:rsidR="00AD50BB" w:rsidRPr="006B4639">
        <w:t xml:space="preserve"> </w:t>
      </w:r>
    </w:p>
    <w:p w14:paraId="1CC681FC" w14:textId="682CF0F7" w:rsidR="00AD50BB" w:rsidRPr="006B4639" w:rsidRDefault="00AD50BB" w:rsidP="00AD50BB">
      <w:pPr>
        <w:pStyle w:val="BodyText"/>
      </w:pPr>
      <w:r w:rsidRPr="006B4639">
        <w:t xml:space="preserve">In early 2019, </w:t>
      </w:r>
      <w:r w:rsidR="00200D72">
        <w:t>Brattle</w:t>
      </w:r>
      <w:r w:rsidRPr="006B4639">
        <w:t xml:space="preserve"> was retained to conduct a review of the financial information reported by a sample of non-scheme pipelines under Part 23 of the NGR and to consider the usability of the information and a number of other matters.</w:t>
      </w:r>
      <w:r w:rsidR="004031E8">
        <w:rPr>
          <w:rFonts w:ascii="ZWAdobeF" w:hAnsi="ZWAdobeF" w:cs="ZWAdobeF"/>
          <w:sz w:val="2"/>
          <w:szCs w:val="2"/>
        </w:rPr>
        <w:t>296F</w:t>
      </w:r>
      <w:r w:rsidRPr="006B4639">
        <w:rPr>
          <w:rStyle w:val="FootnoteReference"/>
        </w:rPr>
        <w:footnoteReference w:id="298"/>
      </w:r>
      <w:r w:rsidRPr="006B4639">
        <w:t xml:space="preserve"> </w:t>
      </w:r>
      <w:r w:rsidR="00200D72">
        <w:t>Brattle</w:t>
      </w:r>
      <w:r w:rsidRPr="006B4639">
        <w:t xml:space="preserve"> reviewed the </w:t>
      </w:r>
      <w:r w:rsidRPr="006B4639">
        <w:lastRenderedPageBreak/>
        <w:t>information reported in relation to fourteen non-scheme pipelines for the period 1 January 2018 – 30 January 2018.</w:t>
      </w:r>
    </w:p>
    <w:p w14:paraId="06755C6B" w14:textId="29CBE277" w:rsidR="00AD50BB" w:rsidRPr="006B4639" w:rsidRDefault="00AD50BB" w:rsidP="00AD50BB">
      <w:pPr>
        <w:pStyle w:val="BodyText"/>
      </w:pPr>
      <w:r w:rsidRPr="006B4639">
        <w:t xml:space="preserve">In short, </w:t>
      </w:r>
      <w:r w:rsidR="00200D72">
        <w:t>Brattle</w:t>
      </w:r>
      <w:r w:rsidRPr="006B4639">
        <w:t xml:space="preserve"> found that while the financial information could help shippers calculate some cost-based pricing benchmarks (see </w:t>
      </w:r>
      <w:r w:rsidR="00AD57CF">
        <w:t>Box B.2</w:t>
      </w:r>
      <w:r w:rsidRPr="006B4639">
        <w:t>), there were some deficiencies with the information that could limit its usefulness.</w:t>
      </w:r>
      <w:r w:rsidR="004031E8">
        <w:rPr>
          <w:rFonts w:ascii="ZWAdobeF" w:hAnsi="ZWAdobeF" w:cs="ZWAdobeF"/>
          <w:sz w:val="2"/>
          <w:szCs w:val="2"/>
        </w:rPr>
        <w:t>297F</w:t>
      </w:r>
      <w:r w:rsidRPr="006B4639">
        <w:rPr>
          <w:rStyle w:val="FootnoteReference"/>
          <w:rFonts w:asciiTheme="majorHAnsi" w:hAnsiTheme="majorHAnsi" w:cstheme="majorHAnsi"/>
        </w:rPr>
        <w:footnoteReference w:id="299"/>
      </w:r>
      <w:r w:rsidRPr="006B4639">
        <w:t xml:space="preserve"> Brattle, for example, found a </w:t>
      </w:r>
      <w:r w:rsidRPr="006B4639">
        <w:rPr>
          <w:lang w:eastAsia="fr-CA"/>
        </w:rPr>
        <w:t xml:space="preserve">number of inconsistencies in the financial information reported by service providers (see </w:t>
      </w:r>
      <w:r w:rsidR="00AD57CF">
        <w:t>Box B.3</w:t>
      </w:r>
      <w:r w:rsidRPr="006B4639">
        <w:rPr>
          <w:lang w:eastAsia="fr-CA"/>
        </w:rPr>
        <w:t xml:space="preserve">), which it noted could result in </w:t>
      </w:r>
      <w:r w:rsidRPr="006B4639">
        <w:t>shippers having to dedicate more time and resources to understanding the reported information.</w:t>
      </w:r>
      <w:r w:rsidR="004031E8">
        <w:rPr>
          <w:rFonts w:ascii="ZWAdobeF" w:hAnsi="ZWAdobeF" w:cs="ZWAdobeF"/>
          <w:sz w:val="2"/>
          <w:szCs w:val="2"/>
        </w:rPr>
        <w:t>298F</w:t>
      </w:r>
      <w:r w:rsidRPr="006B4639">
        <w:rPr>
          <w:rStyle w:val="FootnoteReference"/>
          <w:rFonts w:asciiTheme="majorHAnsi" w:hAnsiTheme="majorHAnsi" w:cstheme="majorHAnsi"/>
        </w:rPr>
        <w:footnoteReference w:id="300"/>
      </w:r>
      <w:r w:rsidRPr="006B4639">
        <w:t xml:space="preserve"> </w:t>
      </w:r>
      <w:r w:rsidR="00200D72">
        <w:t>Brattle</w:t>
      </w:r>
      <w:r w:rsidRPr="006B4639">
        <w:t xml:space="preserve"> also made the following observations:</w:t>
      </w:r>
      <w:r w:rsidR="004031E8">
        <w:rPr>
          <w:rFonts w:ascii="ZWAdobeF" w:hAnsi="ZWAdobeF" w:cs="ZWAdobeF"/>
          <w:sz w:val="2"/>
          <w:szCs w:val="2"/>
        </w:rPr>
        <w:t>299F</w:t>
      </w:r>
      <w:r w:rsidRPr="006B4639">
        <w:rPr>
          <w:rStyle w:val="FootnoteReference"/>
          <w:rFonts w:asciiTheme="majorHAnsi" w:hAnsiTheme="majorHAnsi" w:cstheme="majorHAnsi"/>
        </w:rPr>
        <w:footnoteReference w:id="301"/>
      </w:r>
    </w:p>
    <w:p w14:paraId="5F672D5E" w14:textId="77777777" w:rsidR="00AD50BB" w:rsidRPr="006B4639" w:rsidRDefault="00AD50BB" w:rsidP="00AD36B8">
      <w:pPr>
        <w:pStyle w:val="ListBullet"/>
      </w:pPr>
      <w:r w:rsidRPr="006B4639">
        <w:t xml:space="preserve">given the nature of pipeline operations, it is to be expected that a range of cost-based pricing benchmarks that spans incremental cost, fixed cost, and investment cost will be wide; however, wide ranges of cost-based pricing benchmarks calculated from Part 23 financial information also result from a lack of clarity in the reported information; </w:t>
      </w:r>
    </w:p>
    <w:p w14:paraId="14444758" w14:textId="77777777" w:rsidR="00AD50BB" w:rsidRPr="006B4639" w:rsidRDefault="00AD50BB" w:rsidP="00AD36B8">
      <w:pPr>
        <w:pStyle w:val="ListBullet"/>
      </w:pPr>
      <w:r w:rsidRPr="006B4639">
        <w:t>while the recovered capital value (RCV) is useful for shippers to understand the past performance of a pipeline, it is sensitive to the inputs and assumptions that service providers employ, and it also contributes to the wide ranges of pricing benchmarks that can be calculated;</w:t>
      </w:r>
    </w:p>
    <w:p w14:paraId="1A71A66E" w14:textId="77777777" w:rsidR="00AD50BB" w:rsidRPr="006B4639" w:rsidRDefault="00AD50BB" w:rsidP="00AD36B8">
      <w:pPr>
        <w:pStyle w:val="ListBullet"/>
      </w:pPr>
      <w:r w:rsidRPr="006B4639">
        <w:t xml:space="preserve">the information is historical in nature, which may or may not reflect the expected future costs of providing services and therefore the prices payable for those services; and </w:t>
      </w:r>
    </w:p>
    <w:p w14:paraId="150A8AED" w14:textId="77777777" w:rsidR="00AD50BB" w:rsidRPr="006B4639" w:rsidRDefault="00AD50BB" w:rsidP="00AD36B8">
      <w:pPr>
        <w:pStyle w:val="ListBullet"/>
      </w:pPr>
      <w:r w:rsidRPr="006B4639">
        <w:t>the financial information provides shippers with an understanding of the costs of operating a pipeline, but not the value of pipeline capacity, which may be higher than the cost of providing the capacity if, for example, demand exceeds capacity.</w:t>
      </w:r>
    </w:p>
    <w:p w14:paraId="50806C14" w14:textId="0DBBB00C" w:rsidR="00AD50BB" w:rsidRPr="006B4639" w:rsidRDefault="00AD50BB" w:rsidP="00AD50BB">
      <w:pPr>
        <w:pStyle w:val="BodyText"/>
      </w:pPr>
      <w:r w:rsidRPr="006B4639">
        <w:t xml:space="preserve">To address these issues, </w:t>
      </w:r>
      <w:r w:rsidR="00200D72">
        <w:t>Brattle</w:t>
      </w:r>
      <w:r w:rsidRPr="006B4639">
        <w:t xml:space="preserve"> recommended:</w:t>
      </w:r>
      <w:r w:rsidR="004031E8">
        <w:rPr>
          <w:rFonts w:ascii="ZWAdobeF" w:hAnsi="ZWAdobeF" w:cs="ZWAdobeF"/>
          <w:sz w:val="2"/>
          <w:szCs w:val="2"/>
        </w:rPr>
        <w:t>300F</w:t>
      </w:r>
      <w:r w:rsidRPr="006B4639">
        <w:rPr>
          <w:rStyle w:val="FootnoteReference"/>
        </w:rPr>
        <w:footnoteReference w:id="302"/>
      </w:r>
      <w:r w:rsidRPr="006B4639">
        <w:t xml:space="preserve"> </w:t>
      </w:r>
    </w:p>
    <w:p w14:paraId="69BF2E21" w14:textId="77777777" w:rsidR="00AD50BB" w:rsidRPr="006B4639" w:rsidRDefault="00AD50BB" w:rsidP="00AD36B8">
      <w:pPr>
        <w:pStyle w:val="ListBullet"/>
      </w:pPr>
      <w:r w:rsidRPr="006B4639">
        <w:t>a number of changes to the regulator’s Financial Reporting Guideline for Non-Scheme Pipelines (Financial Reporting Guideline) and reporting template to address the issues it had identified and to improve the consistency, transparency and reliability of the reported information;</w:t>
      </w:r>
    </w:p>
    <w:p w14:paraId="66599349" w14:textId="77777777" w:rsidR="00AD50BB" w:rsidRPr="006B4639" w:rsidRDefault="00AD50BB" w:rsidP="00AD36B8">
      <w:pPr>
        <w:pStyle w:val="ListBullet"/>
      </w:pPr>
      <w:r w:rsidRPr="006B4639">
        <w:t xml:space="preserve">that the regulator require service providers to indicate whether expected future capital maintenance requirements are likely to be in line with, significantly above or significantly below the recent history reflected in their RCV calculations; and </w:t>
      </w:r>
    </w:p>
    <w:p w14:paraId="1574358F" w14:textId="77777777" w:rsidR="00AD50BB" w:rsidRPr="006B4639" w:rsidRDefault="00AD50BB" w:rsidP="00AD36B8">
      <w:pPr>
        <w:pStyle w:val="ListBullet"/>
        <w:rPr>
          <w:rFonts w:ascii="Sylfaen" w:hAnsi="Sylfaen"/>
        </w:rPr>
      </w:pPr>
      <w:r w:rsidRPr="006B4639">
        <w:t xml:space="preserve">that service providers be required to report on the amount of available capacity. </w:t>
      </w:r>
    </w:p>
    <w:p w14:paraId="263760DA" w14:textId="77777777" w:rsidR="00AD50BB" w:rsidRPr="006B4639" w:rsidRDefault="00AD50BB" w:rsidP="00AD36B8">
      <w:pPr>
        <w:pStyle w:val="ListBullet"/>
        <w:numPr>
          <w:ilvl w:val="0"/>
          <w:numId w:val="0"/>
        </w:numPr>
        <w:rPr>
          <w:rFonts w:ascii="Sylfaen" w:hAnsi="Sylfaen"/>
        </w:rPr>
      </w:pPr>
      <w:r w:rsidRPr="006B4639">
        <w:t xml:space="preserve">Further detail on </w:t>
      </w:r>
      <w:r w:rsidR="00200D72">
        <w:t>Brattle</w:t>
      </w:r>
      <w:r w:rsidRPr="006B4639">
        <w:t xml:space="preserve">’s recommendations is provided </w:t>
      </w:r>
      <w:r w:rsidR="00ED5D3E">
        <w:t>at the end of this appendix</w:t>
      </w:r>
      <w:r w:rsidRPr="006B4639">
        <w:t>.</w:t>
      </w:r>
    </w:p>
    <w:p w14:paraId="358B63FC" w14:textId="77777777" w:rsidR="00AD50BB" w:rsidRPr="006B4639" w:rsidRDefault="00AD50BB" w:rsidP="00AD36B8">
      <w:pPr>
        <w:pStyle w:val="ListBullet"/>
        <w:numPr>
          <w:ilvl w:val="0"/>
          <w:numId w:val="0"/>
        </w:numPr>
        <w:ind w:left="357"/>
      </w:pPr>
    </w:p>
    <w:p w14:paraId="3F879DC1" w14:textId="77777777" w:rsidR="00AD50BB" w:rsidRPr="006B4639" w:rsidRDefault="00AD50BB" w:rsidP="00AD50BB">
      <w:pPr>
        <w:pStyle w:val="Caption"/>
        <w:spacing w:after="0"/>
      </w:pPr>
      <w:bookmarkStart w:id="256" w:name="_Ref18077982"/>
      <w:r w:rsidRPr="006B4639">
        <w:lastRenderedPageBreak/>
        <w:t xml:space="preserve">Box </w:t>
      </w:r>
      <w:r w:rsidR="00A74302">
        <w:t>B</w:t>
      </w:r>
      <w:r w:rsidR="009D5EA4">
        <w:t>.</w:t>
      </w:r>
      <w:bookmarkEnd w:id="256"/>
      <w:r w:rsidR="00AD57CF">
        <w:t>2</w:t>
      </w:r>
      <w:r w:rsidRPr="006B4639">
        <w:t xml:space="preserve">: Pricing benchmarks </w:t>
      </w:r>
    </w:p>
    <w:tbl>
      <w:tblPr>
        <w:tblStyle w:val="PullOutBoxTable"/>
        <w:tblW w:w="5000" w:type="pct"/>
        <w:tblLook w:val="0600" w:firstRow="0" w:lastRow="0" w:firstColumn="0" w:lastColumn="0" w:noHBand="1" w:noVBand="1"/>
      </w:tblPr>
      <w:tblGrid>
        <w:gridCol w:w="8788"/>
      </w:tblGrid>
      <w:tr w:rsidR="00AD50BB" w:rsidRPr="003F5EDF" w14:paraId="20F39636" w14:textId="77777777" w:rsidTr="001A440E">
        <w:tc>
          <w:tcPr>
            <w:tcW w:w="5000" w:type="pct"/>
          </w:tcPr>
          <w:p w14:paraId="50BBBB78" w14:textId="77777777" w:rsidR="00AD50BB" w:rsidRPr="003F5EDF" w:rsidRDefault="00AD50BB" w:rsidP="001A440E">
            <w:pPr>
              <w:pStyle w:val="TableBodyText"/>
              <w:keepNext/>
              <w:spacing w:before="40" w:after="40" w:line="252" w:lineRule="auto"/>
              <w:rPr>
                <w:sz w:val="20"/>
                <w:szCs w:val="20"/>
              </w:rPr>
            </w:pPr>
            <w:r w:rsidRPr="003F5EDF">
              <w:rPr>
                <w:sz w:val="20"/>
                <w:szCs w:val="20"/>
              </w:rPr>
              <w:t>Brattle identified a number of different cost-based pricing benchmarks and other matters that could be relevant to an assessment of a ‘reasonable price’ (i.e. a price that so far as practical reflects the outcomes of a workably competitive market) under Part 23, including:</w:t>
            </w:r>
          </w:p>
          <w:p w14:paraId="4D13D9F0" w14:textId="77777777" w:rsidR="00AD50BB" w:rsidRPr="003F5EDF" w:rsidRDefault="00AD50BB" w:rsidP="00D73A94">
            <w:pPr>
              <w:pStyle w:val="TableBodyText"/>
              <w:keepNext/>
              <w:numPr>
                <w:ilvl w:val="0"/>
                <w:numId w:val="42"/>
              </w:numPr>
              <w:spacing w:before="40" w:after="40" w:line="252" w:lineRule="auto"/>
              <w:rPr>
                <w:sz w:val="20"/>
                <w:szCs w:val="20"/>
              </w:rPr>
            </w:pPr>
            <w:r w:rsidRPr="003F5EDF">
              <w:rPr>
                <w:sz w:val="20"/>
                <w:szCs w:val="20"/>
              </w:rPr>
              <w:t xml:space="preserve">the incremental cost of providing an additional unit of pipeline service, </w:t>
            </w:r>
          </w:p>
          <w:p w14:paraId="0D9CA2E2" w14:textId="77777777" w:rsidR="00AD50BB" w:rsidRPr="003F5EDF" w:rsidRDefault="00AD50BB" w:rsidP="00D73A94">
            <w:pPr>
              <w:pStyle w:val="TableBodyText"/>
              <w:keepNext/>
              <w:numPr>
                <w:ilvl w:val="0"/>
                <w:numId w:val="42"/>
              </w:numPr>
              <w:spacing w:before="40" w:after="40" w:line="252" w:lineRule="auto"/>
              <w:rPr>
                <w:sz w:val="20"/>
                <w:szCs w:val="20"/>
                <w:lang w:eastAsia="fr-CA"/>
              </w:rPr>
            </w:pPr>
            <w:r w:rsidRPr="003F5EDF">
              <w:rPr>
                <w:sz w:val="20"/>
                <w:szCs w:val="20"/>
              </w:rPr>
              <w:t xml:space="preserve">the fixed costs of operating the pipeline assets; </w:t>
            </w:r>
          </w:p>
          <w:p w14:paraId="4D2171A5" w14:textId="77777777" w:rsidR="00AD50BB" w:rsidRPr="003F5EDF" w:rsidRDefault="00AD50BB" w:rsidP="00D73A94">
            <w:pPr>
              <w:pStyle w:val="TableBodyText"/>
              <w:keepNext/>
              <w:numPr>
                <w:ilvl w:val="0"/>
                <w:numId w:val="42"/>
              </w:numPr>
              <w:spacing w:before="40" w:after="40" w:line="252" w:lineRule="auto"/>
              <w:rPr>
                <w:sz w:val="20"/>
                <w:szCs w:val="20"/>
                <w:lang w:eastAsia="fr-CA"/>
              </w:rPr>
            </w:pPr>
            <w:r w:rsidRPr="003F5EDF">
              <w:rPr>
                <w:sz w:val="20"/>
                <w:szCs w:val="20"/>
              </w:rPr>
              <w:t>the capital investment required and the corresponding expected return on capital (including the tax implications); and</w:t>
            </w:r>
          </w:p>
          <w:p w14:paraId="1711B3F7" w14:textId="77777777" w:rsidR="00AD50BB" w:rsidRPr="003F5EDF" w:rsidRDefault="00AD50BB" w:rsidP="00D73A94">
            <w:pPr>
              <w:pStyle w:val="TableBodyText"/>
              <w:keepNext/>
              <w:numPr>
                <w:ilvl w:val="0"/>
                <w:numId w:val="42"/>
              </w:numPr>
              <w:spacing w:before="40" w:after="40" w:line="252" w:lineRule="auto"/>
              <w:rPr>
                <w:sz w:val="20"/>
                <w:szCs w:val="20"/>
                <w:lang w:eastAsia="fr-CA"/>
              </w:rPr>
            </w:pPr>
            <w:r w:rsidRPr="003F5EDF">
              <w:rPr>
                <w:sz w:val="20"/>
                <w:szCs w:val="20"/>
                <w:lang w:eastAsia="fr-CA"/>
              </w:rPr>
              <w:t>other matters, such as whether or not the pipeline is capacity constrained.</w:t>
            </w:r>
          </w:p>
          <w:p w14:paraId="1D31C939" w14:textId="745D7467" w:rsidR="00AD50BB" w:rsidRPr="003F5EDF" w:rsidRDefault="00AD50BB" w:rsidP="001A440E">
            <w:pPr>
              <w:pStyle w:val="TableBodyText"/>
              <w:keepNext/>
              <w:spacing w:before="200" w:after="40" w:line="252" w:lineRule="auto"/>
              <w:rPr>
                <w:sz w:val="20"/>
                <w:szCs w:val="20"/>
              </w:rPr>
            </w:pPr>
            <w:r w:rsidRPr="003F5EDF">
              <w:rPr>
                <w:sz w:val="20"/>
                <w:szCs w:val="20"/>
                <w:lang w:eastAsia="fr-CA"/>
              </w:rPr>
              <w:t>Brattle also noted that:</w:t>
            </w:r>
            <w:r w:rsidR="004031E8">
              <w:rPr>
                <w:rFonts w:ascii="ZWAdobeF" w:hAnsi="ZWAdobeF" w:cs="ZWAdobeF"/>
                <w:sz w:val="2"/>
                <w:szCs w:val="2"/>
                <w:lang w:eastAsia="fr-CA"/>
              </w:rPr>
              <w:t>301F</w:t>
            </w:r>
            <w:r w:rsidRPr="003F5EDF">
              <w:rPr>
                <w:rStyle w:val="FootnoteReference"/>
                <w:sz w:val="20"/>
                <w:szCs w:val="20"/>
                <w:lang w:eastAsia="fr-CA"/>
              </w:rPr>
              <w:footnoteReference w:id="303"/>
            </w:r>
            <w:r w:rsidRPr="003F5EDF">
              <w:rPr>
                <w:sz w:val="20"/>
                <w:szCs w:val="20"/>
              </w:rPr>
              <w:t xml:space="preserve"> </w:t>
            </w:r>
          </w:p>
          <w:p w14:paraId="1A0155EB" w14:textId="77777777" w:rsidR="00AD50BB" w:rsidRPr="003F5EDF" w:rsidRDefault="00AD50BB" w:rsidP="001A440E">
            <w:pPr>
              <w:pStyle w:val="BGNParagraphNumbering"/>
              <w:keepNext/>
              <w:numPr>
                <w:ilvl w:val="0"/>
                <w:numId w:val="0"/>
              </w:numPr>
              <w:spacing w:before="120" w:after="120" w:line="252" w:lineRule="auto"/>
              <w:ind w:left="284"/>
              <w:rPr>
                <w:rFonts w:asciiTheme="majorHAnsi" w:hAnsiTheme="majorHAnsi" w:cstheme="majorHAnsi"/>
                <w:i/>
                <w:iCs/>
                <w:sz w:val="20"/>
                <w:szCs w:val="20"/>
              </w:rPr>
            </w:pPr>
            <w:r w:rsidRPr="003F5EDF">
              <w:rPr>
                <w:rFonts w:asciiTheme="majorHAnsi" w:hAnsiTheme="majorHAnsi" w:cstheme="majorHAnsi"/>
                <w:i/>
                <w:iCs/>
                <w:sz w:val="20"/>
                <w:szCs w:val="20"/>
              </w:rPr>
              <w:t>“Overall, short-run efficiency means access should be priced at levels that reflect incremental cost. Long-run efficiency, however, requires prices at levels above incremental cost to allow the pipeline service providers to also recover fixed and sunk costs. An access price that provides a return of actual investment and a reasonable rate of return on that investment should be sufficient for the purpose of incentivising investment in the pipeline assets. However, an increase above the level that provides a normal rate of return on actual investment can be appropriate in certain circumstances.</w:t>
            </w:r>
          </w:p>
          <w:p w14:paraId="4049D36A" w14:textId="77777777" w:rsidR="00AD50BB" w:rsidRPr="003F5EDF" w:rsidRDefault="00AD50BB" w:rsidP="001A440E">
            <w:pPr>
              <w:pStyle w:val="TableBodyText"/>
              <w:keepNext/>
              <w:spacing w:before="120" w:after="120" w:line="252" w:lineRule="auto"/>
              <w:ind w:left="284"/>
              <w:rPr>
                <w:rFonts w:asciiTheme="majorHAnsi" w:hAnsiTheme="majorHAnsi" w:cstheme="majorHAnsi"/>
                <w:i/>
                <w:iCs/>
                <w:sz w:val="20"/>
                <w:szCs w:val="20"/>
              </w:rPr>
            </w:pPr>
            <w:r w:rsidRPr="003F5EDF">
              <w:rPr>
                <w:rFonts w:asciiTheme="majorHAnsi" w:hAnsiTheme="majorHAnsi" w:cstheme="majorHAnsi"/>
                <w:i/>
                <w:iCs/>
                <w:sz w:val="20"/>
                <w:szCs w:val="20"/>
              </w:rPr>
              <w:t>In particular, if the demand for pipeline services exceeds the capacity of the pipeline, the price would need to rise such that only shippers with the highest willingness to pay (ie, shippers that derive the highest value from obtaining access) would be given access. High prices due to excess demand also serve as a signal for pipeline expansion.</w:t>
            </w:r>
          </w:p>
          <w:p w14:paraId="6B406871" w14:textId="77777777" w:rsidR="00AD50BB" w:rsidRPr="003F5EDF" w:rsidRDefault="00AD50BB" w:rsidP="001A440E">
            <w:pPr>
              <w:pStyle w:val="TableBodyText"/>
              <w:keepNext/>
              <w:spacing w:before="120" w:after="120" w:line="252" w:lineRule="auto"/>
              <w:ind w:left="284"/>
              <w:rPr>
                <w:rFonts w:asciiTheme="majorHAnsi" w:hAnsiTheme="majorHAnsi" w:cstheme="majorHAnsi"/>
                <w:i/>
                <w:iCs/>
                <w:sz w:val="20"/>
                <w:szCs w:val="20"/>
              </w:rPr>
            </w:pPr>
            <w:r w:rsidRPr="003F5EDF">
              <w:rPr>
                <w:i/>
                <w:iCs/>
                <w:sz w:val="20"/>
                <w:szCs w:val="20"/>
              </w:rPr>
              <w:t>If there is no excess demand, but the access price is nevertheless set above the level required to provide a return of and on invested capital, the result can be sub-optimal use of the asset, and upstream and/or downstream inefficiencies.”</w:t>
            </w:r>
          </w:p>
        </w:tc>
      </w:tr>
    </w:tbl>
    <w:p w14:paraId="3BD66378" w14:textId="40478E87" w:rsidR="00AD50BB" w:rsidRPr="006B4639" w:rsidRDefault="00AD50BB" w:rsidP="00AD50BB">
      <w:pPr>
        <w:pStyle w:val="Caption"/>
        <w:spacing w:after="0"/>
      </w:pPr>
      <w:bookmarkStart w:id="257" w:name="_Ref16755568"/>
      <w:r w:rsidRPr="006B4639">
        <w:t xml:space="preserve">Box </w:t>
      </w:r>
      <w:bookmarkEnd w:id="257"/>
      <w:r w:rsidR="00A74302">
        <w:t>B.3</w:t>
      </w:r>
      <w:r w:rsidRPr="006B4639">
        <w:t xml:space="preserve">: </w:t>
      </w:r>
      <w:r w:rsidR="00200D72">
        <w:t>Brattle</w:t>
      </w:r>
      <w:r w:rsidRPr="006B4639">
        <w:t>’s findings on the consistency of reported information</w:t>
      </w:r>
      <w:r w:rsidR="004031E8">
        <w:rPr>
          <w:rFonts w:ascii="ZWAdobeF" w:hAnsi="ZWAdobeF" w:cs="ZWAdobeF"/>
          <w:b w:val="0"/>
          <w:sz w:val="2"/>
          <w:szCs w:val="2"/>
        </w:rPr>
        <w:t>302F</w:t>
      </w:r>
      <w:r w:rsidRPr="006B4639">
        <w:rPr>
          <w:rStyle w:val="FootnoteReference"/>
        </w:rPr>
        <w:footnoteReference w:id="304"/>
      </w:r>
    </w:p>
    <w:tbl>
      <w:tblPr>
        <w:tblStyle w:val="PullOutBoxTable"/>
        <w:tblW w:w="5000" w:type="pct"/>
        <w:tblLook w:val="0600" w:firstRow="0" w:lastRow="0" w:firstColumn="0" w:lastColumn="0" w:noHBand="1" w:noVBand="1"/>
      </w:tblPr>
      <w:tblGrid>
        <w:gridCol w:w="8788"/>
      </w:tblGrid>
      <w:tr w:rsidR="00AD50BB" w:rsidRPr="006B4639" w14:paraId="33DA0CF6" w14:textId="77777777" w:rsidTr="001A440E">
        <w:tc>
          <w:tcPr>
            <w:tcW w:w="5000" w:type="pct"/>
          </w:tcPr>
          <w:p w14:paraId="2AB2C1DF" w14:textId="77777777" w:rsidR="00AD50BB" w:rsidRPr="006B4639" w:rsidRDefault="00AD50BB" w:rsidP="001A440E">
            <w:pPr>
              <w:pStyle w:val="TableBodyText"/>
              <w:spacing w:before="40" w:after="40" w:line="264" w:lineRule="auto"/>
              <w:rPr>
                <w:rFonts w:asciiTheme="majorHAnsi" w:hAnsiTheme="majorHAnsi" w:cstheme="majorHAnsi"/>
                <w:sz w:val="20"/>
                <w:szCs w:val="20"/>
                <w:lang w:eastAsia="fr-CA"/>
              </w:rPr>
            </w:pPr>
            <w:r w:rsidRPr="006B4639">
              <w:rPr>
                <w:rFonts w:asciiTheme="majorHAnsi" w:hAnsiTheme="majorHAnsi" w:cstheme="majorHAnsi"/>
                <w:sz w:val="20"/>
                <w:szCs w:val="20"/>
                <w:lang w:eastAsia="fr-CA"/>
              </w:rPr>
              <w:t>Through its review of the financial information reported by service providers, Brattle identified the following inconsistencies with the reported information:</w:t>
            </w:r>
          </w:p>
          <w:p w14:paraId="26C4423C" w14:textId="77777777" w:rsidR="00AD50BB" w:rsidRPr="006B4639" w:rsidRDefault="00AD50BB" w:rsidP="00D73A94">
            <w:pPr>
              <w:pStyle w:val="BGNParagraphNumbering"/>
              <w:numPr>
                <w:ilvl w:val="0"/>
                <w:numId w:val="44"/>
              </w:numPr>
              <w:spacing w:before="40" w:after="40" w:line="264" w:lineRule="auto"/>
              <w:ind w:left="442" w:hanging="357"/>
              <w:rPr>
                <w:rFonts w:asciiTheme="majorHAnsi" w:hAnsiTheme="majorHAnsi" w:cstheme="majorHAnsi"/>
                <w:sz w:val="20"/>
                <w:szCs w:val="20"/>
              </w:rPr>
            </w:pPr>
            <w:r w:rsidRPr="006B4639">
              <w:rPr>
                <w:rFonts w:asciiTheme="majorHAnsi" w:hAnsiTheme="majorHAnsi" w:cstheme="majorHAnsi"/>
                <w:sz w:val="20"/>
                <w:szCs w:val="20"/>
              </w:rPr>
              <w:t>Service providers with multiple pipelines use different methods to allocate shared revenues and shared expenses across individual pipelines and do not always disclose the percentage that has been allocated or the calculations performed to implement the allocations.</w:t>
            </w:r>
          </w:p>
          <w:p w14:paraId="522DB071" w14:textId="77777777" w:rsidR="00AD50BB" w:rsidRPr="006B4639" w:rsidRDefault="00AD50BB" w:rsidP="00D73A94">
            <w:pPr>
              <w:pStyle w:val="BGNParagraphNumbering"/>
              <w:numPr>
                <w:ilvl w:val="0"/>
                <w:numId w:val="44"/>
              </w:numPr>
              <w:spacing w:before="40" w:after="40" w:line="264" w:lineRule="auto"/>
              <w:ind w:left="442" w:hanging="357"/>
              <w:rPr>
                <w:rFonts w:asciiTheme="majorHAnsi" w:hAnsiTheme="majorHAnsi" w:cstheme="majorHAnsi"/>
                <w:sz w:val="20"/>
                <w:szCs w:val="20"/>
              </w:rPr>
            </w:pPr>
            <w:r w:rsidRPr="006B4639">
              <w:rPr>
                <w:rFonts w:asciiTheme="majorHAnsi" w:hAnsiTheme="majorHAnsi" w:cstheme="majorHAnsi"/>
                <w:sz w:val="20"/>
                <w:szCs w:val="20"/>
              </w:rPr>
              <w:t xml:space="preserve">The information reported by some service providers is based on estimates, rather than the costs actually incurred by service providers or revenues actually earned. </w:t>
            </w:r>
          </w:p>
          <w:p w14:paraId="3DD6C52E" w14:textId="77777777" w:rsidR="00AD50BB" w:rsidRPr="006B4639" w:rsidRDefault="00AD50BB" w:rsidP="00D73A94">
            <w:pPr>
              <w:pStyle w:val="BGNParagraphNumbering"/>
              <w:numPr>
                <w:ilvl w:val="0"/>
                <w:numId w:val="44"/>
              </w:numPr>
              <w:spacing w:before="40" w:after="40" w:line="264" w:lineRule="auto"/>
              <w:ind w:left="442" w:hanging="357"/>
              <w:rPr>
                <w:rFonts w:asciiTheme="majorHAnsi" w:hAnsiTheme="majorHAnsi" w:cstheme="majorHAnsi"/>
                <w:sz w:val="20"/>
                <w:szCs w:val="20"/>
              </w:rPr>
            </w:pPr>
            <w:r w:rsidRPr="006B4639">
              <w:rPr>
                <w:rFonts w:asciiTheme="majorHAnsi" w:hAnsiTheme="majorHAnsi" w:cstheme="majorHAnsi"/>
                <w:sz w:val="20"/>
                <w:szCs w:val="20"/>
              </w:rPr>
              <w:t xml:space="preserve">The inputs and assumptions used in service providers’ RCV calculations differ, for example: </w:t>
            </w:r>
          </w:p>
          <w:p w14:paraId="73573F4A" w14:textId="77777777" w:rsidR="00AD50BB" w:rsidRPr="006B4639" w:rsidRDefault="00AD50BB" w:rsidP="00D73A94">
            <w:pPr>
              <w:pStyle w:val="BGNParagraphNumbering"/>
              <w:numPr>
                <w:ilvl w:val="0"/>
                <w:numId w:val="45"/>
              </w:numPr>
              <w:spacing w:before="40" w:after="40" w:line="264" w:lineRule="auto"/>
              <w:ind w:left="799" w:hanging="357"/>
              <w:rPr>
                <w:rFonts w:asciiTheme="majorHAnsi" w:hAnsiTheme="majorHAnsi" w:cstheme="majorHAnsi"/>
                <w:sz w:val="20"/>
                <w:szCs w:val="20"/>
              </w:rPr>
            </w:pPr>
            <w:r w:rsidRPr="006B4639">
              <w:rPr>
                <w:rFonts w:asciiTheme="majorHAnsi" w:hAnsiTheme="majorHAnsi" w:cstheme="majorHAnsi"/>
                <w:sz w:val="20"/>
                <w:szCs w:val="20"/>
              </w:rPr>
              <w:t>the opening asset value reported by some service providers is based on a depreciated optimised replacement cost rather than the original construction cost;</w:t>
            </w:r>
          </w:p>
          <w:p w14:paraId="7523E1F5" w14:textId="77777777" w:rsidR="00AD50BB" w:rsidRPr="006B4639" w:rsidRDefault="00AD50BB" w:rsidP="00D73A94">
            <w:pPr>
              <w:pStyle w:val="BGNParagraphNumbering"/>
              <w:numPr>
                <w:ilvl w:val="0"/>
                <w:numId w:val="45"/>
              </w:numPr>
              <w:spacing w:before="40" w:after="40" w:line="264" w:lineRule="auto"/>
              <w:ind w:left="799" w:hanging="357"/>
              <w:rPr>
                <w:rFonts w:asciiTheme="majorHAnsi" w:hAnsiTheme="majorHAnsi" w:cstheme="majorHAnsi"/>
                <w:sz w:val="20"/>
                <w:szCs w:val="20"/>
              </w:rPr>
            </w:pPr>
            <w:r w:rsidRPr="006B4639">
              <w:rPr>
                <w:rFonts w:asciiTheme="majorHAnsi" w:hAnsiTheme="majorHAnsi" w:cstheme="majorHAnsi"/>
                <w:sz w:val="20"/>
                <w:szCs w:val="20"/>
              </w:rPr>
              <w:t>some service providers have assumed capital expenditure is incurred in the middle of the year and included an allowance for a half year’s return, while others have not;</w:t>
            </w:r>
          </w:p>
          <w:p w14:paraId="7CA05961" w14:textId="77777777" w:rsidR="00AD50BB" w:rsidRPr="006B4639" w:rsidRDefault="00AD50BB" w:rsidP="00D73A94">
            <w:pPr>
              <w:pStyle w:val="BGNParagraphNumbering"/>
              <w:numPr>
                <w:ilvl w:val="0"/>
                <w:numId w:val="45"/>
              </w:numPr>
              <w:spacing w:before="40" w:after="40" w:line="264" w:lineRule="auto"/>
              <w:ind w:left="799" w:hanging="357"/>
              <w:rPr>
                <w:rFonts w:asciiTheme="majorHAnsi" w:hAnsiTheme="majorHAnsi" w:cstheme="majorHAnsi"/>
                <w:sz w:val="20"/>
                <w:szCs w:val="20"/>
              </w:rPr>
            </w:pPr>
            <w:r w:rsidRPr="006B4639">
              <w:rPr>
                <w:rFonts w:asciiTheme="majorHAnsi" w:hAnsiTheme="majorHAnsi" w:cstheme="majorHAnsi"/>
                <w:sz w:val="20"/>
                <w:szCs w:val="20"/>
              </w:rPr>
              <w:t xml:space="preserve">the rate of return assumed by service providers varies, with some using parameters set in prior regulatory decisions, while others used other approaches; and </w:t>
            </w:r>
          </w:p>
          <w:p w14:paraId="2E91D54D" w14:textId="77777777" w:rsidR="00AD50BB" w:rsidRPr="006B4639" w:rsidRDefault="00AD50BB" w:rsidP="00D73A94">
            <w:pPr>
              <w:pStyle w:val="BGNParagraphNumbering"/>
              <w:numPr>
                <w:ilvl w:val="0"/>
                <w:numId w:val="45"/>
              </w:numPr>
              <w:spacing w:before="40" w:after="40" w:line="264" w:lineRule="auto"/>
              <w:ind w:left="799" w:hanging="357"/>
              <w:rPr>
                <w:rFonts w:asciiTheme="majorHAnsi" w:hAnsiTheme="majorHAnsi" w:cstheme="majorHAnsi"/>
                <w:sz w:val="20"/>
                <w:szCs w:val="20"/>
              </w:rPr>
            </w:pPr>
            <w:r w:rsidRPr="006B4639">
              <w:rPr>
                <w:rFonts w:asciiTheme="majorHAnsi" w:hAnsiTheme="majorHAnsi" w:cstheme="majorHAnsi"/>
                <w:sz w:val="20"/>
                <w:szCs w:val="20"/>
              </w:rPr>
              <w:t>the methods used by service providers to calculate net tax liabilities differs;</w:t>
            </w:r>
          </w:p>
          <w:p w14:paraId="2BB0B694" w14:textId="77777777" w:rsidR="00AD50BB" w:rsidRPr="006B4639" w:rsidRDefault="00AD50BB" w:rsidP="00D73A94">
            <w:pPr>
              <w:pStyle w:val="BGNParagraphNumbering"/>
              <w:numPr>
                <w:ilvl w:val="0"/>
                <w:numId w:val="44"/>
              </w:numPr>
              <w:spacing w:before="40" w:after="40" w:line="264" w:lineRule="auto"/>
              <w:ind w:left="442" w:hanging="357"/>
              <w:rPr>
                <w:rFonts w:asciiTheme="majorHAnsi" w:hAnsiTheme="majorHAnsi" w:cstheme="majorHAnsi"/>
                <w:sz w:val="20"/>
                <w:szCs w:val="20"/>
              </w:rPr>
            </w:pPr>
            <w:r w:rsidRPr="006B4639">
              <w:rPr>
                <w:rFonts w:asciiTheme="majorHAnsi" w:hAnsiTheme="majorHAnsi" w:cstheme="majorHAnsi"/>
                <w:sz w:val="20"/>
                <w:szCs w:val="20"/>
              </w:rPr>
              <w:t>The “catch-all” fields (such as “other direct revenue”, “other direct cost”, or “other shared cost”) in the financial reporting template were being used by some service providers to report costs that were not referred to in the AER’s Financial Reporting Guideline for Non-Scheme Pipelines and were not reported by other service providers.</w:t>
            </w:r>
          </w:p>
          <w:p w14:paraId="355909CF" w14:textId="77777777" w:rsidR="00AD50BB" w:rsidRPr="006B4639" w:rsidRDefault="00AD50BB" w:rsidP="00D73A94">
            <w:pPr>
              <w:pStyle w:val="BGNParagraphNumbering"/>
              <w:numPr>
                <w:ilvl w:val="0"/>
                <w:numId w:val="44"/>
              </w:numPr>
              <w:spacing w:before="40" w:after="40" w:line="264" w:lineRule="auto"/>
              <w:ind w:left="442" w:hanging="357"/>
              <w:rPr>
                <w:rFonts w:asciiTheme="majorHAnsi" w:hAnsiTheme="majorHAnsi" w:cstheme="majorHAnsi"/>
                <w:sz w:val="20"/>
                <w:szCs w:val="20"/>
              </w:rPr>
            </w:pPr>
            <w:r w:rsidRPr="006B4639">
              <w:rPr>
                <w:rFonts w:asciiTheme="majorHAnsi" w:hAnsiTheme="majorHAnsi" w:cstheme="majorHAnsi"/>
                <w:sz w:val="20"/>
                <w:szCs w:val="20"/>
              </w:rPr>
              <w:t>There were variations in the financial information reported across pipelines for the same line items, as well as across different tables in the reporting template for the same pipeline.</w:t>
            </w:r>
          </w:p>
        </w:tc>
      </w:tr>
    </w:tbl>
    <w:p w14:paraId="4F300D23" w14:textId="77777777" w:rsidR="00AD50BB" w:rsidRPr="006B4639" w:rsidRDefault="00AD50BB" w:rsidP="00682DD8">
      <w:pPr>
        <w:pStyle w:val="AppendixHeading2"/>
      </w:pPr>
      <w:bookmarkStart w:id="258" w:name="_Ref18125558"/>
      <w:bookmarkStart w:id="259" w:name="_Ref18136411"/>
      <w:bookmarkEnd w:id="252"/>
      <w:r w:rsidRPr="006B4639">
        <w:lastRenderedPageBreak/>
        <w:t>ACCC review of the operation of Part 23</w:t>
      </w:r>
      <w:bookmarkEnd w:id="258"/>
      <w:bookmarkEnd w:id="259"/>
      <w:r w:rsidRPr="006B4639">
        <w:t xml:space="preserve"> </w:t>
      </w:r>
    </w:p>
    <w:p w14:paraId="0174D468" w14:textId="77777777" w:rsidR="00AD50BB" w:rsidRPr="006B4639" w:rsidRDefault="00AD50BB" w:rsidP="00AD50BB">
      <w:pPr>
        <w:pStyle w:val="BodyText"/>
      </w:pPr>
      <w:r w:rsidRPr="006B4639">
        <w:t xml:space="preserve">In the first half of 2019, the ACCC undertook a review of the operation of Part 23. Using its compulsory information gathering powers, the ACCC obtained a range of information from the service providers of non-exempt non-scheme pipelines, which it used to assess: </w:t>
      </w:r>
    </w:p>
    <w:p w14:paraId="7A054157" w14:textId="77777777" w:rsidR="00AD50BB" w:rsidRPr="006B4639" w:rsidRDefault="00AD50BB" w:rsidP="00AD36B8">
      <w:pPr>
        <w:pStyle w:val="ListBullet"/>
      </w:pPr>
      <w:r w:rsidRPr="006B4639">
        <w:t xml:space="preserve">whether the information disclosure obligations, negotiation framework and arbitration mechanism under Part 23 were working as intended; and </w:t>
      </w:r>
    </w:p>
    <w:p w14:paraId="36A8A337" w14:textId="77777777" w:rsidR="00AD50BB" w:rsidRPr="006B4639" w:rsidRDefault="00AD50BB" w:rsidP="00AD36B8">
      <w:pPr>
        <w:pStyle w:val="ListBullet"/>
      </w:pPr>
      <w:r w:rsidRPr="006B4639">
        <w:t xml:space="preserve">the effect the introduction of Part 23 has had on pipeline investment. </w:t>
      </w:r>
    </w:p>
    <w:p w14:paraId="7E8A36B0" w14:textId="19F39706" w:rsidR="00AD50BB" w:rsidRPr="006B4639" w:rsidRDefault="00AD50BB" w:rsidP="00AD36B8">
      <w:pPr>
        <w:pStyle w:val="ListBullet"/>
        <w:numPr>
          <w:ilvl w:val="0"/>
          <w:numId w:val="0"/>
        </w:numPr>
      </w:pPr>
      <w:r w:rsidRPr="006B4639">
        <w:t xml:space="preserve">While the ACCC found that the contracting environment had improved following </w:t>
      </w:r>
      <w:r w:rsidRPr="006B4639">
        <w:rPr>
          <w:rFonts w:asciiTheme="majorHAnsi" w:hAnsiTheme="majorHAnsi" w:cstheme="majorHAnsi"/>
        </w:rPr>
        <w:t>the introduction of Part 23</w:t>
      </w:r>
      <w:r w:rsidR="004031E8">
        <w:rPr>
          <w:rFonts w:ascii="ZWAdobeF" w:hAnsi="ZWAdobeF" w:cs="ZWAdobeF"/>
          <w:sz w:val="2"/>
          <w:szCs w:val="2"/>
        </w:rPr>
        <w:t>303F</w:t>
      </w:r>
      <w:r w:rsidRPr="006B4639">
        <w:rPr>
          <w:rStyle w:val="FootnoteReference"/>
        </w:rPr>
        <w:footnoteReference w:id="305"/>
      </w:r>
      <w:r w:rsidRPr="006B4639">
        <w:t xml:space="preserve"> and there were signs Part 23 was having a positive effect on transportation prices, it expressed some concerns about:</w:t>
      </w:r>
      <w:r w:rsidR="004031E8">
        <w:rPr>
          <w:rFonts w:ascii="ZWAdobeF" w:hAnsi="ZWAdobeF" w:cs="ZWAdobeF"/>
          <w:sz w:val="2"/>
          <w:szCs w:val="2"/>
        </w:rPr>
        <w:t>304F</w:t>
      </w:r>
      <w:r w:rsidRPr="006B4639">
        <w:rPr>
          <w:rStyle w:val="FootnoteReference"/>
        </w:rPr>
        <w:footnoteReference w:id="306"/>
      </w:r>
      <w:r w:rsidRPr="006B4639">
        <w:t xml:space="preserve"> </w:t>
      </w:r>
    </w:p>
    <w:p w14:paraId="1761099B" w14:textId="77777777" w:rsidR="00AD50BB" w:rsidRPr="006B4639" w:rsidRDefault="00AD50BB" w:rsidP="00AD36B8">
      <w:pPr>
        <w:pStyle w:val="ListBullet"/>
      </w:pPr>
      <w:r w:rsidRPr="006B4639">
        <w:t xml:space="preserve">the quality of information published and the potential non-compliance of some service providers with the information disclosure obligations in the NGR; </w:t>
      </w:r>
    </w:p>
    <w:p w14:paraId="00BA48F8" w14:textId="77777777" w:rsidR="00AD50BB" w:rsidRPr="006B4639" w:rsidRDefault="00AD50BB" w:rsidP="00AD36B8">
      <w:pPr>
        <w:pStyle w:val="ListBullet"/>
      </w:pPr>
      <w:r w:rsidRPr="006B4639">
        <w:t>the potential for the preliminary enquiry process to be used by service providers to avoid some of the rules in Part 23 regarding how they are to respond to access requests (including the timeframes for responses); and</w:t>
      </w:r>
    </w:p>
    <w:p w14:paraId="058DF46A" w14:textId="77777777" w:rsidR="00AD50BB" w:rsidRPr="006B4639" w:rsidRDefault="00AD50BB" w:rsidP="00AD36B8">
      <w:pPr>
        <w:pStyle w:val="ListBullet"/>
      </w:pPr>
      <w:r w:rsidRPr="006B4639">
        <w:t xml:space="preserve">the potential for the threat of arbitration from smaller shippers to be viewed as less credible and for smaller shippers to therefore pay more for services. </w:t>
      </w:r>
    </w:p>
    <w:p w14:paraId="31E64154" w14:textId="77777777" w:rsidR="00AD50BB" w:rsidRPr="006B4639" w:rsidRDefault="00AD50BB" w:rsidP="00AD36B8">
      <w:pPr>
        <w:pStyle w:val="ListBullet"/>
        <w:numPr>
          <w:ilvl w:val="0"/>
          <w:numId w:val="0"/>
        </w:numPr>
      </w:pPr>
      <w:r w:rsidRPr="006B4639">
        <w:t>Further detail on the ACCC’s key findings and recommendations, which mirror some of the findings and recommendations from the OGW survey and Brattle</w:t>
      </w:r>
      <w:r w:rsidR="00200D72">
        <w:t>’s</w:t>
      </w:r>
      <w:r w:rsidRPr="006B4639">
        <w:t xml:space="preserve"> review, are outlined below. </w:t>
      </w:r>
    </w:p>
    <w:p w14:paraId="6965090A" w14:textId="77777777" w:rsidR="00AD50BB" w:rsidRPr="007335C3" w:rsidRDefault="00AD50BB" w:rsidP="00AD50BB">
      <w:pPr>
        <w:pStyle w:val="Heading6"/>
      </w:pPr>
      <w:bookmarkStart w:id="260" w:name="_Ref18131452"/>
      <w:r w:rsidRPr="007335C3">
        <w:t>Information disclosure</w:t>
      </w:r>
      <w:bookmarkEnd w:id="260"/>
    </w:p>
    <w:p w14:paraId="6418B729" w14:textId="531BE79E" w:rsidR="00AD50BB" w:rsidRPr="006B4639" w:rsidRDefault="00AD50BB" w:rsidP="00AD50BB">
      <w:pPr>
        <w:pStyle w:val="BodyText"/>
      </w:pPr>
      <w:r w:rsidRPr="006B4639">
        <w:t>Through its review of the information disclosed by service providers, the ACCC found a number of instances where service providers did not appear to be complying with the reporting obligations. The ACCC also found that some service providers were trying to exploit the information asymmetries faced by shippers by publishing inaccurate information.</w:t>
      </w:r>
      <w:r w:rsidR="004031E8">
        <w:rPr>
          <w:rFonts w:ascii="ZWAdobeF" w:hAnsi="ZWAdobeF" w:cs="ZWAdobeF"/>
          <w:sz w:val="2"/>
          <w:szCs w:val="2"/>
        </w:rPr>
        <w:t>305F</w:t>
      </w:r>
      <w:r w:rsidRPr="006B4639">
        <w:rPr>
          <w:rStyle w:val="FootnoteReference"/>
        </w:rPr>
        <w:footnoteReference w:id="307"/>
      </w:r>
      <w:r w:rsidRPr="006B4639">
        <w:t xml:space="preserve"> The ACCC, for example, found:</w:t>
      </w:r>
      <w:r w:rsidR="004031E8">
        <w:rPr>
          <w:rFonts w:ascii="ZWAdobeF" w:hAnsi="ZWAdobeF" w:cs="ZWAdobeF"/>
          <w:sz w:val="2"/>
          <w:szCs w:val="2"/>
        </w:rPr>
        <w:t>306F</w:t>
      </w:r>
      <w:r w:rsidRPr="006B4639">
        <w:rPr>
          <w:rStyle w:val="FootnoteReference"/>
        </w:rPr>
        <w:footnoteReference w:id="308"/>
      </w:r>
    </w:p>
    <w:p w14:paraId="23377F0E" w14:textId="77777777" w:rsidR="00AD50BB" w:rsidRPr="006B4639" w:rsidRDefault="00AD50BB" w:rsidP="00AD50BB">
      <w:pPr>
        <w:pStyle w:val="ListParagraph"/>
        <w:numPr>
          <w:ilvl w:val="0"/>
          <w:numId w:val="15"/>
        </w:numPr>
        <w:tabs>
          <w:tab w:val="left" w:pos="340"/>
        </w:tabs>
        <w:spacing w:before="120" w:after="0" w:line="264" w:lineRule="auto"/>
        <w:ind w:left="340" w:hanging="340"/>
        <w:contextualSpacing w:val="0"/>
        <w:rPr>
          <w:rFonts w:asciiTheme="majorHAnsi" w:hAnsiTheme="majorHAnsi" w:cstheme="majorHAnsi"/>
        </w:rPr>
      </w:pPr>
      <w:r w:rsidRPr="006B4639">
        <w:rPr>
          <w:rFonts w:asciiTheme="majorHAnsi" w:hAnsiTheme="majorHAnsi" w:cstheme="majorHAnsi"/>
        </w:rPr>
        <w:t xml:space="preserve">A number of instances where service providers had not published standing prices for all the services they offer, as required by the NGR. </w:t>
      </w:r>
    </w:p>
    <w:p w14:paraId="231209CA" w14:textId="77777777" w:rsidR="00AD50BB" w:rsidRPr="006B4639" w:rsidRDefault="00AD50BB" w:rsidP="00AD50BB">
      <w:pPr>
        <w:pStyle w:val="ListParagraph"/>
        <w:numPr>
          <w:ilvl w:val="0"/>
          <w:numId w:val="15"/>
        </w:numPr>
        <w:tabs>
          <w:tab w:val="left" w:pos="340"/>
        </w:tabs>
        <w:spacing w:before="120" w:after="0" w:line="264" w:lineRule="auto"/>
        <w:ind w:left="340" w:hanging="340"/>
        <w:contextualSpacing w:val="0"/>
        <w:rPr>
          <w:rFonts w:asciiTheme="majorHAnsi" w:hAnsiTheme="majorHAnsi" w:cstheme="majorHAnsi"/>
        </w:rPr>
      </w:pPr>
      <w:r w:rsidRPr="006B4639">
        <w:rPr>
          <w:rFonts w:asciiTheme="majorHAnsi" w:hAnsiTheme="majorHAnsi" w:cstheme="majorHAnsi"/>
        </w:rPr>
        <w:t xml:space="preserve">The pricing methodologies published by most service providers did not allow shippers to determine whether the standing prices reflected the application of the method (as required by the NGR), or to assess the reasonableness of the prices. </w:t>
      </w:r>
    </w:p>
    <w:p w14:paraId="060E4BB9" w14:textId="709174EF" w:rsidR="00AD50BB" w:rsidRPr="006B4639" w:rsidRDefault="00AD50BB" w:rsidP="00AD50BB">
      <w:pPr>
        <w:pStyle w:val="ListParagraph"/>
        <w:numPr>
          <w:ilvl w:val="0"/>
          <w:numId w:val="15"/>
        </w:numPr>
        <w:tabs>
          <w:tab w:val="left" w:pos="340"/>
        </w:tabs>
        <w:spacing w:before="120" w:after="0" w:line="264" w:lineRule="auto"/>
        <w:ind w:left="340" w:hanging="340"/>
        <w:contextualSpacing w:val="0"/>
        <w:rPr>
          <w:rFonts w:asciiTheme="majorHAnsi" w:hAnsiTheme="majorHAnsi" w:cstheme="majorHAnsi"/>
        </w:rPr>
      </w:pPr>
      <w:r w:rsidRPr="006B4639">
        <w:rPr>
          <w:rFonts w:asciiTheme="majorHAnsi" w:hAnsiTheme="majorHAnsi" w:cstheme="majorHAnsi"/>
        </w:rPr>
        <w:t>The RCVs published by a sample of seven pipelines</w:t>
      </w:r>
      <w:r w:rsidR="004031E8">
        <w:rPr>
          <w:rFonts w:ascii="ZWAdobeF" w:hAnsi="ZWAdobeF" w:cs="ZWAdobeF"/>
          <w:sz w:val="2"/>
          <w:szCs w:val="2"/>
        </w:rPr>
        <w:t>307F</w:t>
      </w:r>
      <w:r w:rsidRPr="006B4639">
        <w:rPr>
          <w:rStyle w:val="FootnoteReference"/>
          <w:rFonts w:asciiTheme="majorHAnsi" w:hAnsiTheme="majorHAnsi" w:cstheme="majorHAnsi"/>
        </w:rPr>
        <w:footnoteReference w:id="309"/>
      </w:r>
      <w:r w:rsidRPr="006B4639">
        <w:rPr>
          <w:rFonts w:asciiTheme="majorHAnsi" w:hAnsiTheme="majorHAnsi" w:cstheme="majorHAnsi"/>
        </w:rPr>
        <w:t xml:space="preserve"> were overstated by up to 45</w:t>
      </w:r>
      <w:r w:rsidR="00857981" w:rsidRPr="006B4639">
        <w:rPr>
          <w:rFonts w:asciiTheme="majorHAnsi" w:hAnsiTheme="majorHAnsi" w:cstheme="majorHAnsi"/>
        </w:rPr>
        <w:t>%</w:t>
      </w:r>
      <w:r w:rsidR="00857981">
        <w:rPr>
          <w:rFonts w:asciiTheme="majorHAnsi" w:hAnsiTheme="majorHAnsi" w:cstheme="majorHAnsi"/>
        </w:rPr>
        <w:t xml:space="preserve"> </w:t>
      </w:r>
      <w:r w:rsidRPr="006B4639">
        <w:rPr>
          <w:rFonts w:asciiTheme="majorHAnsi" w:hAnsiTheme="majorHAnsi" w:cstheme="majorHAnsi"/>
        </w:rPr>
        <w:t xml:space="preserve">(with over half the sample overstated by more than 20%) as a result of errors and/or the adoption of inflationary measures. The RCVs were further overstated by the adoption of relatively high rates of return for some pipelines. When informed of the errors, a number of service providers noted that they did not consider the errors to be </w:t>
      </w:r>
      <w:r w:rsidRPr="006B4639">
        <w:rPr>
          <w:rFonts w:asciiTheme="majorHAnsi" w:hAnsiTheme="majorHAnsi" w:cstheme="majorHAnsi"/>
        </w:rPr>
        <w:lastRenderedPageBreak/>
        <w:t>material (as required by the access information standard in Part 23) and did not therefore intend to publish revised estimates.</w:t>
      </w:r>
    </w:p>
    <w:p w14:paraId="6D7BBAAA" w14:textId="77777777" w:rsidR="00AD50BB" w:rsidRPr="006B4639" w:rsidRDefault="00AD50BB" w:rsidP="00AD50BB">
      <w:pPr>
        <w:pStyle w:val="ListParagraph"/>
        <w:numPr>
          <w:ilvl w:val="0"/>
          <w:numId w:val="15"/>
        </w:numPr>
        <w:tabs>
          <w:tab w:val="left" w:pos="340"/>
        </w:tabs>
        <w:spacing w:before="120" w:after="0" w:line="264" w:lineRule="auto"/>
        <w:ind w:left="340" w:hanging="340"/>
        <w:contextualSpacing w:val="0"/>
        <w:rPr>
          <w:rFonts w:asciiTheme="majorHAnsi" w:hAnsiTheme="majorHAnsi" w:cstheme="majorHAnsi"/>
        </w:rPr>
      </w:pPr>
      <w:r w:rsidRPr="006B4639">
        <w:rPr>
          <w:rFonts w:asciiTheme="majorHAnsi" w:hAnsiTheme="majorHAnsi" w:cstheme="majorHAnsi"/>
        </w:rPr>
        <w:t xml:space="preserve">The weighted average prices published by service providers did not provide a good representation of the prices actually paid by shippers and in some cases were not directly comparable to standing prices, because some service providers included other charges in the calculations (e.g. overrun and imbalance charges) that were not included in the standing price. </w:t>
      </w:r>
    </w:p>
    <w:p w14:paraId="3EB51062" w14:textId="173FDB2E" w:rsidR="00AD50BB" w:rsidRPr="006B4639" w:rsidRDefault="00AD50BB" w:rsidP="00AD50BB">
      <w:pPr>
        <w:pStyle w:val="BodyText"/>
      </w:pPr>
      <w:r w:rsidRPr="006B4639">
        <w:t>The ACCC expressed some concerns with this behaviour and noted that the publication of inaccurate or misleading information could undermine the efficacy of Part 23 and limit the reliance shippers could place on the information.</w:t>
      </w:r>
      <w:r w:rsidR="004031E8">
        <w:rPr>
          <w:rFonts w:ascii="ZWAdobeF" w:hAnsi="ZWAdobeF" w:cs="ZWAdobeF"/>
          <w:sz w:val="2"/>
          <w:szCs w:val="2"/>
        </w:rPr>
        <w:t>308F</w:t>
      </w:r>
      <w:r w:rsidRPr="006B4639">
        <w:rPr>
          <w:rStyle w:val="FootnoteReference"/>
        </w:rPr>
        <w:footnoteReference w:id="310"/>
      </w:r>
      <w:r w:rsidRPr="006B4639">
        <w:t xml:space="preserve"> </w:t>
      </w:r>
    </w:p>
    <w:p w14:paraId="4342468F" w14:textId="3B578C84" w:rsidR="00AD50BB" w:rsidRPr="006B4639" w:rsidRDefault="00AD50BB" w:rsidP="00AD50BB">
      <w:pPr>
        <w:pStyle w:val="BodyText"/>
      </w:pPr>
      <w:r w:rsidRPr="006B4639">
        <w:t xml:space="preserve">In a similar manner to the OGW survey and </w:t>
      </w:r>
      <w:r w:rsidR="00200D72">
        <w:t>Brattle</w:t>
      </w:r>
      <w:r w:rsidRPr="006B4639">
        <w:t xml:space="preserve">, the ACCC also expressed some concerns with </w:t>
      </w:r>
      <w:r w:rsidR="00FC5FC8">
        <w:t xml:space="preserve">the </w:t>
      </w:r>
      <w:r w:rsidRPr="006B4639">
        <w:t>quality, reliability, transparency, accessibility and usability of the financial information.</w:t>
      </w:r>
      <w:r w:rsidR="004031E8">
        <w:rPr>
          <w:rFonts w:ascii="ZWAdobeF" w:hAnsi="ZWAdobeF" w:cs="ZWAdobeF"/>
          <w:sz w:val="2"/>
          <w:szCs w:val="2"/>
        </w:rPr>
        <w:t>309F</w:t>
      </w:r>
      <w:r w:rsidRPr="006B4639">
        <w:rPr>
          <w:rStyle w:val="FootnoteReference"/>
        </w:rPr>
        <w:footnoteReference w:id="311"/>
      </w:r>
      <w:r w:rsidRPr="006B4639">
        <w:t xml:space="preserve"> It also noted the concerns that had been raised by some shippers about the information asymmetries associated with the exemption that single shipper pipelines and pipelines falling below the size threshold have from the requirement to publish standing prices and standard terms and conditions.</w:t>
      </w:r>
      <w:r w:rsidR="004031E8">
        <w:rPr>
          <w:rFonts w:ascii="ZWAdobeF" w:hAnsi="ZWAdobeF" w:cs="ZWAdobeF"/>
          <w:sz w:val="2"/>
          <w:szCs w:val="2"/>
        </w:rPr>
        <w:t>310F</w:t>
      </w:r>
      <w:r w:rsidRPr="006B4639">
        <w:rPr>
          <w:rStyle w:val="FootnoteReference"/>
        </w:rPr>
        <w:footnoteReference w:id="312"/>
      </w:r>
      <w:r w:rsidRPr="006B4639">
        <w:t xml:space="preserve"> A similar concern was raised by shippers when the ACCC and GMRG were preparing their joint report on measures to improve the transparency of the gas market,</w:t>
      </w:r>
      <w:r w:rsidRPr="006B4639">
        <w:rPr>
          <w:rStyle w:val="FootnoteReference"/>
        </w:rPr>
        <w:t xml:space="preserve"> </w:t>
      </w:r>
      <w:r w:rsidR="004031E8">
        <w:rPr>
          <w:rFonts w:ascii="ZWAdobeF" w:hAnsi="ZWAdobeF" w:cs="ZWAdobeF"/>
          <w:sz w:val="2"/>
          <w:szCs w:val="2"/>
        </w:rPr>
        <w:t>311F</w:t>
      </w:r>
      <w:r w:rsidRPr="006B4639">
        <w:rPr>
          <w:rStyle w:val="FootnoteReference"/>
        </w:rPr>
        <w:footnoteReference w:id="313"/>
      </w:r>
      <w:r w:rsidRPr="006B4639">
        <w:t xml:space="preserve"> and it was suggested that this was a gap in the disclosure requirements that should be addressed so that:</w:t>
      </w:r>
      <w:r w:rsidR="004031E8">
        <w:rPr>
          <w:rFonts w:ascii="ZWAdobeF" w:hAnsi="ZWAdobeF" w:cs="ZWAdobeF"/>
          <w:sz w:val="2"/>
          <w:szCs w:val="2"/>
        </w:rPr>
        <w:t>312F</w:t>
      </w:r>
      <w:r w:rsidRPr="006B4639">
        <w:rPr>
          <w:rStyle w:val="FootnoteReference"/>
        </w:rPr>
        <w:footnoteReference w:id="314"/>
      </w:r>
      <w:r w:rsidRPr="006B4639">
        <w:t xml:space="preserve"> </w:t>
      </w:r>
    </w:p>
    <w:p w14:paraId="6099B650" w14:textId="77777777" w:rsidR="00AD50BB" w:rsidRPr="006B4639" w:rsidRDefault="00AD50BB" w:rsidP="00AD36B8">
      <w:pPr>
        <w:pStyle w:val="ListBullet"/>
      </w:pPr>
      <w:r w:rsidRPr="006B4639">
        <w:t>prospective shippers can readily assess whether to seek access to the pipeline; and</w:t>
      </w:r>
    </w:p>
    <w:p w14:paraId="03F3F727" w14:textId="77777777" w:rsidR="00AD50BB" w:rsidRPr="006B4639" w:rsidRDefault="00AD50BB" w:rsidP="00AD36B8">
      <w:pPr>
        <w:pStyle w:val="ListBullet"/>
      </w:pPr>
      <w:r w:rsidRPr="006B4639">
        <w:t>gas users that procure gas from a retailer have greater transparency of the costs likely to be incurred by retailers, which are usually charged on a pass-through basis.</w:t>
      </w:r>
    </w:p>
    <w:p w14:paraId="415D4FB6" w14:textId="77777777" w:rsidR="00AD50BB" w:rsidRPr="007335C3" w:rsidRDefault="00AD50BB" w:rsidP="00AD50BB">
      <w:pPr>
        <w:pStyle w:val="Heading6"/>
      </w:pPr>
      <w:bookmarkStart w:id="261" w:name="_Ref18255381"/>
      <w:r w:rsidRPr="007335C3">
        <w:t>Access requests, negotiations and arbitration</w:t>
      </w:r>
      <w:bookmarkEnd w:id="261"/>
      <w:r w:rsidRPr="007335C3">
        <w:t xml:space="preserve"> </w:t>
      </w:r>
    </w:p>
    <w:p w14:paraId="33C7C9F7" w14:textId="7AA03673" w:rsidR="00AD50BB" w:rsidRPr="006B4639" w:rsidRDefault="00AD50BB" w:rsidP="00AD50BB">
      <w:pPr>
        <w:pStyle w:val="BodyText"/>
      </w:pPr>
      <w:r w:rsidRPr="006B4639">
        <w:t>Through its review of access requests and negotiations material provided by service providers, the ACCC found that shippers’ requests were often treated as ‘preliminary enquiries’ by service providers, rather than formal access requests.</w:t>
      </w:r>
      <w:r w:rsidR="004031E8">
        <w:rPr>
          <w:rFonts w:ascii="ZWAdobeF" w:hAnsi="ZWAdobeF" w:cs="ZWAdobeF"/>
          <w:sz w:val="2"/>
          <w:szCs w:val="2"/>
        </w:rPr>
        <w:t>313F</w:t>
      </w:r>
      <w:r w:rsidRPr="006B4639">
        <w:rPr>
          <w:rStyle w:val="FootnoteReference"/>
        </w:rPr>
        <w:footnoteReference w:id="315"/>
      </w:r>
      <w:r w:rsidRPr="006B4639">
        <w:t xml:space="preserve"> The ACCC noted that this was a potential limitation in the framework that could undermine the effectiveness of Part 23 because it meant that:</w:t>
      </w:r>
      <w:r w:rsidR="004031E8">
        <w:rPr>
          <w:rFonts w:ascii="ZWAdobeF" w:hAnsi="ZWAdobeF" w:cs="ZWAdobeF"/>
          <w:sz w:val="2"/>
          <w:szCs w:val="2"/>
        </w:rPr>
        <w:t>314F</w:t>
      </w:r>
      <w:r w:rsidRPr="006B4639">
        <w:rPr>
          <w:rStyle w:val="FootnoteReference"/>
        </w:rPr>
        <w:footnoteReference w:id="316"/>
      </w:r>
    </w:p>
    <w:p w14:paraId="129BE233" w14:textId="77777777" w:rsidR="00AD50BB" w:rsidRPr="006B4639" w:rsidRDefault="00AD50BB" w:rsidP="00AD36B8">
      <w:pPr>
        <w:pStyle w:val="ListBullet"/>
      </w:pPr>
      <w:r w:rsidRPr="006B4639">
        <w:t>service providers could avoid some of the requirements in Part 23 regarding responses to access requests and negotiations (including response timeframes); and</w:t>
      </w:r>
    </w:p>
    <w:p w14:paraId="01416D5D" w14:textId="77777777" w:rsidR="00AD50BB" w:rsidRPr="006B4639" w:rsidRDefault="00AD50BB" w:rsidP="00AD36B8">
      <w:pPr>
        <w:pStyle w:val="ListBullet"/>
      </w:pPr>
      <w:r w:rsidRPr="006B4639">
        <w:t xml:space="preserve">if negotiations fail and a shipper wants to proceed to arbitration, then it must submit a formal access request and go through the access offer and negotiations steps in Part 23 before it can trigger the arbitration mechanism, which could delay a shipper’s access to arbitration. </w:t>
      </w:r>
    </w:p>
    <w:p w14:paraId="460D2A0E" w14:textId="4D5E6F7F" w:rsidR="00AD50BB" w:rsidRPr="006B4639" w:rsidRDefault="00AD50BB" w:rsidP="00AD50BB">
      <w:pPr>
        <w:pStyle w:val="BodyText"/>
      </w:pPr>
      <w:r w:rsidRPr="006B4639">
        <w:lastRenderedPageBreak/>
        <w:t>The ACCC’s review also revealed that while shippers are using the threat of arbitration in their negotiations, service providers may view the threat as less credible when it involves a smaller shipper</w:t>
      </w:r>
      <w:r w:rsidR="004031E8">
        <w:rPr>
          <w:rFonts w:ascii="ZWAdobeF" w:hAnsi="ZWAdobeF" w:cs="ZWAdobeF"/>
          <w:sz w:val="2"/>
          <w:szCs w:val="2"/>
        </w:rPr>
        <w:t>315F</w:t>
      </w:r>
      <w:r w:rsidRPr="006B4639">
        <w:rPr>
          <w:rStyle w:val="FootnoteReference"/>
        </w:rPr>
        <w:footnoteReference w:id="317"/>
      </w:r>
      <w:r w:rsidRPr="006B4639">
        <w:t xml:space="preserve"> and as a consequence smaller shippers may pay more for transportation.</w:t>
      </w:r>
      <w:r w:rsidR="004031E8">
        <w:rPr>
          <w:rFonts w:ascii="ZWAdobeF" w:hAnsi="ZWAdobeF" w:cs="ZWAdobeF"/>
          <w:sz w:val="2"/>
          <w:szCs w:val="2"/>
        </w:rPr>
        <w:t>316F</w:t>
      </w:r>
      <w:r w:rsidRPr="006B4639">
        <w:rPr>
          <w:rStyle w:val="FootnoteReference"/>
        </w:rPr>
        <w:footnoteReference w:id="318"/>
      </w:r>
      <w:r w:rsidRPr="006B4639">
        <w:t xml:space="preserve"> The ACCC noted there was some evidence of this in the access request and offer information it reviewed, with some small shippers unable to secure the same prices offered to large shippers.</w:t>
      </w:r>
    </w:p>
    <w:p w14:paraId="02132771" w14:textId="77777777" w:rsidR="00AD50BB" w:rsidRPr="007335C3" w:rsidRDefault="00AD50BB" w:rsidP="00AD50BB">
      <w:pPr>
        <w:pStyle w:val="Heading6"/>
      </w:pPr>
      <w:r w:rsidRPr="007335C3">
        <w:t xml:space="preserve">Effect on investment </w:t>
      </w:r>
    </w:p>
    <w:p w14:paraId="33DCDC83" w14:textId="3AE83C9E" w:rsidR="00AD50BB" w:rsidRPr="006B4639" w:rsidRDefault="00AD50BB" w:rsidP="00AD50BB">
      <w:pPr>
        <w:pStyle w:val="BodyText"/>
      </w:pPr>
      <w:r w:rsidRPr="006B4639">
        <w:t>In relation to investment, the ACCC found that a large number of pipeline investments had been announced since the decision was made to implement Part 23. It also found no evidence in service providers’ internal documents to suggest that Part 23 was deterring investment. Rather, the ACCC found that service providers were investigating a range of other pipeline investments that would be captured by Part 23 if they were developed.</w:t>
      </w:r>
      <w:r w:rsidR="004031E8">
        <w:rPr>
          <w:rFonts w:ascii="ZWAdobeF" w:hAnsi="ZWAdobeF" w:cs="ZWAdobeF"/>
          <w:sz w:val="2"/>
          <w:szCs w:val="2"/>
        </w:rPr>
        <w:t>317F</w:t>
      </w:r>
      <w:r w:rsidRPr="006B4639">
        <w:rPr>
          <w:rStyle w:val="FootnoteReference"/>
        </w:rPr>
        <w:footnoteReference w:id="319"/>
      </w:r>
      <w:r w:rsidRPr="006B4639">
        <w:t xml:space="preserve"> </w:t>
      </w:r>
    </w:p>
    <w:p w14:paraId="3B046BDA" w14:textId="77777777" w:rsidR="00AD50BB" w:rsidRPr="007335C3" w:rsidRDefault="00AD50BB" w:rsidP="00AD50BB">
      <w:pPr>
        <w:pStyle w:val="Heading6"/>
      </w:pPr>
      <w:bookmarkStart w:id="262" w:name="_Ref18125131"/>
      <w:r w:rsidRPr="007335C3">
        <w:t>ACCC’s recommendations</w:t>
      </w:r>
      <w:bookmarkEnd w:id="262"/>
    </w:p>
    <w:p w14:paraId="33AA6802" w14:textId="7A6A5F4C" w:rsidR="00AD50BB" w:rsidRPr="006B4639" w:rsidRDefault="00AD50BB" w:rsidP="00AD50BB">
      <w:pPr>
        <w:pStyle w:val="BodyText"/>
        <w:spacing w:before="0"/>
      </w:pPr>
      <w:r w:rsidRPr="006B4639">
        <w:t>To address the issues identified in its review, the ACCC recommended a range of improvements to Part 23, the stated objectives of which are to:</w:t>
      </w:r>
      <w:r w:rsidR="004031E8">
        <w:rPr>
          <w:rFonts w:ascii="ZWAdobeF" w:hAnsi="ZWAdobeF" w:cs="ZWAdobeF"/>
          <w:sz w:val="2"/>
          <w:szCs w:val="2"/>
        </w:rPr>
        <w:t>318F</w:t>
      </w:r>
      <w:r w:rsidRPr="006B4639">
        <w:rPr>
          <w:rStyle w:val="FootnoteReference"/>
        </w:rPr>
        <w:footnoteReference w:id="320"/>
      </w:r>
      <w:r w:rsidRPr="006B4639">
        <w:t xml:space="preserve"> </w:t>
      </w:r>
    </w:p>
    <w:p w14:paraId="2B64D817" w14:textId="77777777" w:rsidR="00AD50BB" w:rsidRPr="006B4639" w:rsidRDefault="00AD50BB" w:rsidP="00AD36B8">
      <w:pPr>
        <w:pStyle w:val="ListBullet"/>
      </w:pPr>
      <w:r w:rsidRPr="006B4639">
        <w:t xml:space="preserve">pose more of a constraint on the behaviour of service providers, by, for example, providing for greater prescription and regulatory oversight of the information to be reported; and </w:t>
      </w:r>
    </w:p>
    <w:p w14:paraId="56C2A925" w14:textId="77777777" w:rsidR="00AD50BB" w:rsidRPr="006B4639" w:rsidRDefault="00AD50BB" w:rsidP="00AD36B8">
      <w:pPr>
        <w:pStyle w:val="ListBullet"/>
      </w:pPr>
      <w:r w:rsidRPr="006B4639">
        <w:t>empower shippers in their negotiations with service providers by improving the quality, reliability and accessibility of the information they can have recourse to when negotiating and ensuring the threat of arbitration is credible for all shippers.</w:t>
      </w:r>
    </w:p>
    <w:p w14:paraId="04DFD287" w14:textId="77777777" w:rsidR="00AD50BB" w:rsidRPr="006B4639" w:rsidRDefault="00AD50BB" w:rsidP="00AD50BB">
      <w:pPr>
        <w:pStyle w:val="BodyText"/>
      </w:pPr>
      <w:r w:rsidRPr="006B4639">
        <w:t xml:space="preserve">The ACCC’s recommendations are set out in </w:t>
      </w:r>
      <w:r w:rsidR="00FF6780">
        <w:t xml:space="preserve">Table </w:t>
      </w:r>
      <w:r w:rsidR="00D73A94">
        <w:t>B</w:t>
      </w:r>
      <w:r w:rsidR="00FF6780">
        <w:t>.3</w:t>
      </w:r>
      <w:r w:rsidRPr="006B4639">
        <w:t xml:space="preserve">. </w:t>
      </w:r>
    </w:p>
    <w:p w14:paraId="199C2F9B" w14:textId="77777777" w:rsidR="00AD50BB" w:rsidRPr="006B4639" w:rsidRDefault="00AD50BB" w:rsidP="00AD36B8">
      <w:pPr>
        <w:pStyle w:val="ListBullet"/>
        <w:numPr>
          <w:ilvl w:val="0"/>
          <w:numId w:val="0"/>
        </w:numPr>
        <w:ind w:left="357"/>
        <w:sectPr w:rsidR="00AD50BB" w:rsidRPr="006B4639" w:rsidSect="00795317">
          <w:headerReference w:type="default" r:id="rId86"/>
          <w:footerReference w:type="default" r:id="rId87"/>
          <w:pgSz w:w="11907" w:h="16839" w:code="9"/>
          <w:pgMar w:top="1361" w:right="1418" w:bottom="992" w:left="1701" w:header="567" w:footer="397" w:gutter="0"/>
          <w:cols w:space="708"/>
          <w:docGrid w:linePitch="360"/>
        </w:sectPr>
      </w:pPr>
    </w:p>
    <w:p w14:paraId="17DB0761" w14:textId="77777777" w:rsidR="00AD50BB" w:rsidRPr="006B4639" w:rsidRDefault="00AD50BB" w:rsidP="00AD50BB">
      <w:pPr>
        <w:pStyle w:val="Caption"/>
        <w:spacing w:before="0" w:after="0"/>
      </w:pPr>
      <w:bookmarkStart w:id="263" w:name="_Ref18078035"/>
      <w:r w:rsidRPr="006B4639">
        <w:lastRenderedPageBreak/>
        <w:t xml:space="preserve">Table </w:t>
      </w:r>
      <w:r w:rsidR="00A74302">
        <w:t>B</w:t>
      </w:r>
      <w:r w:rsidR="00FF6780">
        <w:t>.</w:t>
      </w:r>
      <w:bookmarkEnd w:id="263"/>
      <w:r w:rsidR="00FF6780">
        <w:t>3</w:t>
      </w:r>
      <w:r w:rsidRPr="006B4639">
        <w:t xml:space="preserve">: Summary of ACCC recommendations </w:t>
      </w:r>
    </w:p>
    <w:tbl>
      <w:tblPr>
        <w:tblStyle w:val="LightShading1"/>
        <w:tblW w:w="5000" w:type="pct"/>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A0" w:firstRow="1" w:lastRow="0" w:firstColumn="1" w:lastColumn="0" w:noHBand="1" w:noVBand="1"/>
      </w:tblPr>
      <w:tblGrid>
        <w:gridCol w:w="1683"/>
        <w:gridCol w:w="10343"/>
        <w:gridCol w:w="1913"/>
      </w:tblGrid>
      <w:tr w:rsidR="00AD50BB" w:rsidRPr="00FC5FC8" w14:paraId="545ADA44" w14:textId="77777777" w:rsidTr="009048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002060"/>
          </w:tcPr>
          <w:p w14:paraId="48B6E54F" w14:textId="77777777" w:rsidR="00AD50BB" w:rsidRPr="00FC5FC8" w:rsidRDefault="00AD50BB" w:rsidP="00FC5FC8">
            <w:pPr>
              <w:pStyle w:val="Tabletext"/>
              <w:spacing w:before="60" w:after="60" w:line="264" w:lineRule="auto"/>
              <w:rPr>
                <w:rStyle w:val="Strong"/>
                <w:rFonts w:asciiTheme="majorHAnsi" w:hAnsiTheme="majorHAnsi" w:cstheme="majorHAnsi"/>
                <w:color w:val="FFFFFF" w:themeColor="background1"/>
                <w:sz w:val="17"/>
                <w:szCs w:val="17"/>
              </w:rPr>
            </w:pPr>
            <w:bookmarkStart w:id="264" w:name="_Hlk16139561"/>
            <w:r w:rsidRPr="00FC5FC8">
              <w:rPr>
                <w:rStyle w:val="Strong"/>
                <w:rFonts w:asciiTheme="majorHAnsi" w:hAnsiTheme="majorHAnsi" w:cstheme="majorHAnsi"/>
                <w:color w:val="FFFFFF" w:themeColor="background1"/>
                <w:sz w:val="17"/>
                <w:szCs w:val="17"/>
              </w:rPr>
              <w:t>Area</w:t>
            </w:r>
          </w:p>
        </w:tc>
        <w:tc>
          <w:tcPr>
            <w:tcW w:w="10773" w:type="dxa"/>
            <w:tcBorders>
              <w:top w:val="none" w:sz="0" w:space="0" w:color="auto"/>
              <w:left w:val="none" w:sz="0" w:space="0" w:color="auto"/>
              <w:bottom w:val="none" w:sz="0" w:space="0" w:color="auto"/>
              <w:right w:val="none" w:sz="0" w:space="0" w:color="auto"/>
            </w:tcBorders>
            <w:shd w:val="clear" w:color="auto" w:fill="002060"/>
          </w:tcPr>
          <w:p w14:paraId="2B87F612" w14:textId="77777777" w:rsidR="00AD50BB" w:rsidRPr="00FC5FC8" w:rsidRDefault="00AD50BB" w:rsidP="00FC5FC8">
            <w:pPr>
              <w:pStyle w:val="Tabletext"/>
              <w:spacing w:before="60" w:after="60" w:line="264" w:lineRule="auto"/>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cstheme="majorHAnsi"/>
                <w:color w:val="FFFFFF" w:themeColor="background1"/>
                <w:sz w:val="17"/>
                <w:szCs w:val="17"/>
              </w:rPr>
            </w:pPr>
            <w:r w:rsidRPr="00FC5FC8">
              <w:rPr>
                <w:rStyle w:val="Strong"/>
                <w:rFonts w:asciiTheme="majorHAnsi" w:hAnsiTheme="majorHAnsi" w:cstheme="majorHAnsi"/>
                <w:color w:val="FFFFFF" w:themeColor="background1"/>
                <w:sz w:val="17"/>
                <w:szCs w:val="17"/>
              </w:rPr>
              <w:t>Recommendations</w:t>
            </w:r>
          </w:p>
        </w:tc>
        <w:tc>
          <w:tcPr>
            <w:tcW w:w="1947" w:type="dxa"/>
            <w:tcBorders>
              <w:top w:val="none" w:sz="0" w:space="0" w:color="auto"/>
              <w:left w:val="none" w:sz="0" w:space="0" w:color="auto"/>
              <w:bottom w:val="none" w:sz="0" w:space="0" w:color="auto"/>
              <w:right w:val="none" w:sz="0" w:space="0" w:color="auto"/>
            </w:tcBorders>
            <w:shd w:val="clear" w:color="auto" w:fill="002060"/>
          </w:tcPr>
          <w:p w14:paraId="19F7D95F" w14:textId="77777777" w:rsidR="00AD50BB" w:rsidRPr="00FC5FC8" w:rsidRDefault="00AD50BB" w:rsidP="00FC5FC8">
            <w:pPr>
              <w:pStyle w:val="Tabletext"/>
              <w:spacing w:before="60" w:after="60" w:line="264" w:lineRule="auto"/>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cstheme="majorHAnsi"/>
                <w:color w:val="FFFFFF" w:themeColor="background1"/>
                <w:sz w:val="17"/>
                <w:szCs w:val="17"/>
              </w:rPr>
            </w:pPr>
            <w:r w:rsidRPr="00FC5FC8">
              <w:rPr>
                <w:rStyle w:val="Strong"/>
                <w:rFonts w:asciiTheme="majorHAnsi" w:hAnsiTheme="majorHAnsi" w:cstheme="majorHAnsi"/>
                <w:color w:val="FFFFFF" w:themeColor="background1"/>
                <w:sz w:val="17"/>
                <w:szCs w:val="17"/>
              </w:rPr>
              <w:t xml:space="preserve">How to progress </w:t>
            </w:r>
          </w:p>
        </w:tc>
      </w:tr>
      <w:tr w:rsidR="00AD50BB" w:rsidRPr="00FC5FC8" w14:paraId="343FD90B" w14:textId="77777777" w:rsidTr="009048CE">
        <w:trPr>
          <w:trHeight w:val="118"/>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3C744ADB" w14:textId="77777777" w:rsidR="00AD50BB" w:rsidRPr="00FC5FC8" w:rsidRDefault="00AD50BB" w:rsidP="00FC5FC8">
            <w:pPr>
              <w:pStyle w:val="Tabletext"/>
              <w:spacing w:before="60" w:after="60" w:line="264" w:lineRule="auto"/>
              <w:rPr>
                <w:rStyle w:val="Strong"/>
                <w:rFonts w:asciiTheme="majorHAnsi" w:hAnsiTheme="majorHAnsi" w:cstheme="majorHAnsi"/>
                <w:sz w:val="17"/>
                <w:szCs w:val="17"/>
              </w:rPr>
            </w:pPr>
            <w:r w:rsidRPr="00FC5FC8">
              <w:rPr>
                <w:rStyle w:val="Strong"/>
                <w:rFonts w:asciiTheme="majorHAnsi" w:hAnsiTheme="majorHAnsi" w:cstheme="majorHAnsi"/>
                <w:sz w:val="17"/>
                <w:szCs w:val="17"/>
              </w:rPr>
              <w:t>Standing prices and pricing methodologies</w:t>
            </w:r>
          </w:p>
        </w:tc>
        <w:tc>
          <w:tcPr>
            <w:tcW w:w="10773" w:type="dxa"/>
          </w:tcPr>
          <w:p w14:paraId="54687977" w14:textId="77777777" w:rsidR="00AD50BB" w:rsidRPr="00FC5FC8" w:rsidRDefault="00FE74A5" w:rsidP="00FC5FC8">
            <w:pPr>
              <w:pStyle w:val="Tabletext"/>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sz w:val="17"/>
                <w:szCs w:val="17"/>
              </w:rPr>
              <w:t xml:space="preserve">Energy Senior Officials </w:t>
            </w:r>
            <w:r w:rsidR="00AD50BB" w:rsidRPr="00FC5FC8">
              <w:rPr>
                <w:rFonts w:asciiTheme="majorHAnsi" w:hAnsiTheme="majorHAnsi" w:cstheme="majorHAnsi"/>
                <w:sz w:val="17"/>
                <w:szCs w:val="17"/>
              </w:rPr>
              <w:t>should consider removing the exemption single shipper pipelines and pipelines with annual average gas flows of &lt;10 TJ/day currently have from the obligation to publish standing prices and the standard terms and conditions of access on their website.</w:t>
            </w:r>
          </w:p>
        </w:tc>
        <w:tc>
          <w:tcPr>
            <w:tcW w:w="1947" w:type="dxa"/>
            <w:vMerge w:val="restart"/>
            <w:shd w:val="clear" w:color="auto" w:fill="D9D9D9" w:themeFill="background1" w:themeFillShade="D9"/>
          </w:tcPr>
          <w:p w14:paraId="4708B621" w14:textId="77777777" w:rsidR="00AD50BB" w:rsidRPr="00FC5FC8" w:rsidRDefault="00AD50BB" w:rsidP="00FC5FC8">
            <w:pPr>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rFonts w:asciiTheme="majorHAnsi" w:hAnsiTheme="majorHAnsi" w:cstheme="majorHAnsi"/>
                <w:sz w:val="17"/>
                <w:szCs w:val="17"/>
              </w:rPr>
              <w:t>Pipeline RIS</w:t>
            </w:r>
          </w:p>
        </w:tc>
      </w:tr>
      <w:tr w:rsidR="00AD50BB" w:rsidRPr="00FC5FC8" w14:paraId="375A0E1F" w14:textId="77777777" w:rsidTr="009048CE">
        <w:trPr>
          <w:trHeight w:val="122"/>
        </w:trPr>
        <w:tc>
          <w:tcPr>
            <w:cnfStyle w:val="001000000000" w:firstRow="0" w:lastRow="0" w:firstColumn="1" w:lastColumn="0" w:oddVBand="0" w:evenVBand="0" w:oddHBand="0" w:evenHBand="0" w:firstRowFirstColumn="0" w:firstRowLastColumn="0" w:lastRowFirstColumn="0" w:lastRowLastColumn="0"/>
            <w:tcW w:w="1701" w:type="dxa"/>
            <w:vMerge/>
          </w:tcPr>
          <w:p w14:paraId="107658A9" w14:textId="77777777" w:rsidR="00AD50BB" w:rsidRPr="00FC5FC8" w:rsidRDefault="00AD50BB" w:rsidP="00FC5FC8">
            <w:pPr>
              <w:pStyle w:val="Tabletext"/>
              <w:spacing w:before="60" w:after="60" w:line="264" w:lineRule="auto"/>
              <w:rPr>
                <w:rStyle w:val="Strong"/>
                <w:rFonts w:asciiTheme="majorHAnsi" w:hAnsiTheme="majorHAnsi" w:cstheme="majorHAnsi"/>
                <w:sz w:val="17"/>
                <w:szCs w:val="17"/>
              </w:rPr>
            </w:pPr>
          </w:p>
        </w:tc>
        <w:tc>
          <w:tcPr>
            <w:tcW w:w="10773" w:type="dxa"/>
          </w:tcPr>
          <w:p w14:paraId="273400D2" w14:textId="4E434E71" w:rsidR="00AD50BB" w:rsidRPr="00FC5FC8" w:rsidRDefault="00FE74A5" w:rsidP="00FC5FC8">
            <w:pPr>
              <w:pStyle w:val="Tabletext"/>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sz w:val="17"/>
                <w:szCs w:val="17"/>
              </w:rPr>
              <w:t xml:space="preserve">Energy Senior Officials </w:t>
            </w:r>
            <w:r w:rsidR="00AD50BB" w:rsidRPr="00FC5FC8">
              <w:rPr>
                <w:rFonts w:asciiTheme="majorHAnsi" w:hAnsiTheme="majorHAnsi" w:cstheme="majorHAnsi"/>
                <w:sz w:val="17"/>
                <w:szCs w:val="17"/>
              </w:rPr>
              <w:t xml:space="preserve">should consider whether service providers should be required to publish the inputs used </w:t>
            </w:r>
            <w:r w:rsidR="009048CE">
              <w:rPr>
                <w:rFonts w:asciiTheme="majorHAnsi" w:hAnsiTheme="majorHAnsi" w:cstheme="majorHAnsi"/>
                <w:sz w:val="17"/>
                <w:szCs w:val="17"/>
              </w:rPr>
              <w:t xml:space="preserve">for </w:t>
            </w:r>
            <w:r w:rsidR="00AD50BB" w:rsidRPr="00FC5FC8">
              <w:rPr>
                <w:rFonts w:asciiTheme="majorHAnsi" w:hAnsiTheme="majorHAnsi" w:cstheme="majorHAnsi"/>
                <w:sz w:val="17"/>
                <w:szCs w:val="17"/>
              </w:rPr>
              <w:t xml:space="preserve">standing prices. </w:t>
            </w:r>
          </w:p>
        </w:tc>
        <w:tc>
          <w:tcPr>
            <w:tcW w:w="1947" w:type="dxa"/>
            <w:vMerge/>
            <w:shd w:val="clear" w:color="auto" w:fill="D9D9D9" w:themeFill="background1" w:themeFillShade="D9"/>
          </w:tcPr>
          <w:p w14:paraId="11103F53" w14:textId="77777777" w:rsidR="00AD50BB" w:rsidRPr="00FC5FC8" w:rsidRDefault="00AD50BB" w:rsidP="00FC5FC8">
            <w:pPr>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p>
        </w:tc>
      </w:tr>
      <w:tr w:rsidR="00AD50BB" w:rsidRPr="00FC5FC8" w14:paraId="5CF2A00A" w14:textId="77777777" w:rsidTr="009048CE">
        <w:tc>
          <w:tcPr>
            <w:cnfStyle w:val="001000000000" w:firstRow="0" w:lastRow="0" w:firstColumn="1" w:lastColumn="0" w:oddVBand="0" w:evenVBand="0" w:oddHBand="0" w:evenHBand="0" w:firstRowFirstColumn="0" w:firstRowLastColumn="0" w:lastRowFirstColumn="0" w:lastRowLastColumn="0"/>
            <w:tcW w:w="1701" w:type="dxa"/>
            <w:vMerge/>
          </w:tcPr>
          <w:p w14:paraId="14DC933B" w14:textId="77777777" w:rsidR="00AD50BB" w:rsidRPr="00FC5FC8" w:rsidRDefault="00AD50BB" w:rsidP="00FC5FC8">
            <w:pPr>
              <w:pStyle w:val="Tabletext"/>
              <w:spacing w:before="60" w:after="60" w:line="264" w:lineRule="auto"/>
              <w:rPr>
                <w:rStyle w:val="Strong"/>
                <w:rFonts w:asciiTheme="majorHAnsi" w:hAnsiTheme="majorHAnsi" w:cstheme="majorHAnsi"/>
                <w:sz w:val="17"/>
                <w:szCs w:val="17"/>
              </w:rPr>
            </w:pPr>
          </w:p>
        </w:tc>
        <w:tc>
          <w:tcPr>
            <w:tcW w:w="10773" w:type="dxa"/>
          </w:tcPr>
          <w:p w14:paraId="6D08FB59" w14:textId="77777777" w:rsidR="00AD50BB" w:rsidRPr="00FC5FC8" w:rsidRDefault="00AD50BB" w:rsidP="00FC5FC8">
            <w:pPr>
              <w:pStyle w:val="Tabletext"/>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rFonts w:asciiTheme="majorHAnsi" w:hAnsiTheme="majorHAnsi" w:cstheme="majorHAnsi"/>
                <w:sz w:val="17"/>
                <w:szCs w:val="17"/>
              </w:rPr>
              <w:t xml:space="preserve">The AER should consider developing a non-binding guide that provides service providers with greater guidance on what, at a minimum, the pricing methodology should include and sets out the reporting requirements if an amendment is made. </w:t>
            </w:r>
          </w:p>
        </w:tc>
        <w:tc>
          <w:tcPr>
            <w:tcW w:w="1947" w:type="dxa"/>
            <w:shd w:val="clear" w:color="auto" w:fill="EDEDED" w:themeFill="accent4" w:themeFillTint="33"/>
          </w:tcPr>
          <w:p w14:paraId="0C9F7906" w14:textId="77777777" w:rsidR="00AD50BB" w:rsidRPr="00FC5FC8" w:rsidRDefault="00AD50BB" w:rsidP="00FC5FC8">
            <w:pPr>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rFonts w:asciiTheme="majorHAnsi" w:hAnsiTheme="majorHAnsi" w:cstheme="majorHAnsi"/>
                <w:sz w:val="17"/>
                <w:szCs w:val="17"/>
              </w:rPr>
              <w:t>Development of a new AER guide</w:t>
            </w:r>
          </w:p>
        </w:tc>
      </w:tr>
      <w:tr w:rsidR="00AD50BB" w:rsidRPr="00FC5FC8" w14:paraId="16106F5A" w14:textId="77777777" w:rsidTr="009048CE">
        <w:tc>
          <w:tcPr>
            <w:cnfStyle w:val="001000000000" w:firstRow="0" w:lastRow="0" w:firstColumn="1" w:lastColumn="0" w:oddVBand="0" w:evenVBand="0" w:oddHBand="0" w:evenHBand="0" w:firstRowFirstColumn="0" w:firstRowLastColumn="0" w:lastRowFirstColumn="0" w:lastRowLastColumn="0"/>
            <w:tcW w:w="1701" w:type="dxa"/>
          </w:tcPr>
          <w:p w14:paraId="62F276B3" w14:textId="77777777" w:rsidR="00AD50BB" w:rsidRPr="00FC5FC8" w:rsidRDefault="00AD50BB" w:rsidP="00FC5FC8">
            <w:pPr>
              <w:pStyle w:val="Tabletext"/>
              <w:spacing w:before="60" w:after="60" w:line="264" w:lineRule="auto"/>
              <w:rPr>
                <w:rStyle w:val="Strong"/>
                <w:rFonts w:asciiTheme="majorHAnsi" w:hAnsiTheme="majorHAnsi" w:cstheme="majorHAnsi"/>
                <w:sz w:val="17"/>
                <w:szCs w:val="17"/>
              </w:rPr>
            </w:pPr>
            <w:r w:rsidRPr="00FC5FC8">
              <w:rPr>
                <w:rStyle w:val="Strong"/>
                <w:rFonts w:asciiTheme="majorHAnsi" w:hAnsiTheme="majorHAnsi" w:cstheme="majorHAnsi"/>
                <w:sz w:val="17"/>
                <w:szCs w:val="17"/>
              </w:rPr>
              <w:t>Weighted Average Prices Information</w:t>
            </w:r>
          </w:p>
        </w:tc>
        <w:tc>
          <w:tcPr>
            <w:tcW w:w="10773" w:type="dxa"/>
          </w:tcPr>
          <w:p w14:paraId="0AC08D6B" w14:textId="77777777" w:rsidR="00AD50BB" w:rsidRPr="00FC5FC8" w:rsidRDefault="00FE74A5" w:rsidP="00FC5FC8">
            <w:pPr>
              <w:pStyle w:val="Tabletext"/>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sz w:val="17"/>
                <w:szCs w:val="17"/>
              </w:rPr>
              <w:t xml:space="preserve">Energy Senior Officials </w:t>
            </w:r>
            <w:r w:rsidR="00AD50BB" w:rsidRPr="00FC5FC8">
              <w:rPr>
                <w:rFonts w:asciiTheme="majorHAnsi" w:hAnsiTheme="majorHAnsi" w:cstheme="majorHAnsi"/>
                <w:sz w:val="17"/>
                <w:szCs w:val="17"/>
              </w:rPr>
              <w:t>should consult with stakeholders on the following alternatives to the requirement for service providers to publish weighted average prices:</w:t>
            </w:r>
          </w:p>
          <w:p w14:paraId="17FDF3ED" w14:textId="77777777" w:rsidR="00AD50BB" w:rsidRPr="00FC5FC8" w:rsidRDefault="00AD50BB" w:rsidP="00FC5FC8">
            <w:pPr>
              <w:numPr>
                <w:ilvl w:val="0"/>
                <w:numId w:val="38"/>
              </w:numPr>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rFonts w:asciiTheme="majorHAnsi" w:hAnsiTheme="majorHAnsi" w:cstheme="majorHAnsi"/>
                <w:sz w:val="17"/>
                <w:szCs w:val="17"/>
              </w:rPr>
              <w:t xml:space="preserve">Reporting individual prices (plus key terms and conditions) paid by each shipper for services instead of weighted average prices. </w:t>
            </w:r>
          </w:p>
          <w:p w14:paraId="04838B77" w14:textId="77777777" w:rsidR="00AD50BB" w:rsidRPr="00FC5FC8" w:rsidRDefault="00AD50BB" w:rsidP="00FC5FC8">
            <w:pPr>
              <w:pStyle w:val="ListNumber"/>
              <w:numPr>
                <w:ilvl w:val="0"/>
                <w:numId w:val="37"/>
              </w:numPr>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rFonts w:asciiTheme="majorHAnsi" w:hAnsiTheme="majorHAnsi" w:cstheme="majorHAnsi"/>
                <w:sz w:val="17"/>
                <w:szCs w:val="17"/>
              </w:rPr>
              <w:t>Reporting the minimum and maximum prices shippers paid for each service, in addition to the weighted average prices.</w:t>
            </w:r>
          </w:p>
          <w:p w14:paraId="458A08D5" w14:textId="77777777" w:rsidR="00AD50BB" w:rsidRPr="00FC5FC8" w:rsidRDefault="00AD50BB" w:rsidP="00FC5FC8">
            <w:pPr>
              <w:pStyle w:val="Tabletext"/>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rFonts w:asciiTheme="majorHAnsi" w:hAnsiTheme="majorHAnsi" w:cstheme="majorHAnsi"/>
                <w:sz w:val="17"/>
                <w:szCs w:val="17"/>
              </w:rPr>
              <w:t xml:space="preserve">When consulting on the options, consideration should be given to any impacts publication may have on competition in other markets. </w:t>
            </w:r>
          </w:p>
        </w:tc>
        <w:tc>
          <w:tcPr>
            <w:tcW w:w="1947" w:type="dxa"/>
            <w:vMerge w:val="restart"/>
            <w:shd w:val="clear" w:color="auto" w:fill="D9D9D9" w:themeFill="background1" w:themeFillShade="D9"/>
          </w:tcPr>
          <w:p w14:paraId="5B819A7C" w14:textId="77777777" w:rsidR="00AD50BB" w:rsidRPr="00FC5FC8" w:rsidRDefault="00AD50BB" w:rsidP="00FC5FC8">
            <w:pPr>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rFonts w:asciiTheme="majorHAnsi" w:hAnsiTheme="majorHAnsi" w:cstheme="majorHAnsi"/>
                <w:sz w:val="17"/>
                <w:szCs w:val="17"/>
              </w:rPr>
              <w:t>Pipeline RIS</w:t>
            </w:r>
          </w:p>
        </w:tc>
      </w:tr>
      <w:tr w:rsidR="00AD50BB" w:rsidRPr="00FC5FC8" w14:paraId="26B8CC3A" w14:textId="77777777" w:rsidTr="009048CE">
        <w:trPr>
          <w:trHeight w:val="70"/>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0F8C7D2E" w14:textId="77777777" w:rsidR="00AD50BB" w:rsidRPr="00FC5FC8" w:rsidRDefault="00AD50BB" w:rsidP="00FC5FC8">
            <w:pPr>
              <w:pStyle w:val="Tabletext"/>
              <w:spacing w:before="60" w:after="60" w:line="264" w:lineRule="auto"/>
              <w:rPr>
                <w:rStyle w:val="Strong"/>
                <w:rFonts w:asciiTheme="majorHAnsi" w:hAnsiTheme="majorHAnsi" w:cstheme="majorHAnsi"/>
                <w:sz w:val="17"/>
                <w:szCs w:val="17"/>
              </w:rPr>
            </w:pPr>
            <w:r w:rsidRPr="00FC5FC8">
              <w:rPr>
                <w:rStyle w:val="Strong"/>
                <w:rFonts w:asciiTheme="majorHAnsi" w:hAnsiTheme="majorHAnsi" w:cstheme="majorHAnsi"/>
                <w:sz w:val="17"/>
                <w:szCs w:val="17"/>
              </w:rPr>
              <w:t>Recovered Capital Method Asset Valuation</w:t>
            </w:r>
          </w:p>
        </w:tc>
        <w:tc>
          <w:tcPr>
            <w:tcW w:w="10773" w:type="dxa"/>
          </w:tcPr>
          <w:p w14:paraId="1BAB0B01" w14:textId="77777777" w:rsidR="00AD50BB" w:rsidRPr="00FC5FC8" w:rsidRDefault="00FE74A5" w:rsidP="00FC5FC8">
            <w:pPr>
              <w:pStyle w:val="Tabletext"/>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sz w:val="17"/>
                <w:szCs w:val="17"/>
              </w:rPr>
              <w:t xml:space="preserve">Energy Senior Officials </w:t>
            </w:r>
            <w:r w:rsidR="00AD50BB" w:rsidRPr="00FC5FC8">
              <w:rPr>
                <w:rFonts w:asciiTheme="majorHAnsi" w:hAnsiTheme="majorHAnsi" w:cstheme="majorHAnsi"/>
                <w:sz w:val="17"/>
                <w:szCs w:val="17"/>
              </w:rPr>
              <w:t xml:space="preserve">should consider requiring greater regulatory oversight of service providers’ financial information to impose more discipline on service providers and their auditors. Specifically, </w:t>
            </w:r>
            <w:r w:rsidRPr="00FC5FC8">
              <w:rPr>
                <w:sz w:val="17"/>
                <w:szCs w:val="17"/>
              </w:rPr>
              <w:t xml:space="preserve">Energy Senior Officials </w:t>
            </w:r>
            <w:r w:rsidR="00AD50BB" w:rsidRPr="00FC5FC8">
              <w:rPr>
                <w:rFonts w:asciiTheme="majorHAnsi" w:hAnsiTheme="majorHAnsi" w:cstheme="majorHAnsi"/>
                <w:sz w:val="17"/>
                <w:szCs w:val="17"/>
              </w:rPr>
              <w:t xml:space="preserve">should consider amending the NGR to: </w:t>
            </w:r>
          </w:p>
          <w:p w14:paraId="0BD1EF2C" w14:textId="77777777" w:rsidR="00AD50BB" w:rsidRPr="00FC5FC8" w:rsidRDefault="00AD50BB" w:rsidP="00FC5FC8">
            <w:pPr>
              <w:pStyle w:val="ListParagraph"/>
              <w:numPr>
                <w:ilvl w:val="0"/>
                <w:numId w:val="15"/>
              </w:numPr>
              <w:tabs>
                <w:tab w:val="left" w:pos="340"/>
              </w:tabs>
              <w:spacing w:before="60" w:after="60" w:line="264" w:lineRule="auto"/>
              <w:ind w:left="340" w:hanging="34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rFonts w:asciiTheme="majorHAnsi" w:hAnsiTheme="majorHAnsi" w:cstheme="majorHAnsi"/>
                <w:sz w:val="17"/>
                <w:szCs w:val="17"/>
              </w:rPr>
              <w:t xml:space="preserve">give the AER the power to require an independent review (this could take the form of an audit or a review by a regulatory expert) of a service provider’s financial information (including the RCV) (the costs to be borne by the service providers) </w:t>
            </w:r>
          </w:p>
          <w:p w14:paraId="0FD11B3E" w14:textId="77777777" w:rsidR="00AD50BB" w:rsidRPr="00FC5FC8" w:rsidRDefault="00AD50BB" w:rsidP="00FC5FC8">
            <w:pPr>
              <w:pStyle w:val="ListParagraph"/>
              <w:numPr>
                <w:ilvl w:val="0"/>
                <w:numId w:val="15"/>
              </w:numPr>
              <w:tabs>
                <w:tab w:val="left" w:pos="340"/>
              </w:tabs>
              <w:spacing w:before="60" w:after="60" w:line="264" w:lineRule="auto"/>
              <w:ind w:left="340" w:hanging="34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rFonts w:asciiTheme="majorHAnsi" w:hAnsiTheme="majorHAnsi" w:cstheme="majorHAnsi"/>
                <w:sz w:val="17"/>
                <w:szCs w:val="17"/>
              </w:rPr>
              <w:t xml:space="preserve">require service providers to provide the AER with the source material underpinning their RCVs. </w:t>
            </w:r>
          </w:p>
        </w:tc>
        <w:tc>
          <w:tcPr>
            <w:tcW w:w="1947" w:type="dxa"/>
            <w:vMerge/>
            <w:shd w:val="clear" w:color="auto" w:fill="D9D9D9" w:themeFill="background1" w:themeFillShade="D9"/>
          </w:tcPr>
          <w:p w14:paraId="640ECC19" w14:textId="77777777" w:rsidR="00AD50BB" w:rsidRPr="00FC5FC8" w:rsidRDefault="00AD50BB" w:rsidP="00FC5FC8">
            <w:pPr>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p>
        </w:tc>
      </w:tr>
      <w:tr w:rsidR="00AD50BB" w:rsidRPr="00FC5FC8" w14:paraId="4ED09B20" w14:textId="77777777" w:rsidTr="009048CE">
        <w:trPr>
          <w:trHeight w:val="70"/>
        </w:trPr>
        <w:tc>
          <w:tcPr>
            <w:cnfStyle w:val="001000000000" w:firstRow="0" w:lastRow="0" w:firstColumn="1" w:lastColumn="0" w:oddVBand="0" w:evenVBand="0" w:oddHBand="0" w:evenHBand="0" w:firstRowFirstColumn="0" w:firstRowLastColumn="0" w:lastRowFirstColumn="0" w:lastRowLastColumn="0"/>
            <w:tcW w:w="1701" w:type="dxa"/>
            <w:vMerge/>
          </w:tcPr>
          <w:p w14:paraId="1A7F8B30" w14:textId="77777777" w:rsidR="00AD50BB" w:rsidRPr="00FC5FC8" w:rsidRDefault="00AD50BB" w:rsidP="00FC5FC8">
            <w:pPr>
              <w:pStyle w:val="Tabletext"/>
              <w:spacing w:before="60" w:after="60" w:line="264" w:lineRule="auto"/>
              <w:rPr>
                <w:rStyle w:val="Strong"/>
                <w:rFonts w:asciiTheme="majorHAnsi" w:hAnsiTheme="majorHAnsi" w:cstheme="majorHAnsi"/>
                <w:sz w:val="17"/>
                <w:szCs w:val="17"/>
              </w:rPr>
            </w:pPr>
          </w:p>
        </w:tc>
        <w:tc>
          <w:tcPr>
            <w:tcW w:w="10773" w:type="dxa"/>
          </w:tcPr>
          <w:p w14:paraId="2A0B7A2B" w14:textId="77777777" w:rsidR="00AD50BB" w:rsidRPr="00FC5FC8" w:rsidRDefault="00AD50BB" w:rsidP="00FC5FC8">
            <w:pPr>
              <w:pStyle w:val="Tabletext"/>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rFonts w:asciiTheme="majorHAnsi" w:hAnsiTheme="majorHAnsi" w:cstheme="majorHAnsi"/>
                <w:sz w:val="17"/>
                <w:szCs w:val="17"/>
              </w:rPr>
              <w:t>The AER should consider reviewing the RCVs published by the six pipelines that were not reviewed by the ACCC to determine whether they have been afflicted by the same errors, inflationary measures and non-compliance issues. The AER should also consider assessing whether other aspects of the financial reports published by service providers comply with the Guideline.</w:t>
            </w:r>
          </w:p>
        </w:tc>
        <w:tc>
          <w:tcPr>
            <w:tcW w:w="1947" w:type="dxa"/>
            <w:shd w:val="clear" w:color="auto" w:fill="EDEDED" w:themeFill="accent4" w:themeFillTint="33"/>
          </w:tcPr>
          <w:p w14:paraId="155A9346" w14:textId="77777777" w:rsidR="00AD50BB" w:rsidRPr="00FC5FC8" w:rsidRDefault="00AD50BB" w:rsidP="00FC5FC8">
            <w:pPr>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rFonts w:asciiTheme="majorHAnsi" w:hAnsiTheme="majorHAnsi" w:cstheme="majorHAnsi"/>
                <w:sz w:val="17"/>
                <w:szCs w:val="17"/>
              </w:rPr>
              <w:t>AER review of financial reports</w:t>
            </w:r>
          </w:p>
        </w:tc>
      </w:tr>
      <w:tr w:rsidR="00AD50BB" w:rsidRPr="00FC5FC8" w14:paraId="33C2D7F9" w14:textId="77777777" w:rsidTr="009048C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33DC0B65" w14:textId="77777777" w:rsidR="00AD50BB" w:rsidRPr="00FC5FC8" w:rsidRDefault="00AD50BB" w:rsidP="00FC5FC8">
            <w:pPr>
              <w:pStyle w:val="Tabletext"/>
              <w:spacing w:before="60" w:after="60" w:line="264" w:lineRule="auto"/>
              <w:rPr>
                <w:rStyle w:val="Strong"/>
                <w:rFonts w:asciiTheme="majorHAnsi" w:hAnsiTheme="majorHAnsi" w:cstheme="majorHAnsi"/>
                <w:sz w:val="17"/>
                <w:szCs w:val="17"/>
              </w:rPr>
            </w:pPr>
            <w:r w:rsidRPr="00FC5FC8">
              <w:rPr>
                <w:rStyle w:val="Strong"/>
                <w:rFonts w:asciiTheme="majorHAnsi" w:hAnsiTheme="majorHAnsi" w:cstheme="majorHAnsi"/>
                <w:sz w:val="17"/>
                <w:szCs w:val="17"/>
              </w:rPr>
              <w:t xml:space="preserve">Requirement to republish </w:t>
            </w:r>
          </w:p>
        </w:tc>
        <w:tc>
          <w:tcPr>
            <w:tcW w:w="10773" w:type="dxa"/>
          </w:tcPr>
          <w:p w14:paraId="1BADE355" w14:textId="77777777" w:rsidR="00AD50BB" w:rsidRPr="00FC5FC8" w:rsidRDefault="00FE74A5" w:rsidP="00FC5FC8">
            <w:pPr>
              <w:pStyle w:val="Tabletext"/>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sz w:val="17"/>
                <w:szCs w:val="17"/>
              </w:rPr>
              <w:t xml:space="preserve">Energy Senior Officials </w:t>
            </w:r>
            <w:r w:rsidR="00AD50BB" w:rsidRPr="00FC5FC8">
              <w:rPr>
                <w:rFonts w:asciiTheme="majorHAnsi" w:hAnsiTheme="majorHAnsi" w:cstheme="majorHAnsi"/>
                <w:sz w:val="17"/>
                <w:szCs w:val="17"/>
              </w:rPr>
              <w:t xml:space="preserve">should consider amending the access information standard in Part 23 to require service providers to republish information they are required to report, including the financial reporting template and/or basis of preparation, if it is no longer accurate. </w:t>
            </w:r>
          </w:p>
        </w:tc>
        <w:tc>
          <w:tcPr>
            <w:tcW w:w="1947" w:type="dxa"/>
            <w:shd w:val="clear" w:color="auto" w:fill="D9D9D9" w:themeFill="background1" w:themeFillShade="D9"/>
          </w:tcPr>
          <w:p w14:paraId="78F6EBD9" w14:textId="77777777" w:rsidR="00AD50BB" w:rsidRPr="00FC5FC8" w:rsidRDefault="00AD50BB" w:rsidP="00FC5FC8">
            <w:pPr>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rFonts w:asciiTheme="majorHAnsi" w:hAnsiTheme="majorHAnsi" w:cstheme="majorHAnsi"/>
                <w:sz w:val="17"/>
                <w:szCs w:val="17"/>
              </w:rPr>
              <w:t>Pipeline RIS</w:t>
            </w:r>
          </w:p>
        </w:tc>
      </w:tr>
      <w:tr w:rsidR="00AD50BB" w:rsidRPr="00FC5FC8" w14:paraId="0DD79A7C" w14:textId="77777777" w:rsidTr="009048C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54E433E9" w14:textId="77777777" w:rsidR="00AD50BB" w:rsidRPr="00FC5FC8" w:rsidRDefault="00AD50BB" w:rsidP="00FC5FC8">
            <w:pPr>
              <w:pStyle w:val="Tabletext"/>
              <w:spacing w:before="20" w:after="60" w:line="264" w:lineRule="auto"/>
              <w:rPr>
                <w:rStyle w:val="Strong"/>
                <w:rFonts w:asciiTheme="majorHAnsi" w:hAnsiTheme="majorHAnsi" w:cstheme="majorHAnsi"/>
                <w:sz w:val="17"/>
                <w:szCs w:val="17"/>
              </w:rPr>
            </w:pPr>
            <w:r w:rsidRPr="00FC5FC8">
              <w:rPr>
                <w:rStyle w:val="Strong"/>
                <w:rFonts w:asciiTheme="majorHAnsi" w:hAnsiTheme="majorHAnsi" w:cstheme="majorHAnsi"/>
                <w:sz w:val="17"/>
                <w:szCs w:val="17"/>
              </w:rPr>
              <w:t xml:space="preserve">Improving the accessibility of information </w:t>
            </w:r>
          </w:p>
        </w:tc>
        <w:tc>
          <w:tcPr>
            <w:tcW w:w="10773" w:type="dxa"/>
          </w:tcPr>
          <w:p w14:paraId="51A86449" w14:textId="77777777" w:rsidR="00AD50BB" w:rsidRPr="00FC5FC8" w:rsidRDefault="00AD50BB" w:rsidP="00FC5FC8">
            <w:pPr>
              <w:pStyle w:val="Tabletext"/>
              <w:spacing w:before="2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rFonts w:asciiTheme="majorHAnsi" w:hAnsiTheme="majorHAnsi" w:cstheme="majorHAnsi"/>
                <w:sz w:val="17"/>
                <w:szCs w:val="17"/>
              </w:rPr>
              <w:t>To improve the accessibility of information, the AER should consider developing a non-binding guide on how the information service providers are required to disclose, should be reported. This non-binding guide could set out what the standing price methodology should include, and for example could require service providers to:</w:t>
            </w:r>
          </w:p>
          <w:p w14:paraId="441C1AE9" w14:textId="77777777" w:rsidR="00AD50BB" w:rsidRPr="00FC5FC8" w:rsidRDefault="00AD50BB" w:rsidP="00FC5FC8">
            <w:pPr>
              <w:pStyle w:val="Tabletext"/>
              <w:numPr>
                <w:ilvl w:val="0"/>
                <w:numId w:val="39"/>
              </w:numPr>
              <w:spacing w:before="20" w:after="60" w:line="264" w:lineRule="auto"/>
              <w:ind w:left="357" w:hanging="3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lang w:eastAsia="en-AU"/>
              </w:rPr>
            </w:pPr>
            <w:r w:rsidRPr="00FC5FC8">
              <w:rPr>
                <w:rFonts w:asciiTheme="majorHAnsi" w:hAnsiTheme="majorHAnsi" w:cstheme="majorHAnsi"/>
                <w:sz w:val="17"/>
                <w:szCs w:val="17"/>
              </w:rPr>
              <w:t>include a more prominent link on their website to where the information can be found and require all the relevant information for each pipeline to be included on a single page</w:t>
            </w:r>
          </w:p>
          <w:p w14:paraId="0541470C" w14:textId="77777777" w:rsidR="00AD50BB" w:rsidRPr="00FC5FC8" w:rsidRDefault="00AD50BB" w:rsidP="00FC5FC8">
            <w:pPr>
              <w:pStyle w:val="Tabletext"/>
              <w:numPr>
                <w:ilvl w:val="0"/>
                <w:numId w:val="39"/>
              </w:numPr>
              <w:spacing w:before="20" w:after="60" w:line="264" w:lineRule="auto"/>
              <w:ind w:left="357" w:hanging="3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lang w:eastAsia="en-AU"/>
              </w:rPr>
            </w:pPr>
            <w:r w:rsidRPr="00FC5FC8">
              <w:rPr>
                <w:rFonts w:asciiTheme="majorHAnsi" w:hAnsiTheme="majorHAnsi" w:cstheme="majorHAnsi"/>
                <w:sz w:val="17"/>
                <w:szCs w:val="17"/>
              </w:rPr>
              <w:t xml:space="preserve">report their standing prices and weighted average prices on a single page </w:t>
            </w:r>
          </w:p>
          <w:p w14:paraId="344F4824" w14:textId="77777777" w:rsidR="00AD50BB" w:rsidRPr="00FC5FC8" w:rsidRDefault="00AD50BB" w:rsidP="00FC5FC8">
            <w:pPr>
              <w:pStyle w:val="Tabletext"/>
              <w:numPr>
                <w:ilvl w:val="0"/>
                <w:numId w:val="39"/>
              </w:numPr>
              <w:spacing w:before="20" w:after="60" w:line="264" w:lineRule="auto"/>
              <w:ind w:left="357" w:hanging="3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lang w:eastAsia="en-AU"/>
              </w:rPr>
            </w:pPr>
            <w:r w:rsidRPr="00FC5FC8">
              <w:rPr>
                <w:rFonts w:asciiTheme="majorHAnsi" w:hAnsiTheme="majorHAnsi" w:cstheme="majorHAnsi"/>
                <w:sz w:val="17"/>
                <w:szCs w:val="17"/>
              </w:rPr>
              <w:t>escalate their standing prices to the relevant period so that shippers can quickly see the prices payable in that period.</w:t>
            </w:r>
          </w:p>
          <w:p w14:paraId="608F4A11" w14:textId="77777777" w:rsidR="00AD50BB" w:rsidRPr="00FC5FC8" w:rsidRDefault="00AD50BB" w:rsidP="00FC5FC8">
            <w:pPr>
              <w:pStyle w:val="Tabletext"/>
              <w:spacing w:before="2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rFonts w:asciiTheme="majorHAnsi" w:hAnsiTheme="majorHAnsi" w:cstheme="majorHAnsi"/>
                <w:sz w:val="17"/>
                <w:szCs w:val="17"/>
              </w:rPr>
              <w:t xml:space="preserve">When developing this guide, the AER could also consider requiring links to the information reported by pipelines to be published on the AER’s website so that shippers can more readily find the information. </w:t>
            </w:r>
          </w:p>
        </w:tc>
        <w:tc>
          <w:tcPr>
            <w:tcW w:w="1947" w:type="dxa"/>
            <w:shd w:val="clear" w:color="auto" w:fill="EDEDED" w:themeFill="accent4" w:themeFillTint="33"/>
          </w:tcPr>
          <w:p w14:paraId="741968D5" w14:textId="77777777" w:rsidR="00AD50BB" w:rsidRPr="00FC5FC8" w:rsidRDefault="00AD50BB" w:rsidP="00FC5FC8">
            <w:pPr>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rFonts w:asciiTheme="majorHAnsi" w:hAnsiTheme="majorHAnsi" w:cstheme="majorHAnsi"/>
                <w:sz w:val="17"/>
                <w:szCs w:val="17"/>
              </w:rPr>
              <w:t>Development of a new AER guide</w:t>
            </w:r>
          </w:p>
        </w:tc>
      </w:tr>
      <w:tr w:rsidR="00AD50BB" w:rsidRPr="00FC5FC8" w14:paraId="3F5509BB" w14:textId="77777777" w:rsidTr="009048CE">
        <w:tc>
          <w:tcPr>
            <w:cnfStyle w:val="001000000000" w:firstRow="0" w:lastRow="0" w:firstColumn="1" w:lastColumn="0" w:oddVBand="0" w:evenVBand="0" w:oddHBand="0" w:evenHBand="0" w:firstRowFirstColumn="0" w:firstRowLastColumn="0" w:lastRowFirstColumn="0" w:lastRowLastColumn="0"/>
            <w:tcW w:w="1701" w:type="dxa"/>
          </w:tcPr>
          <w:p w14:paraId="234E3821" w14:textId="77777777" w:rsidR="00AD50BB" w:rsidRPr="00FC5FC8" w:rsidRDefault="00AD50BB" w:rsidP="00FC5FC8">
            <w:pPr>
              <w:pStyle w:val="Tabletext"/>
              <w:spacing w:before="40" w:after="60" w:line="264" w:lineRule="auto"/>
              <w:rPr>
                <w:rStyle w:val="Strong"/>
                <w:rFonts w:asciiTheme="majorHAnsi" w:hAnsiTheme="majorHAnsi" w:cstheme="majorHAnsi"/>
                <w:sz w:val="17"/>
                <w:szCs w:val="17"/>
              </w:rPr>
            </w:pPr>
            <w:r w:rsidRPr="00FC5FC8">
              <w:rPr>
                <w:rStyle w:val="Strong"/>
                <w:rFonts w:asciiTheme="majorHAnsi" w:hAnsiTheme="majorHAnsi" w:cstheme="majorHAnsi"/>
                <w:sz w:val="17"/>
                <w:szCs w:val="17"/>
              </w:rPr>
              <w:t>Access requests</w:t>
            </w:r>
          </w:p>
        </w:tc>
        <w:tc>
          <w:tcPr>
            <w:tcW w:w="10773" w:type="dxa"/>
          </w:tcPr>
          <w:p w14:paraId="0ACBFC7E" w14:textId="6F4FED9E" w:rsidR="00AD50BB" w:rsidRPr="00FC5FC8" w:rsidRDefault="00FE74A5" w:rsidP="00FC5FC8">
            <w:pPr>
              <w:pStyle w:val="Tabletext"/>
              <w:spacing w:before="4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sz w:val="17"/>
                <w:szCs w:val="17"/>
              </w:rPr>
              <w:t xml:space="preserve">Energy Senior Officials </w:t>
            </w:r>
            <w:r w:rsidR="00AD50BB" w:rsidRPr="00FC5FC8">
              <w:rPr>
                <w:rFonts w:asciiTheme="majorHAnsi" w:hAnsiTheme="majorHAnsi" w:cstheme="majorHAnsi"/>
                <w:sz w:val="17"/>
                <w:szCs w:val="17"/>
              </w:rPr>
              <w:t>should consider removing distinction between preliminary enquiries and formal access requests in the NGR.</w:t>
            </w:r>
          </w:p>
        </w:tc>
        <w:tc>
          <w:tcPr>
            <w:tcW w:w="1947" w:type="dxa"/>
            <w:vMerge w:val="restart"/>
            <w:shd w:val="clear" w:color="auto" w:fill="D9D9D9" w:themeFill="background1" w:themeFillShade="D9"/>
          </w:tcPr>
          <w:p w14:paraId="4EA23195" w14:textId="77777777" w:rsidR="00AD50BB" w:rsidRPr="00FC5FC8" w:rsidRDefault="00AD50BB" w:rsidP="00FC5FC8">
            <w:pPr>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rFonts w:asciiTheme="majorHAnsi" w:hAnsiTheme="majorHAnsi" w:cstheme="majorHAnsi"/>
                <w:sz w:val="17"/>
                <w:szCs w:val="17"/>
              </w:rPr>
              <w:t>Pipeline RIS</w:t>
            </w:r>
          </w:p>
        </w:tc>
      </w:tr>
      <w:tr w:rsidR="00AD50BB" w:rsidRPr="00FC5FC8" w14:paraId="3A74B6DC" w14:textId="77777777" w:rsidTr="009048CE">
        <w:tc>
          <w:tcPr>
            <w:cnfStyle w:val="001000000000" w:firstRow="0" w:lastRow="0" w:firstColumn="1" w:lastColumn="0" w:oddVBand="0" w:evenVBand="0" w:oddHBand="0" w:evenHBand="0" w:firstRowFirstColumn="0" w:firstRowLastColumn="0" w:lastRowFirstColumn="0" w:lastRowLastColumn="0"/>
            <w:tcW w:w="1701" w:type="dxa"/>
          </w:tcPr>
          <w:p w14:paraId="3C63144A" w14:textId="77777777" w:rsidR="00AD50BB" w:rsidRPr="00FC5FC8" w:rsidRDefault="00AD50BB" w:rsidP="00FC5FC8">
            <w:pPr>
              <w:pStyle w:val="Tabletext"/>
              <w:spacing w:before="40" w:after="60" w:line="264" w:lineRule="auto"/>
              <w:rPr>
                <w:rStyle w:val="Strong"/>
                <w:rFonts w:asciiTheme="majorHAnsi" w:hAnsiTheme="majorHAnsi" w:cstheme="majorHAnsi"/>
                <w:sz w:val="17"/>
                <w:szCs w:val="17"/>
              </w:rPr>
            </w:pPr>
            <w:r w:rsidRPr="00FC5FC8">
              <w:rPr>
                <w:rStyle w:val="Strong"/>
                <w:rFonts w:asciiTheme="majorHAnsi" w:hAnsiTheme="majorHAnsi" w:cstheme="majorHAnsi"/>
                <w:sz w:val="17"/>
                <w:szCs w:val="17"/>
              </w:rPr>
              <w:t>Arbitration</w:t>
            </w:r>
          </w:p>
        </w:tc>
        <w:tc>
          <w:tcPr>
            <w:tcW w:w="10773" w:type="dxa"/>
          </w:tcPr>
          <w:p w14:paraId="400E2E0E" w14:textId="77777777" w:rsidR="00AD50BB" w:rsidRPr="00FC5FC8" w:rsidRDefault="00FE74A5" w:rsidP="00FC5FC8">
            <w:pPr>
              <w:pStyle w:val="Tabletext"/>
              <w:spacing w:before="4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FC5FC8">
              <w:rPr>
                <w:sz w:val="17"/>
                <w:szCs w:val="17"/>
              </w:rPr>
              <w:t xml:space="preserve">Energy Senior Officials </w:t>
            </w:r>
            <w:r w:rsidR="00AD50BB" w:rsidRPr="00FC5FC8">
              <w:rPr>
                <w:rFonts w:asciiTheme="majorHAnsi" w:hAnsiTheme="majorHAnsi" w:cstheme="majorHAnsi"/>
                <w:sz w:val="17"/>
                <w:szCs w:val="17"/>
              </w:rPr>
              <w:t xml:space="preserve">should consider whether the credibility of the threat of arbitration could be improved for smaller shippers. </w:t>
            </w:r>
          </w:p>
        </w:tc>
        <w:tc>
          <w:tcPr>
            <w:tcW w:w="1947" w:type="dxa"/>
            <w:vMerge/>
            <w:shd w:val="clear" w:color="auto" w:fill="D9D9D9" w:themeFill="background1" w:themeFillShade="D9"/>
          </w:tcPr>
          <w:p w14:paraId="7B099A63" w14:textId="77777777" w:rsidR="00AD50BB" w:rsidRPr="00FC5FC8" w:rsidRDefault="00AD50BB" w:rsidP="00FC5FC8">
            <w:pPr>
              <w:spacing w:before="60" w:after="60" w:line="264"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p>
        </w:tc>
      </w:tr>
    </w:tbl>
    <w:bookmarkEnd w:id="264"/>
    <w:p w14:paraId="2A97E92B" w14:textId="77777777" w:rsidR="00AD50BB" w:rsidRPr="004F5A3E" w:rsidRDefault="00AD50BB" w:rsidP="00AD36B8">
      <w:pPr>
        <w:pStyle w:val="ListBullet"/>
        <w:numPr>
          <w:ilvl w:val="0"/>
          <w:numId w:val="0"/>
        </w:numPr>
        <w:ind w:left="357"/>
        <w:rPr>
          <w:sz w:val="16"/>
          <w:szCs w:val="16"/>
        </w:rPr>
        <w:sectPr w:rsidR="00AD50BB" w:rsidRPr="004F5A3E" w:rsidSect="00B40717">
          <w:pgSz w:w="16839" w:h="11907" w:orient="landscape" w:code="9"/>
          <w:pgMar w:top="1134" w:right="1440" w:bottom="993" w:left="1440" w:header="567" w:footer="397" w:gutter="0"/>
          <w:cols w:space="708"/>
          <w:docGrid w:linePitch="360"/>
        </w:sectPr>
      </w:pPr>
      <w:r w:rsidRPr="004F5A3E">
        <w:rPr>
          <w:sz w:val="16"/>
          <w:szCs w:val="16"/>
        </w:rPr>
        <w:t xml:space="preserve">Source: ACCC, Gas Inquiry report 2017-20, Interim report, July 2019. </w:t>
      </w:r>
    </w:p>
    <w:p w14:paraId="20D8E8E5" w14:textId="49A1D3A0" w:rsidR="00AD50BB" w:rsidRPr="006B4639" w:rsidRDefault="00AD50BB" w:rsidP="00AD50BB">
      <w:pPr>
        <w:pStyle w:val="BodyText"/>
      </w:pPr>
      <w:r w:rsidRPr="006B4639">
        <w:lastRenderedPageBreak/>
        <w:t xml:space="preserve">As </w:t>
      </w:r>
      <w:r w:rsidR="00FF6780">
        <w:t xml:space="preserve">Table </w:t>
      </w:r>
      <w:r w:rsidR="00D73A94">
        <w:t>B</w:t>
      </w:r>
      <w:r w:rsidR="00FF6780">
        <w:t xml:space="preserve">.3 </w:t>
      </w:r>
      <w:r w:rsidRPr="006B4639">
        <w:t>shows, the ACCC suggested that a number of recommendations be considered as part of this RIS. The ACCC has, for example, suggested that consideration be given to:</w:t>
      </w:r>
      <w:r w:rsidR="004031E8">
        <w:rPr>
          <w:rFonts w:ascii="ZWAdobeF" w:hAnsi="ZWAdobeF" w:cs="ZWAdobeF"/>
          <w:sz w:val="2"/>
          <w:szCs w:val="2"/>
        </w:rPr>
        <w:t>319F</w:t>
      </w:r>
      <w:r w:rsidRPr="006B4639">
        <w:rPr>
          <w:rStyle w:val="FootnoteReference"/>
        </w:rPr>
        <w:footnoteReference w:id="321"/>
      </w:r>
    </w:p>
    <w:p w14:paraId="3C6B5D9A" w14:textId="77777777" w:rsidR="00AD50BB" w:rsidRPr="006B4639" w:rsidRDefault="00AD50BB" w:rsidP="00AD36B8">
      <w:pPr>
        <w:pStyle w:val="ListBullet"/>
      </w:pPr>
      <w:r w:rsidRPr="006B4639">
        <w:t>removing the exemption that single shipper pipelines and smaller pipelines currently have from the obligation to publish standing prices and terms and conditions;</w:t>
      </w:r>
    </w:p>
    <w:p w14:paraId="7DF2B090" w14:textId="77777777" w:rsidR="00AD50BB" w:rsidRPr="006B4639" w:rsidRDefault="00AD50BB" w:rsidP="00AD36B8">
      <w:pPr>
        <w:pStyle w:val="ListBullet"/>
      </w:pPr>
      <w:r w:rsidRPr="006B4639">
        <w:t>requiring service providers to publish more information on how standing prices have been calculated (including the inputs used in the calculation) so that shippers can understand how the standing price reflects the application of the methodology and assess the reasonableness of the prices and underlying assumptions;</w:t>
      </w:r>
    </w:p>
    <w:p w14:paraId="626C796C" w14:textId="77777777" w:rsidR="00AD50BB" w:rsidRPr="006B4639" w:rsidRDefault="00AD50BB" w:rsidP="00AD36B8">
      <w:pPr>
        <w:pStyle w:val="ListBullet"/>
      </w:pPr>
      <w:r w:rsidRPr="006B4639">
        <w:t>requiring greater regulatory oversight of service providers’ financial information to impose more discipline on service providers and their auditors and to provide shippers with more confidence in the reported information;</w:t>
      </w:r>
    </w:p>
    <w:p w14:paraId="767B20D6" w14:textId="77777777" w:rsidR="00AD50BB" w:rsidRPr="006B4639" w:rsidRDefault="00AD50BB" w:rsidP="00AD36B8">
      <w:pPr>
        <w:pStyle w:val="ListBullet"/>
      </w:pPr>
      <w:r w:rsidRPr="006B4639">
        <w:t xml:space="preserve">replacing the current requirement to publish weighted average prices, with a requirement to report either: </w:t>
      </w:r>
    </w:p>
    <w:p w14:paraId="6CA7B491" w14:textId="77777777" w:rsidR="00AD50BB" w:rsidRPr="006B4639" w:rsidRDefault="00AD50BB" w:rsidP="00AD50BB">
      <w:pPr>
        <w:pStyle w:val="ListNumber2"/>
        <w:spacing w:before="60" w:after="60"/>
      </w:pPr>
      <w:r w:rsidRPr="006B4639">
        <w:t xml:space="preserve">the individual prices paid by each shipper and information on the key terms and conditions; or </w:t>
      </w:r>
    </w:p>
    <w:p w14:paraId="78C6FE35" w14:textId="77777777" w:rsidR="00AD50BB" w:rsidRPr="006B4639" w:rsidRDefault="00AD50BB" w:rsidP="00AD50BB">
      <w:pPr>
        <w:pStyle w:val="ListNumber2"/>
        <w:spacing w:before="60"/>
      </w:pPr>
      <w:r w:rsidRPr="006B4639">
        <w:t>the minimum and maximum prices paid for each service along with the weighted average prices;</w:t>
      </w:r>
    </w:p>
    <w:p w14:paraId="051327E0" w14:textId="77777777" w:rsidR="00AD50BB" w:rsidRPr="006B4639" w:rsidRDefault="00AD50BB" w:rsidP="00AD36B8">
      <w:pPr>
        <w:pStyle w:val="ListBullet"/>
      </w:pPr>
      <w:r w:rsidRPr="006B4639">
        <w:t>amending the access information standard in Part 23 to require information to be republished if it is no longer accurate;</w:t>
      </w:r>
    </w:p>
    <w:p w14:paraId="4AED7026" w14:textId="77777777" w:rsidR="00AD50BB" w:rsidRPr="006B4639" w:rsidRDefault="00AD50BB" w:rsidP="00AD36B8">
      <w:pPr>
        <w:pStyle w:val="ListBullet"/>
      </w:pPr>
      <w:r w:rsidRPr="006B4639">
        <w:t>removing the preliminary enquiry process from Part 23; and</w:t>
      </w:r>
    </w:p>
    <w:p w14:paraId="11F44F5A" w14:textId="77777777" w:rsidR="00AD50BB" w:rsidRPr="006B4639" w:rsidRDefault="00AD50BB" w:rsidP="00AD36B8">
      <w:pPr>
        <w:pStyle w:val="ListBullet"/>
      </w:pPr>
      <w:r w:rsidRPr="006B4639">
        <w:t xml:space="preserve">improving the credibility of the threat of arbitration for smaller shippers. </w:t>
      </w:r>
    </w:p>
    <w:p w14:paraId="6494F899" w14:textId="77777777" w:rsidR="00AD50BB" w:rsidRPr="006B4639" w:rsidRDefault="00AD50BB" w:rsidP="00AD50BB">
      <w:pPr>
        <w:pStyle w:val="BodyText"/>
      </w:pPr>
      <w:r w:rsidRPr="006B4639">
        <w:t xml:space="preserve">The ACCC also recommended that the AER: </w:t>
      </w:r>
    </w:p>
    <w:p w14:paraId="4211FBAB" w14:textId="77777777" w:rsidR="00AD50BB" w:rsidRPr="006B4639" w:rsidRDefault="00AD50BB" w:rsidP="00AD36B8">
      <w:pPr>
        <w:pStyle w:val="ListBullet"/>
      </w:pPr>
      <w:r w:rsidRPr="006B4639">
        <w:t>conduct a review of the RCVs published for those pipelines that did not form part of the sample that the ACCC reviewed; and</w:t>
      </w:r>
    </w:p>
    <w:p w14:paraId="46F0B326" w14:textId="77777777" w:rsidR="00AD50BB" w:rsidRPr="006B4639" w:rsidRDefault="00AD50BB" w:rsidP="00AD36B8">
      <w:pPr>
        <w:pStyle w:val="ListBullet"/>
      </w:pPr>
      <w:r w:rsidRPr="006B4639">
        <w:t>publish a guide that would provide more guidance on how service providers should report information on their website and, as part of this process, consider requiring links to the reported information to be published on the AER’s website, so that information is more accessible to shippers.</w:t>
      </w:r>
    </w:p>
    <w:p w14:paraId="1B15A574" w14:textId="188F893E" w:rsidR="00AD50BB" w:rsidRPr="006B4639" w:rsidRDefault="00AD50BB" w:rsidP="00AD50BB">
      <w:pPr>
        <w:pStyle w:val="BodyText"/>
      </w:pPr>
      <w:r w:rsidRPr="006B4639">
        <w:t>In addition to these recommendations, the ACCC recommended a number of specific amendments to the AER’s Financial Reporting Guideline and associated reporting template to:</w:t>
      </w:r>
      <w:r w:rsidR="004031E8">
        <w:rPr>
          <w:rFonts w:ascii="ZWAdobeF" w:hAnsi="ZWAdobeF" w:cs="ZWAdobeF"/>
          <w:sz w:val="2"/>
          <w:szCs w:val="2"/>
        </w:rPr>
        <w:t>320F</w:t>
      </w:r>
      <w:r w:rsidRPr="006B4639">
        <w:rPr>
          <w:rStyle w:val="FootnoteReference"/>
        </w:rPr>
        <w:footnoteReference w:id="322"/>
      </w:r>
    </w:p>
    <w:p w14:paraId="28791527" w14:textId="77777777" w:rsidR="00AD50BB" w:rsidRPr="006B4639" w:rsidRDefault="00AD50BB" w:rsidP="00AD36B8">
      <w:pPr>
        <w:pStyle w:val="ListBullet"/>
      </w:pPr>
      <w:r w:rsidRPr="006B4639">
        <w:t>improve the quality of the weighted average price information if a decision is made to retain weighted average prices;</w:t>
      </w:r>
    </w:p>
    <w:p w14:paraId="482D53FB" w14:textId="77777777" w:rsidR="00AD50BB" w:rsidRPr="006B4639" w:rsidRDefault="00AD50BB" w:rsidP="00AD36B8">
      <w:pPr>
        <w:pStyle w:val="ListBullet"/>
      </w:pPr>
      <w:r w:rsidRPr="006B4639">
        <w:t>require greater transparency of the inputs service providers use to calculate the RCVs (for example, the rate of return), limit service providers’ discretion when calculating the RCVs, and improve the quality and accessibility of the RCV information;</w:t>
      </w:r>
    </w:p>
    <w:p w14:paraId="0DFBA3B8" w14:textId="77777777" w:rsidR="00AD50BB" w:rsidRPr="006B4639" w:rsidRDefault="00AD50BB" w:rsidP="00AD36B8">
      <w:pPr>
        <w:pStyle w:val="ListBullet"/>
      </w:pPr>
      <w:r w:rsidRPr="006B4639">
        <w:t>improve the standard of the basis of preparation that service providers are required to publish to provide more detail on the sources, methods of estimation and assumptions used to produce the financial and weighted average price information; and</w:t>
      </w:r>
    </w:p>
    <w:p w14:paraId="09C49407" w14:textId="77777777" w:rsidR="00AD50BB" w:rsidRPr="006B4639" w:rsidRDefault="00AD50BB" w:rsidP="00AD36B8">
      <w:pPr>
        <w:pStyle w:val="ListBullet"/>
      </w:pPr>
      <w:r w:rsidRPr="006B4639">
        <w:lastRenderedPageBreak/>
        <w:t>improve the accessibility and usability of the financial and weighted average price information.</w:t>
      </w:r>
    </w:p>
    <w:p w14:paraId="556F7D46" w14:textId="77777777" w:rsidR="00AD50BB" w:rsidRDefault="00AD50BB" w:rsidP="00AD50BB">
      <w:pPr>
        <w:pStyle w:val="BodyText"/>
        <w:spacing w:before="60" w:after="60"/>
        <w:ind w:left="357" w:hanging="357"/>
      </w:pPr>
      <w:r w:rsidRPr="006B4639">
        <w:t xml:space="preserve">Further detail on these recommendations can be found in </w:t>
      </w:r>
      <w:r w:rsidR="00ED5D3E">
        <w:t>the following section</w:t>
      </w:r>
      <w:r w:rsidRPr="006B4639">
        <w:t xml:space="preserve">. </w:t>
      </w:r>
    </w:p>
    <w:p w14:paraId="3125D121" w14:textId="77777777" w:rsidR="00ED5D3E" w:rsidRPr="006B4639" w:rsidRDefault="00335296" w:rsidP="00682DD8">
      <w:pPr>
        <w:pStyle w:val="AppendixHeading2"/>
      </w:pPr>
      <w:r>
        <w:t xml:space="preserve">ACCC and Brattle recommendations to improve the quality, reliability and accessibility of information </w:t>
      </w:r>
    </w:p>
    <w:p w14:paraId="12D4ABA5" w14:textId="77777777" w:rsidR="00ED5D3E" w:rsidRPr="006B4639" w:rsidRDefault="00ED5D3E" w:rsidP="00ED5D3E">
      <w:pPr>
        <w:pStyle w:val="BodyText"/>
      </w:pPr>
      <w:r w:rsidRPr="006B4639">
        <w:rPr>
          <w:lang w:eastAsia="en-US"/>
        </w:rPr>
        <w:t xml:space="preserve">The tables below provide a summary of the ACCC and </w:t>
      </w:r>
      <w:r w:rsidR="00200D72">
        <w:rPr>
          <w:lang w:eastAsia="en-US"/>
        </w:rPr>
        <w:t>Brattle</w:t>
      </w:r>
      <w:r w:rsidRPr="006B4639">
        <w:rPr>
          <w:lang w:eastAsia="en-US"/>
        </w:rPr>
        <w:t xml:space="preserve">’s recommendations on the improvements that could be made to Part 23 and the financial reporting guideline applying to non-scheme pipelines. These improvements are intended to </w:t>
      </w:r>
      <w:r w:rsidRPr="006B4639">
        <w:t>improve the quality, reliability and accessibility of the information that is reported by service providers.</w:t>
      </w:r>
    </w:p>
    <w:p w14:paraId="03C98574" w14:textId="77777777" w:rsidR="00ED5D3E" w:rsidRPr="006B4639" w:rsidRDefault="00ED5D3E" w:rsidP="00ED5D3E">
      <w:pPr>
        <w:pStyle w:val="Tabletitle"/>
        <w:spacing w:before="120" w:after="0"/>
      </w:pPr>
      <w:r w:rsidRPr="006B4639">
        <w:t xml:space="preserve">Table </w:t>
      </w:r>
      <w:r w:rsidR="00A74302">
        <w:t>B</w:t>
      </w:r>
      <w:r w:rsidR="003626DF">
        <w:t>.4</w:t>
      </w:r>
      <w:r w:rsidRPr="006B4639">
        <w:t xml:space="preserve">: ACCC recommendations </w:t>
      </w:r>
      <w:r w:rsidR="00286FC3">
        <w:t xml:space="preserve">on </w:t>
      </w:r>
      <w:r w:rsidRPr="006B4639">
        <w:t xml:space="preserve">financial reporting guideline and template </w:t>
      </w:r>
    </w:p>
    <w:tbl>
      <w:tblPr>
        <w:tblStyle w:val="LightShading1"/>
        <w:tblW w:w="5000" w:type="pct"/>
        <w:tblBorders>
          <w:top w:val="single" w:sz="8" w:space="0" w:color="000000" w:themeColor="text1"/>
          <w:bottom w:val="single" w:sz="8" w:space="0" w:color="000000" w:themeColor="text1"/>
          <w:insideH w:val="single" w:sz="8" w:space="0" w:color="000000" w:themeColor="text1"/>
          <w:insideV w:val="single" w:sz="8" w:space="0" w:color="000000" w:themeColor="text1"/>
        </w:tblBorders>
        <w:tblLook w:val="06A0" w:firstRow="1" w:lastRow="0" w:firstColumn="1" w:lastColumn="0" w:noHBand="1" w:noVBand="1"/>
      </w:tblPr>
      <w:tblGrid>
        <w:gridCol w:w="1762"/>
        <w:gridCol w:w="7026"/>
      </w:tblGrid>
      <w:tr w:rsidR="00ED5D3E" w:rsidRPr="004F5A3E" w14:paraId="6C486ED5" w14:textId="77777777" w:rsidTr="001A44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89" w:type="dxa"/>
            <w:tcBorders>
              <w:top w:val="none" w:sz="0" w:space="0" w:color="auto"/>
              <w:left w:val="none" w:sz="0" w:space="0" w:color="auto"/>
              <w:bottom w:val="none" w:sz="0" w:space="0" w:color="auto"/>
              <w:right w:val="none" w:sz="0" w:space="0" w:color="auto"/>
            </w:tcBorders>
            <w:shd w:val="clear" w:color="auto" w:fill="002060"/>
          </w:tcPr>
          <w:p w14:paraId="65116291" w14:textId="77777777" w:rsidR="00ED5D3E" w:rsidRPr="004F5A3E" w:rsidRDefault="00ED5D3E" w:rsidP="001A440E">
            <w:pPr>
              <w:pStyle w:val="Tabletext"/>
              <w:rPr>
                <w:rStyle w:val="Strong"/>
                <w:rFonts w:asciiTheme="majorHAnsi" w:hAnsiTheme="majorHAnsi" w:cstheme="majorHAnsi"/>
                <w:b/>
                <w:bCs/>
                <w:color w:val="FFFFFF" w:themeColor="background1"/>
                <w:sz w:val="18"/>
                <w:szCs w:val="18"/>
              </w:rPr>
            </w:pPr>
            <w:bookmarkStart w:id="265" w:name="_Hlk16138677"/>
            <w:r w:rsidRPr="004F5A3E">
              <w:rPr>
                <w:rStyle w:val="Strong"/>
                <w:rFonts w:asciiTheme="majorHAnsi" w:hAnsiTheme="majorHAnsi" w:cstheme="majorHAnsi"/>
                <w:b/>
                <w:bCs/>
                <w:color w:val="FFFFFF" w:themeColor="background1"/>
                <w:sz w:val="18"/>
                <w:szCs w:val="18"/>
              </w:rPr>
              <w:t>Area</w:t>
            </w:r>
          </w:p>
        </w:tc>
        <w:tc>
          <w:tcPr>
            <w:tcW w:w="12197" w:type="dxa"/>
            <w:tcBorders>
              <w:top w:val="none" w:sz="0" w:space="0" w:color="auto"/>
              <w:left w:val="none" w:sz="0" w:space="0" w:color="auto"/>
              <w:bottom w:val="none" w:sz="0" w:space="0" w:color="auto"/>
              <w:right w:val="none" w:sz="0" w:space="0" w:color="auto"/>
            </w:tcBorders>
            <w:shd w:val="clear" w:color="auto" w:fill="002060"/>
          </w:tcPr>
          <w:p w14:paraId="66FF540D" w14:textId="77777777" w:rsidR="00ED5D3E" w:rsidRPr="004F5A3E" w:rsidRDefault="00ED5D3E" w:rsidP="001A440E">
            <w:pPr>
              <w:pStyle w:val="Tabletext"/>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cstheme="majorHAnsi"/>
                <w:b/>
                <w:bCs/>
                <w:color w:val="FFFFFF" w:themeColor="background1"/>
                <w:sz w:val="18"/>
                <w:szCs w:val="18"/>
              </w:rPr>
            </w:pPr>
            <w:r w:rsidRPr="004F5A3E">
              <w:rPr>
                <w:rStyle w:val="Strong"/>
                <w:rFonts w:asciiTheme="majorHAnsi" w:hAnsiTheme="majorHAnsi" w:cstheme="majorHAnsi"/>
                <w:b/>
                <w:bCs/>
                <w:color w:val="FFFFFF" w:themeColor="background1"/>
                <w:sz w:val="18"/>
                <w:szCs w:val="18"/>
              </w:rPr>
              <w:t>ACCC Recommendations</w:t>
            </w:r>
          </w:p>
        </w:tc>
      </w:tr>
      <w:tr w:rsidR="00ED5D3E" w:rsidRPr="004F5A3E" w14:paraId="6653159E" w14:textId="77777777" w:rsidTr="001A440E">
        <w:trPr>
          <w:trHeight w:val="3272"/>
        </w:trPr>
        <w:tc>
          <w:tcPr>
            <w:cnfStyle w:val="001000000000" w:firstRow="0" w:lastRow="0" w:firstColumn="1" w:lastColumn="0" w:oddVBand="0" w:evenVBand="0" w:oddHBand="0" w:evenHBand="0" w:firstRowFirstColumn="0" w:firstRowLastColumn="0" w:lastRowFirstColumn="0" w:lastRowLastColumn="0"/>
            <w:tcW w:w="2289" w:type="dxa"/>
            <w:tcBorders>
              <w:bottom w:val="single" w:sz="8" w:space="0" w:color="000000" w:themeColor="text1"/>
            </w:tcBorders>
          </w:tcPr>
          <w:p w14:paraId="31D0C1BD" w14:textId="77777777" w:rsidR="00ED5D3E" w:rsidRPr="004F5A3E" w:rsidRDefault="00ED5D3E" w:rsidP="001A440E">
            <w:pPr>
              <w:pStyle w:val="Tabletext"/>
              <w:rPr>
                <w:rStyle w:val="Strong"/>
                <w:rFonts w:asciiTheme="majorHAnsi" w:hAnsiTheme="majorHAnsi" w:cstheme="majorHAnsi"/>
                <w:sz w:val="18"/>
                <w:szCs w:val="18"/>
              </w:rPr>
            </w:pPr>
            <w:r w:rsidRPr="004F5A3E">
              <w:rPr>
                <w:rStyle w:val="Strong"/>
                <w:rFonts w:asciiTheme="majorHAnsi" w:hAnsiTheme="majorHAnsi" w:cstheme="majorHAnsi"/>
                <w:sz w:val="18"/>
                <w:szCs w:val="18"/>
              </w:rPr>
              <w:t>Weighted Average Prices Information</w:t>
            </w:r>
          </w:p>
        </w:tc>
        <w:tc>
          <w:tcPr>
            <w:tcW w:w="12197" w:type="dxa"/>
            <w:tcBorders>
              <w:bottom w:val="single" w:sz="8" w:space="0" w:color="000000" w:themeColor="text1"/>
            </w:tcBorders>
          </w:tcPr>
          <w:p w14:paraId="30A539EA" w14:textId="77777777" w:rsidR="00ED5D3E" w:rsidRPr="004F5A3E" w:rsidRDefault="00ED5D3E" w:rsidP="001A44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4F5A3E">
              <w:rPr>
                <w:rFonts w:asciiTheme="majorHAnsi" w:hAnsiTheme="majorHAnsi" w:cstheme="majorHAnsi"/>
                <w:sz w:val="18"/>
                <w:szCs w:val="18"/>
              </w:rPr>
              <w:t>To improve the WAP information that is currently reported by service providers, the AER should consider amending its Guideline to require:</w:t>
            </w:r>
          </w:p>
          <w:p w14:paraId="4DABA012" w14:textId="77777777" w:rsidR="00ED5D3E" w:rsidRPr="004F5A3E" w:rsidRDefault="00ED5D3E" w:rsidP="001A440E">
            <w:pPr>
              <w:pStyle w:val="TableBullet10"/>
              <w:cnfStyle w:val="000000000000" w:firstRow="0" w:lastRow="0" w:firstColumn="0" w:lastColumn="0" w:oddVBand="0" w:evenVBand="0" w:oddHBand="0" w:evenHBand="0" w:firstRowFirstColumn="0" w:firstRowLastColumn="0" w:lastRowFirstColumn="0" w:lastRowLastColumn="0"/>
              <w:rPr>
                <w:szCs w:val="18"/>
              </w:rPr>
            </w:pPr>
            <w:r w:rsidRPr="004F5A3E">
              <w:rPr>
                <w:szCs w:val="18"/>
              </w:rPr>
              <w:t xml:space="preserve">WAPs to only include charges that are comparable to those reflected in the relevant standing price and therefore to exclude any penalty charges (however described) </w:t>
            </w:r>
          </w:p>
          <w:p w14:paraId="4C28B91E" w14:textId="77777777" w:rsidR="00ED5D3E" w:rsidRPr="004F5A3E" w:rsidRDefault="00ED5D3E" w:rsidP="001A440E">
            <w:pPr>
              <w:pStyle w:val="TableBullet10"/>
              <w:cnfStyle w:val="000000000000" w:firstRow="0" w:lastRow="0" w:firstColumn="0" w:lastColumn="0" w:oddVBand="0" w:evenVBand="0" w:oddHBand="0" w:evenHBand="0" w:firstRowFirstColumn="0" w:firstRowLastColumn="0" w:lastRowFirstColumn="0" w:lastRowLastColumn="0"/>
              <w:rPr>
                <w:szCs w:val="18"/>
              </w:rPr>
            </w:pPr>
            <w:r w:rsidRPr="004F5A3E">
              <w:rPr>
                <w:szCs w:val="18"/>
              </w:rPr>
              <w:t>WAP categories to align as closely as possible with standing prices (for example, by requiring volumetric and capacity charges to be reported as a single WAP if that is how the standing price is expressed)</w:t>
            </w:r>
          </w:p>
          <w:p w14:paraId="515280ED" w14:textId="77777777" w:rsidR="00ED5D3E" w:rsidRPr="004F5A3E" w:rsidRDefault="00ED5D3E" w:rsidP="001A440E">
            <w:pPr>
              <w:pStyle w:val="TableBullet10"/>
              <w:cnfStyle w:val="000000000000" w:firstRow="0" w:lastRow="0" w:firstColumn="0" w:lastColumn="0" w:oddVBand="0" w:evenVBand="0" w:oddHBand="0" w:evenHBand="0" w:firstRowFirstColumn="0" w:firstRowLastColumn="0" w:lastRowFirstColumn="0" w:lastRowLastColumn="0"/>
              <w:rPr>
                <w:szCs w:val="18"/>
              </w:rPr>
            </w:pPr>
            <w:r w:rsidRPr="004F5A3E">
              <w:rPr>
                <w:szCs w:val="18"/>
              </w:rPr>
              <w:t>service providers to identify any amendments made to the reporting template since the information was last published, and explain the reason for the amendments within the template itself, as well as in the basis of preparation (amendments should be signed by a competent officer of the company)</w:t>
            </w:r>
          </w:p>
          <w:p w14:paraId="6528D372" w14:textId="77777777" w:rsidR="00ED5D3E" w:rsidRPr="004F5A3E" w:rsidRDefault="00ED5D3E" w:rsidP="001A440E">
            <w:pPr>
              <w:pStyle w:val="TableBullet10"/>
              <w:cnfStyle w:val="000000000000" w:firstRow="0" w:lastRow="0" w:firstColumn="0" w:lastColumn="0" w:oddVBand="0" w:evenVBand="0" w:oddHBand="0" w:evenHBand="0" w:firstRowFirstColumn="0" w:firstRowLastColumn="0" w:lastRowFirstColumn="0" w:lastRowLastColumn="0"/>
              <w:rPr>
                <w:szCs w:val="18"/>
              </w:rPr>
            </w:pPr>
            <w:r w:rsidRPr="004F5A3E">
              <w:rPr>
                <w:szCs w:val="18"/>
              </w:rPr>
              <w:t>an officer of the company to complete a statutory declaration to certify that the WAPs calculations are true and correct when the information is published and when any amendments are made to the WAP information.</w:t>
            </w:r>
          </w:p>
          <w:p w14:paraId="6A44A3F6" w14:textId="77777777" w:rsidR="00ED5D3E" w:rsidRPr="004F5A3E" w:rsidRDefault="00ED5D3E" w:rsidP="001A44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4F5A3E">
              <w:rPr>
                <w:rFonts w:asciiTheme="majorHAnsi" w:hAnsiTheme="majorHAnsi" w:cstheme="majorHAnsi"/>
                <w:sz w:val="18"/>
                <w:szCs w:val="18"/>
              </w:rPr>
              <w:t xml:space="preserve">To improve the accessibility of this information, the AER should consider amending its reporting template to include a summary tab that provides a “quick glance” view of the WAPs and the standing price for the equivalent point in time. </w:t>
            </w:r>
          </w:p>
        </w:tc>
      </w:tr>
      <w:tr w:rsidR="00ED5D3E" w:rsidRPr="004F5A3E" w14:paraId="3861154B" w14:textId="77777777" w:rsidTr="001A440E">
        <w:tc>
          <w:tcPr>
            <w:cnfStyle w:val="001000000000" w:firstRow="0" w:lastRow="0" w:firstColumn="1" w:lastColumn="0" w:oddVBand="0" w:evenVBand="0" w:oddHBand="0" w:evenHBand="0" w:firstRowFirstColumn="0" w:firstRowLastColumn="0" w:lastRowFirstColumn="0" w:lastRowLastColumn="0"/>
            <w:tcW w:w="2289" w:type="dxa"/>
            <w:shd w:val="clear" w:color="auto" w:fill="E1E2E7" w:themeFill="background2"/>
          </w:tcPr>
          <w:p w14:paraId="1C7134E7" w14:textId="77777777" w:rsidR="00ED5D3E" w:rsidRPr="004F5A3E" w:rsidRDefault="00ED5D3E" w:rsidP="001A440E">
            <w:pPr>
              <w:pStyle w:val="Tabletext"/>
              <w:rPr>
                <w:rStyle w:val="Strong"/>
                <w:rFonts w:asciiTheme="majorHAnsi" w:hAnsiTheme="majorHAnsi" w:cstheme="majorHAnsi"/>
                <w:sz w:val="18"/>
                <w:szCs w:val="18"/>
              </w:rPr>
            </w:pPr>
            <w:r w:rsidRPr="004F5A3E">
              <w:rPr>
                <w:rStyle w:val="Strong"/>
                <w:rFonts w:asciiTheme="majorHAnsi" w:hAnsiTheme="majorHAnsi" w:cstheme="majorHAnsi"/>
                <w:sz w:val="18"/>
                <w:szCs w:val="18"/>
              </w:rPr>
              <w:t>Basis of Preparation</w:t>
            </w:r>
          </w:p>
        </w:tc>
        <w:tc>
          <w:tcPr>
            <w:tcW w:w="12197" w:type="dxa"/>
            <w:shd w:val="clear" w:color="auto" w:fill="E1E2E7" w:themeFill="background2"/>
          </w:tcPr>
          <w:p w14:paraId="3E0747FA" w14:textId="77777777" w:rsidR="00ED5D3E" w:rsidRPr="004F5A3E" w:rsidRDefault="00ED5D3E" w:rsidP="001A44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4F5A3E">
              <w:rPr>
                <w:rFonts w:asciiTheme="majorHAnsi" w:hAnsiTheme="majorHAnsi" w:cstheme="majorHAnsi"/>
                <w:sz w:val="18"/>
                <w:szCs w:val="18"/>
              </w:rPr>
              <w:t xml:space="preserve">To improve the standard of the bases of preparation, the AER should consider providing service providers further guidance on the objective of the basis of preparation and the standard that is expected in these documents (including the information to be reported and examples of how service providers are to demonstrate that any estimates have been arrived at on a reasonable basis and represent the best estimate possible in the circumstances). </w:t>
            </w:r>
          </w:p>
        </w:tc>
      </w:tr>
      <w:tr w:rsidR="00ED5D3E" w:rsidRPr="004F5A3E" w14:paraId="6DA32CAA" w14:textId="77777777" w:rsidTr="001A440E">
        <w:trPr>
          <w:trHeight w:val="699"/>
        </w:trPr>
        <w:tc>
          <w:tcPr>
            <w:cnfStyle w:val="001000000000" w:firstRow="0" w:lastRow="0" w:firstColumn="1" w:lastColumn="0" w:oddVBand="0" w:evenVBand="0" w:oddHBand="0" w:evenHBand="0" w:firstRowFirstColumn="0" w:firstRowLastColumn="0" w:lastRowFirstColumn="0" w:lastRowLastColumn="0"/>
            <w:tcW w:w="2289" w:type="dxa"/>
            <w:tcBorders>
              <w:bottom w:val="single" w:sz="8" w:space="0" w:color="000000" w:themeColor="text1"/>
            </w:tcBorders>
          </w:tcPr>
          <w:p w14:paraId="7F7A9F0E" w14:textId="77777777" w:rsidR="00ED5D3E" w:rsidRPr="004F5A3E" w:rsidRDefault="00ED5D3E" w:rsidP="001A440E">
            <w:pPr>
              <w:pStyle w:val="Tabletext"/>
              <w:rPr>
                <w:rStyle w:val="Strong"/>
                <w:rFonts w:asciiTheme="majorHAnsi" w:hAnsiTheme="majorHAnsi" w:cstheme="majorHAnsi"/>
                <w:sz w:val="18"/>
                <w:szCs w:val="18"/>
              </w:rPr>
            </w:pPr>
            <w:r w:rsidRPr="004F5A3E">
              <w:rPr>
                <w:rStyle w:val="Strong"/>
                <w:rFonts w:asciiTheme="majorHAnsi" w:hAnsiTheme="majorHAnsi" w:cstheme="majorHAnsi"/>
                <w:sz w:val="18"/>
                <w:szCs w:val="18"/>
              </w:rPr>
              <w:t>Requirement to republish information</w:t>
            </w:r>
          </w:p>
        </w:tc>
        <w:tc>
          <w:tcPr>
            <w:tcW w:w="12197" w:type="dxa"/>
            <w:tcBorders>
              <w:bottom w:val="single" w:sz="8" w:space="0" w:color="000000" w:themeColor="text1"/>
            </w:tcBorders>
          </w:tcPr>
          <w:p w14:paraId="1E34E0DC" w14:textId="77777777" w:rsidR="00ED5D3E" w:rsidRPr="004F5A3E" w:rsidRDefault="00ED5D3E" w:rsidP="001A44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4F5A3E">
              <w:rPr>
                <w:rFonts w:asciiTheme="majorHAnsi" w:hAnsiTheme="majorHAnsi" w:cstheme="majorHAnsi"/>
                <w:sz w:val="18"/>
                <w:szCs w:val="18"/>
              </w:rPr>
              <w:t>To improve useability and provide greater confidence in the information reported, the AER should consider amending the Guideline to require service providers to identify and explain the basis of any amendments to previously published information in the template and the basis of preparation.</w:t>
            </w:r>
          </w:p>
        </w:tc>
      </w:tr>
      <w:tr w:rsidR="00ED5D3E" w:rsidRPr="004F5A3E" w14:paraId="22C0701B" w14:textId="77777777" w:rsidTr="001A440E">
        <w:trPr>
          <w:trHeight w:val="6002"/>
        </w:trPr>
        <w:tc>
          <w:tcPr>
            <w:cnfStyle w:val="001000000000" w:firstRow="0" w:lastRow="0" w:firstColumn="1" w:lastColumn="0" w:oddVBand="0" w:evenVBand="0" w:oddHBand="0" w:evenHBand="0" w:firstRowFirstColumn="0" w:firstRowLastColumn="0" w:lastRowFirstColumn="0" w:lastRowLastColumn="0"/>
            <w:tcW w:w="2289" w:type="dxa"/>
            <w:shd w:val="clear" w:color="auto" w:fill="E1E2E7" w:themeFill="background2"/>
          </w:tcPr>
          <w:p w14:paraId="27F5604F" w14:textId="77777777" w:rsidR="00ED5D3E" w:rsidRPr="004F5A3E" w:rsidRDefault="00ED5D3E" w:rsidP="001A440E">
            <w:pPr>
              <w:pStyle w:val="Tabletext"/>
              <w:spacing w:before="60" w:after="60"/>
              <w:rPr>
                <w:rStyle w:val="Strong"/>
                <w:rFonts w:asciiTheme="majorHAnsi" w:hAnsiTheme="majorHAnsi" w:cstheme="majorHAnsi"/>
                <w:sz w:val="18"/>
                <w:szCs w:val="18"/>
              </w:rPr>
            </w:pPr>
            <w:r w:rsidRPr="004F5A3E">
              <w:rPr>
                <w:rStyle w:val="Strong"/>
                <w:rFonts w:asciiTheme="majorHAnsi" w:hAnsiTheme="majorHAnsi" w:cstheme="majorHAnsi"/>
                <w:sz w:val="18"/>
                <w:szCs w:val="18"/>
              </w:rPr>
              <w:lastRenderedPageBreak/>
              <w:t>Recovered Capital Method Asset Valuation</w:t>
            </w:r>
          </w:p>
        </w:tc>
        <w:tc>
          <w:tcPr>
            <w:tcW w:w="12197" w:type="dxa"/>
            <w:shd w:val="clear" w:color="auto" w:fill="E1E2E7" w:themeFill="background2"/>
          </w:tcPr>
          <w:p w14:paraId="0B7C7591" w14:textId="77777777" w:rsidR="00ED5D3E" w:rsidRPr="004F5A3E" w:rsidRDefault="00ED5D3E" w:rsidP="001A440E">
            <w:pPr>
              <w:pStyle w:val="Tabletext"/>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4F5A3E">
              <w:rPr>
                <w:rFonts w:asciiTheme="majorHAnsi" w:hAnsiTheme="majorHAnsi" w:cstheme="majorHAnsi"/>
                <w:sz w:val="18"/>
                <w:szCs w:val="18"/>
              </w:rPr>
              <w:t>The AER should consider amending its Guideline and/or financial reporting template to:</w:t>
            </w:r>
          </w:p>
          <w:p w14:paraId="40B6FE5D" w14:textId="77777777" w:rsidR="00ED5D3E" w:rsidRPr="004F5A3E" w:rsidRDefault="00ED5D3E" w:rsidP="001A440E">
            <w:pPr>
              <w:pStyle w:val="TableBullet10"/>
              <w:cnfStyle w:val="000000000000" w:firstRow="0" w:lastRow="0" w:firstColumn="0" w:lastColumn="0" w:oddVBand="0" w:evenVBand="0" w:oddHBand="0" w:evenHBand="0" w:firstRowFirstColumn="0" w:firstRowLastColumn="0" w:lastRowFirstColumn="0" w:lastRowLastColumn="0"/>
              <w:rPr>
                <w:szCs w:val="18"/>
              </w:rPr>
            </w:pPr>
            <w:r w:rsidRPr="004F5A3E">
              <w:rPr>
                <w:szCs w:val="18"/>
              </w:rPr>
              <w:t>require gr</w:t>
            </w:r>
            <w:r w:rsidRPr="004F5A3E">
              <w:rPr>
                <w:rFonts w:eastAsia="Times New Roman"/>
                <w:color w:val="auto"/>
                <w:szCs w:val="18"/>
                <w:lang w:eastAsia="en-AU"/>
              </w:rPr>
              <w:t>eater t</w:t>
            </w:r>
            <w:r w:rsidRPr="004F5A3E">
              <w:rPr>
                <w:szCs w:val="18"/>
              </w:rPr>
              <w:t>ransparency by, for example requiring service providers to publish:</w:t>
            </w:r>
          </w:p>
          <w:p w14:paraId="47490296" w14:textId="77777777" w:rsidR="00ED5D3E" w:rsidRPr="004F5A3E" w:rsidRDefault="00ED5D3E" w:rsidP="004F5A3E">
            <w:pPr>
              <w:pStyle w:val="Bulletpoint2"/>
              <w:numPr>
                <w:ilvl w:val="0"/>
                <w:numId w:val="40"/>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4F5A3E">
              <w:rPr>
                <w:sz w:val="18"/>
                <w:szCs w:val="18"/>
              </w:rPr>
              <w:t>how the pipeline’s return on capital has been calculated and the rate of return assumed in each year (including all the parameters underpinning the calculation of the rate of return)</w:t>
            </w:r>
          </w:p>
          <w:p w14:paraId="56F5154C" w14:textId="77777777" w:rsidR="00ED5D3E" w:rsidRPr="004F5A3E" w:rsidRDefault="00ED5D3E" w:rsidP="004F5A3E">
            <w:pPr>
              <w:pStyle w:val="Bulletpoint2"/>
              <w:numPr>
                <w:ilvl w:val="0"/>
                <w:numId w:val="40"/>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4F5A3E">
              <w:rPr>
                <w:sz w:val="18"/>
                <w:szCs w:val="18"/>
              </w:rPr>
              <w:t>how net tax liabilities have been calculated</w:t>
            </w:r>
          </w:p>
          <w:p w14:paraId="133EF887" w14:textId="77777777" w:rsidR="00ED5D3E" w:rsidRPr="004F5A3E" w:rsidRDefault="00ED5D3E" w:rsidP="004F5A3E">
            <w:pPr>
              <w:pStyle w:val="Bulletpoint2"/>
              <w:numPr>
                <w:ilvl w:val="0"/>
                <w:numId w:val="40"/>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4F5A3E">
              <w:rPr>
                <w:sz w:val="18"/>
                <w:szCs w:val="18"/>
              </w:rPr>
              <w:t>the total shared operating expenditure and shared assets incurred by the service provider’s parent company and how these costs have been allocated across all the assets owned and/or operated by the parent company.</w:t>
            </w:r>
          </w:p>
          <w:p w14:paraId="71D10671" w14:textId="77777777" w:rsidR="00ED5D3E" w:rsidRPr="004F5A3E" w:rsidRDefault="00ED5D3E" w:rsidP="001A440E">
            <w:pPr>
              <w:pStyle w:val="TableBullet10"/>
              <w:cnfStyle w:val="000000000000" w:firstRow="0" w:lastRow="0" w:firstColumn="0" w:lastColumn="0" w:oddVBand="0" w:evenVBand="0" w:oddHBand="0" w:evenHBand="0" w:firstRowFirstColumn="0" w:firstRowLastColumn="0" w:lastRowFirstColumn="0" w:lastRowLastColumn="0"/>
              <w:rPr>
                <w:szCs w:val="18"/>
              </w:rPr>
            </w:pPr>
            <w:r w:rsidRPr="004F5A3E">
              <w:rPr>
                <w:szCs w:val="18"/>
              </w:rPr>
              <w:t>lim</w:t>
            </w:r>
            <w:r w:rsidRPr="004F5A3E">
              <w:rPr>
                <w:rFonts w:eastAsia="Times New Roman"/>
                <w:color w:val="auto"/>
                <w:szCs w:val="18"/>
                <w:lang w:eastAsia="en-AU"/>
              </w:rPr>
              <w:t>it service provider</w:t>
            </w:r>
            <w:r w:rsidRPr="004F5A3E">
              <w:rPr>
                <w:szCs w:val="18"/>
              </w:rPr>
              <w:t>s’ discretion by, for example:</w:t>
            </w:r>
          </w:p>
          <w:p w14:paraId="7AF10E1D" w14:textId="77777777" w:rsidR="00ED5D3E" w:rsidRPr="004F5A3E" w:rsidRDefault="00ED5D3E" w:rsidP="004F5A3E">
            <w:pPr>
              <w:pStyle w:val="Bulletpoint2"/>
              <w:numPr>
                <w:ilvl w:val="0"/>
                <w:numId w:val="40"/>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4F5A3E">
              <w:rPr>
                <w:sz w:val="18"/>
                <w:szCs w:val="18"/>
              </w:rPr>
              <w:t xml:space="preserve">only allowing previously regulated service providers to use the DAC estimated by the regulator </w:t>
            </w:r>
          </w:p>
          <w:p w14:paraId="0CB7727D" w14:textId="77777777" w:rsidR="00ED5D3E" w:rsidRPr="004F5A3E" w:rsidRDefault="00ED5D3E" w:rsidP="004F5A3E">
            <w:pPr>
              <w:pStyle w:val="Bulletpoint2"/>
              <w:numPr>
                <w:ilvl w:val="0"/>
                <w:numId w:val="40"/>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4F5A3E">
              <w:rPr>
                <w:sz w:val="18"/>
                <w:szCs w:val="18"/>
              </w:rPr>
              <w:t xml:space="preserve">specifying whether mid-year adjustments of capital expenditure are permissible </w:t>
            </w:r>
          </w:p>
          <w:p w14:paraId="74AFD3F0" w14:textId="77777777" w:rsidR="00ED5D3E" w:rsidRPr="004F5A3E" w:rsidRDefault="00ED5D3E" w:rsidP="004F5A3E">
            <w:pPr>
              <w:pStyle w:val="Bulletpoint2"/>
              <w:numPr>
                <w:ilvl w:val="0"/>
                <w:numId w:val="40"/>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4F5A3E">
              <w:rPr>
                <w:sz w:val="18"/>
                <w:szCs w:val="18"/>
              </w:rPr>
              <w:t xml:space="preserve">specifying the method to be used to allocate the parent company’s shared operating expenditure, shared assets and any shared revenue to the pipeline </w:t>
            </w:r>
          </w:p>
          <w:p w14:paraId="186296AD" w14:textId="77777777" w:rsidR="00ED5D3E" w:rsidRPr="004F5A3E" w:rsidRDefault="00ED5D3E" w:rsidP="004F5A3E">
            <w:pPr>
              <w:pStyle w:val="Bulletpoint2"/>
              <w:numPr>
                <w:ilvl w:val="0"/>
                <w:numId w:val="40"/>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4F5A3E">
              <w:rPr>
                <w:sz w:val="18"/>
                <w:szCs w:val="18"/>
              </w:rPr>
              <w:t>specifying how ‘other revenue’ derived from the operation of pipeline assets are to be treated.</w:t>
            </w:r>
          </w:p>
          <w:p w14:paraId="193B2153" w14:textId="77777777" w:rsidR="00ED5D3E" w:rsidRPr="004F5A3E" w:rsidRDefault="00ED5D3E" w:rsidP="001A440E">
            <w:pPr>
              <w:pStyle w:val="TableBullet10"/>
              <w:cnfStyle w:val="000000000000" w:firstRow="0" w:lastRow="0" w:firstColumn="0" w:lastColumn="0" w:oddVBand="0" w:evenVBand="0" w:oddHBand="0" w:evenHBand="0" w:firstRowFirstColumn="0" w:firstRowLastColumn="0" w:lastRowFirstColumn="0" w:lastRowLastColumn="0"/>
              <w:rPr>
                <w:szCs w:val="18"/>
              </w:rPr>
            </w:pPr>
            <w:r w:rsidRPr="004F5A3E">
              <w:rPr>
                <w:szCs w:val="18"/>
              </w:rPr>
              <w:t>address other gaps that have been identified by, for example requiring:</w:t>
            </w:r>
          </w:p>
          <w:p w14:paraId="0C7A22A8" w14:textId="77777777" w:rsidR="00ED5D3E" w:rsidRPr="004F5A3E" w:rsidRDefault="00ED5D3E" w:rsidP="004F5A3E">
            <w:pPr>
              <w:pStyle w:val="Bulletpoint2"/>
              <w:numPr>
                <w:ilvl w:val="0"/>
                <w:numId w:val="40"/>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4F5A3E">
              <w:rPr>
                <w:sz w:val="18"/>
                <w:szCs w:val="18"/>
              </w:rPr>
              <w:t xml:space="preserve">service providers to explain material changes in operating expenditure </w:t>
            </w:r>
          </w:p>
          <w:p w14:paraId="44902EAB" w14:textId="77777777" w:rsidR="00ED5D3E" w:rsidRPr="004F5A3E" w:rsidRDefault="00ED5D3E" w:rsidP="004F5A3E">
            <w:pPr>
              <w:pStyle w:val="Bulletpoint2"/>
              <w:numPr>
                <w:ilvl w:val="0"/>
                <w:numId w:val="40"/>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4F5A3E">
              <w:rPr>
                <w:sz w:val="18"/>
                <w:szCs w:val="18"/>
              </w:rPr>
              <w:t>service providers to report information on the actual volume of gas transported by the pipeline in each year and the amount of capacity contracted on a firm basis in the year, so that shippers can use this information to calculate effective prices.</w:t>
            </w:r>
          </w:p>
          <w:p w14:paraId="6A5B3354" w14:textId="77777777" w:rsidR="00ED5D3E" w:rsidRPr="004F5A3E" w:rsidRDefault="00ED5D3E" w:rsidP="001A440E">
            <w:pPr>
              <w:pStyle w:val="TableBullet10"/>
              <w:cnfStyle w:val="000000000000" w:firstRow="0" w:lastRow="0" w:firstColumn="0" w:lastColumn="0" w:oddVBand="0" w:evenVBand="0" w:oddHBand="0" w:evenHBand="0" w:firstRowFirstColumn="0" w:firstRowLastColumn="0" w:lastRowFirstColumn="0" w:lastRowLastColumn="0"/>
              <w:rPr>
                <w:szCs w:val="18"/>
              </w:rPr>
            </w:pPr>
            <w:r w:rsidRPr="004F5A3E">
              <w:rPr>
                <w:szCs w:val="18"/>
              </w:rPr>
              <w:t>improv</w:t>
            </w:r>
            <w:r w:rsidRPr="004F5A3E">
              <w:rPr>
                <w:rFonts w:eastAsia="Times New Roman"/>
                <w:color w:val="auto"/>
                <w:szCs w:val="18"/>
                <w:lang w:eastAsia="en-AU"/>
              </w:rPr>
              <w:t>e the stan</w:t>
            </w:r>
            <w:r w:rsidRPr="004F5A3E">
              <w:rPr>
                <w:szCs w:val="18"/>
              </w:rPr>
              <w:t>dard of the financial information that is reported by requiring an officer of the company to sign off on the contents of the reporting template and basis of preparation when the financial reports are published and when any amendments are made to the financial reports.</w:t>
            </w:r>
          </w:p>
          <w:p w14:paraId="47CD1C38" w14:textId="77777777" w:rsidR="00ED5D3E" w:rsidRPr="004F5A3E" w:rsidRDefault="00ED5D3E" w:rsidP="001A440E">
            <w:pPr>
              <w:pStyle w:val="Tabletext"/>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4F5A3E">
              <w:rPr>
                <w:rFonts w:asciiTheme="majorHAnsi" w:hAnsiTheme="majorHAnsi" w:cstheme="majorHAnsi"/>
                <w:sz w:val="18"/>
                <w:szCs w:val="18"/>
              </w:rPr>
              <w:t xml:space="preserve">To improve the accessibility of the information, the AER should also consider amending the reporting template to include a summary tab that includes a “quick glance” view of some of the key financial information, including the service providers’ RCV. </w:t>
            </w:r>
          </w:p>
        </w:tc>
      </w:tr>
    </w:tbl>
    <w:bookmarkEnd w:id="265"/>
    <w:p w14:paraId="4B997487" w14:textId="77777777" w:rsidR="00ED5D3E" w:rsidRPr="006B4639" w:rsidRDefault="00ED5D3E" w:rsidP="00ED5D3E">
      <w:pPr>
        <w:pStyle w:val="BodyText"/>
        <w:spacing w:before="0"/>
        <w:rPr>
          <w:sz w:val="18"/>
          <w:szCs w:val="18"/>
          <w:lang w:eastAsia="en-US"/>
        </w:rPr>
      </w:pPr>
      <w:r w:rsidRPr="006B4639">
        <w:rPr>
          <w:sz w:val="18"/>
          <w:szCs w:val="18"/>
          <w:lang w:eastAsia="en-US"/>
        </w:rPr>
        <w:t>Source: ACCC, Gas inquiry 2017-2020 – Interim Report, July 2019, Table 6.4.</w:t>
      </w:r>
    </w:p>
    <w:p w14:paraId="59184C23" w14:textId="77777777" w:rsidR="00ED5D3E" w:rsidRPr="006B4639" w:rsidRDefault="00ED5D3E" w:rsidP="00ED5D3E">
      <w:pPr>
        <w:pStyle w:val="Caption"/>
        <w:spacing w:after="0"/>
      </w:pPr>
      <w:r w:rsidRPr="006B4639">
        <w:lastRenderedPageBreak/>
        <w:t xml:space="preserve">Table </w:t>
      </w:r>
      <w:r w:rsidR="00A74302">
        <w:t>B</w:t>
      </w:r>
      <w:r w:rsidR="003626DF">
        <w:t>.5</w:t>
      </w:r>
      <w:r w:rsidRPr="006B4639">
        <w:t xml:space="preserve">: </w:t>
      </w:r>
      <w:r w:rsidR="00200D72">
        <w:t>Brattle</w:t>
      </w:r>
      <w:r w:rsidRPr="006B4639">
        <w:t>’s recommendations on financial reporting guideline and template</w:t>
      </w:r>
    </w:p>
    <w:tbl>
      <w:tblPr>
        <w:tblStyle w:val="TableGrid"/>
        <w:tblW w:w="5000" w:type="pct"/>
        <w:tblLayout w:type="fixed"/>
        <w:tblLook w:val="0420" w:firstRow="1" w:lastRow="0" w:firstColumn="0" w:lastColumn="0" w:noHBand="0" w:noVBand="1"/>
      </w:tblPr>
      <w:tblGrid>
        <w:gridCol w:w="1998"/>
        <w:gridCol w:w="6790"/>
      </w:tblGrid>
      <w:tr w:rsidR="00ED5D3E" w:rsidRPr="006B4639" w14:paraId="49F96C20" w14:textId="77777777" w:rsidTr="001A440E">
        <w:trPr>
          <w:cnfStyle w:val="100000000000" w:firstRow="1" w:lastRow="0" w:firstColumn="0" w:lastColumn="0" w:oddVBand="0" w:evenVBand="0" w:oddHBand="0" w:evenHBand="0" w:firstRowFirstColumn="0" w:firstRowLastColumn="0" w:lastRowFirstColumn="0" w:lastRowLastColumn="0"/>
          <w:cantSplit/>
          <w:tblHeader/>
        </w:trPr>
        <w:tc>
          <w:tcPr>
            <w:tcW w:w="1137" w:type="pct"/>
            <w:shd w:val="clear" w:color="auto" w:fill="002060"/>
          </w:tcPr>
          <w:p w14:paraId="142DC68A" w14:textId="77777777" w:rsidR="00ED5D3E" w:rsidRPr="006B4639" w:rsidRDefault="00ED5D3E" w:rsidP="001A440E">
            <w:pPr>
              <w:pStyle w:val="TableHeading"/>
              <w:rPr>
                <w:lang w:eastAsia="fr-CA"/>
              </w:rPr>
            </w:pPr>
            <w:r w:rsidRPr="006B4639">
              <w:rPr>
                <w:lang w:eastAsia="fr-CA"/>
              </w:rPr>
              <w:t>Issues</w:t>
            </w:r>
          </w:p>
        </w:tc>
        <w:tc>
          <w:tcPr>
            <w:tcW w:w="3863" w:type="pct"/>
            <w:shd w:val="clear" w:color="auto" w:fill="002060"/>
          </w:tcPr>
          <w:p w14:paraId="3B265E38" w14:textId="77777777" w:rsidR="00ED5D3E" w:rsidRPr="006B4639" w:rsidRDefault="00ED5D3E" w:rsidP="001A440E">
            <w:pPr>
              <w:pStyle w:val="TableHeading"/>
              <w:rPr>
                <w:lang w:eastAsia="fr-CA"/>
              </w:rPr>
            </w:pPr>
            <w:r w:rsidRPr="006B4639">
              <w:rPr>
                <w:lang w:eastAsia="fr-CA"/>
              </w:rPr>
              <w:t>Findings / Recommendations</w:t>
            </w:r>
          </w:p>
        </w:tc>
      </w:tr>
      <w:tr w:rsidR="00ED5D3E" w:rsidRPr="006B4639" w14:paraId="0ABB5791" w14:textId="77777777" w:rsidTr="001A440E">
        <w:trPr>
          <w:cantSplit/>
        </w:trPr>
        <w:tc>
          <w:tcPr>
            <w:tcW w:w="1137" w:type="pct"/>
          </w:tcPr>
          <w:p w14:paraId="00B5E30B" w14:textId="77777777" w:rsidR="00ED5D3E" w:rsidRPr="006B4639" w:rsidRDefault="00ED5D3E" w:rsidP="001A440E">
            <w:pPr>
              <w:pStyle w:val="TableBodyText"/>
              <w:rPr>
                <w:lang w:eastAsia="fr-CA"/>
              </w:rPr>
            </w:pPr>
            <w:r w:rsidRPr="006B4639">
              <w:t>Financial reporting template</w:t>
            </w:r>
          </w:p>
        </w:tc>
        <w:tc>
          <w:tcPr>
            <w:tcW w:w="3863" w:type="pct"/>
          </w:tcPr>
          <w:p w14:paraId="5CD3C12F" w14:textId="77777777" w:rsidR="00ED5D3E" w:rsidRPr="006B4639" w:rsidRDefault="00200D72" w:rsidP="001A440E">
            <w:pPr>
              <w:pStyle w:val="TableBodyText"/>
              <w:rPr>
                <w:lang w:eastAsia="fr-CA"/>
              </w:rPr>
            </w:pPr>
            <w:r>
              <w:rPr>
                <w:lang w:eastAsia="fr-CA"/>
              </w:rPr>
              <w:t>Brattle</w:t>
            </w:r>
            <w:r w:rsidR="00ED5D3E" w:rsidRPr="006B4639">
              <w:rPr>
                <w:lang w:eastAsia="fr-CA"/>
              </w:rPr>
              <w:t xml:space="preserve"> recommended that:</w:t>
            </w:r>
          </w:p>
          <w:p w14:paraId="42A71E03" w14:textId="77777777" w:rsidR="00ED5D3E" w:rsidRPr="006B4639" w:rsidRDefault="00ED5D3E" w:rsidP="001A440E">
            <w:pPr>
              <w:pStyle w:val="TableBullet10"/>
            </w:pPr>
            <w:r w:rsidRPr="006B4639">
              <w:t>The AER amend its financial reporting template to:</w:t>
            </w:r>
          </w:p>
          <w:p w14:paraId="20373AA6" w14:textId="77777777" w:rsidR="00ED5D3E" w:rsidRPr="006B4639" w:rsidRDefault="00ED5D3E" w:rsidP="00D73A94">
            <w:pPr>
              <w:pStyle w:val="TableBullet2"/>
              <w:numPr>
                <w:ilvl w:val="0"/>
                <w:numId w:val="46"/>
              </w:numPr>
              <w:ind w:left="799" w:hanging="357"/>
            </w:pPr>
            <w:r w:rsidRPr="006B4639">
              <w:t xml:space="preserve">require greater transparency of the inputs used to calculate the RCV, including the assumed rate of return, the calculations of net tax liabilities and the timing assumed for capital expenditure and provide more guidance on how the latter two inputs should be estimated;  </w:t>
            </w:r>
          </w:p>
          <w:p w14:paraId="01D1B8D1" w14:textId="77777777" w:rsidR="00ED5D3E" w:rsidRPr="006B4639" w:rsidRDefault="00ED5D3E" w:rsidP="00D73A94">
            <w:pPr>
              <w:pStyle w:val="TableBullet2"/>
              <w:numPr>
                <w:ilvl w:val="0"/>
                <w:numId w:val="46"/>
              </w:numPr>
              <w:ind w:left="799" w:hanging="357"/>
            </w:pPr>
            <w:r w:rsidRPr="006B4639">
              <w:t>include additional fields that enable the depreciated book value to be reconciled with the RCV;</w:t>
            </w:r>
          </w:p>
          <w:p w14:paraId="65ABDA7A" w14:textId="77777777" w:rsidR="00ED5D3E" w:rsidRPr="006B4639" w:rsidRDefault="00ED5D3E" w:rsidP="00D73A94">
            <w:pPr>
              <w:pStyle w:val="TableBullet2"/>
              <w:numPr>
                <w:ilvl w:val="0"/>
                <w:numId w:val="46"/>
              </w:numPr>
              <w:ind w:left="799" w:hanging="357"/>
            </w:pPr>
            <w:r w:rsidRPr="006B4639">
              <w:t xml:space="preserve">include a field that allows service providers to indicate if the information is reported consistently with the Guideline or deviates from the Guideline; </w:t>
            </w:r>
          </w:p>
          <w:p w14:paraId="0CE96F24" w14:textId="77777777" w:rsidR="00ED5D3E" w:rsidRPr="006B4639" w:rsidRDefault="00ED5D3E" w:rsidP="00D73A94">
            <w:pPr>
              <w:pStyle w:val="TableBullet2"/>
              <w:numPr>
                <w:ilvl w:val="0"/>
                <w:numId w:val="46"/>
              </w:numPr>
              <w:ind w:left="799" w:hanging="357"/>
            </w:pPr>
            <w:r w:rsidRPr="006B4639">
              <w:t xml:space="preserve">include a summary tab at the front of the template that includes the key reported information, such as the proportion of shared assets to total assets, shared costs to total costs, ratio of the RCV and the depreciated book value method; and </w:t>
            </w:r>
          </w:p>
          <w:p w14:paraId="72596302" w14:textId="77777777" w:rsidR="00ED5D3E" w:rsidRPr="006B4639" w:rsidRDefault="00ED5D3E" w:rsidP="00D73A94">
            <w:pPr>
              <w:pStyle w:val="TableBullet2"/>
              <w:numPr>
                <w:ilvl w:val="0"/>
                <w:numId w:val="46"/>
              </w:numPr>
              <w:ind w:left="799" w:hanging="357"/>
            </w:pPr>
            <w:r w:rsidRPr="006B4639">
              <w:t>adopt consistent labelling of information (i.e. so it is clear when the same information is to be used across different tables), consistent structuring of tables and where information is used across multiple tables it should be linked and not hard-pasted.</w:t>
            </w:r>
          </w:p>
          <w:p w14:paraId="6A384700" w14:textId="77777777" w:rsidR="00ED5D3E" w:rsidRPr="006B4639" w:rsidRDefault="00ED5D3E" w:rsidP="001A440E">
            <w:pPr>
              <w:pStyle w:val="TableBullet10"/>
            </w:pPr>
            <w:r w:rsidRPr="006B4639">
              <w:t xml:space="preserve">The AER review the additional information that some service providers have included in their financial reports to understand their significance and to determine whether the degree of disaggregation provided for in the financial reporting template is appropriate, or further changes are required. </w:t>
            </w:r>
            <w:r w:rsidR="00200D72">
              <w:t>Brattle</w:t>
            </w:r>
            <w:r>
              <w:t xml:space="preserve"> </w:t>
            </w:r>
            <w:r w:rsidRPr="006B4639">
              <w:t xml:space="preserve">also suggested that the AER: </w:t>
            </w:r>
          </w:p>
          <w:p w14:paraId="0C08ADD5" w14:textId="77777777" w:rsidR="00ED5D3E" w:rsidRPr="006B4639" w:rsidRDefault="00ED5D3E" w:rsidP="00D73A94">
            <w:pPr>
              <w:pStyle w:val="TableBullet2"/>
              <w:numPr>
                <w:ilvl w:val="0"/>
                <w:numId w:val="47"/>
              </w:numPr>
              <w:ind w:left="799" w:hanging="357"/>
            </w:pPr>
            <w:r w:rsidRPr="006B4639">
              <w:t>ask service providers to provide more detail on the “catch-all” items that have been added to the template such as “other shared costs”, “other assets”, or “other direct costs”; and</w:t>
            </w:r>
          </w:p>
          <w:p w14:paraId="44018E42" w14:textId="77777777" w:rsidR="00ED5D3E" w:rsidRPr="006B4639" w:rsidRDefault="00ED5D3E" w:rsidP="00D73A94">
            <w:pPr>
              <w:pStyle w:val="TableBullet2"/>
              <w:numPr>
                <w:ilvl w:val="0"/>
                <w:numId w:val="47"/>
              </w:numPr>
              <w:ind w:left="799" w:hanging="357"/>
            </w:pPr>
            <w:r w:rsidRPr="006B4639">
              <w:t>require service providers to disclose the magnitude of any adjustment they make to a reported figure (e.g. to include ‘other direct costs’ or ‘gross capex’).</w:t>
            </w:r>
          </w:p>
        </w:tc>
      </w:tr>
      <w:tr w:rsidR="00ED5D3E" w:rsidRPr="006B4639" w14:paraId="0B5D1AE5" w14:textId="77777777" w:rsidTr="001A440E">
        <w:trPr>
          <w:cnfStyle w:val="000000010000" w:firstRow="0" w:lastRow="0" w:firstColumn="0" w:lastColumn="0" w:oddVBand="0" w:evenVBand="0" w:oddHBand="0" w:evenHBand="1" w:firstRowFirstColumn="0" w:firstRowLastColumn="0" w:lastRowFirstColumn="0" w:lastRowLastColumn="0"/>
          <w:cantSplit/>
        </w:trPr>
        <w:tc>
          <w:tcPr>
            <w:tcW w:w="1137" w:type="pct"/>
          </w:tcPr>
          <w:p w14:paraId="501B0421" w14:textId="77777777" w:rsidR="00ED5D3E" w:rsidRPr="006B4639" w:rsidRDefault="00ED5D3E" w:rsidP="001A440E">
            <w:pPr>
              <w:pStyle w:val="TableBodyText"/>
            </w:pPr>
            <w:r w:rsidRPr="006B4639">
              <w:t>Other information to be reported</w:t>
            </w:r>
          </w:p>
        </w:tc>
        <w:tc>
          <w:tcPr>
            <w:tcW w:w="3863" w:type="pct"/>
          </w:tcPr>
          <w:p w14:paraId="377A5781" w14:textId="77777777" w:rsidR="00ED5D3E" w:rsidRPr="006B4639" w:rsidRDefault="00200D72" w:rsidP="001A440E">
            <w:pPr>
              <w:pStyle w:val="TableBodyText"/>
            </w:pPr>
            <w:r>
              <w:t>Brattle</w:t>
            </w:r>
            <w:r w:rsidR="00ED5D3E" w:rsidRPr="006B4639">
              <w:t xml:space="preserve"> also recommended that service providers be required to report on:</w:t>
            </w:r>
          </w:p>
          <w:p w14:paraId="6B7BD0D1" w14:textId="77777777" w:rsidR="00ED5D3E" w:rsidRPr="006B4639" w:rsidRDefault="00ED5D3E" w:rsidP="001A440E">
            <w:pPr>
              <w:pStyle w:val="TableBullet10"/>
            </w:pPr>
            <w:r w:rsidRPr="006B4639">
              <w:t>whether the expected future capital maintenance requirements for a pipeline are likely to be in line with, significantly above or significantly below the recent history reflected in their RCV calculations; and</w:t>
            </w:r>
          </w:p>
          <w:p w14:paraId="0806E3C8" w14:textId="77777777" w:rsidR="00ED5D3E" w:rsidRPr="006B4639" w:rsidRDefault="00ED5D3E" w:rsidP="001A440E">
            <w:pPr>
              <w:pStyle w:val="TableBullet10"/>
              <w:rPr>
                <w:lang w:eastAsia="fr-CA"/>
              </w:rPr>
            </w:pPr>
            <w:r w:rsidRPr="006B4639">
              <w:rPr>
                <w:lang w:eastAsia="fr-CA"/>
              </w:rPr>
              <w:t>the amount of available capacity.</w:t>
            </w:r>
          </w:p>
        </w:tc>
      </w:tr>
      <w:tr w:rsidR="00ED5D3E" w:rsidRPr="006B4639" w14:paraId="74AD04F5" w14:textId="77777777" w:rsidTr="001A440E">
        <w:tblPrEx>
          <w:tblLook w:val="04A0" w:firstRow="1" w:lastRow="0" w:firstColumn="1" w:lastColumn="0" w:noHBand="0" w:noVBand="1"/>
        </w:tblPrEx>
        <w:tc>
          <w:tcPr>
            <w:tcW w:w="1137" w:type="pct"/>
          </w:tcPr>
          <w:p w14:paraId="0DDD6F41" w14:textId="77777777" w:rsidR="00ED5D3E" w:rsidRPr="006B4639" w:rsidRDefault="00ED5D3E" w:rsidP="001A440E">
            <w:pPr>
              <w:pStyle w:val="TableBodyText"/>
            </w:pPr>
            <w:r w:rsidRPr="006B4639">
              <w:t>Basis of preparation</w:t>
            </w:r>
          </w:p>
        </w:tc>
        <w:tc>
          <w:tcPr>
            <w:tcW w:w="3863" w:type="pct"/>
          </w:tcPr>
          <w:p w14:paraId="0301BC9A" w14:textId="77777777" w:rsidR="00ED5D3E" w:rsidRPr="006B4639" w:rsidRDefault="00200D72" w:rsidP="00AD36B8">
            <w:pPr>
              <w:pStyle w:val="ListBullet"/>
              <w:numPr>
                <w:ilvl w:val="0"/>
                <w:numId w:val="0"/>
              </w:numPr>
              <w:ind w:left="85"/>
            </w:pPr>
            <w:r>
              <w:t>Brattle</w:t>
            </w:r>
            <w:r w:rsidR="00ED5D3E" w:rsidRPr="006B4639">
              <w:t xml:space="preserve"> recommended that the AER develop a template for the basis of preparation that non-scheme pipelines are required to prepare to provide for more consistency in the level of information reported and to improve the usability of the information . </w:t>
            </w:r>
          </w:p>
        </w:tc>
      </w:tr>
    </w:tbl>
    <w:p w14:paraId="2CA420DF" w14:textId="77777777" w:rsidR="00ED5D3E" w:rsidRPr="006B4639" w:rsidRDefault="00ED5D3E" w:rsidP="00ED5D3E">
      <w:pPr>
        <w:pStyle w:val="BodyText"/>
        <w:spacing w:before="0"/>
        <w:rPr>
          <w:sz w:val="18"/>
          <w:szCs w:val="18"/>
          <w:lang w:eastAsia="en-US"/>
        </w:rPr>
      </w:pPr>
      <w:r w:rsidRPr="006B4639">
        <w:rPr>
          <w:sz w:val="18"/>
          <w:szCs w:val="18"/>
          <w:lang w:eastAsia="en-US"/>
        </w:rPr>
        <w:t xml:space="preserve">Source: </w:t>
      </w:r>
      <w:r w:rsidR="00200D72">
        <w:rPr>
          <w:sz w:val="18"/>
          <w:szCs w:val="18"/>
          <w:lang w:eastAsia="en-US"/>
        </w:rPr>
        <w:t>Brattle</w:t>
      </w:r>
      <w:r w:rsidRPr="006B4639">
        <w:rPr>
          <w:sz w:val="18"/>
          <w:szCs w:val="18"/>
          <w:lang w:eastAsia="en-US"/>
        </w:rPr>
        <w:t xml:space="preserve">, Financial Information Disclosed by Gas Pipelines in Australia Under Part 23 of the NGR, </w:t>
      </w:r>
      <w:r>
        <w:rPr>
          <w:sz w:val="18"/>
          <w:szCs w:val="18"/>
          <w:lang w:eastAsia="en-US"/>
        </w:rPr>
        <w:t>August</w:t>
      </w:r>
      <w:r w:rsidRPr="006B4639">
        <w:rPr>
          <w:sz w:val="18"/>
          <w:szCs w:val="18"/>
          <w:lang w:eastAsia="en-US"/>
        </w:rPr>
        <w:t xml:space="preserve"> 2019, pp. 11</w:t>
      </w:r>
      <w:r>
        <w:rPr>
          <w:sz w:val="18"/>
          <w:szCs w:val="18"/>
          <w:lang w:eastAsia="en-US"/>
        </w:rPr>
        <w:t>6</w:t>
      </w:r>
      <w:r w:rsidRPr="006B4639">
        <w:rPr>
          <w:sz w:val="18"/>
          <w:szCs w:val="18"/>
          <w:lang w:eastAsia="en-US"/>
        </w:rPr>
        <w:t>-12</w:t>
      </w:r>
      <w:r>
        <w:rPr>
          <w:sz w:val="18"/>
          <w:szCs w:val="18"/>
          <w:lang w:eastAsia="en-US"/>
        </w:rPr>
        <w:t>1</w:t>
      </w:r>
      <w:r w:rsidRPr="006B4639">
        <w:rPr>
          <w:sz w:val="18"/>
          <w:szCs w:val="18"/>
          <w:lang w:eastAsia="en-US"/>
        </w:rPr>
        <w:t xml:space="preserve">. </w:t>
      </w:r>
    </w:p>
    <w:p w14:paraId="2F8DCAC7" w14:textId="77777777" w:rsidR="00394CCC" w:rsidRDefault="00394CCC" w:rsidP="00ED5D3E">
      <w:pPr>
        <w:pStyle w:val="BodyText"/>
        <w:rPr>
          <w:lang w:eastAsia="en-US"/>
        </w:rPr>
      </w:pPr>
      <w:r>
        <w:rPr>
          <w:lang w:eastAsia="en-US"/>
        </w:rPr>
        <w:br w:type="page"/>
      </w:r>
    </w:p>
    <w:p w14:paraId="6DA8FDDF" w14:textId="77777777" w:rsidR="00394CCC" w:rsidRDefault="00394CCC" w:rsidP="004F5A3E">
      <w:pPr>
        <w:pStyle w:val="Heading9"/>
        <w:spacing w:before="80" w:after="80" w:line="252" w:lineRule="auto"/>
      </w:pPr>
      <w:bookmarkStart w:id="266" w:name="_Toc62219439"/>
      <w:r w:rsidRPr="006B4639">
        <w:lastRenderedPageBreak/>
        <w:t>Risk analysis</w:t>
      </w:r>
      <w:bookmarkEnd w:id="266"/>
      <w:r w:rsidRPr="006B4639">
        <w:t xml:space="preserve"> </w:t>
      </w:r>
    </w:p>
    <w:p w14:paraId="07203C17" w14:textId="77777777" w:rsidR="003626DF" w:rsidRDefault="009A50AC" w:rsidP="004F5A3E">
      <w:pPr>
        <w:pStyle w:val="BodyText"/>
        <w:spacing w:line="252" w:lineRule="auto"/>
      </w:pPr>
      <w:r>
        <w:t>As noted in Chapter 9, the Consultation RIS set out the results of the preliminary risk analysis that was undertaken and stakeholders were asked for their views on this analysis. The feedback that stakeholders provided is set out in section C.1, while section C.2 sets out the final results of the risk analysis.</w:t>
      </w:r>
    </w:p>
    <w:p w14:paraId="7AADFD5E" w14:textId="77777777" w:rsidR="009A50AC" w:rsidRDefault="009A50AC" w:rsidP="004F5A3E">
      <w:pPr>
        <w:pStyle w:val="AppendixHeading2"/>
        <w:spacing w:before="80" w:after="80" w:line="252" w:lineRule="auto"/>
      </w:pPr>
      <w:r>
        <w:t>Stakeholder feedback</w:t>
      </w:r>
    </w:p>
    <w:p w14:paraId="7FDDF622" w14:textId="77777777" w:rsidR="00973B79" w:rsidRDefault="001865AB" w:rsidP="004F5A3E">
      <w:pPr>
        <w:pStyle w:val="BodyText"/>
        <w:spacing w:line="252" w:lineRule="auto"/>
        <w:rPr>
          <w:lang w:eastAsia="en-US"/>
        </w:rPr>
      </w:pPr>
      <w:r>
        <w:rPr>
          <w:lang w:eastAsia="en-US"/>
        </w:rPr>
        <w:t xml:space="preserve">Stakeholders expressed differing views on the preliminary risk analysis set out in the Consultation RIS. </w:t>
      </w:r>
    </w:p>
    <w:p w14:paraId="01386147" w14:textId="77777777" w:rsidR="00D12C6D" w:rsidRDefault="001865AB" w:rsidP="004F5A3E">
      <w:pPr>
        <w:pStyle w:val="BodyText"/>
        <w:spacing w:line="252" w:lineRule="auto"/>
        <w:rPr>
          <w:lang w:eastAsia="en-US"/>
        </w:rPr>
      </w:pPr>
      <w:r>
        <w:rPr>
          <w:lang w:eastAsia="en-US"/>
        </w:rPr>
        <w:t xml:space="preserve">The EUAA, Chemistry Australia and NSW BC, for example, stated that they agreed with the </w:t>
      </w:r>
      <w:r w:rsidR="009303B6">
        <w:rPr>
          <w:lang w:eastAsia="en-US"/>
        </w:rPr>
        <w:t>high and severe risk ratings</w:t>
      </w:r>
      <w:r w:rsidR="00254002">
        <w:rPr>
          <w:lang w:eastAsia="en-US"/>
        </w:rPr>
        <w:t xml:space="preserve"> for Option 1</w:t>
      </w:r>
      <w:r>
        <w:rPr>
          <w:lang w:eastAsia="en-US"/>
        </w:rPr>
        <w:t xml:space="preserve">. </w:t>
      </w:r>
      <w:r w:rsidR="009303B6">
        <w:rPr>
          <w:lang w:eastAsia="en-US"/>
        </w:rPr>
        <w:t xml:space="preserve"> </w:t>
      </w:r>
      <w:r w:rsidR="00D12C6D">
        <w:rPr>
          <w:lang w:eastAsia="en-US"/>
        </w:rPr>
        <w:t>The MEU also noted that it generally agreed with the assessment, but considered the consequences of</w:t>
      </w:r>
      <w:r w:rsidR="00C0193B">
        <w:rPr>
          <w:lang w:eastAsia="en-US"/>
        </w:rPr>
        <w:t>:</w:t>
      </w:r>
      <w:r w:rsidR="00D12C6D">
        <w:rPr>
          <w:lang w:eastAsia="en-US"/>
        </w:rPr>
        <w:t xml:space="preserve"> some pipelines being unnecessarily regulated to be minor</w:t>
      </w:r>
      <w:r w:rsidR="00C0193B">
        <w:rPr>
          <w:lang w:eastAsia="en-US"/>
        </w:rPr>
        <w:t>;</w:t>
      </w:r>
      <w:r w:rsidR="00D12C6D">
        <w:rPr>
          <w:lang w:eastAsia="en-US"/>
        </w:rPr>
        <w:t xml:space="preserve"> exercises of dynamic market power to be high</w:t>
      </w:r>
      <w:r w:rsidR="00C0193B">
        <w:rPr>
          <w:lang w:eastAsia="en-US"/>
        </w:rPr>
        <w:t>;</w:t>
      </w:r>
      <w:r w:rsidR="00D12C6D">
        <w:rPr>
          <w:lang w:eastAsia="en-US"/>
        </w:rPr>
        <w:t xml:space="preserve"> and unnecessary costs and delays on negotiating parties to be major for end users. </w:t>
      </w:r>
    </w:p>
    <w:p w14:paraId="6AF89C0F" w14:textId="77777777" w:rsidR="00C75AEE" w:rsidRDefault="00C0193B" w:rsidP="004F5A3E">
      <w:pPr>
        <w:pStyle w:val="BodyText"/>
        <w:spacing w:line="252" w:lineRule="auto"/>
        <w:rPr>
          <w:lang w:eastAsia="en-US"/>
        </w:rPr>
      </w:pPr>
      <w:r>
        <w:rPr>
          <w:lang w:eastAsia="en-US"/>
        </w:rPr>
        <w:t xml:space="preserve">In contrast to these </w:t>
      </w:r>
      <w:r w:rsidR="00DD4FDF">
        <w:rPr>
          <w:lang w:eastAsia="en-US"/>
        </w:rPr>
        <w:t>user associations</w:t>
      </w:r>
      <w:r>
        <w:rPr>
          <w:lang w:eastAsia="en-US"/>
        </w:rPr>
        <w:t xml:space="preserve">, </w:t>
      </w:r>
      <w:r w:rsidR="00601A93">
        <w:rPr>
          <w:lang w:eastAsia="en-US"/>
        </w:rPr>
        <w:t>service providers</w:t>
      </w:r>
      <w:r>
        <w:rPr>
          <w:lang w:eastAsia="en-US"/>
        </w:rPr>
        <w:t xml:space="preserve"> </w:t>
      </w:r>
      <w:r w:rsidR="00D33823">
        <w:rPr>
          <w:lang w:eastAsia="en-US"/>
        </w:rPr>
        <w:t>disagreed with the ‘severe’ risk rating that was accorded to the status quo</w:t>
      </w:r>
      <w:r w:rsidR="00DD4FDF">
        <w:rPr>
          <w:lang w:eastAsia="en-US"/>
        </w:rPr>
        <w:t xml:space="preserve"> and, in doing so, noted the following</w:t>
      </w:r>
      <w:r w:rsidR="00C75AEE">
        <w:rPr>
          <w:lang w:eastAsia="en-US"/>
        </w:rPr>
        <w:t>:</w:t>
      </w:r>
      <w:r w:rsidR="006E3BEA">
        <w:rPr>
          <w:lang w:eastAsia="en-US"/>
        </w:rPr>
        <w:t xml:space="preserve"> </w:t>
      </w:r>
    </w:p>
    <w:p w14:paraId="5E87DF4A" w14:textId="77777777" w:rsidR="00845AB2" w:rsidRDefault="00845AB2" w:rsidP="004F5A3E">
      <w:pPr>
        <w:pStyle w:val="ListBullet"/>
        <w:spacing w:line="252" w:lineRule="auto"/>
        <w:rPr>
          <w:lang w:eastAsia="en-US"/>
        </w:rPr>
      </w:pPr>
      <w:r>
        <w:rPr>
          <w:lang w:eastAsia="en-US"/>
        </w:rPr>
        <w:t>AGIG</w:t>
      </w:r>
      <w:r w:rsidR="00EC711A">
        <w:rPr>
          <w:lang w:eastAsia="en-US"/>
        </w:rPr>
        <w:t xml:space="preserve"> </w:t>
      </w:r>
      <w:r w:rsidR="002C308C">
        <w:rPr>
          <w:lang w:eastAsia="en-US"/>
        </w:rPr>
        <w:t xml:space="preserve">stated </w:t>
      </w:r>
      <w:r w:rsidR="00EC711A">
        <w:rPr>
          <w:lang w:eastAsia="en-US"/>
        </w:rPr>
        <w:t xml:space="preserve">that </w:t>
      </w:r>
      <w:r w:rsidR="00D10C96">
        <w:rPr>
          <w:lang w:eastAsia="en-US"/>
        </w:rPr>
        <w:t xml:space="preserve">status quo risk rating was “highly </w:t>
      </w:r>
      <w:r w:rsidR="00E9104C">
        <w:rPr>
          <w:lang w:eastAsia="en-US"/>
        </w:rPr>
        <w:t xml:space="preserve">focussed </w:t>
      </w:r>
      <w:r w:rsidR="00D10C96">
        <w:rPr>
          <w:lang w:eastAsia="en-US"/>
        </w:rPr>
        <w:t xml:space="preserve">on </w:t>
      </w:r>
      <w:r w:rsidR="00E9104C">
        <w:rPr>
          <w:lang w:eastAsia="en-US"/>
        </w:rPr>
        <w:t xml:space="preserve">issues limited to transmission pipelines” and that </w:t>
      </w:r>
      <w:r w:rsidR="00700B4F">
        <w:rPr>
          <w:lang w:eastAsia="en-US"/>
        </w:rPr>
        <w:t>“</w:t>
      </w:r>
      <w:r w:rsidR="00E9104C">
        <w:rPr>
          <w:lang w:eastAsia="en-US"/>
        </w:rPr>
        <w:t xml:space="preserve">the risk </w:t>
      </w:r>
      <w:r w:rsidR="002C308C">
        <w:rPr>
          <w:lang w:eastAsia="en-US"/>
        </w:rPr>
        <w:t>associated with distribution pipelines overall and fully regulated distribution pipelines is significantly lower</w:t>
      </w:r>
      <w:r w:rsidR="00DE05A9">
        <w:rPr>
          <w:lang w:eastAsia="en-US"/>
        </w:rPr>
        <w:t>”</w:t>
      </w:r>
      <w:r w:rsidR="002C308C">
        <w:rPr>
          <w:lang w:eastAsia="en-US"/>
        </w:rPr>
        <w:t xml:space="preserve">. </w:t>
      </w:r>
    </w:p>
    <w:p w14:paraId="1D8DF838" w14:textId="77777777" w:rsidR="008F7F2E" w:rsidRDefault="00FE5C45" w:rsidP="004F5A3E">
      <w:pPr>
        <w:pStyle w:val="ListBullet"/>
        <w:spacing w:line="252" w:lineRule="auto"/>
        <w:rPr>
          <w:lang w:eastAsia="en-US"/>
        </w:rPr>
      </w:pPr>
      <w:r>
        <w:rPr>
          <w:lang w:eastAsia="en-US"/>
        </w:rPr>
        <w:t xml:space="preserve">APA </w:t>
      </w:r>
      <w:r w:rsidR="008F7F2E">
        <w:rPr>
          <w:lang w:eastAsia="en-US"/>
        </w:rPr>
        <w:t>raised the following concerns with the risk ratings assumed under the status quo:</w:t>
      </w:r>
      <w:r>
        <w:rPr>
          <w:lang w:eastAsia="en-US"/>
        </w:rPr>
        <w:t xml:space="preserve"> </w:t>
      </w:r>
    </w:p>
    <w:p w14:paraId="6A784A1E" w14:textId="77777777" w:rsidR="00FE5C45" w:rsidRDefault="009F61E8" w:rsidP="004F5A3E">
      <w:pPr>
        <w:pStyle w:val="ListBullet2"/>
        <w:spacing w:line="252" w:lineRule="auto"/>
        <w:rPr>
          <w:lang w:eastAsia="en-US"/>
        </w:rPr>
      </w:pPr>
      <w:r>
        <w:rPr>
          <w:lang w:eastAsia="en-US"/>
        </w:rPr>
        <w:t>Ineffective</w:t>
      </w:r>
      <w:r w:rsidR="008F7F2E">
        <w:rPr>
          <w:lang w:eastAsia="en-US"/>
        </w:rPr>
        <w:t xml:space="preserve"> </w:t>
      </w:r>
      <w:r w:rsidR="002F0207">
        <w:rPr>
          <w:lang w:eastAsia="en-US"/>
        </w:rPr>
        <w:t xml:space="preserve">forms of regulation: APA </w:t>
      </w:r>
      <w:r w:rsidR="00DD4FDF">
        <w:rPr>
          <w:lang w:eastAsia="en-US"/>
        </w:rPr>
        <w:t xml:space="preserve">thought </w:t>
      </w:r>
      <w:r w:rsidR="00FE5C45">
        <w:rPr>
          <w:lang w:eastAsia="en-US"/>
        </w:rPr>
        <w:t>the ‘critical’ consequence was overstated</w:t>
      </w:r>
      <w:r w:rsidR="004C016B">
        <w:rPr>
          <w:lang w:eastAsia="en-US"/>
        </w:rPr>
        <w:t xml:space="preserve"> and the likelihood of this risk being realised </w:t>
      </w:r>
      <w:r w:rsidR="00315EFC">
        <w:rPr>
          <w:lang w:eastAsia="en-US"/>
        </w:rPr>
        <w:t xml:space="preserve">should not be ‘highly </w:t>
      </w:r>
      <w:r w:rsidR="002F0207">
        <w:rPr>
          <w:lang w:eastAsia="en-US"/>
        </w:rPr>
        <w:t>likely</w:t>
      </w:r>
      <w:r w:rsidR="00D10732">
        <w:rPr>
          <w:lang w:eastAsia="en-US"/>
        </w:rPr>
        <w:t>’</w:t>
      </w:r>
      <w:r w:rsidR="00315EFC">
        <w:rPr>
          <w:lang w:eastAsia="en-US"/>
        </w:rPr>
        <w:t xml:space="preserve">. </w:t>
      </w:r>
    </w:p>
    <w:p w14:paraId="23C04F92" w14:textId="77777777" w:rsidR="002F0207" w:rsidRDefault="00014A03" w:rsidP="004F5A3E">
      <w:pPr>
        <w:pStyle w:val="ListBullet2"/>
        <w:spacing w:line="252" w:lineRule="auto"/>
        <w:rPr>
          <w:lang w:eastAsia="en-US"/>
        </w:rPr>
      </w:pPr>
      <w:r>
        <w:rPr>
          <w:lang w:eastAsia="en-US"/>
        </w:rPr>
        <w:t xml:space="preserve">Inadequate information: APA </w:t>
      </w:r>
      <w:r w:rsidR="003848DA">
        <w:rPr>
          <w:lang w:eastAsia="en-US"/>
        </w:rPr>
        <w:t>thought</w:t>
      </w:r>
      <w:r>
        <w:rPr>
          <w:lang w:eastAsia="en-US"/>
        </w:rPr>
        <w:t xml:space="preserve"> the likelihood was at best </w:t>
      </w:r>
      <w:r w:rsidR="003848DA">
        <w:rPr>
          <w:lang w:eastAsia="en-US"/>
        </w:rPr>
        <w:t>‘</w:t>
      </w:r>
      <w:r>
        <w:rPr>
          <w:lang w:eastAsia="en-US"/>
        </w:rPr>
        <w:t>unlikely</w:t>
      </w:r>
      <w:r w:rsidR="003848DA">
        <w:rPr>
          <w:lang w:eastAsia="en-US"/>
        </w:rPr>
        <w:t>’</w:t>
      </w:r>
      <w:r w:rsidR="009A5A99">
        <w:rPr>
          <w:lang w:eastAsia="en-US"/>
        </w:rPr>
        <w:t xml:space="preserve"> because of the disclosure required by Part 23.</w:t>
      </w:r>
    </w:p>
    <w:p w14:paraId="23B95262" w14:textId="77777777" w:rsidR="00961CD5" w:rsidRDefault="00961CD5" w:rsidP="004F5A3E">
      <w:pPr>
        <w:pStyle w:val="ListBullet2"/>
        <w:spacing w:line="252" w:lineRule="auto"/>
        <w:rPr>
          <w:lang w:eastAsia="en-US"/>
        </w:rPr>
      </w:pPr>
      <w:r>
        <w:rPr>
          <w:lang w:eastAsia="en-US"/>
        </w:rPr>
        <w:t xml:space="preserve">Negotiation </w:t>
      </w:r>
      <w:r w:rsidR="003848DA">
        <w:rPr>
          <w:lang w:eastAsia="en-US"/>
        </w:rPr>
        <w:t>and arbitration</w:t>
      </w:r>
      <w:r>
        <w:rPr>
          <w:lang w:eastAsia="en-US"/>
        </w:rPr>
        <w:t xml:space="preserve">: APA </w:t>
      </w:r>
      <w:r w:rsidR="003848DA">
        <w:rPr>
          <w:lang w:eastAsia="en-US"/>
        </w:rPr>
        <w:t xml:space="preserve">thought </w:t>
      </w:r>
      <w:r>
        <w:rPr>
          <w:lang w:eastAsia="en-US"/>
        </w:rPr>
        <w:t>the</w:t>
      </w:r>
      <w:r w:rsidR="003848DA">
        <w:rPr>
          <w:lang w:eastAsia="en-US"/>
        </w:rPr>
        <w:t>se</w:t>
      </w:r>
      <w:r>
        <w:rPr>
          <w:lang w:eastAsia="en-US"/>
        </w:rPr>
        <w:t xml:space="preserve"> consequence should be </w:t>
      </w:r>
      <w:r w:rsidR="003848DA">
        <w:rPr>
          <w:lang w:eastAsia="en-US"/>
        </w:rPr>
        <w:t>at best ‘</w:t>
      </w:r>
      <w:r>
        <w:rPr>
          <w:lang w:eastAsia="en-US"/>
        </w:rPr>
        <w:t>moderate</w:t>
      </w:r>
      <w:r w:rsidR="003848DA">
        <w:rPr>
          <w:lang w:eastAsia="en-US"/>
        </w:rPr>
        <w:t>’</w:t>
      </w:r>
      <w:r w:rsidR="00B736CE">
        <w:rPr>
          <w:lang w:eastAsia="en-US"/>
        </w:rPr>
        <w:t>.</w:t>
      </w:r>
    </w:p>
    <w:p w14:paraId="179A31E0" w14:textId="77777777" w:rsidR="00F67BDA" w:rsidRPr="00DD4FDF" w:rsidRDefault="00201064" w:rsidP="004F5A3E">
      <w:pPr>
        <w:pStyle w:val="ListBullet"/>
        <w:spacing w:line="252" w:lineRule="auto"/>
        <w:rPr>
          <w:lang w:eastAsia="en-US"/>
        </w:rPr>
      </w:pPr>
      <w:r>
        <w:rPr>
          <w:lang w:eastAsia="en-US"/>
        </w:rPr>
        <w:t xml:space="preserve">APGA </w:t>
      </w:r>
      <w:r w:rsidR="00D33823" w:rsidRPr="00DD4FDF">
        <w:rPr>
          <w:lang w:eastAsia="en-US"/>
        </w:rPr>
        <w:t>stated</w:t>
      </w:r>
      <w:r w:rsidRPr="00DD4FDF">
        <w:rPr>
          <w:lang w:eastAsia="en-US"/>
        </w:rPr>
        <w:t xml:space="preserve"> that the implementation of Part 23 had significantly reduce the risk of under-regulation posed by the status quo. </w:t>
      </w:r>
      <w:r w:rsidR="006A7B9D" w:rsidRPr="00DD4FDF">
        <w:rPr>
          <w:lang w:eastAsia="en-US"/>
        </w:rPr>
        <w:t>It also noted that the risk rating for Option 4 should be ‘severe’ instead of ‘high’</w:t>
      </w:r>
      <w:r w:rsidR="00EA10FC" w:rsidRPr="00DD4FDF">
        <w:rPr>
          <w:lang w:eastAsia="en-US"/>
        </w:rPr>
        <w:t>.</w:t>
      </w:r>
    </w:p>
    <w:p w14:paraId="117821AA" w14:textId="77777777" w:rsidR="00F67BDA" w:rsidRPr="00DD4FDF" w:rsidRDefault="00F67BDA" w:rsidP="004F5A3E">
      <w:pPr>
        <w:pStyle w:val="ListBullet"/>
        <w:spacing w:line="252" w:lineRule="auto"/>
        <w:rPr>
          <w:lang w:eastAsia="en-US"/>
        </w:rPr>
      </w:pPr>
      <w:r w:rsidRPr="00DD4FDF">
        <w:rPr>
          <w:lang w:eastAsia="en-US"/>
        </w:rPr>
        <w:t>ATCO stated that the status quo and e</w:t>
      </w:r>
      <w:r w:rsidRPr="00DD4FDF">
        <w:t xml:space="preserve">ach of the reform options have a ‘highly likely’ risk of over regulation and high impact consequences </w:t>
      </w:r>
      <w:r w:rsidR="000607DD">
        <w:t xml:space="preserve">for </w:t>
      </w:r>
      <w:r w:rsidRPr="00DD4FDF">
        <w:t xml:space="preserve">distribution pipelines. </w:t>
      </w:r>
    </w:p>
    <w:p w14:paraId="48B02E94" w14:textId="77777777" w:rsidR="00201064" w:rsidRDefault="00D10ADF" w:rsidP="004F5A3E">
      <w:pPr>
        <w:pStyle w:val="ListBullet"/>
        <w:spacing w:line="252" w:lineRule="auto"/>
        <w:rPr>
          <w:lang w:eastAsia="en-US"/>
        </w:rPr>
      </w:pPr>
      <w:r>
        <w:rPr>
          <w:lang w:eastAsia="en-US"/>
        </w:rPr>
        <w:t xml:space="preserve">Epic </w:t>
      </w:r>
      <w:r w:rsidR="002E643B">
        <w:rPr>
          <w:lang w:eastAsia="en-US"/>
        </w:rPr>
        <w:t xml:space="preserve">stated </w:t>
      </w:r>
      <w:r>
        <w:rPr>
          <w:lang w:eastAsia="en-US"/>
        </w:rPr>
        <w:t xml:space="preserve">that the </w:t>
      </w:r>
      <w:r w:rsidR="00A9602F">
        <w:rPr>
          <w:lang w:eastAsia="en-US"/>
        </w:rPr>
        <w:t xml:space="preserve">implementation of Part 23 had reduced the </w:t>
      </w:r>
      <w:r w:rsidR="002E643B">
        <w:rPr>
          <w:lang w:eastAsia="en-US"/>
        </w:rPr>
        <w:t xml:space="preserve">status quo </w:t>
      </w:r>
      <w:r w:rsidR="00A9602F">
        <w:rPr>
          <w:lang w:eastAsia="en-US"/>
        </w:rPr>
        <w:t xml:space="preserve">risk rating </w:t>
      </w:r>
      <w:r w:rsidR="00A662C4">
        <w:rPr>
          <w:lang w:eastAsia="en-US"/>
        </w:rPr>
        <w:t xml:space="preserve">and </w:t>
      </w:r>
      <w:r w:rsidR="000607DD">
        <w:rPr>
          <w:lang w:eastAsia="en-US"/>
        </w:rPr>
        <w:t xml:space="preserve">noted </w:t>
      </w:r>
      <w:r w:rsidR="00A662C4">
        <w:rPr>
          <w:lang w:eastAsia="en-US"/>
        </w:rPr>
        <w:t xml:space="preserve">that there was no evidence that warrants a ‘severe’ risk finding. </w:t>
      </w:r>
    </w:p>
    <w:p w14:paraId="29F7C9F8" w14:textId="77777777" w:rsidR="00394CCC" w:rsidRDefault="00FB0D03" w:rsidP="004F5A3E">
      <w:pPr>
        <w:pStyle w:val="ListBullet"/>
        <w:spacing w:line="252" w:lineRule="auto"/>
        <w:rPr>
          <w:lang w:eastAsia="en-US"/>
        </w:rPr>
      </w:pPr>
      <w:r>
        <w:rPr>
          <w:lang w:eastAsia="en-US"/>
        </w:rPr>
        <w:t xml:space="preserve">Jemena </w:t>
      </w:r>
      <w:r w:rsidR="0073207A">
        <w:rPr>
          <w:lang w:eastAsia="en-US"/>
        </w:rPr>
        <w:t xml:space="preserve">stated that the </w:t>
      </w:r>
      <w:r w:rsidR="00344E08">
        <w:rPr>
          <w:lang w:eastAsia="en-US"/>
        </w:rPr>
        <w:t xml:space="preserve">risk, likelihood and </w:t>
      </w:r>
      <w:r w:rsidR="0073207A">
        <w:rPr>
          <w:lang w:eastAsia="en-US"/>
        </w:rPr>
        <w:t xml:space="preserve">consequences </w:t>
      </w:r>
      <w:r w:rsidR="00344E08">
        <w:rPr>
          <w:lang w:eastAsia="en-US"/>
        </w:rPr>
        <w:t xml:space="preserve">assumed for </w:t>
      </w:r>
      <w:r w:rsidR="0073207A">
        <w:rPr>
          <w:lang w:eastAsia="en-US"/>
        </w:rPr>
        <w:t>the status quo had been overstated</w:t>
      </w:r>
      <w:r w:rsidR="00FF0EF1">
        <w:rPr>
          <w:lang w:eastAsia="en-US"/>
        </w:rPr>
        <w:t xml:space="preserve">, while the </w:t>
      </w:r>
      <w:r w:rsidR="004471F1">
        <w:rPr>
          <w:lang w:eastAsia="en-US"/>
        </w:rPr>
        <w:t xml:space="preserve">risks and consequences under the reform options </w:t>
      </w:r>
      <w:r w:rsidR="005915EA">
        <w:rPr>
          <w:lang w:eastAsia="en-US"/>
        </w:rPr>
        <w:t xml:space="preserve">were understated and gave “insufficient acknowledgement of adverse investment effects of changes to regulation and increased uncertainty under a new regulatory framework”. </w:t>
      </w:r>
    </w:p>
    <w:p w14:paraId="220BFFA5" w14:textId="77777777" w:rsidR="00662CF4" w:rsidRDefault="007442B2" w:rsidP="004F5A3E">
      <w:pPr>
        <w:pStyle w:val="BodyText"/>
        <w:spacing w:before="80" w:after="80" w:line="252" w:lineRule="auto"/>
        <w:rPr>
          <w:lang w:eastAsia="en-US"/>
        </w:rPr>
      </w:pPr>
      <w:r>
        <w:rPr>
          <w:lang w:eastAsia="en-US"/>
        </w:rPr>
        <w:t xml:space="preserve">In its </w:t>
      </w:r>
      <w:r w:rsidR="00913D93">
        <w:rPr>
          <w:lang w:eastAsia="en-US"/>
        </w:rPr>
        <w:t>submission, AGIG also stated that consideration should be given to the impact that non-regulatory measures, such as the Energy Charter, can have on the behaviour of service providers, which it noted can further reduce the risk under the status quo.</w:t>
      </w:r>
      <w:r w:rsidR="006C2386">
        <w:rPr>
          <w:lang w:eastAsia="en-US"/>
        </w:rPr>
        <w:t xml:space="preserve"> </w:t>
      </w:r>
      <w:r w:rsidR="00814670">
        <w:rPr>
          <w:lang w:eastAsia="en-US"/>
        </w:rPr>
        <w:t xml:space="preserve">Jemena </w:t>
      </w:r>
      <w:r w:rsidR="00753854">
        <w:rPr>
          <w:lang w:eastAsia="en-US"/>
        </w:rPr>
        <w:t>similarly</w:t>
      </w:r>
      <w:r w:rsidR="00814670">
        <w:rPr>
          <w:lang w:eastAsia="en-US"/>
        </w:rPr>
        <w:t xml:space="preserve"> stated that consideration should be given to service providers “taking actions to improve processes and implement ‘best practice’”. </w:t>
      </w:r>
    </w:p>
    <w:p w14:paraId="415B1A88" w14:textId="77777777" w:rsidR="00233922" w:rsidRDefault="00FF3BA0" w:rsidP="004F5A3E">
      <w:pPr>
        <w:pStyle w:val="BodyText"/>
        <w:spacing w:line="252" w:lineRule="auto"/>
        <w:rPr>
          <w:lang w:eastAsia="en-US"/>
        </w:rPr>
      </w:pPr>
      <w:r>
        <w:rPr>
          <w:lang w:eastAsia="en-US"/>
        </w:rPr>
        <w:t xml:space="preserve">This feedback, along with the feedback that stakeholders provided on the potential problems with the regulatory framework (see </w:t>
      </w:r>
      <w:r w:rsidR="007A5FC2">
        <w:rPr>
          <w:lang w:eastAsia="en-US"/>
        </w:rPr>
        <w:t>c</w:t>
      </w:r>
      <w:r>
        <w:rPr>
          <w:lang w:eastAsia="en-US"/>
        </w:rPr>
        <w:t>hapters 4-7)</w:t>
      </w:r>
      <w:r w:rsidR="00753854">
        <w:rPr>
          <w:lang w:eastAsia="en-US"/>
        </w:rPr>
        <w:t>,</w:t>
      </w:r>
      <w:r>
        <w:rPr>
          <w:lang w:eastAsia="en-US"/>
        </w:rPr>
        <w:t xml:space="preserve"> has been taken into account when developing the risk ratings for the status quo and reform options.</w:t>
      </w:r>
      <w:r w:rsidR="003848DA">
        <w:rPr>
          <w:lang w:eastAsia="en-US"/>
        </w:rPr>
        <w:t xml:space="preserve"> </w:t>
      </w:r>
    </w:p>
    <w:p w14:paraId="5F15B915" w14:textId="77777777" w:rsidR="00233922" w:rsidRDefault="00233922" w:rsidP="00973B79">
      <w:pPr>
        <w:pStyle w:val="BodyText"/>
        <w:spacing w:before="80" w:after="80" w:line="259" w:lineRule="auto"/>
        <w:rPr>
          <w:lang w:eastAsia="en-US"/>
        </w:rPr>
        <w:sectPr w:rsidR="00233922" w:rsidSect="001B3382">
          <w:pgSz w:w="11907" w:h="16839" w:code="9"/>
          <w:pgMar w:top="1361" w:right="1418" w:bottom="992" w:left="1701" w:header="567" w:footer="397" w:gutter="0"/>
          <w:cols w:space="708"/>
          <w:docGrid w:linePitch="360"/>
        </w:sectPr>
      </w:pPr>
    </w:p>
    <w:p w14:paraId="5F6A4720" w14:textId="77777777" w:rsidR="00555BD9" w:rsidRDefault="00555BD9" w:rsidP="00555BD9">
      <w:pPr>
        <w:pStyle w:val="AppendixHeading2"/>
      </w:pPr>
      <w:r>
        <w:lastRenderedPageBreak/>
        <w:t xml:space="preserve">Risk matrix used for the risk analysis </w:t>
      </w:r>
    </w:p>
    <w:p w14:paraId="0B377111" w14:textId="77777777" w:rsidR="00D957D5" w:rsidRPr="00D957D5" w:rsidRDefault="00D957D5" w:rsidP="00D957D5">
      <w:pPr>
        <w:pStyle w:val="BodyText"/>
        <w:rPr>
          <w:lang w:eastAsia="en-US"/>
        </w:rPr>
      </w:pPr>
      <w:r>
        <w:t>Table C.1 sets out the risk matrix that has been used for the purposes of carrying out the risk analysis. Further detail on the definitions that have been used for both the likelihood of the risk eventuating and the consequences is provided in Tables C.2-C.3.</w:t>
      </w:r>
    </w:p>
    <w:p w14:paraId="68F955DE" w14:textId="77777777" w:rsidR="00A30755" w:rsidRPr="006B4639" w:rsidRDefault="00D957D5" w:rsidP="000B0C37">
      <w:pPr>
        <w:pStyle w:val="BodyText"/>
        <w:spacing w:after="0"/>
        <w:rPr>
          <w:b/>
        </w:rPr>
      </w:pPr>
      <w:r>
        <w:rPr>
          <w:b/>
        </w:rPr>
        <w:t xml:space="preserve">Table C.1: </w:t>
      </w:r>
      <w:r w:rsidR="00A30755" w:rsidRPr="006B4639">
        <w:rPr>
          <w:b/>
        </w:rPr>
        <w:t>Risk Matrix</w:t>
      </w:r>
    </w:p>
    <w:tbl>
      <w:tblPr>
        <w:tblStyle w:val="GridTable4-Accent4"/>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386"/>
        <w:gridCol w:w="2399"/>
        <w:gridCol w:w="2259"/>
        <w:gridCol w:w="2132"/>
        <w:gridCol w:w="2251"/>
      </w:tblGrid>
      <w:tr w:rsidR="00A30755" w:rsidRPr="006B4639" w14:paraId="3E3DBBCD" w14:textId="77777777" w:rsidTr="00120E27">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4060046F" w14:textId="77777777" w:rsidR="00A30755" w:rsidRPr="006B4639" w:rsidRDefault="00A30755" w:rsidP="00A22641">
            <w:pPr>
              <w:pStyle w:val="BodyText"/>
              <w:spacing w:before="120"/>
              <w:rPr>
                <w:bCs w:val="0"/>
                <w:sz w:val="20"/>
                <w:szCs w:val="20"/>
              </w:rPr>
            </w:pPr>
            <w:r w:rsidRPr="006B4639">
              <w:rPr>
                <w:bCs w:val="0"/>
                <w:sz w:val="20"/>
                <w:szCs w:val="20"/>
              </w:rPr>
              <w:t>Likelihood</w:t>
            </w:r>
          </w:p>
        </w:tc>
        <w:tc>
          <w:tcPr>
            <w:tcW w:w="1219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E96E78C" w14:textId="77777777" w:rsidR="00A30755" w:rsidRPr="006B4639" w:rsidRDefault="00A30755" w:rsidP="00A30755">
            <w:pPr>
              <w:pStyle w:val="BodyText"/>
              <w:spacing w:before="120"/>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6B4639">
              <w:rPr>
                <w:bCs w:val="0"/>
                <w:sz w:val="20"/>
                <w:szCs w:val="20"/>
              </w:rPr>
              <w:t>Consequence</w:t>
            </w:r>
          </w:p>
        </w:tc>
      </w:tr>
      <w:tr w:rsidR="00A30755" w:rsidRPr="006B4639" w14:paraId="487A0416" w14:textId="77777777" w:rsidTr="00120E27">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41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15A8E6C" w14:textId="77777777" w:rsidR="00A30755" w:rsidRPr="006B4639" w:rsidRDefault="00A30755" w:rsidP="00A22641">
            <w:pPr>
              <w:pStyle w:val="BodyText"/>
              <w:spacing w:before="120"/>
              <w:rPr>
                <w:b w:val="0"/>
                <w:color w:val="FFFFFF" w:themeColor="background1"/>
                <w:sz w:val="20"/>
                <w:szCs w:val="20"/>
              </w:rPr>
            </w:pP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A16B51A" w14:textId="77777777" w:rsidR="00A30755" w:rsidRPr="006B4639" w:rsidRDefault="00A30755" w:rsidP="00A30755">
            <w:pPr>
              <w:pStyle w:val="BodyText"/>
              <w:spacing w:before="1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6B4639">
              <w:rPr>
                <w:b/>
                <w:color w:val="FFFFFF" w:themeColor="background1"/>
                <w:sz w:val="20"/>
                <w:szCs w:val="20"/>
              </w:rPr>
              <w:t>Minor</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042E878E" w14:textId="77777777" w:rsidR="00A30755" w:rsidRPr="006B4639" w:rsidRDefault="00A30755" w:rsidP="00A30755">
            <w:pPr>
              <w:pStyle w:val="BodyText"/>
              <w:spacing w:before="1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6B4639">
              <w:rPr>
                <w:b/>
                <w:color w:val="FFFFFF" w:themeColor="background1"/>
                <w:sz w:val="20"/>
                <w:szCs w:val="20"/>
              </w:rPr>
              <w:t>Moderate</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081315A7" w14:textId="77777777" w:rsidR="00A30755" w:rsidRPr="006B4639" w:rsidRDefault="00A30755" w:rsidP="00A30755">
            <w:pPr>
              <w:pStyle w:val="BodyText"/>
              <w:spacing w:before="1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6B4639">
              <w:rPr>
                <w:b/>
                <w:color w:val="FFFFFF" w:themeColor="background1"/>
                <w:sz w:val="20"/>
                <w:szCs w:val="20"/>
              </w:rPr>
              <w:t>High</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F324A95" w14:textId="77777777" w:rsidR="00A30755" w:rsidRPr="006B4639" w:rsidRDefault="00A30755" w:rsidP="00A30755">
            <w:pPr>
              <w:pStyle w:val="BodyText"/>
              <w:spacing w:before="1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6B4639">
              <w:rPr>
                <w:b/>
                <w:color w:val="FFFFFF" w:themeColor="background1"/>
                <w:sz w:val="20"/>
                <w:szCs w:val="20"/>
              </w:rPr>
              <w:t>Major</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276428B2" w14:textId="77777777" w:rsidR="00A30755" w:rsidRPr="006B4639" w:rsidRDefault="00A30755" w:rsidP="00A30755">
            <w:pPr>
              <w:pStyle w:val="BodyText"/>
              <w:spacing w:before="1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6B4639">
              <w:rPr>
                <w:b/>
                <w:color w:val="FFFFFF" w:themeColor="background1"/>
                <w:sz w:val="20"/>
                <w:szCs w:val="20"/>
              </w:rPr>
              <w:t>Critical</w:t>
            </w:r>
          </w:p>
        </w:tc>
      </w:tr>
      <w:tr w:rsidR="00A30755" w:rsidRPr="006B4639" w14:paraId="1E6D288D" w14:textId="77777777" w:rsidTr="00120E27">
        <w:trPr>
          <w:trHeight w:val="41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0BFBAE84" w14:textId="77777777" w:rsidR="00A30755" w:rsidRPr="006B4639" w:rsidRDefault="00A30755" w:rsidP="00A22641">
            <w:pPr>
              <w:pStyle w:val="BodyText"/>
              <w:spacing w:before="120"/>
              <w:rPr>
                <w:sz w:val="20"/>
                <w:szCs w:val="20"/>
              </w:rPr>
            </w:pPr>
            <w:r w:rsidRPr="006B4639">
              <w:rPr>
                <w:sz w:val="20"/>
                <w:szCs w:val="20"/>
              </w:rPr>
              <w:t>Highly Likely</w:t>
            </w:r>
          </w:p>
        </w:tc>
        <w:tc>
          <w:tcPr>
            <w:tcW w:w="2552" w:type="dxa"/>
            <w:tcBorders>
              <w:top w:val="single" w:sz="4" w:space="0" w:color="FFFFFF" w:themeColor="background1"/>
              <w:left w:val="single" w:sz="4" w:space="0" w:color="FFFFFF" w:themeColor="background1"/>
            </w:tcBorders>
            <w:shd w:val="clear" w:color="auto" w:fill="FFFF00"/>
          </w:tcPr>
          <w:p w14:paraId="5162AE5B" w14:textId="77777777" w:rsidR="00A30755" w:rsidRPr="006B4639" w:rsidRDefault="00A30755" w:rsidP="00A30755">
            <w:pPr>
              <w:pStyle w:val="BodyText"/>
              <w:spacing w:before="120"/>
              <w:jc w:val="center"/>
              <w:cnfStyle w:val="000000000000" w:firstRow="0" w:lastRow="0" w:firstColumn="0" w:lastColumn="0" w:oddVBand="0" w:evenVBand="0" w:oddHBand="0" w:evenHBand="0" w:firstRowFirstColumn="0" w:firstRowLastColumn="0" w:lastRowFirstColumn="0" w:lastRowLastColumn="0"/>
              <w:rPr>
                <w:b/>
                <w:sz w:val="20"/>
                <w:szCs w:val="20"/>
              </w:rPr>
            </w:pPr>
            <w:r w:rsidRPr="006B4639">
              <w:rPr>
                <w:b/>
                <w:sz w:val="20"/>
                <w:szCs w:val="20"/>
              </w:rPr>
              <w:t>Medium</w:t>
            </w:r>
          </w:p>
        </w:tc>
        <w:tc>
          <w:tcPr>
            <w:tcW w:w="2551" w:type="dxa"/>
            <w:tcBorders>
              <w:top w:val="single" w:sz="4" w:space="0" w:color="FFFFFF" w:themeColor="background1"/>
            </w:tcBorders>
            <w:shd w:val="clear" w:color="auto" w:fill="FFC000"/>
          </w:tcPr>
          <w:p w14:paraId="51C7BFEF" w14:textId="77777777" w:rsidR="00A30755" w:rsidRPr="006B4639" w:rsidRDefault="00A30755" w:rsidP="00A30755">
            <w:pPr>
              <w:pStyle w:val="BodyText"/>
              <w:spacing w:before="120"/>
              <w:jc w:val="center"/>
              <w:cnfStyle w:val="000000000000" w:firstRow="0" w:lastRow="0" w:firstColumn="0" w:lastColumn="0" w:oddVBand="0" w:evenVBand="0" w:oddHBand="0" w:evenHBand="0" w:firstRowFirstColumn="0" w:firstRowLastColumn="0" w:lastRowFirstColumn="0" w:lastRowLastColumn="0"/>
              <w:rPr>
                <w:b/>
                <w:sz w:val="20"/>
                <w:szCs w:val="20"/>
              </w:rPr>
            </w:pPr>
            <w:r w:rsidRPr="006B4639">
              <w:rPr>
                <w:b/>
                <w:sz w:val="20"/>
                <w:szCs w:val="20"/>
              </w:rPr>
              <w:t>High</w:t>
            </w:r>
          </w:p>
        </w:tc>
        <w:tc>
          <w:tcPr>
            <w:tcW w:w="2410" w:type="dxa"/>
            <w:tcBorders>
              <w:top w:val="single" w:sz="4" w:space="0" w:color="FFFFFF" w:themeColor="background1"/>
            </w:tcBorders>
            <w:shd w:val="clear" w:color="auto" w:fill="FFC000"/>
          </w:tcPr>
          <w:p w14:paraId="771B1CB9" w14:textId="77777777" w:rsidR="00A30755" w:rsidRPr="006B4639" w:rsidRDefault="00A30755" w:rsidP="00A30755">
            <w:pPr>
              <w:pStyle w:val="BodyText"/>
              <w:spacing w:before="120"/>
              <w:jc w:val="center"/>
              <w:cnfStyle w:val="000000000000" w:firstRow="0" w:lastRow="0" w:firstColumn="0" w:lastColumn="0" w:oddVBand="0" w:evenVBand="0" w:oddHBand="0" w:evenHBand="0" w:firstRowFirstColumn="0" w:firstRowLastColumn="0" w:lastRowFirstColumn="0" w:lastRowLastColumn="0"/>
              <w:rPr>
                <w:b/>
                <w:sz w:val="20"/>
                <w:szCs w:val="20"/>
              </w:rPr>
            </w:pPr>
            <w:r w:rsidRPr="006B4639">
              <w:rPr>
                <w:b/>
                <w:sz w:val="20"/>
                <w:szCs w:val="20"/>
              </w:rPr>
              <w:t>High</w:t>
            </w:r>
          </w:p>
        </w:tc>
        <w:tc>
          <w:tcPr>
            <w:tcW w:w="2268" w:type="dxa"/>
            <w:tcBorders>
              <w:top w:val="single" w:sz="4" w:space="0" w:color="FFFFFF" w:themeColor="background1"/>
            </w:tcBorders>
            <w:shd w:val="clear" w:color="auto" w:fill="FF0000"/>
          </w:tcPr>
          <w:p w14:paraId="6629CA6F" w14:textId="77777777" w:rsidR="00A30755" w:rsidRPr="006B4639" w:rsidRDefault="00A30755" w:rsidP="00A30755">
            <w:pPr>
              <w:pStyle w:val="BodyText"/>
              <w:spacing w:before="120"/>
              <w:jc w:val="center"/>
              <w:cnfStyle w:val="000000000000" w:firstRow="0" w:lastRow="0" w:firstColumn="0" w:lastColumn="0" w:oddVBand="0" w:evenVBand="0" w:oddHBand="0" w:evenHBand="0" w:firstRowFirstColumn="0" w:firstRowLastColumn="0" w:lastRowFirstColumn="0" w:lastRowLastColumn="0"/>
              <w:rPr>
                <w:b/>
                <w:sz w:val="20"/>
                <w:szCs w:val="20"/>
              </w:rPr>
            </w:pPr>
            <w:r w:rsidRPr="006B4639">
              <w:rPr>
                <w:b/>
                <w:sz w:val="20"/>
                <w:szCs w:val="20"/>
              </w:rPr>
              <w:t>Severe</w:t>
            </w:r>
          </w:p>
        </w:tc>
        <w:tc>
          <w:tcPr>
            <w:tcW w:w="2410" w:type="dxa"/>
            <w:tcBorders>
              <w:top w:val="single" w:sz="4" w:space="0" w:color="FFFFFF" w:themeColor="background1"/>
            </w:tcBorders>
            <w:shd w:val="clear" w:color="auto" w:fill="FF0000"/>
          </w:tcPr>
          <w:p w14:paraId="6C47ED72" w14:textId="77777777" w:rsidR="00A30755" w:rsidRPr="006B4639" w:rsidRDefault="00A30755" w:rsidP="00A30755">
            <w:pPr>
              <w:pStyle w:val="BodyText"/>
              <w:spacing w:before="120"/>
              <w:jc w:val="center"/>
              <w:cnfStyle w:val="000000000000" w:firstRow="0" w:lastRow="0" w:firstColumn="0" w:lastColumn="0" w:oddVBand="0" w:evenVBand="0" w:oddHBand="0" w:evenHBand="0" w:firstRowFirstColumn="0" w:firstRowLastColumn="0" w:lastRowFirstColumn="0" w:lastRowLastColumn="0"/>
              <w:rPr>
                <w:b/>
                <w:sz w:val="20"/>
                <w:szCs w:val="20"/>
              </w:rPr>
            </w:pPr>
            <w:r w:rsidRPr="006B4639">
              <w:rPr>
                <w:b/>
                <w:sz w:val="20"/>
                <w:szCs w:val="20"/>
              </w:rPr>
              <w:t>Severe</w:t>
            </w:r>
          </w:p>
        </w:tc>
      </w:tr>
      <w:tr w:rsidR="00A30755" w:rsidRPr="006B4639" w14:paraId="5D7B8BE7" w14:textId="77777777" w:rsidTr="00120E27">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CB95FB2" w14:textId="77777777" w:rsidR="00A30755" w:rsidRPr="006B4639" w:rsidRDefault="00A30755" w:rsidP="00A22641">
            <w:pPr>
              <w:pStyle w:val="BodyText"/>
              <w:spacing w:before="120"/>
              <w:rPr>
                <w:sz w:val="20"/>
                <w:szCs w:val="20"/>
              </w:rPr>
            </w:pPr>
            <w:r w:rsidRPr="006B4639">
              <w:rPr>
                <w:sz w:val="20"/>
                <w:szCs w:val="20"/>
              </w:rPr>
              <w:t>Likely</w:t>
            </w:r>
          </w:p>
        </w:tc>
        <w:tc>
          <w:tcPr>
            <w:tcW w:w="2552" w:type="dxa"/>
            <w:tcBorders>
              <w:left w:val="single" w:sz="4" w:space="0" w:color="FFFFFF" w:themeColor="background1"/>
            </w:tcBorders>
            <w:shd w:val="clear" w:color="auto" w:fill="92D050"/>
          </w:tcPr>
          <w:p w14:paraId="4E990B87" w14:textId="77777777" w:rsidR="00A30755" w:rsidRPr="006B4639" w:rsidRDefault="00A30755" w:rsidP="00A30755">
            <w:pPr>
              <w:pStyle w:val="BodyText"/>
              <w:spacing w:before="120"/>
              <w:jc w:val="center"/>
              <w:cnfStyle w:val="000000100000" w:firstRow="0" w:lastRow="0" w:firstColumn="0" w:lastColumn="0" w:oddVBand="0" w:evenVBand="0" w:oddHBand="1" w:evenHBand="0" w:firstRowFirstColumn="0" w:firstRowLastColumn="0" w:lastRowFirstColumn="0" w:lastRowLastColumn="0"/>
              <w:rPr>
                <w:b/>
                <w:sz w:val="20"/>
                <w:szCs w:val="20"/>
              </w:rPr>
            </w:pPr>
            <w:r w:rsidRPr="006B4639">
              <w:rPr>
                <w:b/>
                <w:sz w:val="20"/>
                <w:szCs w:val="20"/>
              </w:rPr>
              <w:t>Low</w:t>
            </w:r>
          </w:p>
        </w:tc>
        <w:tc>
          <w:tcPr>
            <w:tcW w:w="2551" w:type="dxa"/>
            <w:shd w:val="clear" w:color="auto" w:fill="FFFF00"/>
          </w:tcPr>
          <w:p w14:paraId="605C080B" w14:textId="77777777" w:rsidR="00A30755" w:rsidRPr="006B4639" w:rsidRDefault="00A30755" w:rsidP="00A30755">
            <w:pPr>
              <w:pStyle w:val="BodyText"/>
              <w:spacing w:before="120"/>
              <w:jc w:val="center"/>
              <w:cnfStyle w:val="000000100000" w:firstRow="0" w:lastRow="0" w:firstColumn="0" w:lastColumn="0" w:oddVBand="0" w:evenVBand="0" w:oddHBand="1" w:evenHBand="0" w:firstRowFirstColumn="0" w:firstRowLastColumn="0" w:lastRowFirstColumn="0" w:lastRowLastColumn="0"/>
              <w:rPr>
                <w:b/>
                <w:sz w:val="20"/>
                <w:szCs w:val="20"/>
              </w:rPr>
            </w:pPr>
            <w:r w:rsidRPr="006B4639">
              <w:rPr>
                <w:b/>
                <w:sz w:val="20"/>
                <w:szCs w:val="20"/>
              </w:rPr>
              <w:t>Medium</w:t>
            </w:r>
          </w:p>
        </w:tc>
        <w:tc>
          <w:tcPr>
            <w:tcW w:w="2410" w:type="dxa"/>
            <w:shd w:val="clear" w:color="auto" w:fill="FFC000"/>
          </w:tcPr>
          <w:p w14:paraId="45AD6B35" w14:textId="77777777" w:rsidR="00A30755" w:rsidRPr="006B4639" w:rsidRDefault="00A30755" w:rsidP="00A30755">
            <w:pPr>
              <w:pStyle w:val="BodyText"/>
              <w:spacing w:before="120"/>
              <w:jc w:val="center"/>
              <w:cnfStyle w:val="000000100000" w:firstRow="0" w:lastRow="0" w:firstColumn="0" w:lastColumn="0" w:oddVBand="0" w:evenVBand="0" w:oddHBand="1" w:evenHBand="0" w:firstRowFirstColumn="0" w:firstRowLastColumn="0" w:lastRowFirstColumn="0" w:lastRowLastColumn="0"/>
              <w:rPr>
                <w:b/>
                <w:sz w:val="20"/>
                <w:szCs w:val="20"/>
              </w:rPr>
            </w:pPr>
            <w:r w:rsidRPr="006B4639">
              <w:rPr>
                <w:b/>
                <w:sz w:val="20"/>
                <w:szCs w:val="20"/>
              </w:rPr>
              <w:t>High</w:t>
            </w:r>
          </w:p>
        </w:tc>
        <w:tc>
          <w:tcPr>
            <w:tcW w:w="2268" w:type="dxa"/>
            <w:shd w:val="clear" w:color="auto" w:fill="FFC000"/>
          </w:tcPr>
          <w:p w14:paraId="28F6A899" w14:textId="77777777" w:rsidR="00A30755" w:rsidRPr="006B4639" w:rsidRDefault="00A30755" w:rsidP="00A30755">
            <w:pPr>
              <w:pStyle w:val="BodyText"/>
              <w:spacing w:before="120"/>
              <w:jc w:val="center"/>
              <w:cnfStyle w:val="000000100000" w:firstRow="0" w:lastRow="0" w:firstColumn="0" w:lastColumn="0" w:oddVBand="0" w:evenVBand="0" w:oddHBand="1" w:evenHBand="0" w:firstRowFirstColumn="0" w:firstRowLastColumn="0" w:lastRowFirstColumn="0" w:lastRowLastColumn="0"/>
              <w:rPr>
                <w:b/>
                <w:sz w:val="20"/>
                <w:szCs w:val="20"/>
              </w:rPr>
            </w:pPr>
            <w:r w:rsidRPr="006B4639">
              <w:rPr>
                <w:b/>
                <w:sz w:val="20"/>
                <w:szCs w:val="20"/>
              </w:rPr>
              <w:t>High</w:t>
            </w:r>
          </w:p>
        </w:tc>
        <w:tc>
          <w:tcPr>
            <w:tcW w:w="2410" w:type="dxa"/>
            <w:shd w:val="clear" w:color="auto" w:fill="FF0000"/>
          </w:tcPr>
          <w:p w14:paraId="19AEAEFB" w14:textId="77777777" w:rsidR="00A30755" w:rsidRPr="006B4639" w:rsidRDefault="00A30755" w:rsidP="00A30755">
            <w:pPr>
              <w:pStyle w:val="BodyText"/>
              <w:spacing w:before="120"/>
              <w:jc w:val="center"/>
              <w:cnfStyle w:val="000000100000" w:firstRow="0" w:lastRow="0" w:firstColumn="0" w:lastColumn="0" w:oddVBand="0" w:evenVBand="0" w:oddHBand="1" w:evenHBand="0" w:firstRowFirstColumn="0" w:firstRowLastColumn="0" w:lastRowFirstColumn="0" w:lastRowLastColumn="0"/>
              <w:rPr>
                <w:b/>
                <w:sz w:val="20"/>
                <w:szCs w:val="20"/>
              </w:rPr>
            </w:pPr>
            <w:r w:rsidRPr="006B4639">
              <w:rPr>
                <w:b/>
                <w:sz w:val="20"/>
                <w:szCs w:val="20"/>
              </w:rPr>
              <w:t>Severe</w:t>
            </w:r>
          </w:p>
        </w:tc>
      </w:tr>
      <w:tr w:rsidR="00A30755" w:rsidRPr="006B4639" w14:paraId="7DB2F2A5" w14:textId="77777777" w:rsidTr="00120E27">
        <w:trPr>
          <w:trHeight w:val="555"/>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7B30A03" w14:textId="77777777" w:rsidR="00A30755" w:rsidRPr="006B4639" w:rsidRDefault="00A30755" w:rsidP="00A22641">
            <w:pPr>
              <w:pStyle w:val="BodyText"/>
              <w:spacing w:before="120"/>
              <w:rPr>
                <w:sz w:val="20"/>
                <w:szCs w:val="20"/>
              </w:rPr>
            </w:pPr>
            <w:r w:rsidRPr="006B4639">
              <w:rPr>
                <w:sz w:val="20"/>
                <w:szCs w:val="20"/>
              </w:rPr>
              <w:t>Possible</w:t>
            </w:r>
          </w:p>
        </w:tc>
        <w:tc>
          <w:tcPr>
            <w:tcW w:w="2552" w:type="dxa"/>
            <w:tcBorders>
              <w:left w:val="single" w:sz="4" w:space="0" w:color="FFFFFF" w:themeColor="background1"/>
            </w:tcBorders>
            <w:shd w:val="clear" w:color="auto" w:fill="92D050"/>
          </w:tcPr>
          <w:p w14:paraId="5A9400E9" w14:textId="77777777" w:rsidR="00A30755" w:rsidRPr="006B4639" w:rsidRDefault="00A30755" w:rsidP="00A30755">
            <w:pPr>
              <w:pStyle w:val="BodyText"/>
              <w:spacing w:before="120"/>
              <w:jc w:val="center"/>
              <w:cnfStyle w:val="000000000000" w:firstRow="0" w:lastRow="0" w:firstColumn="0" w:lastColumn="0" w:oddVBand="0" w:evenVBand="0" w:oddHBand="0" w:evenHBand="0" w:firstRowFirstColumn="0" w:firstRowLastColumn="0" w:lastRowFirstColumn="0" w:lastRowLastColumn="0"/>
              <w:rPr>
                <w:b/>
                <w:sz w:val="20"/>
                <w:szCs w:val="20"/>
              </w:rPr>
            </w:pPr>
            <w:r w:rsidRPr="006B4639">
              <w:rPr>
                <w:b/>
                <w:sz w:val="20"/>
                <w:szCs w:val="20"/>
              </w:rPr>
              <w:t>Low</w:t>
            </w:r>
          </w:p>
        </w:tc>
        <w:tc>
          <w:tcPr>
            <w:tcW w:w="2551" w:type="dxa"/>
            <w:shd w:val="clear" w:color="auto" w:fill="FFFF00"/>
          </w:tcPr>
          <w:p w14:paraId="7AF3D317" w14:textId="77777777" w:rsidR="00A30755" w:rsidRPr="006B4639" w:rsidRDefault="00A30755" w:rsidP="00A30755">
            <w:pPr>
              <w:pStyle w:val="BodyText"/>
              <w:spacing w:before="120"/>
              <w:jc w:val="center"/>
              <w:cnfStyle w:val="000000000000" w:firstRow="0" w:lastRow="0" w:firstColumn="0" w:lastColumn="0" w:oddVBand="0" w:evenVBand="0" w:oddHBand="0" w:evenHBand="0" w:firstRowFirstColumn="0" w:firstRowLastColumn="0" w:lastRowFirstColumn="0" w:lastRowLastColumn="0"/>
              <w:rPr>
                <w:b/>
                <w:sz w:val="20"/>
                <w:szCs w:val="20"/>
              </w:rPr>
            </w:pPr>
            <w:r w:rsidRPr="006B4639">
              <w:rPr>
                <w:b/>
                <w:sz w:val="20"/>
                <w:szCs w:val="20"/>
              </w:rPr>
              <w:t>Medium</w:t>
            </w:r>
          </w:p>
        </w:tc>
        <w:tc>
          <w:tcPr>
            <w:tcW w:w="2410" w:type="dxa"/>
            <w:shd w:val="clear" w:color="auto" w:fill="FFFF00"/>
          </w:tcPr>
          <w:p w14:paraId="76F6217F" w14:textId="77777777" w:rsidR="00A30755" w:rsidRPr="006B4639" w:rsidRDefault="00A30755" w:rsidP="00A30755">
            <w:pPr>
              <w:pStyle w:val="BodyText"/>
              <w:spacing w:before="120"/>
              <w:jc w:val="center"/>
              <w:cnfStyle w:val="000000000000" w:firstRow="0" w:lastRow="0" w:firstColumn="0" w:lastColumn="0" w:oddVBand="0" w:evenVBand="0" w:oddHBand="0" w:evenHBand="0" w:firstRowFirstColumn="0" w:firstRowLastColumn="0" w:lastRowFirstColumn="0" w:lastRowLastColumn="0"/>
              <w:rPr>
                <w:b/>
                <w:sz w:val="20"/>
                <w:szCs w:val="20"/>
              </w:rPr>
            </w:pPr>
            <w:r w:rsidRPr="006B4639">
              <w:rPr>
                <w:b/>
                <w:sz w:val="20"/>
                <w:szCs w:val="20"/>
              </w:rPr>
              <w:t>Medium</w:t>
            </w:r>
          </w:p>
        </w:tc>
        <w:tc>
          <w:tcPr>
            <w:tcW w:w="2268" w:type="dxa"/>
            <w:shd w:val="clear" w:color="auto" w:fill="FFC000"/>
          </w:tcPr>
          <w:p w14:paraId="5B7006FC" w14:textId="77777777" w:rsidR="00A30755" w:rsidRPr="006B4639" w:rsidRDefault="00A30755" w:rsidP="00A30755">
            <w:pPr>
              <w:pStyle w:val="BodyText"/>
              <w:spacing w:before="120"/>
              <w:jc w:val="center"/>
              <w:cnfStyle w:val="000000000000" w:firstRow="0" w:lastRow="0" w:firstColumn="0" w:lastColumn="0" w:oddVBand="0" w:evenVBand="0" w:oddHBand="0" w:evenHBand="0" w:firstRowFirstColumn="0" w:firstRowLastColumn="0" w:lastRowFirstColumn="0" w:lastRowLastColumn="0"/>
              <w:rPr>
                <w:b/>
                <w:sz w:val="20"/>
                <w:szCs w:val="20"/>
              </w:rPr>
            </w:pPr>
            <w:r w:rsidRPr="006B4639">
              <w:rPr>
                <w:b/>
                <w:sz w:val="20"/>
                <w:szCs w:val="20"/>
              </w:rPr>
              <w:t>High</w:t>
            </w:r>
          </w:p>
        </w:tc>
        <w:tc>
          <w:tcPr>
            <w:tcW w:w="2410" w:type="dxa"/>
            <w:shd w:val="clear" w:color="auto" w:fill="FF0000"/>
          </w:tcPr>
          <w:p w14:paraId="73C8E981" w14:textId="77777777" w:rsidR="00A30755" w:rsidRPr="006B4639" w:rsidRDefault="00A30755" w:rsidP="00A30755">
            <w:pPr>
              <w:pStyle w:val="BodyText"/>
              <w:spacing w:before="120"/>
              <w:jc w:val="center"/>
              <w:cnfStyle w:val="000000000000" w:firstRow="0" w:lastRow="0" w:firstColumn="0" w:lastColumn="0" w:oddVBand="0" w:evenVBand="0" w:oddHBand="0" w:evenHBand="0" w:firstRowFirstColumn="0" w:firstRowLastColumn="0" w:lastRowFirstColumn="0" w:lastRowLastColumn="0"/>
              <w:rPr>
                <w:b/>
                <w:sz w:val="20"/>
                <w:szCs w:val="20"/>
              </w:rPr>
            </w:pPr>
            <w:r w:rsidRPr="006B4639">
              <w:rPr>
                <w:b/>
                <w:sz w:val="20"/>
                <w:szCs w:val="20"/>
              </w:rPr>
              <w:t>Severe</w:t>
            </w:r>
          </w:p>
        </w:tc>
      </w:tr>
      <w:tr w:rsidR="00A30755" w:rsidRPr="006B4639" w14:paraId="6E390ABA" w14:textId="77777777" w:rsidTr="00120E2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5139CA6" w14:textId="77777777" w:rsidR="00A30755" w:rsidRPr="006B4639" w:rsidRDefault="00A30755" w:rsidP="00A22641">
            <w:pPr>
              <w:pStyle w:val="BodyText"/>
              <w:spacing w:before="120"/>
              <w:rPr>
                <w:sz w:val="20"/>
                <w:szCs w:val="20"/>
              </w:rPr>
            </w:pPr>
            <w:r w:rsidRPr="006B4639">
              <w:rPr>
                <w:sz w:val="20"/>
                <w:szCs w:val="20"/>
              </w:rPr>
              <w:t>Unlikely</w:t>
            </w:r>
          </w:p>
        </w:tc>
        <w:tc>
          <w:tcPr>
            <w:tcW w:w="2552" w:type="dxa"/>
            <w:tcBorders>
              <w:left w:val="single" w:sz="4" w:space="0" w:color="FFFFFF" w:themeColor="background1"/>
            </w:tcBorders>
            <w:shd w:val="clear" w:color="auto" w:fill="92D050"/>
          </w:tcPr>
          <w:p w14:paraId="6C6D7E1E" w14:textId="77777777" w:rsidR="00A30755" w:rsidRPr="006B4639" w:rsidRDefault="00A30755" w:rsidP="00A30755">
            <w:pPr>
              <w:pStyle w:val="BodyText"/>
              <w:spacing w:before="120"/>
              <w:jc w:val="center"/>
              <w:cnfStyle w:val="000000100000" w:firstRow="0" w:lastRow="0" w:firstColumn="0" w:lastColumn="0" w:oddVBand="0" w:evenVBand="0" w:oddHBand="1" w:evenHBand="0" w:firstRowFirstColumn="0" w:firstRowLastColumn="0" w:lastRowFirstColumn="0" w:lastRowLastColumn="0"/>
              <w:rPr>
                <w:b/>
                <w:sz w:val="20"/>
                <w:szCs w:val="20"/>
              </w:rPr>
            </w:pPr>
            <w:r w:rsidRPr="006B4639">
              <w:rPr>
                <w:b/>
                <w:sz w:val="20"/>
                <w:szCs w:val="20"/>
              </w:rPr>
              <w:t>Low</w:t>
            </w:r>
          </w:p>
        </w:tc>
        <w:tc>
          <w:tcPr>
            <w:tcW w:w="2551" w:type="dxa"/>
            <w:shd w:val="clear" w:color="auto" w:fill="92D050"/>
          </w:tcPr>
          <w:p w14:paraId="3F8C41BB" w14:textId="77777777" w:rsidR="00A30755" w:rsidRPr="006B4639" w:rsidRDefault="00A30755" w:rsidP="00A30755">
            <w:pPr>
              <w:pStyle w:val="BodyText"/>
              <w:spacing w:before="120"/>
              <w:jc w:val="center"/>
              <w:cnfStyle w:val="000000100000" w:firstRow="0" w:lastRow="0" w:firstColumn="0" w:lastColumn="0" w:oddVBand="0" w:evenVBand="0" w:oddHBand="1" w:evenHBand="0" w:firstRowFirstColumn="0" w:firstRowLastColumn="0" w:lastRowFirstColumn="0" w:lastRowLastColumn="0"/>
              <w:rPr>
                <w:b/>
                <w:sz w:val="20"/>
                <w:szCs w:val="20"/>
              </w:rPr>
            </w:pPr>
            <w:r w:rsidRPr="006B4639">
              <w:rPr>
                <w:b/>
                <w:sz w:val="20"/>
                <w:szCs w:val="20"/>
              </w:rPr>
              <w:t>Low</w:t>
            </w:r>
          </w:p>
        </w:tc>
        <w:tc>
          <w:tcPr>
            <w:tcW w:w="2410" w:type="dxa"/>
            <w:shd w:val="clear" w:color="auto" w:fill="FFFF00"/>
          </w:tcPr>
          <w:p w14:paraId="02C26E17" w14:textId="77777777" w:rsidR="00A30755" w:rsidRPr="006B4639" w:rsidRDefault="00A30755" w:rsidP="00A30755">
            <w:pPr>
              <w:pStyle w:val="BodyText"/>
              <w:spacing w:before="120"/>
              <w:jc w:val="center"/>
              <w:cnfStyle w:val="000000100000" w:firstRow="0" w:lastRow="0" w:firstColumn="0" w:lastColumn="0" w:oddVBand="0" w:evenVBand="0" w:oddHBand="1" w:evenHBand="0" w:firstRowFirstColumn="0" w:firstRowLastColumn="0" w:lastRowFirstColumn="0" w:lastRowLastColumn="0"/>
              <w:rPr>
                <w:b/>
                <w:sz w:val="20"/>
                <w:szCs w:val="20"/>
              </w:rPr>
            </w:pPr>
            <w:r w:rsidRPr="006B4639">
              <w:rPr>
                <w:b/>
                <w:sz w:val="20"/>
                <w:szCs w:val="20"/>
              </w:rPr>
              <w:t>Medium</w:t>
            </w:r>
          </w:p>
        </w:tc>
        <w:tc>
          <w:tcPr>
            <w:tcW w:w="2268" w:type="dxa"/>
            <w:shd w:val="clear" w:color="auto" w:fill="FFC000"/>
          </w:tcPr>
          <w:p w14:paraId="780622F2" w14:textId="77777777" w:rsidR="00A30755" w:rsidRPr="006B4639" w:rsidRDefault="00A30755" w:rsidP="00A30755">
            <w:pPr>
              <w:pStyle w:val="BodyText"/>
              <w:spacing w:before="120"/>
              <w:jc w:val="center"/>
              <w:cnfStyle w:val="000000100000" w:firstRow="0" w:lastRow="0" w:firstColumn="0" w:lastColumn="0" w:oddVBand="0" w:evenVBand="0" w:oddHBand="1" w:evenHBand="0" w:firstRowFirstColumn="0" w:firstRowLastColumn="0" w:lastRowFirstColumn="0" w:lastRowLastColumn="0"/>
              <w:rPr>
                <w:b/>
                <w:sz w:val="20"/>
                <w:szCs w:val="20"/>
              </w:rPr>
            </w:pPr>
            <w:r w:rsidRPr="006B4639">
              <w:rPr>
                <w:b/>
                <w:sz w:val="20"/>
                <w:szCs w:val="20"/>
              </w:rPr>
              <w:t>High</w:t>
            </w:r>
          </w:p>
        </w:tc>
        <w:tc>
          <w:tcPr>
            <w:tcW w:w="2410" w:type="dxa"/>
            <w:shd w:val="clear" w:color="auto" w:fill="FFC000"/>
          </w:tcPr>
          <w:p w14:paraId="1E779FC5" w14:textId="77777777" w:rsidR="00A30755" w:rsidRPr="006B4639" w:rsidRDefault="00A30755" w:rsidP="00A30755">
            <w:pPr>
              <w:pStyle w:val="BodyText"/>
              <w:spacing w:before="120"/>
              <w:jc w:val="center"/>
              <w:cnfStyle w:val="000000100000" w:firstRow="0" w:lastRow="0" w:firstColumn="0" w:lastColumn="0" w:oddVBand="0" w:evenVBand="0" w:oddHBand="1" w:evenHBand="0" w:firstRowFirstColumn="0" w:firstRowLastColumn="0" w:lastRowFirstColumn="0" w:lastRowLastColumn="0"/>
              <w:rPr>
                <w:b/>
                <w:sz w:val="20"/>
                <w:szCs w:val="20"/>
              </w:rPr>
            </w:pPr>
            <w:r w:rsidRPr="006B4639">
              <w:rPr>
                <w:b/>
                <w:sz w:val="20"/>
                <w:szCs w:val="20"/>
              </w:rPr>
              <w:t>High</w:t>
            </w:r>
          </w:p>
        </w:tc>
      </w:tr>
      <w:tr w:rsidR="00A30755" w:rsidRPr="006B4639" w14:paraId="4BB12A0D" w14:textId="77777777" w:rsidTr="00120E27">
        <w:trPr>
          <w:trHeight w:val="216"/>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D5D6A53" w14:textId="77777777" w:rsidR="00A30755" w:rsidRPr="006B4639" w:rsidRDefault="00A30755" w:rsidP="00A22641">
            <w:pPr>
              <w:pStyle w:val="BodyText"/>
              <w:spacing w:before="120"/>
              <w:rPr>
                <w:sz w:val="20"/>
                <w:szCs w:val="20"/>
              </w:rPr>
            </w:pPr>
            <w:r w:rsidRPr="006B4639">
              <w:rPr>
                <w:sz w:val="20"/>
                <w:szCs w:val="20"/>
              </w:rPr>
              <w:t>Rare</w:t>
            </w:r>
          </w:p>
        </w:tc>
        <w:tc>
          <w:tcPr>
            <w:tcW w:w="2552" w:type="dxa"/>
            <w:tcBorders>
              <w:left w:val="single" w:sz="4" w:space="0" w:color="FFFFFF" w:themeColor="background1"/>
            </w:tcBorders>
            <w:shd w:val="clear" w:color="auto" w:fill="92D050"/>
          </w:tcPr>
          <w:p w14:paraId="23C4A33C" w14:textId="77777777" w:rsidR="00A30755" w:rsidRPr="006B4639" w:rsidRDefault="00A30755" w:rsidP="00A30755">
            <w:pPr>
              <w:pStyle w:val="BodyText"/>
              <w:spacing w:before="120"/>
              <w:jc w:val="center"/>
              <w:cnfStyle w:val="000000000000" w:firstRow="0" w:lastRow="0" w:firstColumn="0" w:lastColumn="0" w:oddVBand="0" w:evenVBand="0" w:oddHBand="0" w:evenHBand="0" w:firstRowFirstColumn="0" w:firstRowLastColumn="0" w:lastRowFirstColumn="0" w:lastRowLastColumn="0"/>
              <w:rPr>
                <w:b/>
                <w:sz w:val="20"/>
                <w:szCs w:val="20"/>
              </w:rPr>
            </w:pPr>
            <w:r w:rsidRPr="006B4639">
              <w:rPr>
                <w:b/>
                <w:sz w:val="20"/>
                <w:szCs w:val="20"/>
              </w:rPr>
              <w:t>Low</w:t>
            </w:r>
          </w:p>
        </w:tc>
        <w:tc>
          <w:tcPr>
            <w:tcW w:w="2551" w:type="dxa"/>
            <w:shd w:val="clear" w:color="auto" w:fill="92D050"/>
          </w:tcPr>
          <w:p w14:paraId="49B6E74C" w14:textId="77777777" w:rsidR="00A30755" w:rsidRPr="006B4639" w:rsidRDefault="00A30755" w:rsidP="00A30755">
            <w:pPr>
              <w:pStyle w:val="BodyText"/>
              <w:spacing w:before="120"/>
              <w:jc w:val="center"/>
              <w:cnfStyle w:val="000000000000" w:firstRow="0" w:lastRow="0" w:firstColumn="0" w:lastColumn="0" w:oddVBand="0" w:evenVBand="0" w:oddHBand="0" w:evenHBand="0" w:firstRowFirstColumn="0" w:firstRowLastColumn="0" w:lastRowFirstColumn="0" w:lastRowLastColumn="0"/>
              <w:rPr>
                <w:b/>
                <w:sz w:val="20"/>
                <w:szCs w:val="20"/>
              </w:rPr>
            </w:pPr>
            <w:r w:rsidRPr="006B4639">
              <w:rPr>
                <w:b/>
                <w:sz w:val="20"/>
                <w:szCs w:val="20"/>
              </w:rPr>
              <w:t>Low</w:t>
            </w:r>
          </w:p>
        </w:tc>
        <w:tc>
          <w:tcPr>
            <w:tcW w:w="2410" w:type="dxa"/>
            <w:shd w:val="clear" w:color="auto" w:fill="92D050"/>
          </w:tcPr>
          <w:p w14:paraId="08D438C9" w14:textId="77777777" w:rsidR="00A30755" w:rsidRPr="006B4639" w:rsidRDefault="00A30755" w:rsidP="00A30755">
            <w:pPr>
              <w:pStyle w:val="BodyText"/>
              <w:spacing w:before="120"/>
              <w:jc w:val="center"/>
              <w:cnfStyle w:val="000000000000" w:firstRow="0" w:lastRow="0" w:firstColumn="0" w:lastColumn="0" w:oddVBand="0" w:evenVBand="0" w:oddHBand="0" w:evenHBand="0" w:firstRowFirstColumn="0" w:firstRowLastColumn="0" w:lastRowFirstColumn="0" w:lastRowLastColumn="0"/>
              <w:rPr>
                <w:b/>
                <w:sz w:val="20"/>
                <w:szCs w:val="20"/>
              </w:rPr>
            </w:pPr>
            <w:r w:rsidRPr="006B4639">
              <w:rPr>
                <w:b/>
                <w:sz w:val="20"/>
                <w:szCs w:val="20"/>
              </w:rPr>
              <w:t>Low</w:t>
            </w:r>
          </w:p>
        </w:tc>
        <w:tc>
          <w:tcPr>
            <w:tcW w:w="2268" w:type="dxa"/>
            <w:shd w:val="clear" w:color="auto" w:fill="FFFF00"/>
          </w:tcPr>
          <w:p w14:paraId="50933941" w14:textId="77777777" w:rsidR="00A30755" w:rsidRPr="006B4639" w:rsidRDefault="00A30755" w:rsidP="00A30755">
            <w:pPr>
              <w:pStyle w:val="BodyText"/>
              <w:spacing w:before="120"/>
              <w:jc w:val="center"/>
              <w:cnfStyle w:val="000000000000" w:firstRow="0" w:lastRow="0" w:firstColumn="0" w:lastColumn="0" w:oddVBand="0" w:evenVBand="0" w:oddHBand="0" w:evenHBand="0" w:firstRowFirstColumn="0" w:firstRowLastColumn="0" w:lastRowFirstColumn="0" w:lastRowLastColumn="0"/>
              <w:rPr>
                <w:b/>
                <w:sz w:val="20"/>
                <w:szCs w:val="20"/>
              </w:rPr>
            </w:pPr>
            <w:r w:rsidRPr="006B4639">
              <w:rPr>
                <w:b/>
                <w:sz w:val="20"/>
                <w:szCs w:val="20"/>
              </w:rPr>
              <w:t>Medium</w:t>
            </w:r>
          </w:p>
        </w:tc>
        <w:tc>
          <w:tcPr>
            <w:tcW w:w="2410" w:type="dxa"/>
            <w:shd w:val="clear" w:color="auto" w:fill="FFC000"/>
          </w:tcPr>
          <w:p w14:paraId="3B086255" w14:textId="77777777" w:rsidR="00A30755" w:rsidRPr="006B4639" w:rsidRDefault="00A30755" w:rsidP="00A30755">
            <w:pPr>
              <w:pStyle w:val="BodyText"/>
              <w:spacing w:before="120"/>
              <w:jc w:val="center"/>
              <w:cnfStyle w:val="000000000000" w:firstRow="0" w:lastRow="0" w:firstColumn="0" w:lastColumn="0" w:oddVBand="0" w:evenVBand="0" w:oddHBand="0" w:evenHBand="0" w:firstRowFirstColumn="0" w:firstRowLastColumn="0" w:lastRowFirstColumn="0" w:lastRowLastColumn="0"/>
              <w:rPr>
                <w:b/>
                <w:sz w:val="20"/>
                <w:szCs w:val="20"/>
              </w:rPr>
            </w:pPr>
            <w:r w:rsidRPr="006B4639">
              <w:rPr>
                <w:b/>
                <w:sz w:val="20"/>
                <w:szCs w:val="20"/>
              </w:rPr>
              <w:t>High</w:t>
            </w:r>
          </w:p>
        </w:tc>
      </w:tr>
    </w:tbl>
    <w:p w14:paraId="66A70006" w14:textId="77777777" w:rsidR="00A30755" w:rsidRPr="006B4639" w:rsidRDefault="00D957D5" w:rsidP="000B0C37">
      <w:pPr>
        <w:pStyle w:val="BodyText"/>
        <w:tabs>
          <w:tab w:val="clear" w:pos="4536"/>
          <w:tab w:val="clear" w:pos="6804"/>
          <w:tab w:val="clear" w:pos="9638"/>
          <w:tab w:val="left" w:pos="11340"/>
        </w:tabs>
        <w:spacing w:after="0"/>
        <w:rPr>
          <w:b/>
        </w:rPr>
      </w:pPr>
      <w:r>
        <w:rPr>
          <w:b/>
        </w:rPr>
        <w:t xml:space="preserve">Table C.2: </w:t>
      </w:r>
      <w:r w:rsidR="00A30755" w:rsidRPr="006B4639">
        <w:rPr>
          <w:b/>
        </w:rPr>
        <w:t xml:space="preserve">Description </w:t>
      </w:r>
      <w:r w:rsidR="000B0C37">
        <w:rPr>
          <w:b/>
        </w:rPr>
        <w:t xml:space="preserve">of </w:t>
      </w:r>
      <w:r w:rsidR="00A30755" w:rsidRPr="006B4639">
        <w:rPr>
          <w:b/>
        </w:rPr>
        <w:t xml:space="preserve">risk likelihood </w:t>
      </w:r>
    </w:p>
    <w:tbl>
      <w:tblPr>
        <w:tblStyle w:val="TableGridLight"/>
        <w:tblW w:w="5000" w:type="pct"/>
        <w:tblLook w:val="04A0" w:firstRow="1" w:lastRow="0" w:firstColumn="1" w:lastColumn="0" w:noHBand="0" w:noVBand="1"/>
      </w:tblPr>
      <w:tblGrid>
        <w:gridCol w:w="2286"/>
        <w:gridCol w:w="1811"/>
        <w:gridCol w:w="9613"/>
      </w:tblGrid>
      <w:tr w:rsidR="00A30755" w:rsidRPr="006B4639" w14:paraId="39AFECAD" w14:textId="77777777" w:rsidTr="00120E27">
        <w:trPr>
          <w:trHeight w:val="561"/>
        </w:trPr>
        <w:tc>
          <w:tcPr>
            <w:tcW w:w="2376" w:type="dxa"/>
            <w:shd w:val="clear" w:color="auto" w:fill="002060"/>
          </w:tcPr>
          <w:p w14:paraId="2FB8D513" w14:textId="77777777" w:rsidR="00A30755" w:rsidRPr="006B4639" w:rsidRDefault="00A30755" w:rsidP="00A30755">
            <w:pPr>
              <w:pStyle w:val="BodyText"/>
              <w:tabs>
                <w:tab w:val="clear" w:pos="4536"/>
                <w:tab w:val="clear" w:pos="6804"/>
                <w:tab w:val="clear" w:pos="9638"/>
                <w:tab w:val="left" w:pos="11340"/>
              </w:tabs>
              <w:spacing w:before="60" w:after="60"/>
              <w:rPr>
                <w:b/>
                <w:sz w:val="20"/>
                <w:szCs w:val="20"/>
              </w:rPr>
            </w:pPr>
            <w:r w:rsidRPr="006B4639">
              <w:rPr>
                <w:b/>
                <w:sz w:val="20"/>
                <w:szCs w:val="20"/>
              </w:rPr>
              <w:t>Likelihood description</w:t>
            </w:r>
          </w:p>
        </w:tc>
        <w:tc>
          <w:tcPr>
            <w:tcW w:w="1872" w:type="dxa"/>
            <w:shd w:val="clear" w:color="auto" w:fill="002060"/>
          </w:tcPr>
          <w:p w14:paraId="60D30D25" w14:textId="77777777" w:rsidR="00A30755" w:rsidRPr="006B4639" w:rsidRDefault="00A30755" w:rsidP="00A30755">
            <w:pPr>
              <w:pStyle w:val="BodyText"/>
              <w:tabs>
                <w:tab w:val="clear" w:pos="4536"/>
                <w:tab w:val="clear" w:pos="6804"/>
                <w:tab w:val="clear" w:pos="9638"/>
                <w:tab w:val="left" w:pos="11340"/>
              </w:tabs>
              <w:spacing w:before="60" w:after="60"/>
              <w:rPr>
                <w:b/>
                <w:sz w:val="20"/>
                <w:szCs w:val="20"/>
              </w:rPr>
            </w:pPr>
            <w:r w:rsidRPr="006B4639">
              <w:rPr>
                <w:b/>
                <w:sz w:val="20"/>
                <w:szCs w:val="20"/>
              </w:rPr>
              <w:t>Chance of risk occurring</w:t>
            </w:r>
          </w:p>
        </w:tc>
        <w:tc>
          <w:tcPr>
            <w:tcW w:w="10348" w:type="dxa"/>
            <w:shd w:val="clear" w:color="auto" w:fill="002060"/>
          </w:tcPr>
          <w:p w14:paraId="1BAC3D14" w14:textId="77777777" w:rsidR="00A30755" w:rsidRPr="006B4639" w:rsidRDefault="00A30755" w:rsidP="00A30755">
            <w:pPr>
              <w:pStyle w:val="BodyText"/>
              <w:tabs>
                <w:tab w:val="clear" w:pos="4536"/>
                <w:tab w:val="clear" w:pos="6804"/>
                <w:tab w:val="clear" w:pos="9638"/>
                <w:tab w:val="left" w:pos="11340"/>
              </w:tabs>
              <w:spacing w:before="60" w:after="60"/>
              <w:rPr>
                <w:b/>
                <w:sz w:val="20"/>
                <w:szCs w:val="20"/>
              </w:rPr>
            </w:pPr>
            <w:r w:rsidRPr="006B4639">
              <w:rPr>
                <w:b/>
                <w:sz w:val="20"/>
                <w:szCs w:val="20"/>
              </w:rPr>
              <w:t>Qualitative description of risk occurring</w:t>
            </w:r>
          </w:p>
        </w:tc>
      </w:tr>
      <w:tr w:rsidR="00A30755" w:rsidRPr="006B4639" w14:paraId="7B0E485B" w14:textId="77777777" w:rsidTr="00120E27">
        <w:trPr>
          <w:trHeight w:val="340"/>
        </w:trPr>
        <w:tc>
          <w:tcPr>
            <w:tcW w:w="2376" w:type="dxa"/>
          </w:tcPr>
          <w:p w14:paraId="2D177C78" w14:textId="77777777" w:rsidR="00A30755" w:rsidRPr="006B4639" w:rsidRDefault="00A30755" w:rsidP="00A30755">
            <w:pPr>
              <w:pStyle w:val="BodyText"/>
              <w:tabs>
                <w:tab w:val="clear" w:pos="4536"/>
                <w:tab w:val="clear" w:pos="6804"/>
                <w:tab w:val="clear" w:pos="9638"/>
                <w:tab w:val="left" w:pos="11340"/>
              </w:tabs>
              <w:spacing w:before="60" w:after="60"/>
              <w:rPr>
                <w:b/>
                <w:sz w:val="20"/>
                <w:szCs w:val="20"/>
              </w:rPr>
            </w:pPr>
            <w:r w:rsidRPr="006B4639">
              <w:rPr>
                <w:b/>
                <w:sz w:val="20"/>
                <w:szCs w:val="20"/>
              </w:rPr>
              <w:t>Highly Likely</w:t>
            </w:r>
          </w:p>
        </w:tc>
        <w:tc>
          <w:tcPr>
            <w:tcW w:w="1872" w:type="dxa"/>
          </w:tcPr>
          <w:p w14:paraId="790ED657" w14:textId="77777777" w:rsidR="00A30755" w:rsidRPr="006B4639" w:rsidRDefault="00A30755" w:rsidP="00A30755">
            <w:pPr>
              <w:pStyle w:val="BodyText"/>
              <w:tabs>
                <w:tab w:val="clear" w:pos="4536"/>
                <w:tab w:val="clear" w:pos="6804"/>
                <w:tab w:val="clear" w:pos="9638"/>
                <w:tab w:val="left" w:pos="11340"/>
              </w:tabs>
              <w:spacing w:before="60" w:after="60"/>
              <w:rPr>
                <w:sz w:val="20"/>
                <w:szCs w:val="20"/>
              </w:rPr>
            </w:pPr>
            <w:r w:rsidRPr="006B4639">
              <w:rPr>
                <w:sz w:val="20"/>
                <w:szCs w:val="20"/>
              </w:rPr>
              <w:t>&gt;80%</w:t>
            </w:r>
          </w:p>
        </w:tc>
        <w:tc>
          <w:tcPr>
            <w:tcW w:w="10348" w:type="dxa"/>
          </w:tcPr>
          <w:p w14:paraId="4941C423" w14:textId="77777777" w:rsidR="00A30755" w:rsidRPr="006B4639" w:rsidRDefault="00A30755" w:rsidP="00A30755">
            <w:pPr>
              <w:pStyle w:val="BodyText"/>
              <w:tabs>
                <w:tab w:val="clear" w:pos="4536"/>
                <w:tab w:val="clear" w:pos="6804"/>
                <w:tab w:val="clear" w:pos="9638"/>
                <w:tab w:val="left" w:pos="11340"/>
              </w:tabs>
              <w:spacing w:before="60" w:after="60"/>
              <w:rPr>
                <w:sz w:val="20"/>
                <w:szCs w:val="20"/>
              </w:rPr>
            </w:pPr>
            <w:r w:rsidRPr="006B4639">
              <w:rPr>
                <w:sz w:val="20"/>
                <w:szCs w:val="20"/>
              </w:rPr>
              <w:t>The impact of the risk is expected to occur in most circumstances if the proposed option is implemented or is currently occurring</w:t>
            </w:r>
          </w:p>
        </w:tc>
      </w:tr>
      <w:tr w:rsidR="00A30755" w:rsidRPr="006B4639" w14:paraId="69EE879D" w14:textId="77777777" w:rsidTr="00120E27">
        <w:trPr>
          <w:trHeight w:val="178"/>
        </w:trPr>
        <w:tc>
          <w:tcPr>
            <w:tcW w:w="2376" w:type="dxa"/>
          </w:tcPr>
          <w:p w14:paraId="6DFABC7F" w14:textId="77777777" w:rsidR="00A30755" w:rsidRPr="006B4639" w:rsidRDefault="00A30755" w:rsidP="00A30755">
            <w:pPr>
              <w:pStyle w:val="BodyText"/>
              <w:tabs>
                <w:tab w:val="clear" w:pos="4536"/>
                <w:tab w:val="clear" w:pos="6804"/>
                <w:tab w:val="clear" w:pos="9638"/>
                <w:tab w:val="left" w:pos="11340"/>
              </w:tabs>
              <w:spacing w:before="60" w:after="60"/>
              <w:rPr>
                <w:b/>
                <w:sz w:val="20"/>
                <w:szCs w:val="20"/>
              </w:rPr>
            </w:pPr>
            <w:r w:rsidRPr="006B4639">
              <w:rPr>
                <w:b/>
                <w:sz w:val="20"/>
                <w:szCs w:val="20"/>
              </w:rPr>
              <w:t>Likely</w:t>
            </w:r>
          </w:p>
        </w:tc>
        <w:tc>
          <w:tcPr>
            <w:tcW w:w="1872" w:type="dxa"/>
          </w:tcPr>
          <w:p w14:paraId="471E54A3" w14:textId="77777777" w:rsidR="00A30755" w:rsidRPr="006B4639" w:rsidRDefault="00A30755" w:rsidP="00A30755">
            <w:pPr>
              <w:pStyle w:val="BodyText"/>
              <w:tabs>
                <w:tab w:val="clear" w:pos="4536"/>
                <w:tab w:val="clear" w:pos="6804"/>
                <w:tab w:val="clear" w:pos="9638"/>
                <w:tab w:val="left" w:pos="11340"/>
              </w:tabs>
              <w:spacing w:before="60" w:after="60"/>
              <w:rPr>
                <w:sz w:val="20"/>
                <w:szCs w:val="20"/>
              </w:rPr>
            </w:pPr>
            <w:r w:rsidRPr="006B4639">
              <w:rPr>
                <w:sz w:val="20"/>
                <w:szCs w:val="20"/>
              </w:rPr>
              <w:t>60-79%</w:t>
            </w:r>
          </w:p>
        </w:tc>
        <w:tc>
          <w:tcPr>
            <w:tcW w:w="10348" w:type="dxa"/>
          </w:tcPr>
          <w:p w14:paraId="71A1DED5" w14:textId="77777777" w:rsidR="00A30755" w:rsidRPr="006B4639" w:rsidRDefault="00A30755" w:rsidP="00A30755">
            <w:pPr>
              <w:pStyle w:val="BodyText"/>
              <w:tabs>
                <w:tab w:val="clear" w:pos="4536"/>
                <w:tab w:val="clear" w:pos="6804"/>
                <w:tab w:val="clear" w:pos="9638"/>
                <w:tab w:val="left" w:pos="11340"/>
              </w:tabs>
              <w:spacing w:before="60" w:after="60"/>
              <w:rPr>
                <w:sz w:val="20"/>
                <w:szCs w:val="20"/>
              </w:rPr>
            </w:pPr>
            <w:r w:rsidRPr="006B4639">
              <w:rPr>
                <w:sz w:val="20"/>
                <w:szCs w:val="20"/>
              </w:rPr>
              <w:t>The impact of the risk will probably occur if the proposed option is implemented</w:t>
            </w:r>
          </w:p>
        </w:tc>
      </w:tr>
      <w:tr w:rsidR="00A30755" w:rsidRPr="006B4639" w14:paraId="22DA986A" w14:textId="77777777" w:rsidTr="00120E27">
        <w:trPr>
          <w:trHeight w:val="239"/>
        </w:trPr>
        <w:tc>
          <w:tcPr>
            <w:tcW w:w="2376" w:type="dxa"/>
          </w:tcPr>
          <w:p w14:paraId="7ED58426" w14:textId="77777777" w:rsidR="00A30755" w:rsidRPr="006B4639" w:rsidRDefault="00A30755" w:rsidP="00A30755">
            <w:pPr>
              <w:pStyle w:val="BodyText"/>
              <w:tabs>
                <w:tab w:val="clear" w:pos="4536"/>
                <w:tab w:val="clear" w:pos="6804"/>
                <w:tab w:val="clear" w:pos="9638"/>
                <w:tab w:val="left" w:pos="11340"/>
              </w:tabs>
              <w:spacing w:before="60" w:after="60"/>
              <w:rPr>
                <w:b/>
                <w:sz w:val="20"/>
                <w:szCs w:val="20"/>
              </w:rPr>
            </w:pPr>
            <w:r w:rsidRPr="006B4639">
              <w:rPr>
                <w:b/>
                <w:sz w:val="20"/>
                <w:szCs w:val="20"/>
              </w:rPr>
              <w:t>Possible</w:t>
            </w:r>
          </w:p>
        </w:tc>
        <w:tc>
          <w:tcPr>
            <w:tcW w:w="1872" w:type="dxa"/>
          </w:tcPr>
          <w:p w14:paraId="603B9825" w14:textId="77777777" w:rsidR="00A30755" w:rsidRPr="006B4639" w:rsidRDefault="00A30755" w:rsidP="00A30755">
            <w:pPr>
              <w:pStyle w:val="BodyText"/>
              <w:tabs>
                <w:tab w:val="clear" w:pos="4536"/>
                <w:tab w:val="clear" w:pos="6804"/>
                <w:tab w:val="clear" w:pos="9638"/>
                <w:tab w:val="left" w:pos="11340"/>
              </w:tabs>
              <w:spacing w:before="60" w:after="60"/>
              <w:rPr>
                <w:sz w:val="20"/>
                <w:szCs w:val="20"/>
              </w:rPr>
            </w:pPr>
            <w:r w:rsidRPr="006B4639">
              <w:rPr>
                <w:sz w:val="20"/>
                <w:szCs w:val="20"/>
              </w:rPr>
              <w:t>29-59%</w:t>
            </w:r>
          </w:p>
        </w:tc>
        <w:tc>
          <w:tcPr>
            <w:tcW w:w="10348" w:type="dxa"/>
          </w:tcPr>
          <w:p w14:paraId="6948A479" w14:textId="77777777" w:rsidR="00A30755" w:rsidRPr="006B4639" w:rsidRDefault="00A30755" w:rsidP="00A30755">
            <w:pPr>
              <w:pStyle w:val="BodyText"/>
              <w:tabs>
                <w:tab w:val="clear" w:pos="4536"/>
                <w:tab w:val="clear" w:pos="6804"/>
                <w:tab w:val="clear" w:pos="9638"/>
                <w:tab w:val="left" w:pos="11340"/>
              </w:tabs>
              <w:spacing w:before="60" w:after="60"/>
              <w:rPr>
                <w:sz w:val="20"/>
                <w:szCs w:val="20"/>
              </w:rPr>
            </w:pPr>
            <w:r w:rsidRPr="006B4639">
              <w:rPr>
                <w:sz w:val="20"/>
                <w:szCs w:val="20"/>
              </w:rPr>
              <w:t>The impact of the risk might occur at some time if the proposed option is implemented</w:t>
            </w:r>
          </w:p>
        </w:tc>
      </w:tr>
      <w:tr w:rsidR="00A30755" w:rsidRPr="006B4639" w14:paraId="7E5F87AD" w14:textId="77777777" w:rsidTr="00120E27">
        <w:trPr>
          <w:trHeight w:val="174"/>
        </w:trPr>
        <w:tc>
          <w:tcPr>
            <w:tcW w:w="2376" w:type="dxa"/>
          </w:tcPr>
          <w:p w14:paraId="3715E7E9" w14:textId="77777777" w:rsidR="00A30755" w:rsidRPr="006B4639" w:rsidRDefault="00A30755" w:rsidP="00A30755">
            <w:pPr>
              <w:pStyle w:val="BodyText"/>
              <w:tabs>
                <w:tab w:val="clear" w:pos="4536"/>
                <w:tab w:val="clear" w:pos="6804"/>
                <w:tab w:val="clear" w:pos="9638"/>
                <w:tab w:val="left" w:pos="11340"/>
              </w:tabs>
              <w:spacing w:before="60" w:after="60"/>
              <w:rPr>
                <w:b/>
                <w:sz w:val="20"/>
                <w:szCs w:val="20"/>
              </w:rPr>
            </w:pPr>
            <w:r w:rsidRPr="006B4639">
              <w:rPr>
                <w:b/>
                <w:sz w:val="20"/>
                <w:szCs w:val="20"/>
              </w:rPr>
              <w:t>Unlikely</w:t>
            </w:r>
          </w:p>
        </w:tc>
        <w:tc>
          <w:tcPr>
            <w:tcW w:w="1872" w:type="dxa"/>
          </w:tcPr>
          <w:p w14:paraId="5E6EA178" w14:textId="77777777" w:rsidR="00A30755" w:rsidRPr="006B4639" w:rsidRDefault="00A30755" w:rsidP="00A30755">
            <w:pPr>
              <w:pStyle w:val="BodyText"/>
              <w:tabs>
                <w:tab w:val="clear" w:pos="4536"/>
                <w:tab w:val="clear" w:pos="6804"/>
                <w:tab w:val="clear" w:pos="9638"/>
                <w:tab w:val="left" w:pos="11340"/>
              </w:tabs>
              <w:spacing w:before="60" w:after="60"/>
              <w:rPr>
                <w:sz w:val="20"/>
                <w:szCs w:val="20"/>
              </w:rPr>
            </w:pPr>
            <w:r w:rsidRPr="006B4639">
              <w:rPr>
                <w:sz w:val="20"/>
                <w:szCs w:val="20"/>
              </w:rPr>
              <w:t>10-29%</w:t>
            </w:r>
          </w:p>
        </w:tc>
        <w:tc>
          <w:tcPr>
            <w:tcW w:w="10348" w:type="dxa"/>
          </w:tcPr>
          <w:p w14:paraId="553571E7" w14:textId="77777777" w:rsidR="00A30755" w:rsidRPr="006B4639" w:rsidRDefault="00A30755" w:rsidP="00A30755">
            <w:pPr>
              <w:pStyle w:val="BodyText"/>
              <w:tabs>
                <w:tab w:val="clear" w:pos="4536"/>
                <w:tab w:val="clear" w:pos="6804"/>
                <w:tab w:val="clear" w:pos="9638"/>
                <w:tab w:val="left" w:pos="11340"/>
              </w:tabs>
              <w:spacing w:before="60" w:after="60"/>
              <w:rPr>
                <w:sz w:val="20"/>
                <w:szCs w:val="20"/>
              </w:rPr>
            </w:pPr>
            <w:r w:rsidRPr="006B4639">
              <w:rPr>
                <w:sz w:val="20"/>
                <w:szCs w:val="20"/>
              </w:rPr>
              <w:t>The impact of the risk could occur but considered unlikely or doubtful if the proposed option is implemented</w:t>
            </w:r>
          </w:p>
        </w:tc>
      </w:tr>
      <w:tr w:rsidR="00A30755" w:rsidRPr="006B4639" w14:paraId="54C0F85C" w14:textId="77777777" w:rsidTr="00120E27">
        <w:trPr>
          <w:trHeight w:val="94"/>
        </w:trPr>
        <w:tc>
          <w:tcPr>
            <w:tcW w:w="2376" w:type="dxa"/>
          </w:tcPr>
          <w:p w14:paraId="31E4F31B" w14:textId="77777777" w:rsidR="00A30755" w:rsidRPr="006B4639" w:rsidRDefault="00A30755" w:rsidP="00A30755">
            <w:pPr>
              <w:pStyle w:val="BodyText"/>
              <w:tabs>
                <w:tab w:val="clear" w:pos="4536"/>
                <w:tab w:val="clear" w:pos="6804"/>
                <w:tab w:val="clear" w:pos="9638"/>
                <w:tab w:val="left" w:pos="11340"/>
              </w:tabs>
              <w:spacing w:before="60" w:after="60"/>
              <w:rPr>
                <w:b/>
                <w:sz w:val="20"/>
                <w:szCs w:val="20"/>
              </w:rPr>
            </w:pPr>
            <w:r w:rsidRPr="006B4639">
              <w:rPr>
                <w:b/>
                <w:sz w:val="20"/>
                <w:szCs w:val="20"/>
              </w:rPr>
              <w:t>Rare</w:t>
            </w:r>
          </w:p>
        </w:tc>
        <w:tc>
          <w:tcPr>
            <w:tcW w:w="1872" w:type="dxa"/>
          </w:tcPr>
          <w:p w14:paraId="374F2501" w14:textId="77777777" w:rsidR="00A30755" w:rsidRPr="006B4639" w:rsidRDefault="00A30755" w:rsidP="00A30755">
            <w:pPr>
              <w:pStyle w:val="BodyText"/>
              <w:tabs>
                <w:tab w:val="clear" w:pos="4536"/>
                <w:tab w:val="clear" w:pos="6804"/>
                <w:tab w:val="clear" w:pos="9638"/>
                <w:tab w:val="left" w:pos="11340"/>
              </w:tabs>
              <w:spacing w:before="60" w:after="60"/>
              <w:rPr>
                <w:sz w:val="20"/>
                <w:szCs w:val="20"/>
              </w:rPr>
            </w:pPr>
            <w:r w:rsidRPr="006B4639">
              <w:rPr>
                <w:sz w:val="20"/>
                <w:szCs w:val="20"/>
              </w:rPr>
              <w:t>&lt;10%</w:t>
            </w:r>
          </w:p>
        </w:tc>
        <w:tc>
          <w:tcPr>
            <w:tcW w:w="10348" w:type="dxa"/>
          </w:tcPr>
          <w:p w14:paraId="724B7B2A" w14:textId="77777777" w:rsidR="00A30755" w:rsidRPr="006B4639" w:rsidRDefault="00A30755" w:rsidP="00A30755">
            <w:pPr>
              <w:pStyle w:val="BodyText"/>
              <w:tabs>
                <w:tab w:val="clear" w:pos="4536"/>
                <w:tab w:val="clear" w:pos="6804"/>
                <w:tab w:val="clear" w:pos="9638"/>
                <w:tab w:val="left" w:pos="11340"/>
              </w:tabs>
              <w:spacing w:before="60" w:after="60"/>
              <w:rPr>
                <w:sz w:val="20"/>
                <w:szCs w:val="20"/>
              </w:rPr>
            </w:pPr>
            <w:r w:rsidRPr="006B4639">
              <w:rPr>
                <w:sz w:val="20"/>
                <w:szCs w:val="20"/>
              </w:rPr>
              <w:t>The impact of the risk may occur in exceptional circumstances if the proposed option is implemented</w:t>
            </w:r>
          </w:p>
        </w:tc>
      </w:tr>
    </w:tbl>
    <w:p w14:paraId="0A04D63D" w14:textId="77777777" w:rsidR="000C687D" w:rsidRPr="006B4639" w:rsidRDefault="000C687D">
      <w:pPr>
        <w:rPr>
          <w:lang w:eastAsia="en-US"/>
        </w:rPr>
      </w:pPr>
    </w:p>
    <w:p w14:paraId="769B9C74" w14:textId="77777777" w:rsidR="000B0C37" w:rsidRPr="0024211F" w:rsidRDefault="00D957D5" w:rsidP="003626DF">
      <w:pPr>
        <w:keepNext/>
        <w:tabs>
          <w:tab w:val="left" w:pos="2268"/>
          <w:tab w:val="left" w:pos="11340"/>
        </w:tabs>
        <w:spacing w:before="240"/>
        <w:rPr>
          <w:b/>
        </w:rPr>
      </w:pPr>
      <w:r>
        <w:rPr>
          <w:b/>
        </w:rPr>
        <w:lastRenderedPageBreak/>
        <w:t xml:space="preserve">Table C.3: </w:t>
      </w:r>
      <w:r w:rsidR="000B0C37" w:rsidRPr="0024211F">
        <w:rPr>
          <w:b/>
        </w:rPr>
        <w:t xml:space="preserve">Description </w:t>
      </w:r>
      <w:r w:rsidR="000B0C37">
        <w:rPr>
          <w:b/>
        </w:rPr>
        <w:t>of</w:t>
      </w:r>
      <w:r w:rsidR="000B0C37" w:rsidRPr="0024211F">
        <w:rPr>
          <w:b/>
        </w:rPr>
        <w:t xml:space="preserve"> risk consequence </w:t>
      </w:r>
    </w:p>
    <w:tbl>
      <w:tblPr>
        <w:tblStyle w:val="TableGridLight1"/>
        <w:tblW w:w="0" w:type="auto"/>
        <w:tblLook w:val="04A0" w:firstRow="1" w:lastRow="0" w:firstColumn="1" w:lastColumn="0" w:noHBand="0" w:noVBand="1"/>
      </w:tblPr>
      <w:tblGrid>
        <w:gridCol w:w="1686"/>
        <w:gridCol w:w="12024"/>
      </w:tblGrid>
      <w:tr w:rsidR="000B0C37" w:rsidRPr="000B0C37" w14:paraId="599AE21B" w14:textId="77777777" w:rsidTr="000B0C37">
        <w:trPr>
          <w:trHeight w:val="420"/>
        </w:trPr>
        <w:tc>
          <w:tcPr>
            <w:tcW w:w="1696" w:type="dxa"/>
            <w:shd w:val="clear" w:color="auto" w:fill="002060"/>
          </w:tcPr>
          <w:p w14:paraId="4ACDF41E" w14:textId="77777777" w:rsidR="000B0C37" w:rsidRPr="000B0C37" w:rsidRDefault="000B0C37" w:rsidP="003626DF">
            <w:pPr>
              <w:keepNext/>
              <w:tabs>
                <w:tab w:val="left" w:pos="2268"/>
                <w:tab w:val="left" w:pos="11340"/>
              </w:tabs>
              <w:spacing w:before="100" w:after="100"/>
              <w:rPr>
                <w:b/>
                <w:sz w:val="20"/>
                <w:szCs w:val="20"/>
              </w:rPr>
            </w:pPr>
            <w:r w:rsidRPr="000B0C37">
              <w:rPr>
                <w:b/>
                <w:sz w:val="20"/>
                <w:szCs w:val="20"/>
              </w:rPr>
              <w:t>Consequence description</w:t>
            </w:r>
          </w:p>
        </w:tc>
        <w:tc>
          <w:tcPr>
            <w:tcW w:w="12694" w:type="dxa"/>
            <w:shd w:val="clear" w:color="auto" w:fill="002060"/>
          </w:tcPr>
          <w:p w14:paraId="5A1B04FA" w14:textId="77777777" w:rsidR="000B0C37" w:rsidRPr="000B0C37" w:rsidRDefault="000B0C37" w:rsidP="003626DF">
            <w:pPr>
              <w:keepNext/>
              <w:tabs>
                <w:tab w:val="left" w:pos="2268"/>
                <w:tab w:val="left" w:pos="11340"/>
              </w:tabs>
              <w:spacing w:before="100" w:after="100"/>
              <w:rPr>
                <w:b/>
                <w:sz w:val="20"/>
                <w:szCs w:val="20"/>
              </w:rPr>
            </w:pPr>
            <w:r w:rsidRPr="000B0C37">
              <w:rPr>
                <w:b/>
                <w:sz w:val="20"/>
                <w:szCs w:val="20"/>
              </w:rPr>
              <w:t>Consequence of risk occurring on gas market</w:t>
            </w:r>
          </w:p>
        </w:tc>
      </w:tr>
      <w:tr w:rsidR="000B0C37" w:rsidRPr="000B0C37" w14:paraId="13493A97" w14:textId="77777777" w:rsidTr="000B0C37">
        <w:trPr>
          <w:trHeight w:val="1009"/>
        </w:trPr>
        <w:tc>
          <w:tcPr>
            <w:tcW w:w="1696" w:type="dxa"/>
          </w:tcPr>
          <w:p w14:paraId="25E1063E" w14:textId="77777777" w:rsidR="000B0C37" w:rsidRPr="000B0C37" w:rsidRDefault="000B0C37" w:rsidP="000B0C37">
            <w:pPr>
              <w:tabs>
                <w:tab w:val="left" w:pos="2268"/>
                <w:tab w:val="left" w:pos="11340"/>
              </w:tabs>
              <w:spacing w:before="100" w:after="100"/>
              <w:rPr>
                <w:sz w:val="20"/>
                <w:szCs w:val="20"/>
              </w:rPr>
            </w:pPr>
            <w:r w:rsidRPr="000B0C37">
              <w:rPr>
                <w:sz w:val="20"/>
                <w:szCs w:val="20"/>
              </w:rPr>
              <w:t>Critical</w:t>
            </w:r>
          </w:p>
        </w:tc>
        <w:tc>
          <w:tcPr>
            <w:tcW w:w="12694" w:type="dxa"/>
          </w:tcPr>
          <w:p w14:paraId="44B94999" w14:textId="77777777" w:rsidR="000B0C37" w:rsidRPr="000B0C37" w:rsidRDefault="000B0C37" w:rsidP="000B0C37">
            <w:pPr>
              <w:tabs>
                <w:tab w:val="left" w:pos="2268"/>
                <w:tab w:val="left" w:pos="11340"/>
              </w:tabs>
              <w:spacing w:before="100" w:after="100"/>
              <w:rPr>
                <w:sz w:val="20"/>
                <w:szCs w:val="20"/>
              </w:rPr>
            </w:pPr>
            <w:r w:rsidRPr="000B0C37">
              <w:rPr>
                <w:sz w:val="20"/>
                <w:szCs w:val="20"/>
              </w:rPr>
              <w:t xml:space="preserve">Eventuation of the risk would have a critical impact on the efficient transportation of gas and the efficient operation of the gas market, by: (a) making it extremely difficult to obtain access to transportation services, or to obtain access at a reasonable price (i.e. the price that would prevail in a workably competitive market); (b) severely impeding the incentive to invest in pipelines; or (c) imposing excessive costs (e.g. administrative, compliance, search and transaction costs etc) on </w:t>
            </w:r>
            <w:r w:rsidR="00A70C00">
              <w:rPr>
                <w:sz w:val="20"/>
                <w:szCs w:val="20"/>
              </w:rPr>
              <w:t>decision-maker</w:t>
            </w:r>
            <w:r w:rsidRPr="000B0C37">
              <w:rPr>
                <w:sz w:val="20"/>
                <w:szCs w:val="20"/>
              </w:rPr>
              <w:t xml:space="preserve">s, regulators, service providers and/or shippers. </w:t>
            </w:r>
          </w:p>
        </w:tc>
      </w:tr>
      <w:tr w:rsidR="000B0C37" w:rsidRPr="000B0C37" w14:paraId="76618986" w14:textId="77777777" w:rsidTr="000B0C37">
        <w:trPr>
          <w:trHeight w:val="999"/>
        </w:trPr>
        <w:tc>
          <w:tcPr>
            <w:tcW w:w="1696" w:type="dxa"/>
          </w:tcPr>
          <w:p w14:paraId="7B597BAF" w14:textId="77777777" w:rsidR="000B0C37" w:rsidRPr="000B0C37" w:rsidRDefault="000B0C37" w:rsidP="000B0C37">
            <w:pPr>
              <w:tabs>
                <w:tab w:val="left" w:pos="2268"/>
                <w:tab w:val="left" w:pos="11340"/>
              </w:tabs>
              <w:spacing w:before="100" w:after="100"/>
              <w:rPr>
                <w:sz w:val="20"/>
                <w:szCs w:val="20"/>
              </w:rPr>
            </w:pPr>
            <w:r w:rsidRPr="000B0C37">
              <w:rPr>
                <w:sz w:val="20"/>
                <w:szCs w:val="20"/>
              </w:rPr>
              <w:t>Major</w:t>
            </w:r>
          </w:p>
        </w:tc>
        <w:tc>
          <w:tcPr>
            <w:tcW w:w="12694" w:type="dxa"/>
          </w:tcPr>
          <w:p w14:paraId="32EAD7B2" w14:textId="77777777" w:rsidR="000B0C37" w:rsidRPr="000B0C37" w:rsidRDefault="000B0C37" w:rsidP="000B0C37">
            <w:pPr>
              <w:tabs>
                <w:tab w:val="left" w:pos="2268"/>
                <w:tab w:val="left" w:pos="11340"/>
              </w:tabs>
              <w:spacing w:before="100" w:after="100"/>
              <w:rPr>
                <w:sz w:val="20"/>
                <w:szCs w:val="20"/>
                <w:highlight w:val="yellow"/>
              </w:rPr>
            </w:pPr>
            <w:r w:rsidRPr="000B0C37">
              <w:rPr>
                <w:sz w:val="20"/>
                <w:szCs w:val="20"/>
              </w:rPr>
              <w:t xml:space="preserve">Eventuation of the risk would have a major impact on the efficient transportation of gas and the efficient operation of the gas market, by: (a) making it very difficult to obtain access to transportation services, or to obtain access at a reasonable price (i.e. the price that would prevail in a workably competitive market); (b) substantially impeding the incentive to invest in pipelines; or (c) imposing significant costs (e.g. administrative, compliance, search and transaction costs etc) on </w:t>
            </w:r>
            <w:r w:rsidR="00A70C00">
              <w:rPr>
                <w:sz w:val="20"/>
                <w:szCs w:val="20"/>
              </w:rPr>
              <w:t>decision-maker</w:t>
            </w:r>
            <w:r w:rsidRPr="000B0C37">
              <w:rPr>
                <w:sz w:val="20"/>
                <w:szCs w:val="20"/>
              </w:rPr>
              <w:t xml:space="preserve">s, regulators, service providers and/or shippers. </w:t>
            </w:r>
          </w:p>
        </w:tc>
      </w:tr>
      <w:tr w:rsidR="000B0C37" w:rsidRPr="000B0C37" w14:paraId="7636A9F9" w14:textId="77777777" w:rsidTr="000B0C37">
        <w:trPr>
          <w:trHeight w:val="889"/>
        </w:trPr>
        <w:tc>
          <w:tcPr>
            <w:tcW w:w="1696" w:type="dxa"/>
          </w:tcPr>
          <w:p w14:paraId="16E5CCEC" w14:textId="77777777" w:rsidR="000B0C37" w:rsidRPr="000B0C37" w:rsidRDefault="000B0C37" w:rsidP="000B0C37">
            <w:pPr>
              <w:tabs>
                <w:tab w:val="left" w:pos="2268"/>
                <w:tab w:val="left" w:pos="11340"/>
              </w:tabs>
              <w:spacing w:before="100" w:after="100"/>
              <w:rPr>
                <w:sz w:val="20"/>
                <w:szCs w:val="20"/>
              </w:rPr>
            </w:pPr>
            <w:r w:rsidRPr="000B0C37">
              <w:rPr>
                <w:sz w:val="20"/>
                <w:szCs w:val="20"/>
              </w:rPr>
              <w:t>High</w:t>
            </w:r>
          </w:p>
        </w:tc>
        <w:tc>
          <w:tcPr>
            <w:tcW w:w="12694" w:type="dxa"/>
          </w:tcPr>
          <w:p w14:paraId="08F33B4D" w14:textId="77777777" w:rsidR="000B0C37" w:rsidRPr="000B0C37" w:rsidRDefault="000B0C37" w:rsidP="000B0C37">
            <w:pPr>
              <w:tabs>
                <w:tab w:val="left" w:pos="2268"/>
                <w:tab w:val="left" w:pos="11340"/>
              </w:tabs>
              <w:spacing w:before="100" w:after="100"/>
              <w:rPr>
                <w:sz w:val="20"/>
                <w:szCs w:val="20"/>
                <w:highlight w:val="yellow"/>
              </w:rPr>
            </w:pPr>
            <w:r w:rsidRPr="000B0C37">
              <w:rPr>
                <w:sz w:val="20"/>
                <w:szCs w:val="20"/>
              </w:rPr>
              <w:t xml:space="preserve">Eventuation of the risk would have a high impact on the efficient transportation of gas and the efficient operation of the gas market, by: (a) making it difficult to obtain access to transportation services, or to obtain access at a reasonable price (i.e. the price that would prevail in a workably competitive market); (b) impeding the incentive to invest in pipelines, or (c) imposing relatively high costs (e.g. administrative, compliance, search and transaction costs etc) on </w:t>
            </w:r>
            <w:r w:rsidR="00A70C00">
              <w:rPr>
                <w:sz w:val="20"/>
                <w:szCs w:val="20"/>
              </w:rPr>
              <w:t>decision-maker</w:t>
            </w:r>
            <w:r w:rsidRPr="000B0C37">
              <w:rPr>
                <w:sz w:val="20"/>
                <w:szCs w:val="20"/>
              </w:rPr>
              <w:t xml:space="preserve">s, regulators, service providers and/or shippers. </w:t>
            </w:r>
          </w:p>
        </w:tc>
      </w:tr>
      <w:tr w:rsidR="000B0C37" w:rsidRPr="000B0C37" w14:paraId="75EDFB06" w14:textId="77777777" w:rsidTr="000B0C37">
        <w:trPr>
          <w:trHeight w:val="1240"/>
        </w:trPr>
        <w:tc>
          <w:tcPr>
            <w:tcW w:w="1696" w:type="dxa"/>
          </w:tcPr>
          <w:p w14:paraId="2A23ADB8" w14:textId="77777777" w:rsidR="000B0C37" w:rsidRPr="000B0C37" w:rsidRDefault="000B0C37" w:rsidP="000B0C37">
            <w:pPr>
              <w:tabs>
                <w:tab w:val="left" w:pos="2268"/>
                <w:tab w:val="left" w:pos="11340"/>
              </w:tabs>
              <w:spacing w:before="100" w:after="100"/>
              <w:rPr>
                <w:sz w:val="20"/>
                <w:szCs w:val="20"/>
              </w:rPr>
            </w:pPr>
            <w:r w:rsidRPr="000B0C37">
              <w:rPr>
                <w:sz w:val="20"/>
                <w:szCs w:val="20"/>
              </w:rPr>
              <w:t>Moderate</w:t>
            </w:r>
          </w:p>
        </w:tc>
        <w:tc>
          <w:tcPr>
            <w:tcW w:w="12694" w:type="dxa"/>
          </w:tcPr>
          <w:p w14:paraId="35CC33DA" w14:textId="77777777" w:rsidR="000B0C37" w:rsidRPr="000B0C37" w:rsidRDefault="000B0C37" w:rsidP="000B0C37">
            <w:pPr>
              <w:tabs>
                <w:tab w:val="left" w:pos="2268"/>
                <w:tab w:val="left" w:pos="11340"/>
              </w:tabs>
              <w:spacing w:before="100" w:after="100"/>
              <w:rPr>
                <w:sz w:val="20"/>
                <w:szCs w:val="20"/>
                <w:highlight w:val="yellow"/>
              </w:rPr>
            </w:pPr>
            <w:r w:rsidRPr="000B0C37">
              <w:rPr>
                <w:sz w:val="20"/>
                <w:szCs w:val="20"/>
              </w:rPr>
              <w:t xml:space="preserve">Eventuation of the risk would have a moderate impact on the efficient transportation of gas and the efficient operation of the gas market, by either: (a) making it somewhat difficult to obtain access to transportation services, or to obtain access at a reasonable price (i.e. the price that would prevail in a workably competitive market); (b) impeding the incentive to invest in pipelines; or (c) imposing moderate costs (e.g. administrative, compliance, search and transaction costs etc) on </w:t>
            </w:r>
            <w:r w:rsidR="00A70C00">
              <w:rPr>
                <w:sz w:val="20"/>
                <w:szCs w:val="20"/>
              </w:rPr>
              <w:t>decision-maker</w:t>
            </w:r>
            <w:r w:rsidRPr="000B0C37">
              <w:rPr>
                <w:sz w:val="20"/>
                <w:szCs w:val="20"/>
              </w:rPr>
              <w:t xml:space="preserve">s, regulators, service providers and/or shippers. </w:t>
            </w:r>
          </w:p>
        </w:tc>
      </w:tr>
      <w:tr w:rsidR="000B0C37" w:rsidRPr="000B0C37" w14:paraId="07FD419F" w14:textId="77777777" w:rsidTr="000B0C37">
        <w:trPr>
          <w:trHeight w:val="765"/>
        </w:trPr>
        <w:tc>
          <w:tcPr>
            <w:tcW w:w="1696" w:type="dxa"/>
          </w:tcPr>
          <w:p w14:paraId="45C4044C" w14:textId="77777777" w:rsidR="000B0C37" w:rsidRPr="000B0C37" w:rsidRDefault="000B0C37" w:rsidP="000B0C37">
            <w:pPr>
              <w:tabs>
                <w:tab w:val="left" w:pos="2268"/>
                <w:tab w:val="left" w:pos="11340"/>
              </w:tabs>
              <w:spacing w:before="100" w:after="100"/>
              <w:rPr>
                <w:sz w:val="20"/>
                <w:szCs w:val="20"/>
              </w:rPr>
            </w:pPr>
            <w:r w:rsidRPr="000B0C37">
              <w:rPr>
                <w:sz w:val="20"/>
                <w:szCs w:val="20"/>
              </w:rPr>
              <w:t>Minor</w:t>
            </w:r>
          </w:p>
        </w:tc>
        <w:tc>
          <w:tcPr>
            <w:tcW w:w="12694" w:type="dxa"/>
          </w:tcPr>
          <w:p w14:paraId="0BE5BFD7" w14:textId="77777777" w:rsidR="000B0C37" w:rsidRPr="000B0C37" w:rsidRDefault="000B0C37" w:rsidP="000B0C37">
            <w:pPr>
              <w:tabs>
                <w:tab w:val="left" w:pos="2268"/>
                <w:tab w:val="left" w:pos="11340"/>
              </w:tabs>
              <w:spacing w:before="100" w:after="100"/>
              <w:rPr>
                <w:sz w:val="20"/>
                <w:szCs w:val="20"/>
                <w:highlight w:val="yellow"/>
              </w:rPr>
            </w:pPr>
            <w:r w:rsidRPr="000B0C37">
              <w:rPr>
                <w:sz w:val="20"/>
                <w:szCs w:val="20"/>
              </w:rPr>
              <w:t xml:space="preserve">Eventuation of the risk would have a minor impact on the efficient transportation of gas and the efficient operation of the gas market, by: (a) making it difficult to obtain access to transportation services, or to obtain access at a reasonable price (i.e. the price that would prevail in a workably competitive market); (b) impeding the incentive to invest in pipelines; or (c) imposing minor costs (e.g. administrative, compliance, search and transaction costs etc) on </w:t>
            </w:r>
            <w:r w:rsidR="00A70C00">
              <w:rPr>
                <w:sz w:val="20"/>
                <w:szCs w:val="20"/>
              </w:rPr>
              <w:t>decision-maker</w:t>
            </w:r>
            <w:r w:rsidRPr="000B0C37">
              <w:rPr>
                <w:sz w:val="20"/>
                <w:szCs w:val="20"/>
              </w:rPr>
              <w:t xml:space="preserve">s, regulators, service providers and/or shippers. </w:t>
            </w:r>
          </w:p>
        </w:tc>
      </w:tr>
    </w:tbl>
    <w:p w14:paraId="19CB322D" w14:textId="77777777" w:rsidR="004F3A4F" w:rsidRDefault="004F3A4F">
      <w:pPr>
        <w:rPr>
          <w:lang w:eastAsia="en-US"/>
        </w:rPr>
      </w:pPr>
      <w:r>
        <w:rPr>
          <w:lang w:eastAsia="en-US"/>
        </w:rPr>
        <w:br w:type="page"/>
      </w:r>
    </w:p>
    <w:p w14:paraId="2350B1C8" w14:textId="77777777" w:rsidR="000B0C37" w:rsidRDefault="00D957D5" w:rsidP="004730E8">
      <w:pPr>
        <w:pStyle w:val="AppendixHeading2"/>
        <w:spacing w:after="120"/>
      </w:pPr>
      <w:r>
        <w:lastRenderedPageBreak/>
        <w:t>Final results of the risk analysis</w:t>
      </w:r>
    </w:p>
    <w:p w14:paraId="69C0F96E" w14:textId="77777777" w:rsidR="00CA4BEF" w:rsidRDefault="00CA4BEF" w:rsidP="004F3A4F">
      <w:pPr>
        <w:autoSpaceDE w:val="0"/>
        <w:autoSpaceDN w:val="0"/>
        <w:adjustRightInd w:val="0"/>
        <w:spacing w:after="240" w:line="240" w:lineRule="auto"/>
        <w:rPr>
          <w:rFonts w:cs="Arial"/>
          <w:color w:val="000000"/>
        </w:rPr>
      </w:pPr>
      <w:r>
        <w:rPr>
          <w:rFonts w:cs="Arial"/>
          <w:color w:val="000000"/>
        </w:rPr>
        <w:t>The final results of the risk analysis are set out below, with:</w:t>
      </w:r>
    </w:p>
    <w:p w14:paraId="2B2DDE82" w14:textId="77777777" w:rsidR="00CA4BEF" w:rsidRDefault="00D91315" w:rsidP="00AD36B8">
      <w:pPr>
        <w:pStyle w:val="ListBullet"/>
      </w:pPr>
      <w:r w:rsidRPr="008C0694">
        <w:t xml:space="preserve">Table C.4 </w:t>
      </w:r>
      <w:r w:rsidR="00CA4BEF">
        <w:t xml:space="preserve">setting </w:t>
      </w:r>
      <w:r w:rsidRPr="008C0694">
        <w:t xml:space="preserve">out the </w:t>
      </w:r>
      <w:r w:rsidR="00E429F7">
        <w:t>risks associated with the status quo</w:t>
      </w:r>
      <w:r w:rsidR="00CA4BEF">
        <w:t>;</w:t>
      </w:r>
    </w:p>
    <w:p w14:paraId="19BDEA22" w14:textId="77777777" w:rsidR="00BB1FEF" w:rsidRDefault="00391E12" w:rsidP="00AD36B8">
      <w:pPr>
        <w:pStyle w:val="ListBullet"/>
      </w:pPr>
      <w:r>
        <w:t xml:space="preserve">Table C.5 </w:t>
      </w:r>
      <w:r w:rsidR="00CA4BEF">
        <w:t xml:space="preserve">setting </w:t>
      </w:r>
      <w:r>
        <w:t>out how these risks would change under the reform options</w:t>
      </w:r>
      <w:r w:rsidR="00CA4BEF">
        <w:t xml:space="preserve"> and the additional risks associated with these options </w:t>
      </w:r>
      <w:r w:rsidR="00BB1FEF">
        <w:t xml:space="preserve">– note that </w:t>
      </w:r>
      <w:r w:rsidR="00CA4BEF">
        <w:t>i</w:t>
      </w:r>
      <w:r w:rsidR="00171076">
        <w:t>n most cases, the reform options are expected to reduce the likelihood of the risk arising but not the consequence, although there are some elements of the Options 3B and 4 that could increase the consequence of the risk</w:t>
      </w:r>
      <w:r w:rsidR="00BB1FEF">
        <w:t>; and</w:t>
      </w:r>
    </w:p>
    <w:p w14:paraId="25CBEA14" w14:textId="3DAD5961" w:rsidR="00D91315" w:rsidRPr="00D91315" w:rsidRDefault="00BB1FEF" w:rsidP="00AD36B8">
      <w:pPr>
        <w:pStyle w:val="ListBullet"/>
      </w:pPr>
      <w:r>
        <w:t xml:space="preserve">Table C.6 setting out the residual risk rating associated with each </w:t>
      </w:r>
      <w:r w:rsidR="00D130E7">
        <w:t>policy option</w:t>
      </w:r>
      <w:r w:rsidR="00002027">
        <w:t xml:space="preserve">, which reflects the </w:t>
      </w:r>
      <w:r w:rsidR="00044190">
        <w:t>range surrounding the ‘residual risk likelihood’, the ‘residual risk consequence’ and the ‘residual risk rating’ in Table C.5</w:t>
      </w:r>
      <w:r w:rsidR="00D130E7">
        <w:t>.</w:t>
      </w:r>
    </w:p>
    <w:p w14:paraId="1ADFBEEF" w14:textId="77777777" w:rsidR="000B0C37" w:rsidRPr="0024211F" w:rsidRDefault="000B0C37" w:rsidP="000B0C37">
      <w:pPr>
        <w:keepNext/>
        <w:rPr>
          <w:b/>
        </w:rPr>
      </w:pPr>
      <w:bookmarkStart w:id="267" w:name="_Hlk20234057"/>
      <w:r w:rsidRPr="0024211F">
        <w:rPr>
          <w:rFonts w:cs="Arial"/>
          <w:b/>
        </w:rPr>
        <w:t xml:space="preserve">Table </w:t>
      </w:r>
      <w:r w:rsidR="00D73A94">
        <w:rPr>
          <w:rFonts w:cs="Arial"/>
          <w:b/>
        </w:rPr>
        <w:t>C</w:t>
      </w:r>
      <w:r w:rsidR="003626DF">
        <w:rPr>
          <w:rFonts w:cs="Arial"/>
          <w:b/>
        </w:rPr>
        <w:t>.</w:t>
      </w:r>
      <w:r w:rsidR="00D91315">
        <w:rPr>
          <w:rFonts w:cs="Arial"/>
          <w:b/>
        </w:rPr>
        <w:t>4</w:t>
      </w:r>
      <w:r w:rsidRPr="0024211F">
        <w:rPr>
          <w:rFonts w:cs="Arial"/>
          <w:b/>
        </w:rPr>
        <w:t>: R</w:t>
      </w:r>
      <w:r w:rsidRPr="0024211F">
        <w:rPr>
          <w:b/>
        </w:rPr>
        <w:t>isk</w:t>
      </w:r>
      <w:r>
        <w:rPr>
          <w:b/>
        </w:rPr>
        <w:t xml:space="preserve">s associated with the status-quo </w:t>
      </w:r>
    </w:p>
    <w:tbl>
      <w:tblPr>
        <w:tblStyle w:val="TableGrid4"/>
        <w:tblW w:w="5000" w:type="pct"/>
        <w:tblLook w:val="04A0" w:firstRow="1" w:lastRow="0" w:firstColumn="1" w:lastColumn="0" w:noHBand="0" w:noVBand="1"/>
      </w:tblPr>
      <w:tblGrid>
        <w:gridCol w:w="1204"/>
        <w:gridCol w:w="4091"/>
        <w:gridCol w:w="1481"/>
        <w:gridCol w:w="1016"/>
        <w:gridCol w:w="1266"/>
        <w:gridCol w:w="786"/>
        <w:gridCol w:w="3866"/>
      </w:tblGrid>
      <w:tr w:rsidR="007924F5" w:rsidRPr="008B3D42" w14:paraId="5EA3D46B" w14:textId="77777777" w:rsidTr="004C46E5">
        <w:trPr>
          <w:cnfStyle w:val="100000000000" w:firstRow="1" w:lastRow="0" w:firstColumn="0" w:lastColumn="0" w:oddVBand="0" w:evenVBand="0" w:oddHBand="0" w:evenHBand="0" w:firstRowFirstColumn="0" w:firstRowLastColumn="0" w:lastRowFirstColumn="0" w:lastRowLastColumn="0"/>
          <w:trHeight w:val="424"/>
          <w:tblHeader/>
        </w:trPr>
        <w:tc>
          <w:tcPr>
            <w:tcW w:w="423" w:type="pct"/>
            <w:shd w:val="clear" w:color="auto" w:fill="002060"/>
            <w:vAlign w:val="bottom"/>
          </w:tcPr>
          <w:p w14:paraId="14AC9D1C" w14:textId="77777777" w:rsidR="007924F5" w:rsidRPr="008B3D42" w:rsidRDefault="007924F5" w:rsidP="0095328D">
            <w:pPr>
              <w:rPr>
                <w:rFonts w:asciiTheme="majorHAnsi" w:hAnsiTheme="majorHAnsi" w:cstheme="majorHAnsi"/>
                <w:b/>
                <w:color w:val="FFFFFF"/>
                <w:sz w:val="16"/>
                <w:szCs w:val="16"/>
              </w:rPr>
            </w:pPr>
            <w:r w:rsidRPr="008B3D42">
              <w:rPr>
                <w:rFonts w:asciiTheme="majorHAnsi" w:hAnsiTheme="majorHAnsi" w:cstheme="majorHAnsi"/>
                <w:b/>
                <w:color w:val="FFFFFF"/>
                <w:sz w:val="16"/>
                <w:szCs w:val="16"/>
              </w:rPr>
              <w:t>Risk Description</w:t>
            </w:r>
          </w:p>
        </w:tc>
        <w:tc>
          <w:tcPr>
            <w:tcW w:w="1495" w:type="pct"/>
            <w:shd w:val="clear" w:color="auto" w:fill="002060"/>
            <w:vAlign w:val="bottom"/>
          </w:tcPr>
          <w:p w14:paraId="3D13FD2F" w14:textId="77777777" w:rsidR="007924F5" w:rsidRPr="008B3D42" w:rsidRDefault="007924F5" w:rsidP="0095328D">
            <w:pPr>
              <w:tabs>
                <w:tab w:val="left" w:pos="720"/>
              </w:tabs>
              <w:spacing w:before="120" w:after="120"/>
              <w:ind w:left="85"/>
              <w:rPr>
                <w:rFonts w:asciiTheme="majorHAnsi" w:hAnsiTheme="majorHAnsi" w:cstheme="majorHAnsi"/>
                <w:b/>
                <w:color w:val="FFFFFF"/>
                <w:sz w:val="16"/>
                <w:szCs w:val="16"/>
              </w:rPr>
            </w:pPr>
            <w:r w:rsidRPr="008B3D42">
              <w:rPr>
                <w:rFonts w:asciiTheme="majorHAnsi" w:hAnsiTheme="majorHAnsi" w:cstheme="majorHAnsi"/>
                <w:b/>
                <w:color w:val="FFFFFF"/>
                <w:sz w:val="16"/>
                <w:szCs w:val="16"/>
              </w:rPr>
              <w:t>Impact</w:t>
            </w:r>
          </w:p>
        </w:tc>
        <w:tc>
          <w:tcPr>
            <w:tcW w:w="543" w:type="pct"/>
            <w:shd w:val="clear" w:color="auto" w:fill="002060"/>
            <w:vAlign w:val="bottom"/>
          </w:tcPr>
          <w:p w14:paraId="42E4CEE3" w14:textId="77777777" w:rsidR="007924F5" w:rsidRPr="008B3D42" w:rsidRDefault="007924F5" w:rsidP="0095328D">
            <w:pPr>
              <w:rPr>
                <w:rFonts w:asciiTheme="majorHAnsi" w:hAnsiTheme="majorHAnsi" w:cstheme="majorHAnsi"/>
                <w:b/>
                <w:color w:val="FFFFFF"/>
                <w:sz w:val="16"/>
                <w:szCs w:val="16"/>
              </w:rPr>
            </w:pPr>
            <w:r w:rsidRPr="008B3D42">
              <w:rPr>
                <w:rFonts w:asciiTheme="majorHAnsi" w:hAnsiTheme="majorHAnsi" w:cstheme="majorHAnsi"/>
                <w:b/>
                <w:color w:val="FFFFFF"/>
                <w:sz w:val="16"/>
                <w:szCs w:val="16"/>
              </w:rPr>
              <w:t>Existing Controls</w:t>
            </w:r>
          </w:p>
        </w:tc>
        <w:tc>
          <w:tcPr>
            <w:tcW w:w="371" w:type="pct"/>
            <w:shd w:val="clear" w:color="auto" w:fill="002060"/>
            <w:vAlign w:val="bottom"/>
          </w:tcPr>
          <w:p w14:paraId="5EE1B9FF" w14:textId="77777777" w:rsidR="007924F5" w:rsidRPr="008B3D42" w:rsidRDefault="007924F5" w:rsidP="0095328D">
            <w:pPr>
              <w:rPr>
                <w:rFonts w:asciiTheme="majorHAnsi" w:hAnsiTheme="majorHAnsi" w:cstheme="majorHAnsi"/>
                <w:b/>
                <w:color w:val="FFFFFF"/>
                <w:sz w:val="16"/>
                <w:szCs w:val="16"/>
              </w:rPr>
            </w:pPr>
            <w:r w:rsidRPr="008B3D42">
              <w:rPr>
                <w:rFonts w:asciiTheme="majorHAnsi" w:hAnsiTheme="majorHAnsi" w:cstheme="majorHAnsi"/>
                <w:b/>
                <w:color w:val="FFFFFF"/>
                <w:sz w:val="16"/>
                <w:szCs w:val="16"/>
              </w:rPr>
              <w:t>Likelihood</w:t>
            </w:r>
          </w:p>
        </w:tc>
        <w:tc>
          <w:tcPr>
            <w:tcW w:w="462" w:type="pct"/>
            <w:shd w:val="clear" w:color="auto" w:fill="002060"/>
            <w:vAlign w:val="bottom"/>
          </w:tcPr>
          <w:p w14:paraId="14A95C2F" w14:textId="77777777" w:rsidR="007924F5" w:rsidRPr="008B3D42" w:rsidRDefault="007924F5" w:rsidP="0095328D">
            <w:pPr>
              <w:rPr>
                <w:rFonts w:asciiTheme="majorHAnsi" w:hAnsiTheme="majorHAnsi" w:cstheme="majorHAnsi"/>
                <w:b/>
                <w:color w:val="FFFFFF"/>
                <w:sz w:val="16"/>
                <w:szCs w:val="16"/>
              </w:rPr>
            </w:pPr>
            <w:r w:rsidRPr="008B3D42">
              <w:rPr>
                <w:rFonts w:asciiTheme="majorHAnsi" w:hAnsiTheme="majorHAnsi" w:cstheme="majorHAnsi"/>
                <w:b/>
                <w:color w:val="FFFFFF"/>
                <w:sz w:val="16"/>
                <w:szCs w:val="16"/>
              </w:rPr>
              <w:t>Consequence</w:t>
            </w:r>
          </w:p>
        </w:tc>
        <w:tc>
          <w:tcPr>
            <w:tcW w:w="287" w:type="pct"/>
            <w:tcBorders>
              <w:bottom w:val="single" w:sz="4" w:space="0" w:color="auto"/>
            </w:tcBorders>
            <w:shd w:val="clear" w:color="auto" w:fill="002060"/>
            <w:vAlign w:val="bottom"/>
          </w:tcPr>
          <w:p w14:paraId="404223CF" w14:textId="77777777" w:rsidR="007924F5" w:rsidRPr="008B3D42" w:rsidRDefault="007924F5" w:rsidP="0095328D">
            <w:pPr>
              <w:rPr>
                <w:rFonts w:asciiTheme="majorHAnsi" w:hAnsiTheme="majorHAnsi" w:cstheme="majorHAnsi"/>
                <w:b/>
                <w:color w:val="FFFFFF"/>
                <w:sz w:val="16"/>
                <w:szCs w:val="16"/>
              </w:rPr>
            </w:pPr>
            <w:r w:rsidRPr="008B3D42">
              <w:rPr>
                <w:rFonts w:asciiTheme="majorHAnsi" w:hAnsiTheme="majorHAnsi" w:cstheme="majorHAnsi"/>
                <w:b/>
                <w:color w:val="FFFFFF"/>
                <w:sz w:val="16"/>
                <w:szCs w:val="16"/>
              </w:rPr>
              <w:t>Risk Rating</w:t>
            </w:r>
          </w:p>
        </w:tc>
        <w:tc>
          <w:tcPr>
            <w:tcW w:w="1419" w:type="pct"/>
            <w:tcBorders>
              <w:bottom w:val="single" w:sz="4" w:space="0" w:color="auto"/>
            </w:tcBorders>
            <w:shd w:val="clear" w:color="auto" w:fill="002060"/>
          </w:tcPr>
          <w:p w14:paraId="44648089" w14:textId="77777777" w:rsidR="007924F5" w:rsidRPr="008B3D42" w:rsidRDefault="007924F5" w:rsidP="0095328D">
            <w:pPr>
              <w:rPr>
                <w:rFonts w:asciiTheme="majorHAnsi" w:hAnsiTheme="majorHAnsi" w:cstheme="majorHAnsi"/>
                <w:b/>
                <w:color w:val="FFFFFF"/>
                <w:sz w:val="16"/>
                <w:szCs w:val="16"/>
              </w:rPr>
            </w:pPr>
            <w:r>
              <w:rPr>
                <w:rFonts w:asciiTheme="majorHAnsi" w:hAnsiTheme="majorHAnsi" w:cstheme="majorHAnsi"/>
                <w:b/>
                <w:color w:val="FFFFFF"/>
                <w:sz w:val="16"/>
                <w:szCs w:val="16"/>
              </w:rPr>
              <w:t>Amendments in response to stakeholder feedback</w:t>
            </w:r>
          </w:p>
        </w:tc>
      </w:tr>
      <w:tr w:rsidR="007924F5" w:rsidRPr="008B3D42" w14:paraId="4CD56231" w14:textId="77777777" w:rsidTr="004C46E5">
        <w:trPr>
          <w:cnfStyle w:val="000000100000" w:firstRow="0" w:lastRow="0" w:firstColumn="0" w:lastColumn="0" w:oddVBand="0" w:evenVBand="0" w:oddHBand="1" w:evenHBand="0" w:firstRowFirstColumn="0" w:firstRowLastColumn="0" w:lastRowFirstColumn="0" w:lastRowLastColumn="0"/>
          <w:trHeight w:val="602"/>
        </w:trPr>
        <w:tc>
          <w:tcPr>
            <w:tcW w:w="423" w:type="pct"/>
            <w:vMerge w:val="restart"/>
          </w:tcPr>
          <w:p w14:paraId="4E19061B" w14:textId="77777777" w:rsidR="007924F5" w:rsidRPr="008B3D42" w:rsidRDefault="007924F5" w:rsidP="0095328D">
            <w:pPr>
              <w:spacing w:before="20" w:after="20"/>
              <w:rPr>
                <w:rFonts w:asciiTheme="majorHAnsi" w:hAnsiTheme="majorHAnsi" w:cstheme="majorHAnsi"/>
                <w:sz w:val="16"/>
                <w:szCs w:val="16"/>
              </w:rPr>
            </w:pPr>
            <w:r>
              <w:rPr>
                <w:rFonts w:asciiTheme="majorHAnsi" w:hAnsiTheme="majorHAnsi" w:cstheme="majorHAnsi"/>
                <w:sz w:val="16"/>
                <w:szCs w:val="16"/>
              </w:rPr>
              <w:t xml:space="preserve">Inappropriate threshold for economic regulation </w:t>
            </w:r>
            <w:r w:rsidRPr="008B3D42">
              <w:rPr>
                <w:rFonts w:asciiTheme="majorHAnsi" w:hAnsiTheme="majorHAnsi" w:cstheme="majorHAnsi"/>
                <w:sz w:val="16"/>
                <w:szCs w:val="16"/>
              </w:rPr>
              <w:t xml:space="preserve"> </w:t>
            </w:r>
          </w:p>
        </w:tc>
        <w:tc>
          <w:tcPr>
            <w:tcW w:w="1495" w:type="pct"/>
            <w:tcBorders>
              <w:bottom w:val="single" w:sz="4" w:space="0" w:color="auto"/>
            </w:tcBorders>
          </w:tcPr>
          <w:p w14:paraId="310C0F9A" w14:textId="77777777" w:rsidR="007924F5" w:rsidRPr="003A5FCE" w:rsidRDefault="007924F5" w:rsidP="0095328D">
            <w:pPr>
              <w:rPr>
                <w:rFonts w:asciiTheme="majorHAnsi" w:hAnsiTheme="majorHAnsi" w:cstheme="majorHAnsi"/>
                <w:sz w:val="16"/>
                <w:szCs w:val="16"/>
              </w:rPr>
            </w:pPr>
            <w:r w:rsidRPr="003A5FCE">
              <w:rPr>
                <w:rFonts w:asciiTheme="majorHAnsi" w:hAnsiTheme="majorHAnsi" w:cstheme="majorHAnsi"/>
                <w:sz w:val="16"/>
                <w:szCs w:val="16"/>
              </w:rPr>
              <w:t>Some pipelines that are providing 3</w:t>
            </w:r>
            <w:r w:rsidRPr="003A5FCE">
              <w:rPr>
                <w:rFonts w:asciiTheme="majorHAnsi" w:hAnsiTheme="majorHAnsi" w:cstheme="majorHAnsi"/>
                <w:sz w:val="16"/>
                <w:szCs w:val="16"/>
                <w:vertAlign w:val="superscript"/>
              </w:rPr>
              <w:t>rd</w:t>
            </w:r>
            <w:r w:rsidRPr="003A5FCE">
              <w:rPr>
                <w:rFonts w:asciiTheme="majorHAnsi" w:hAnsiTheme="majorHAnsi" w:cstheme="majorHAnsi"/>
                <w:sz w:val="16"/>
                <w:szCs w:val="16"/>
              </w:rPr>
              <w:t xml:space="preserve"> party access may be subject to economic regulation when they don’t have the requisite degree of market power (i.e. the risk of over-regulation), which can give rise to unnecessary regulatory and compliance costs</w:t>
            </w:r>
          </w:p>
        </w:tc>
        <w:tc>
          <w:tcPr>
            <w:tcW w:w="543" w:type="pct"/>
          </w:tcPr>
          <w:p w14:paraId="36BF5FF6" w14:textId="77777777" w:rsidR="007924F5" w:rsidRPr="008B3D42" w:rsidRDefault="007924F5" w:rsidP="0095328D">
            <w:pPr>
              <w:rPr>
                <w:rFonts w:asciiTheme="majorHAnsi" w:hAnsiTheme="majorHAnsi" w:cstheme="majorHAnsi"/>
                <w:sz w:val="16"/>
                <w:szCs w:val="16"/>
              </w:rPr>
            </w:pPr>
            <w:r w:rsidRPr="008B3D42">
              <w:rPr>
                <w:rFonts w:asciiTheme="majorHAnsi" w:hAnsiTheme="majorHAnsi" w:cstheme="majorHAnsi"/>
                <w:sz w:val="16"/>
                <w:szCs w:val="16"/>
              </w:rPr>
              <w:t>n.a.</w:t>
            </w:r>
          </w:p>
        </w:tc>
        <w:tc>
          <w:tcPr>
            <w:tcW w:w="371" w:type="pct"/>
          </w:tcPr>
          <w:p w14:paraId="66D1321D" w14:textId="77777777" w:rsidR="007924F5" w:rsidRPr="008B3D42" w:rsidRDefault="007924F5" w:rsidP="0095328D">
            <w:pPr>
              <w:spacing w:before="20" w:after="20"/>
              <w:rPr>
                <w:rFonts w:asciiTheme="majorHAnsi" w:hAnsiTheme="majorHAnsi" w:cstheme="majorHAnsi"/>
                <w:sz w:val="16"/>
                <w:szCs w:val="16"/>
              </w:rPr>
            </w:pPr>
            <w:r w:rsidRPr="008B3D42">
              <w:rPr>
                <w:rFonts w:asciiTheme="majorHAnsi" w:hAnsiTheme="majorHAnsi" w:cstheme="majorHAnsi"/>
                <w:sz w:val="16"/>
                <w:szCs w:val="16"/>
              </w:rPr>
              <w:t>Possible</w:t>
            </w:r>
          </w:p>
        </w:tc>
        <w:tc>
          <w:tcPr>
            <w:tcW w:w="462" w:type="pct"/>
          </w:tcPr>
          <w:p w14:paraId="027C62E6" w14:textId="77777777" w:rsidR="007924F5" w:rsidRPr="008B3D42" w:rsidRDefault="007924F5" w:rsidP="0095328D">
            <w:pPr>
              <w:spacing w:before="20" w:after="20"/>
              <w:rPr>
                <w:rFonts w:asciiTheme="majorHAnsi" w:hAnsiTheme="majorHAnsi" w:cstheme="majorHAnsi"/>
                <w:sz w:val="16"/>
                <w:szCs w:val="16"/>
              </w:rPr>
            </w:pPr>
            <w:r w:rsidRPr="008B3D42">
              <w:rPr>
                <w:rFonts w:asciiTheme="majorHAnsi" w:hAnsiTheme="majorHAnsi" w:cstheme="majorHAnsi"/>
                <w:sz w:val="16"/>
                <w:szCs w:val="16"/>
              </w:rPr>
              <w:t>Minor</w:t>
            </w:r>
          </w:p>
        </w:tc>
        <w:tc>
          <w:tcPr>
            <w:tcW w:w="287" w:type="pct"/>
            <w:tcBorders>
              <w:bottom w:val="single" w:sz="4" w:space="0" w:color="auto"/>
            </w:tcBorders>
            <w:shd w:val="clear" w:color="auto" w:fill="92D050"/>
          </w:tcPr>
          <w:p w14:paraId="78EAB54B" w14:textId="77777777" w:rsidR="007924F5" w:rsidRPr="008B3D42" w:rsidRDefault="007924F5" w:rsidP="0095328D">
            <w:pPr>
              <w:spacing w:before="20" w:after="20"/>
              <w:rPr>
                <w:rFonts w:asciiTheme="majorHAnsi" w:hAnsiTheme="majorHAnsi" w:cstheme="majorHAnsi"/>
                <w:sz w:val="16"/>
                <w:szCs w:val="16"/>
              </w:rPr>
            </w:pPr>
            <w:r w:rsidRPr="008B3D42">
              <w:rPr>
                <w:rFonts w:asciiTheme="majorHAnsi" w:hAnsiTheme="majorHAnsi" w:cstheme="majorHAnsi"/>
                <w:sz w:val="16"/>
                <w:szCs w:val="16"/>
              </w:rPr>
              <w:t>Low</w:t>
            </w:r>
          </w:p>
        </w:tc>
        <w:tc>
          <w:tcPr>
            <w:tcW w:w="1419" w:type="pct"/>
            <w:tcBorders>
              <w:bottom w:val="single" w:sz="4" w:space="0" w:color="auto"/>
            </w:tcBorders>
            <w:shd w:val="clear" w:color="auto" w:fill="FFFFFF" w:themeFill="background1"/>
          </w:tcPr>
          <w:p w14:paraId="5F39F0BD" w14:textId="77777777" w:rsidR="007924F5" w:rsidRPr="008B3D42" w:rsidRDefault="007924F5" w:rsidP="0095328D">
            <w:pPr>
              <w:spacing w:before="20" w:after="20"/>
              <w:rPr>
                <w:rFonts w:asciiTheme="majorHAnsi" w:hAnsiTheme="majorHAnsi" w:cstheme="majorHAnsi"/>
                <w:sz w:val="16"/>
                <w:szCs w:val="16"/>
              </w:rPr>
            </w:pPr>
            <w:r>
              <w:rPr>
                <w:rFonts w:asciiTheme="majorHAnsi" w:hAnsiTheme="majorHAnsi" w:cstheme="majorHAnsi"/>
                <w:sz w:val="16"/>
                <w:szCs w:val="16"/>
              </w:rPr>
              <w:t xml:space="preserve">The consequence has been reduced to minor in response to stakeholder feedback outlined above and in response to the feedback on whether this constitutes a problem with the current framework – see Ch. 4 </w:t>
            </w:r>
          </w:p>
        </w:tc>
      </w:tr>
      <w:tr w:rsidR="007924F5" w:rsidRPr="008B3D42" w14:paraId="06E6FD58" w14:textId="77777777" w:rsidTr="002D57B9">
        <w:trPr>
          <w:cnfStyle w:val="000000010000" w:firstRow="0" w:lastRow="0" w:firstColumn="0" w:lastColumn="0" w:oddVBand="0" w:evenVBand="0" w:oddHBand="0" w:evenHBand="1" w:firstRowFirstColumn="0" w:firstRowLastColumn="0" w:lastRowFirstColumn="0" w:lastRowLastColumn="0"/>
          <w:trHeight w:val="436"/>
        </w:trPr>
        <w:tc>
          <w:tcPr>
            <w:tcW w:w="423" w:type="pct"/>
            <w:vMerge/>
          </w:tcPr>
          <w:p w14:paraId="3124E258" w14:textId="77777777" w:rsidR="007924F5" w:rsidRPr="008B3D42" w:rsidRDefault="007924F5" w:rsidP="003A5FCE">
            <w:pPr>
              <w:spacing w:before="20" w:after="20"/>
              <w:rPr>
                <w:rFonts w:asciiTheme="majorHAnsi" w:hAnsiTheme="majorHAnsi" w:cstheme="majorHAnsi"/>
                <w:sz w:val="16"/>
                <w:szCs w:val="16"/>
              </w:rPr>
            </w:pPr>
          </w:p>
        </w:tc>
        <w:tc>
          <w:tcPr>
            <w:tcW w:w="1495" w:type="pct"/>
            <w:tcBorders>
              <w:bottom w:val="single" w:sz="4" w:space="0" w:color="auto"/>
            </w:tcBorders>
          </w:tcPr>
          <w:p w14:paraId="6F0C1D10" w14:textId="77777777" w:rsidR="007924F5" w:rsidRPr="008B3D42" w:rsidRDefault="007924F5" w:rsidP="003A5FCE">
            <w:pPr>
              <w:tabs>
                <w:tab w:val="left" w:pos="720"/>
              </w:tabs>
              <w:spacing w:before="20" w:after="20"/>
              <w:ind w:right="85"/>
              <w:rPr>
                <w:rFonts w:asciiTheme="majorHAnsi" w:hAnsiTheme="majorHAnsi" w:cstheme="majorHAnsi"/>
                <w:sz w:val="16"/>
                <w:szCs w:val="16"/>
              </w:rPr>
            </w:pPr>
            <w:r w:rsidRPr="008B3D42">
              <w:rPr>
                <w:rFonts w:asciiTheme="majorHAnsi" w:hAnsiTheme="majorHAnsi" w:cstheme="majorHAnsi"/>
                <w:sz w:val="16"/>
                <w:szCs w:val="16"/>
              </w:rPr>
              <w:t xml:space="preserve">The application of regulation to pipelines with a greenfield exemption may distort the incentives service providers have to invest in new pipelines. </w:t>
            </w:r>
          </w:p>
        </w:tc>
        <w:tc>
          <w:tcPr>
            <w:tcW w:w="543" w:type="pct"/>
          </w:tcPr>
          <w:p w14:paraId="3EC3D983" w14:textId="77777777" w:rsidR="007924F5" w:rsidRPr="008B3D42" w:rsidRDefault="007924F5" w:rsidP="003A5FCE">
            <w:pPr>
              <w:tabs>
                <w:tab w:val="left" w:pos="720"/>
              </w:tabs>
              <w:spacing w:before="20" w:after="20"/>
              <w:ind w:right="85"/>
              <w:rPr>
                <w:rFonts w:asciiTheme="majorHAnsi" w:hAnsiTheme="majorHAnsi" w:cstheme="majorHAnsi"/>
                <w:sz w:val="16"/>
                <w:szCs w:val="16"/>
              </w:rPr>
            </w:pPr>
            <w:r w:rsidRPr="008B3D42">
              <w:rPr>
                <w:rFonts w:asciiTheme="majorHAnsi" w:hAnsiTheme="majorHAnsi" w:cstheme="majorHAnsi"/>
                <w:sz w:val="16"/>
                <w:szCs w:val="16"/>
              </w:rPr>
              <w:t>n.a.</w:t>
            </w:r>
          </w:p>
        </w:tc>
        <w:tc>
          <w:tcPr>
            <w:tcW w:w="371" w:type="pct"/>
          </w:tcPr>
          <w:p w14:paraId="7A7C433D"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Possible</w:t>
            </w:r>
          </w:p>
        </w:tc>
        <w:tc>
          <w:tcPr>
            <w:tcW w:w="462" w:type="pct"/>
          </w:tcPr>
          <w:p w14:paraId="0C2C7466"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Minor</w:t>
            </w:r>
          </w:p>
        </w:tc>
        <w:tc>
          <w:tcPr>
            <w:tcW w:w="287" w:type="pct"/>
            <w:tcBorders>
              <w:bottom w:val="single" w:sz="4" w:space="0" w:color="auto"/>
            </w:tcBorders>
            <w:shd w:val="clear" w:color="auto" w:fill="92D050"/>
          </w:tcPr>
          <w:p w14:paraId="207A1CA3"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Low</w:t>
            </w:r>
          </w:p>
        </w:tc>
        <w:tc>
          <w:tcPr>
            <w:tcW w:w="1419" w:type="pct"/>
            <w:tcBorders>
              <w:bottom w:val="single" w:sz="4" w:space="0" w:color="auto"/>
            </w:tcBorders>
            <w:shd w:val="clear" w:color="auto" w:fill="FFFFFF" w:themeFill="background1"/>
          </w:tcPr>
          <w:p w14:paraId="07A959CF" w14:textId="77777777" w:rsidR="007924F5" w:rsidRPr="008B3D42" w:rsidRDefault="007924F5" w:rsidP="003A5FCE">
            <w:pPr>
              <w:spacing w:before="20" w:after="20"/>
              <w:rPr>
                <w:rFonts w:asciiTheme="majorHAnsi" w:hAnsiTheme="majorHAnsi" w:cstheme="majorHAnsi"/>
                <w:sz w:val="16"/>
                <w:szCs w:val="16"/>
              </w:rPr>
            </w:pPr>
            <w:r>
              <w:rPr>
                <w:rFonts w:asciiTheme="majorHAnsi" w:hAnsiTheme="majorHAnsi" w:cstheme="majorHAnsi"/>
                <w:sz w:val="16"/>
                <w:szCs w:val="16"/>
              </w:rPr>
              <w:t>No change</w:t>
            </w:r>
          </w:p>
        </w:tc>
      </w:tr>
      <w:tr w:rsidR="007924F5" w:rsidRPr="008B3D42" w14:paraId="2DEDB1C4" w14:textId="77777777" w:rsidTr="002D57B9">
        <w:trPr>
          <w:cnfStyle w:val="000000100000" w:firstRow="0" w:lastRow="0" w:firstColumn="0" w:lastColumn="0" w:oddVBand="0" w:evenVBand="0" w:oddHBand="1" w:evenHBand="0" w:firstRowFirstColumn="0" w:firstRowLastColumn="0" w:lastRowFirstColumn="0" w:lastRowLastColumn="0"/>
          <w:trHeight w:val="600"/>
        </w:trPr>
        <w:tc>
          <w:tcPr>
            <w:tcW w:w="423" w:type="pct"/>
            <w:vMerge/>
          </w:tcPr>
          <w:p w14:paraId="6691D3B6" w14:textId="77777777" w:rsidR="007924F5" w:rsidRPr="008B3D42" w:rsidRDefault="007924F5" w:rsidP="003A5FCE">
            <w:pPr>
              <w:spacing w:before="20" w:after="20"/>
              <w:rPr>
                <w:rFonts w:asciiTheme="majorHAnsi" w:hAnsiTheme="majorHAnsi" w:cstheme="majorHAnsi"/>
                <w:sz w:val="16"/>
                <w:szCs w:val="16"/>
              </w:rPr>
            </w:pPr>
          </w:p>
        </w:tc>
        <w:tc>
          <w:tcPr>
            <w:tcW w:w="1495" w:type="pct"/>
            <w:tcBorders>
              <w:bottom w:val="single" w:sz="4" w:space="0" w:color="auto"/>
            </w:tcBorders>
          </w:tcPr>
          <w:p w14:paraId="0373D68C" w14:textId="77777777" w:rsidR="007924F5" w:rsidRPr="008B3D42" w:rsidRDefault="007924F5" w:rsidP="003A5FCE">
            <w:pPr>
              <w:tabs>
                <w:tab w:val="left" w:pos="720"/>
              </w:tabs>
              <w:spacing w:before="20" w:after="20"/>
              <w:ind w:right="85"/>
              <w:rPr>
                <w:rFonts w:asciiTheme="majorHAnsi" w:hAnsiTheme="majorHAnsi" w:cstheme="majorHAnsi"/>
                <w:sz w:val="16"/>
                <w:szCs w:val="16"/>
              </w:rPr>
            </w:pPr>
            <w:r w:rsidRPr="008B3D42">
              <w:rPr>
                <w:rFonts w:asciiTheme="majorHAnsi" w:hAnsiTheme="majorHAnsi" w:cstheme="majorHAnsi"/>
                <w:sz w:val="16"/>
                <w:szCs w:val="16"/>
              </w:rPr>
              <w:t>The use of the coverage test for third party access decisions may result in under-regulation and inefficient investment in and use of pipelines that do not voluntarily provide third party access.</w:t>
            </w:r>
          </w:p>
        </w:tc>
        <w:tc>
          <w:tcPr>
            <w:tcW w:w="543" w:type="pct"/>
          </w:tcPr>
          <w:p w14:paraId="0DFA5BC8" w14:textId="77777777" w:rsidR="007924F5" w:rsidRPr="008B3D42" w:rsidRDefault="007924F5" w:rsidP="003A5FCE">
            <w:pPr>
              <w:tabs>
                <w:tab w:val="left" w:pos="720"/>
              </w:tabs>
              <w:spacing w:before="20" w:after="20"/>
              <w:ind w:right="85"/>
              <w:rPr>
                <w:rFonts w:asciiTheme="majorHAnsi" w:hAnsiTheme="majorHAnsi" w:cstheme="majorHAnsi"/>
                <w:sz w:val="16"/>
                <w:szCs w:val="16"/>
              </w:rPr>
            </w:pPr>
            <w:r w:rsidRPr="008B3D42">
              <w:rPr>
                <w:rFonts w:asciiTheme="majorHAnsi" w:hAnsiTheme="majorHAnsi" w:cstheme="majorHAnsi"/>
                <w:sz w:val="16"/>
                <w:szCs w:val="16"/>
              </w:rPr>
              <w:t>n.a.</w:t>
            </w:r>
          </w:p>
        </w:tc>
        <w:tc>
          <w:tcPr>
            <w:tcW w:w="371" w:type="pct"/>
          </w:tcPr>
          <w:p w14:paraId="589FAD7E"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Highly likely</w:t>
            </w:r>
          </w:p>
        </w:tc>
        <w:tc>
          <w:tcPr>
            <w:tcW w:w="462" w:type="pct"/>
          </w:tcPr>
          <w:p w14:paraId="00CFB091" w14:textId="77777777" w:rsidR="007924F5" w:rsidRPr="008B3D42" w:rsidRDefault="002D57B9" w:rsidP="003A5FCE">
            <w:pPr>
              <w:spacing w:before="20" w:after="20"/>
              <w:rPr>
                <w:rFonts w:asciiTheme="majorHAnsi" w:hAnsiTheme="majorHAnsi" w:cstheme="majorHAnsi"/>
                <w:sz w:val="16"/>
                <w:szCs w:val="16"/>
              </w:rPr>
            </w:pPr>
            <w:r>
              <w:rPr>
                <w:rFonts w:asciiTheme="majorHAnsi" w:hAnsiTheme="majorHAnsi" w:cstheme="majorHAnsi"/>
                <w:sz w:val="16"/>
                <w:szCs w:val="16"/>
              </w:rPr>
              <w:t>Minor</w:t>
            </w:r>
          </w:p>
        </w:tc>
        <w:tc>
          <w:tcPr>
            <w:tcW w:w="287" w:type="pct"/>
            <w:tcBorders>
              <w:bottom w:val="single" w:sz="4" w:space="0" w:color="auto"/>
            </w:tcBorders>
            <w:shd w:val="clear" w:color="auto" w:fill="FFFF00"/>
          </w:tcPr>
          <w:p w14:paraId="3AB54C78" w14:textId="77777777" w:rsidR="007924F5" w:rsidRPr="008B3D42" w:rsidRDefault="002D57B9" w:rsidP="003A5FCE">
            <w:pPr>
              <w:spacing w:before="20" w:after="20"/>
              <w:rPr>
                <w:rFonts w:asciiTheme="majorHAnsi" w:hAnsiTheme="majorHAnsi" w:cstheme="majorHAnsi"/>
                <w:sz w:val="16"/>
                <w:szCs w:val="16"/>
              </w:rPr>
            </w:pPr>
            <w:r>
              <w:rPr>
                <w:rFonts w:asciiTheme="majorHAnsi" w:hAnsiTheme="majorHAnsi" w:cstheme="majorHAnsi"/>
                <w:sz w:val="16"/>
                <w:szCs w:val="16"/>
              </w:rPr>
              <w:t xml:space="preserve">Medium </w:t>
            </w:r>
          </w:p>
        </w:tc>
        <w:tc>
          <w:tcPr>
            <w:tcW w:w="1419" w:type="pct"/>
            <w:tcBorders>
              <w:bottom w:val="single" w:sz="4" w:space="0" w:color="auto"/>
            </w:tcBorders>
            <w:shd w:val="clear" w:color="auto" w:fill="FFFFFF" w:themeFill="background1"/>
          </w:tcPr>
          <w:p w14:paraId="58436E5C" w14:textId="77777777" w:rsidR="007924F5" w:rsidRPr="008B3D42" w:rsidRDefault="007924F5" w:rsidP="003A5FCE">
            <w:pPr>
              <w:spacing w:before="20" w:after="20"/>
              <w:rPr>
                <w:rFonts w:asciiTheme="majorHAnsi" w:hAnsiTheme="majorHAnsi" w:cstheme="majorHAnsi"/>
                <w:sz w:val="16"/>
                <w:szCs w:val="16"/>
              </w:rPr>
            </w:pPr>
            <w:r>
              <w:rPr>
                <w:rFonts w:asciiTheme="majorHAnsi" w:hAnsiTheme="majorHAnsi" w:cstheme="majorHAnsi"/>
                <w:sz w:val="16"/>
                <w:szCs w:val="16"/>
              </w:rPr>
              <w:t>No change.</w:t>
            </w:r>
          </w:p>
        </w:tc>
      </w:tr>
      <w:tr w:rsidR="007924F5" w:rsidRPr="008B3D42" w14:paraId="4DBD3787" w14:textId="77777777" w:rsidTr="004C46E5">
        <w:trPr>
          <w:cnfStyle w:val="000000010000" w:firstRow="0" w:lastRow="0" w:firstColumn="0" w:lastColumn="0" w:oddVBand="0" w:evenVBand="0" w:oddHBand="0" w:evenHBand="1" w:firstRowFirstColumn="0" w:firstRowLastColumn="0" w:lastRowFirstColumn="0" w:lastRowLastColumn="0"/>
          <w:trHeight w:val="600"/>
        </w:trPr>
        <w:tc>
          <w:tcPr>
            <w:tcW w:w="423" w:type="pct"/>
            <w:vMerge w:val="restart"/>
          </w:tcPr>
          <w:p w14:paraId="12C966BA" w14:textId="77777777" w:rsidR="007924F5" w:rsidRPr="008B3D42" w:rsidRDefault="007924F5" w:rsidP="003A5FCE">
            <w:pPr>
              <w:spacing w:before="20" w:after="20"/>
              <w:rPr>
                <w:rFonts w:asciiTheme="majorHAnsi" w:hAnsiTheme="majorHAnsi" w:cstheme="majorHAnsi"/>
                <w:sz w:val="16"/>
                <w:szCs w:val="16"/>
              </w:rPr>
            </w:pPr>
            <w:r>
              <w:rPr>
                <w:rFonts w:asciiTheme="majorHAnsi" w:hAnsiTheme="majorHAnsi" w:cstheme="majorHAnsi"/>
                <w:sz w:val="16"/>
                <w:szCs w:val="16"/>
              </w:rPr>
              <w:t xml:space="preserve">Ineffective forms of regulation applied to pipelines </w:t>
            </w:r>
            <w:r w:rsidRPr="008B3D42">
              <w:rPr>
                <w:rFonts w:asciiTheme="majorHAnsi" w:hAnsiTheme="majorHAnsi" w:cstheme="majorHAnsi"/>
                <w:sz w:val="16"/>
                <w:szCs w:val="16"/>
              </w:rPr>
              <w:t xml:space="preserve"> </w:t>
            </w:r>
          </w:p>
        </w:tc>
        <w:tc>
          <w:tcPr>
            <w:tcW w:w="1495" w:type="pct"/>
            <w:tcBorders>
              <w:bottom w:val="single" w:sz="4" w:space="0" w:color="auto"/>
            </w:tcBorders>
          </w:tcPr>
          <w:p w14:paraId="53769BBA" w14:textId="77777777" w:rsidR="007924F5" w:rsidRPr="008B3D42" w:rsidRDefault="007924F5" w:rsidP="003A5FCE">
            <w:pPr>
              <w:tabs>
                <w:tab w:val="left" w:pos="720"/>
              </w:tabs>
              <w:spacing w:before="20" w:after="20"/>
              <w:ind w:right="85"/>
              <w:rPr>
                <w:rFonts w:asciiTheme="majorHAnsi" w:hAnsiTheme="majorHAnsi" w:cstheme="majorHAnsi"/>
                <w:sz w:val="16"/>
                <w:szCs w:val="16"/>
              </w:rPr>
            </w:pPr>
            <w:r w:rsidRPr="008B3D42">
              <w:rPr>
                <w:rFonts w:asciiTheme="majorHAnsi" w:hAnsiTheme="majorHAnsi" w:cstheme="majorHAnsi"/>
                <w:sz w:val="16"/>
                <w:szCs w:val="16"/>
              </w:rPr>
              <w:t xml:space="preserve">Pipelines that should be subject to a </w:t>
            </w:r>
            <w:r>
              <w:rPr>
                <w:rFonts w:asciiTheme="majorHAnsi" w:hAnsiTheme="majorHAnsi" w:cstheme="majorHAnsi"/>
                <w:sz w:val="16"/>
                <w:szCs w:val="16"/>
              </w:rPr>
              <w:t>stronger</w:t>
            </w:r>
            <w:r w:rsidRPr="008B3D42">
              <w:rPr>
                <w:rFonts w:asciiTheme="majorHAnsi" w:hAnsiTheme="majorHAnsi" w:cstheme="majorHAnsi"/>
                <w:sz w:val="16"/>
                <w:szCs w:val="16"/>
              </w:rPr>
              <w:t xml:space="preserve"> form of regulation will not be (i.e. the risk of under-regulation), which can result in shippers being more susceptible to exercises of market power with consequential effects for economic efficiency and consumers more generally. </w:t>
            </w:r>
          </w:p>
        </w:tc>
        <w:tc>
          <w:tcPr>
            <w:tcW w:w="543" w:type="pct"/>
          </w:tcPr>
          <w:p w14:paraId="08410438" w14:textId="77777777" w:rsidR="007924F5" w:rsidRPr="008B3D42" w:rsidRDefault="007924F5" w:rsidP="003A5FCE">
            <w:pPr>
              <w:tabs>
                <w:tab w:val="left" w:pos="720"/>
              </w:tabs>
              <w:spacing w:before="20" w:after="20"/>
              <w:ind w:right="85"/>
              <w:rPr>
                <w:rFonts w:asciiTheme="majorHAnsi" w:hAnsiTheme="majorHAnsi" w:cstheme="majorHAnsi"/>
                <w:sz w:val="16"/>
                <w:szCs w:val="16"/>
              </w:rPr>
            </w:pPr>
            <w:r w:rsidRPr="008B3D42">
              <w:rPr>
                <w:rFonts w:asciiTheme="majorHAnsi" w:hAnsiTheme="majorHAnsi" w:cstheme="majorHAnsi"/>
                <w:sz w:val="16"/>
                <w:szCs w:val="16"/>
              </w:rPr>
              <w:t>n.a.</w:t>
            </w:r>
          </w:p>
        </w:tc>
        <w:tc>
          <w:tcPr>
            <w:tcW w:w="371" w:type="pct"/>
          </w:tcPr>
          <w:p w14:paraId="414B7D0F"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 xml:space="preserve">Highly likely </w:t>
            </w:r>
          </w:p>
        </w:tc>
        <w:tc>
          <w:tcPr>
            <w:tcW w:w="462" w:type="pct"/>
          </w:tcPr>
          <w:p w14:paraId="08098271"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Major</w:t>
            </w:r>
          </w:p>
        </w:tc>
        <w:tc>
          <w:tcPr>
            <w:tcW w:w="287" w:type="pct"/>
            <w:shd w:val="clear" w:color="auto" w:fill="FF0000"/>
          </w:tcPr>
          <w:p w14:paraId="6FDDE24B"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Severe</w:t>
            </w:r>
          </w:p>
        </w:tc>
        <w:tc>
          <w:tcPr>
            <w:tcW w:w="1419" w:type="pct"/>
            <w:shd w:val="clear" w:color="auto" w:fill="FFFFFF" w:themeFill="background1"/>
          </w:tcPr>
          <w:p w14:paraId="2E3F4EC2" w14:textId="77777777" w:rsidR="007924F5" w:rsidRPr="008B3D42" w:rsidRDefault="007924F5" w:rsidP="003A5FCE">
            <w:pPr>
              <w:spacing w:before="20" w:after="20"/>
              <w:rPr>
                <w:rFonts w:asciiTheme="majorHAnsi" w:hAnsiTheme="majorHAnsi" w:cstheme="majorHAnsi"/>
                <w:sz w:val="16"/>
                <w:szCs w:val="16"/>
              </w:rPr>
            </w:pPr>
            <w:r>
              <w:rPr>
                <w:rFonts w:asciiTheme="majorHAnsi" w:hAnsiTheme="majorHAnsi" w:cstheme="majorHAnsi"/>
                <w:sz w:val="16"/>
                <w:szCs w:val="16"/>
              </w:rPr>
              <w:t xml:space="preserve">The consequence has been reduced to major in response to the stakeholder feedback outlined above. The overall risk rating is still, however, ‘severe’ because having the coverage test act as a gateway between Part 23 and full regulation is limiting the credibility of the threat of a stronger form of regulation being applied to the large number of pipelines currently subject to Part 23. </w:t>
            </w:r>
          </w:p>
        </w:tc>
      </w:tr>
      <w:tr w:rsidR="007924F5" w:rsidRPr="008B3D42" w14:paraId="7353D162" w14:textId="77777777" w:rsidTr="004C46E5">
        <w:trPr>
          <w:cnfStyle w:val="000000100000" w:firstRow="0" w:lastRow="0" w:firstColumn="0" w:lastColumn="0" w:oddVBand="0" w:evenVBand="0" w:oddHBand="1" w:evenHBand="0" w:firstRowFirstColumn="0" w:firstRowLastColumn="0" w:lastRowFirstColumn="0" w:lastRowLastColumn="0"/>
          <w:trHeight w:val="430"/>
        </w:trPr>
        <w:tc>
          <w:tcPr>
            <w:tcW w:w="423" w:type="pct"/>
            <w:vMerge/>
          </w:tcPr>
          <w:p w14:paraId="6F0801B8" w14:textId="77777777" w:rsidR="007924F5" w:rsidRPr="008B3D42" w:rsidRDefault="007924F5" w:rsidP="003A5FCE">
            <w:pPr>
              <w:spacing w:before="20" w:after="20"/>
              <w:rPr>
                <w:rFonts w:asciiTheme="majorHAnsi" w:hAnsiTheme="majorHAnsi" w:cstheme="majorHAnsi"/>
                <w:sz w:val="16"/>
                <w:szCs w:val="16"/>
              </w:rPr>
            </w:pPr>
          </w:p>
        </w:tc>
        <w:tc>
          <w:tcPr>
            <w:tcW w:w="1495" w:type="pct"/>
            <w:tcBorders>
              <w:bottom w:val="single" w:sz="4" w:space="0" w:color="auto"/>
            </w:tcBorders>
          </w:tcPr>
          <w:p w14:paraId="2136DB38" w14:textId="77777777" w:rsidR="007924F5" w:rsidRPr="008B3D42" w:rsidRDefault="007924F5" w:rsidP="003A5FCE">
            <w:pPr>
              <w:tabs>
                <w:tab w:val="left" w:pos="720"/>
              </w:tabs>
              <w:spacing w:before="20" w:after="20"/>
              <w:ind w:right="85"/>
              <w:rPr>
                <w:rFonts w:asciiTheme="majorHAnsi" w:hAnsiTheme="majorHAnsi" w:cstheme="majorHAnsi"/>
                <w:sz w:val="16"/>
                <w:szCs w:val="16"/>
              </w:rPr>
            </w:pPr>
            <w:r w:rsidRPr="008B3D42">
              <w:rPr>
                <w:rFonts w:asciiTheme="majorHAnsi" w:hAnsiTheme="majorHAnsi" w:cstheme="majorHAnsi"/>
                <w:sz w:val="16"/>
                <w:szCs w:val="16"/>
              </w:rPr>
              <w:t>Unnecessary complexity in the existing forms of regulation resulting in higher administrative, compliance and regulatory costs.</w:t>
            </w:r>
          </w:p>
        </w:tc>
        <w:tc>
          <w:tcPr>
            <w:tcW w:w="543" w:type="pct"/>
          </w:tcPr>
          <w:p w14:paraId="5084B20F" w14:textId="77777777" w:rsidR="007924F5" w:rsidRPr="008B3D42" w:rsidRDefault="007924F5" w:rsidP="003A5FCE">
            <w:pPr>
              <w:tabs>
                <w:tab w:val="left" w:pos="720"/>
              </w:tabs>
              <w:spacing w:before="20" w:after="20"/>
              <w:ind w:right="85"/>
              <w:rPr>
                <w:rFonts w:asciiTheme="majorHAnsi" w:hAnsiTheme="majorHAnsi" w:cstheme="majorHAnsi"/>
                <w:sz w:val="16"/>
                <w:szCs w:val="16"/>
              </w:rPr>
            </w:pPr>
            <w:r w:rsidRPr="008B3D42">
              <w:rPr>
                <w:rFonts w:asciiTheme="majorHAnsi" w:hAnsiTheme="majorHAnsi" w:cstheme="majorHAnsi"/>
                <w:sz w:val="16"/>
                <w:szCs w:val="16"/>
              </w:rPr>
              <w:t>n.a.</w:t>
            </w:r>
          </w:p>
        </w:tc>
        <w:tc>
          <w:tcPr>
            <w:tcW w:w="371" w:type="pct"/>
          </w:tcPr>
          <w:p w14:paraId="0DAFC491"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Highly likely</w:t>
            </w:r>
          </w:p>
        </w:tc>
        <w:tc>
          <w:tcPr>
            <w:tcW w:w="462" w:type="pct"/>
          </w:tcPr>
          <w:p w14:paraId="2B149D5C"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Moderate</w:t>
            </w:r>
          </w:p>
        </w:tc>
        <w:tc>
          <w:tcPr>
            <w:tcW w:w="287" w:type="pct"/>
            <w:tcBorders>
              <w:bottom w:val="single" w:sz="4" w:space="0" w:color="auto"/>
            </w:tcBorders>
            <w:shd w:val="clear" w:color="auto" w:fill="FFC000"/>
          </w:tcPr>
          <w:p w14:paraId="50E58C1E"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High</w:t>
            </w:r>
          </w:p>
        </w:tc>
        <w:tc>
          <w:tcPr>
            <w:tcW w:w="1419" w:type="pct"/>
            <w:tcBorders>
              <w:bottom w:val="single" w:sz="4" w:space="0" w:color="auto"/>
            </w:tcBorders>
            <w:shd w:val="clear" w:color="auto" w:fill="FFFFFF" w:themeFill="background1"/>
          </w:tcPr>
          <w:p w14:paraId="113D2F7F" w14:textId="77777777" w:rsidR="007924F5" w:rsidRPr="008B3D42" w:rsidRDefault="007924F5" w:rsidP="003A5FCE">
            <w:pPr>
              <w:spacing w:before="20" w:after="20"/>
              <w:rPr>
                <w:rFonts w:asciiTheme="majorHAnsi" w:hAnsiTheme="majorHAnsi" w:cstheme="majorHAnsi"/>
                <w:sz w:val="16"/>
                <w:szCs w:val="16"/>
              </w:rPr>
            </w:pPr>
            <w:r>
              <w:rPr>
                <w:rFonts w:asciiTheme="majorHAnsi" w:hAnsiTheme="majorHAnsi" w:cstheme="majorHAnsi"/>
                <w:sz w:val="16"/>
                <w:szCs w:val="16"/>
              </w:rPr>
              <w:t>No change</w:t>
            </w:r>
          </w:p>
        </w:tc>
      </w:tr>
      <w:tr w:rsidR="007924F5" w:rsidRPr="008B3D42" w14:paraId="4C9166BE" w14:textId="77777777" w:rsidTr="004C46E5">
        <w:trPr>
          <w:cnfStyle w:val="000000010000" w:firstRow="0" w:lastRow="0" w:firstColumn="0" w:lastColumn="0" w:oddVBand="0" w:evenVBand="0" w:oddHBand="0" w:evenHBand="1" w:firstRowFirstColumn="0" w:firstRowLastColumn="0" w:lastRowFirstColumn="0" w:lastRowLastColumn="0"/>
          <w:trHeight w:val="392"/>
        </w:trPr>
        <w:tc>
          <w:tcPr>
            <w:tcW w:w="423" w:type="pct"/>
            <w:vMerge/>
          </w:tcPr>
          <w:p w14:paraId="719489EB" w14:textId="77777777" w:rsidR="007924F5" w:rsidRPr="008B3D42" w:rsidRDefault="007924F5" w:rsidP="003A5FCE">
            <w:pPr>
              <w:spacing w:before="20" w:after="20"/>
              <w:rPr>
                <w:rFonts w:asciiTheme="majorHAnsi" w:hAnsiTheme="majorHAnsi" w:cstheme="majorHAnsi"/>
                <w:sz w:val="16"/>
                <w:szCs w:val="16"/>
              </w:rPr>
            </w:pPr>
          </w:p>
        </w:tc>
        <w:tc>
          <w:tcPr>
            <w:tcW w:w="1495" w:type="pct"/>
            <w:tcBorders>
              <w:bottom w:val="single" w:sz="4" w:space="0" w:color="auto"/>
            </w:tcBorders>
          </w:tcPr>
          <w:p w14:paraId="6A7BFD2C" w14:textId="77777777" w:rsidR="007924F5" w:rsidRPr="008B3D42" w:rsidRDefault="007924F5" w:rsidP="003A5FCE">
            <w:pPr>
              <w:tabs>
                <w:tab w:val="left" w:pos="720"/>
              </w:tabs>
              <w:spacing w:before="20" w:after="20"/>
              <w:ind w:right="85"/>
              <w:rPr>
                <w:rFonts w:asciiTheme="majorHAnsi" w:hAnsiTheme="majorHAnsi" w:cstheme="majorHAnsi"/>
                <w:sz w:val="16"/>
                <w:szCs w:val="16"/>
              </w:rPr>
            </w:pPr>
            <w:r w:rsidRPr="008B3D42">
              <w:rPr>
                <w:rFonts w:asciiTheme="majorHAnsi" w:hAnsiTheme="majorHAnsi" w:cstheme="majorHAnsi"/>
                <w:sz w:val="16"/>
                <w:szCs w:val="16"/>
              </w:rPr>
              <w:t>Exercises of dynamic market power are not effectively constrained, which could further entrench incumbent service providers’ market power.</w:t>
            </w:r>
          </w:p>
        </w:tc>
        <w:tc>
          <w:tcPr>
            <w:tcW w:w="543" w:type="pct"/>
          </w:tcPr>
          <w:p w14:paraId="31AC641E" w14:textId="77777777" w:rsidR="007924F5" w:rsidRPr="008B3D42" w:rsidRDefault="007924F5" w:rsidP="003A5FCE">
            <w:pPr>
              <w:tabs>
                <w:tab w:val="left" w:pos="720"/>
              </w:tabs>
              <w:spacing w:before="20" w:after="20"/>
              <w:ind w:right="85"/>
              <w:rPr>
                <w:rFonts w:asciiTheme="majorHAnsi" w:hAnsiTheme="majorHAnsi" w:cstheme="majorHAnsi"/>
                <w:sz w:val="16"/>
                <w:szCs w:val="16"/>
              </w:rPr>
            </w:pPr>
            <w:r w:rsidRPr="008B3D42">
              <w:rPr>
                <w:rFonts w:asciiTheme="majorHAnsi" w:hAnsiTheme="majorHAnsi" w:cstheme="majorHAnsi"/>
                <w:sz w:val="16"/>
                <w:szCs w:val="16"/>
              </w:rPr>
              <w:t xml:space="preserve">n.a. </w:t>
            </w:r>
          </w:p>
        </w:tc>
        <w:tc>
          <w:tcPr>
            <w:tcW w:w="371" w:type="pct"/>
          </w:tcPr>
          <w:p w14:paraId="3D89924A"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Possible</w:t>
            </w:r>
          </w:p>
        </w:tc>
        <w:tc>
          <w:tcPr>
            <w:tcW w:w="462" w:type="pct"/>
          </w:tcPr>
          <w:p w14:paraId="61BDEDFB"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High</w:t>
            </w:r>
          </w:p>
        </w:tc>
        <w:tc>
          <w:tcPr>
            <w:tcW w:w="287" w:type="pct"/>
            <w:tcBorders>
              <w:bottom w:val="single" w:sz="4" w:space="0" w:color="auto"/>
            </w:tcBorders>
            <w:shd w:val="clear" w:color="auto" w:fill="FFFF00"/>
          </w:tcPr>
          <w:p w14:paraId="4E5FB2DD"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Medium</w:t>
            </w:r>
          </w:p>
        </w:tc>
        <w:tc>
          <w:tcPr>
            <w:tcW w:w="1419" w:type="pct"/>
            <w:tcBorders>
              <w:bottom w:val="single" w:sz="4" w:space="0" w:color="auto"/>
            </w:tcBorders>
            <w:shd w:val="clear" w:color="auto" w:fill="FFFFFF" w:themeFill="background1"/>
          </w:tcPr>
          <w:p w14:paraId="485DABB7" w14:textId="77777777" w:rsidR="007924F5" w:rsidRPr="008B3D42" w:rsidRDefault="007924F5" w:rsidP="003A5FCE">
            <w:pPr>
              <w:spacing w:before="20" w:after="20"/>
              <w:rPr>
                <w:rFonts w:asciiTheme="majorHAnsi" w:hAnsiTheme="majorHAnsi" w:cstheme="majorHAnsi"/>
                <w:sz w:val="16"/>
                <w:szCs w:val="16"/>
              </w:rPr>
            </w:pPr>
            <w:r>
              <w:rPr>
                <w:rFonts w:asciiTheme="majorHAnsi" w:hAnsiTheme="majorHAnsi" w:cstheme="majorHAnsi"/>
                <w:sz w:val="16"/>
                <w:szCs w:val="16"/>
              </w:rPr>
              <w:t xml:space="preserve">The consequence has been increased to high in response to stakeholder feedback that exercises of dynamic market power can have a material effect on the efficient transport of gas and efficient operation of the market over the longer term. </w:t>
            </w:r>
          </w:p>
        </w:tc>
      </w:tr>
      <w:tr w:rsidR="004C46E5" w:rsidRPr="008B3D42" w14:paraId="32D0DE4C" w14:textId="77777777" w:rsidTr="004C46E5">
        <w:trPr>
          <w:cnfStyle w:val="000000100000" w:firstRow="0" w:lastRow="0" w:firstColumn="0" w:lastColumn="0" w:oddVBand="0" w:evenVBand="0" w:oddHBand="1" w:evenHBand="0" w:firstRowFirstColumn="0" w:firstRowLastColumn="0" w:lastRowFirstColumn="0" w:lastRowLastColumn="0"/>
          <w:trHeight w:val="392"/>
        </w:trPr>
        <w:tc>
          <w:tcPr>
            <w:tcW w:w="423" w:type="pct"/>
          </w:tcPr>
          <w:p w14:paraId="011F6A02" w14:textId="77777777" w:rsidR="004C46E5" w:rsidRPr="008B3D42" w:rsidRDefault="00353985" w:rsidP="004C46E5">
            <w:pPr>
              <w:spacing w:before="20" w:after="20"/>
              <w:rPr>
                <w:rFonts w:asciiTheme="majorHAnsi" w:hAnsiTheme="majorHAnsi" w:cstheme="majorHAnsi"/>
                <w:sz w:val="16"/>
                <w:szCs w:val="16"/>
              </w:rPr>
            </w:pPr>
            <w:r>
              <w:rPr>
                <w:rFonts w:asciiTheme="majorHAnsi" w:hAnsiTheme="majorHAnsi" w:cstheme="majorHAnsi"/>
                <w:sz w:val="16"/>
                <w:szCs w:val="16"/>
              </w:rPr>
              <w:t>Inefficient governance arrangements</w:t>
            </w:r>
          </w:p>
        </w:tc>
        <w:tc>
          <w:tcPr>
            <w:tcW w:w="1495" w:type="pct"/>
            <w:tcBorders>
              <w:bottom w:val="single" w:sz="4" w:space="0" w:color="auto"/>
            </w:tcBorders>
          </w:tcPr>
          <w:p w14:paraId="2D32802E" w14:textId="77777777" w:rsidR="004C46E5" w:rsidRPr="008B3D42" w:rsidRDefault="004C46E5" w:rsidP="004C46E5">
            <w:pPr>
              <w:tabs>
                <w:tab w:val="left" w:pos="720"/>
              </w:tabs>
              <w:spacing w:before="20" w:after="20"/>
              <w:ind w:right="85"/>
              <w:rPr>
                <w:rFonts w:asciiTheme="majorHAnsi" w:hAnsiTheme="majorHAnsi" w:cstheme="majorHAnsi"/>
                <w:sz w:val="16"/>
                <w:szCs w:val="16"/>
              </w:rPr>
            </w:pPr>
            <w:r w:rsidRPr="008B3D42">
              <w:rPr>
                <w:rFonts w:asciiTheme="majorHAnsi" w:hAnsiTheme="majorHAnsi" w:cstheme="majorHAnsi"/>
                <w:sz w:val="16"/>
                <w:szCs w:val="16"/>
              </w:rPr>
              <w:t>Inefficient governance (including lack of information gathering or other investigatory powers), which can duplicate effort and result in unnecessary costs and delays to decision making.</w:t>
            </w:r>
          </w:p>
        </w:tc>
        <w:tc>
          <w:tcPr>
            <w:tcW w:w="543" w:type="pct"/>
          </w:tcPr>
          <w:p w14:paraId="056C3A0F" w14:textId="77777777" w:rsidR="004C46E5" w:rsidRPr="008B3D42" w:rsidRDefault="004C46E5" w:rsidP="004C46E5">
            <w:pPr>
              <w:tabs>
                <w:tab w:val="left" w:pos="720"/>
              </w:tabs>
              <w:spacing w:before="20" w:after="20"/>
              <w:ind w:right="85"/>
              <w:rPr>
                <w:rFonts w:asciiTheme="majorHAnsi" w:hAnsiTheme="majorHAnsi" w:cstheme="majorHAnsi"/>
                <w:sz w:val="16"/>
                <w:szCs w:val="16"/>
              </w:rPr>
            </w:pPr>
            <w:r w:rsidRPr="008B3D42">
              <w:rPr>
                <w:rFonts w:asciiTheme="majorHAnsi" w:hAnsiTheme="majorHAnsi" w:cstheme="majorHAnsi"/>
                <w:sz w:val="16"/>
                <w:szCs w:val="16"/>
              </w:rPr>
              <w:t>n.a.</w:t>
            </w:r>
          </w:p>
        </w:tc>
        <w:tc>
          <w:tcPr>
            <w:tcW w:w="371" w:type="pct"/>
          </w:tcPr>
          <w:p w14:paraId="23FC0C28" w14:textId="77777777" w:rsidR="004C46E5" w:rsidRPr="008B3D42" w:rsidRDefault="004C46E5" w:rsidP="004C46E5">
            <w:pPr>
              <w:spacing w:before="20" w:after="20"/>
              <w:rPr>
                <w:rFonts w:asciiTheme="majorHAnsi" w:hAnsiTheme="majorHAnsi" w:cstheme="majorHAnsi"/>
                <w:sz w:val="16"/>
                <w:szCs w:val="16"/>
              </w:rPr>
            </w:pPr>
            <w:r w:rsidRPr="008B3D42">
              <w:rPr>
                <w:rFonts w:asciiTheme="majorHAnsi" w:hAnsiTheme="majorHAnsi" w:cstheme="majorHAnsi"/>
                <w:sz w:val="16"/>
                <w:szCs w:val="16"/>
              </w:rPr>
              <w:t>Highly likely</w:t>
            </w:r>
          </w:p>
        </w:tc>
        <w:tc>
          <w:tcPr>
            <w:tcW w:w="462" w:type="pct"/>
          </w:tcPr>
          <w:p w14:paraId="176B2D4B" w14:textId="77777777" w:rsidR="004C46E5" w:rsidRPr="008B3D42" w:rsidRDefault="004C46E5" w:rsidP="004C46E5">
            <w:pPr>
              <w:spacing w:before="20" w:after="20"/>
              <w:rPr>
                <w:rFonts w:asciiTheme="majorHAnsi" w:hAnsiTheme="majorHAnsi" w:cstheme="majorHAnsi"/>
                <w:sz w:val="16"/>
                <w:szCs w:val="16"/>
              </w:rPr>
            </w:pPr>
            <w:r w:rsidRPr="008B3D42">
              <w:rPr>
                <w:rFonts w:asciiTheme="majorHAnsi" w:hAnsiTheme="majorHAnsi" w:cstheme="majorHAnsi"/>
                <w:sz w:val="16"/>
                <w:szCs w:val="16"/>
              </w:rPr>
              <w:t>Minor</w:t>
            </w:r>
          </w:p>
        </w:tc>
        <w:tc>
          <w:tcPr>
            <w:tcW w:w="287" w:type="pct"/>
            <w:tcBorders>
              <w:bottom w:val="single" w:sz="4" w:space="0" w:color="auto"/>
            </w:tcBorders>
            <w:shd w:val="clear" w:color="auto" w:fill="FFFF00"/>
          </w:tcPr>
          <w:p w14:paraId="05B54E69" w14:textId="77777777" w:rsidR="004C46E5" w:rsidRPr="008B3D42" w:rsidRDefault="004C46E5" w:rsidP="004C46E5">
            <w:pPr>
              <w:spacing w:before="20" w:after="20"/>
              <w:rPr>
                <w:rFonts w:asciiTheme="majorHAnsi" w:hAnsiTheme="majorHAnsi" w:cstheme="majorHAnsi"/>
                <w:sz w:val="16"/>
                <w:szCs w:val="16"/>
              </w:rPr>
            </w:pPr>
            <w:r w:rsidRPr="008B3D42">
              <w:rPr>
                <w:rFonts w:asciiTheme="majorHAnsi" w:hAnsiTheme="majorHAnsi" w:cstheme="majorHAnsi"/>
                <w:sz w:val="16"/>
                <w:szCs w:val="16"/>
              </w:rPr>
              <w:t>Medium</w:t>
            </w:r>
          </w:p>
        </w:tc>
        <w:tc>
          <w:tcPr>
            <w:tcW w:w="1419" w:type="pct"/>
            <w:tcBorders>
              <w:bottom w:val="single" w:sz="4" w:space="0" w:color="auto"/>
            </w:tcBorders>
            <w:shd w:val="clear" w:color="auto" w:fill="FFFFFF" w:themeFill="background1"/>
          </w:tcPr>
          <w:p w14:paraId="178DB7CC" w14:textId="77777777" w:rsidR="004C46E5" w:rsidRDefault="004C46E5" w:rsidP="004C46E5">
            <w:pPr>
              <w:spacing w:before="20" w:after="20"/>
              <w:rPr>
                <w:rFonts w:asciiTheme="majorHAnsi" w:hAnsiTheme="majorHAnsi" w:cstheme="majorHAnsi"/>
                <w:sz w:val="16"/>
                <w:szCs w:val="16"/>
              </w:rPr>
            </w:pPr>
            <w:r>
              <w:rPr>
                <w:rFonts w:asciiTheme="majorHAnsi" w:hAnsiTheme="majorHAnsi" w:cstheme="majorHAnsi"/>
                <w:sz w:val="16"/>
                <w:szCs w:val="16"/>
              </w:rPr>
              <w:t>No change</w:t>
            </w:r>
          </w:p>
        </w:tc>
      </w:tr>
      <w:tr w:rsidR="007924F5" w:rsidRPr="008B3D42" w14:paraId="632AC948" w14:textId="77777777" w:rsidTr="004C46E5">
        <w:trPr>
          <w:cnfStyle w:val="000000010000" w:firstRow="0" w:lastRow="0" w:firstColumn="0" w:lastColumn="0" w:oddVBand="0" w:evenVBand="0" w:oddHBand="0" w:evenHBand="1" w:firstRowFirstColumn="0" w:firstRowLastColumn="0" w:lastRowFirstColumn="0" w:lastRowLastColumn="0"/>
          <w:trHeight w:val="145"/>
        </w:trPr>
        <w:tc>
          <w:tcPr>
            <w:tcW w:w="423" w:type="pct"/>
            <w:shd w:val="clear" w:color="auto" w:fill="FFFFFF" w:themeFill="background1"/>
          </w:tcPr>
          <w:p w14:paraId="11ECC8E4" w14:textId="77777777" w:rsidR="007924F5" w:rsidRPr="008B3D42" w:rsidRDefault="007924F5" w:rsidP="00353985">
            <w:pPr>
              <w:keepNext/>
              <w:spacing w:before="20" w:after="20"/>
              <w:rPr>
                <w:rFonts w:asciiTheme="majorHAnsi" w:hAnsiTheme="majorHAnsi" w:cstheme="majorHAnsi"/>
                <w:sz w:val="16"/>
                <w:szCs w:val="16"/>
              </w:rPr>
            </w:pPr>
            <w:r w:rsidRPr="008B3D42">
              <w:rPr>
                <w:rFonts w:asciiTheme="majorHAnsi" w:hAnsiTheme="majorHAnsi" w:cstheme="majorHAnsi"/>
                <w:sz w:val="16"/>
                <w:szCs w:val="16"/>
              </w:rPr>
              <w:lastRenderedPageBreak/>
              <w:t>Inadequate Information disclosure</w:t>
            </w:r>
            <w:r>
              <w:rPr>
                <w:rFonts w:asciiTheme="majorHAnsi" w:hAnsiTheme="majorHAnsi" w:cstheme="majorHAnsi"/>
                <w:sz w:val="16"/>
                <w:szCs w:val="16"/>
              </w:rPr>
              <w:t>s by service providers</w:t>
            </w:r>
          </w:p>
        </w:tc>
        <w:tc>
          <w:tcPr>
            <w:tcW w:w="1495" w:type="pct"/>
            <w:shd w:val="clear" w:color="auto" w:fill="FFFFFF" w:themeFill="background1"/>
          </w:tcPr>
          <w:p w14:paraId="43E3824C" w14:textId="77777777" w:rsidR="007924F5" w:rsidRPr="008B3D42" w:rsidRDefault="007924F5" w:rsidP="003A5FCE">
            <w:pPr>
              <w:tabs>
                <w:tab w:val="left" w:pos="720"/>
              </w:tabs>
              <w:spacing w:before="20" w:after="20"/>
              <w:ind w:right="85"/>
              <w:rPr>
                <w:rFonts w:asciiTheme="majorHAnsi" w:hAnsiTheme="majorHAnsi" w:cstheme="majorHAnsi"/>
                <w:sz w:val="16"/>
                <w:szCs w:val="16"/>
              </w:rPr>
            </w:pPr>
            <w:r w:rsidRPr="008B3D42">
              <w:rPr>
                <w:rFonts w:asciiTheme="majorHAnsi" w:hAnsiTheme="majorHAnsi" w:cstheme="majorHAnsi"/>
                <w:sz w:val="16"/>
                <w:szCs w:val="16"/>
              </w:rPr>
              <w:t xml:space="preserve">Shippers have to negotiate on the basis of incomplete, inaccurate, confusing and/or asymmetric information, which can hinder the price discovery process, give rise to higher transaction costs and make shippers more susceptible to market power. </w:t>
            </w:r>
          </w:p>
        </w:tc>
        <w:tc>
          <w:tcPr>
            <w:tcW w:w="543" w:type="pct"/>
            <w:shd w:val="clear" w:color="auto" w:fill="FFFFFF" w:themeFill="background1"/>
          </w:tcPr>
          <w:p w14:paraId="0A0A66EE" w14:textId="77777777" w:rsidR="007924F5" w:rsidRPr="008B3D42" w:rsidDel="00F16049" w:rsidRDefault="007924F5" w:rsidP="003A5FCE">
            <w:pPr>
              <w:rPr>
                <w:rFonts w:asciiTheme="majorHAnsi" w:hAnsiTheme="majorHAnsi" w:cstheme="majorHAnsi"/>
                <w:sz w:val="16"/>
                <w:szCs w:val="16"/>
                <w:highlight w:val="yellow"/>
              </w:rPr>
            </w:pPr>
            <w:r w:rsidRPr="008B3D42">
              <w:rPr>
                <w:rFonts w:asciiTheme="majorHAnsi" w:hAnsiTheme="majorHAnsi" w:cstheme="majorHAnsi"/>
                <w:sz w:val="16"/>
                <w:szCs w:val="16"/>
              </w:rPr>
              <w:t>The existing compliance and enforcement framework could be used to address some but not identified deficiencies.</w:t>
            </w:r>
          </w:p>
        </w:tc>
        <w:tc>
          <w:tcPr>
            <w:tcW w:w="371" w:type="pct"/>
            <w:shd w:val="clear" w:color="auto" w:fill="FFFFFF" w:themeFill="background1"/>
          </w:tcPr>
          <w:p w14:paraId="4C1B7501"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Likely</w:t>
            </w:r>
          </w:p>
        </w:tc>
        <w:tc>
          <w:tcPr>
            <w:tcW w:w="462" w:type="pct"/>
            <w:shd w:val="clear" w:color="auto" w:fill="FFFFFF" w:themeFill="background1"/>
          </w:tcPr>
          <w:p w14:paraId="54647836"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High</w:t>
            </w:r>
          </w:p>
        </w:tc>
        <w:tc>
          <w:tcPr>
            <w:tcW w:w="287" w:type="pct"/>
            <w:tcBorders>
              <w:bottom w:val="single" w:sz="4" w:space="0" w:color="auto"/>
            </w:tcBorders>
            <w:shd w:val="clear" w:color="auto" w:fill="FFC000"/>
          </w:tcPr>
          <w:p w14:paraId="2D648915"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High</w:t>
            </w:r>
          </w:p>
        </w:tc>
        <w:tc>
          <w:tcPr>
            <w:tcW w:w="1419" w:type="pct"/>
            <w:tcBorders>
              <w:bottom w:val="single" w:sz="4" w:space="0" w:color="auto"/>
            </w:tcBorders>
            <w:shd w:val="clear" w:color="auto" w:fill="FFFFFF" w:themeFill="background1"/>
          </w:tcPr>
          <w:p w14:paraId="04EBBFD4" w14:textId="77777777" w:rsidR="007924F5" w:rsidRPr="008B3D42" w:rsidRDefault="007924F5" w:rsidP="003A5FCE">
            <w:pPr>
              <w:spacing w:before="20" w:after="20"/>
              <w:rPr>
                <w:rFonts w:asciiTheme="majorHAnsi" w:hAnsiTheme="majorHAnsi" w:cstheme="majorHAnsi"/>
                <w:sz w:val="16"/>
                <w:szCs w:val="16"/>
              </w:rPr>
            </w:pPr>
            <w:r>
              <w:rPr>
                <w:rFonts w:asciiTheme="majorHAnsi" w:hAnsiTheme="majorHAnsi" w:cstheme="majorHAnsi"/>
                <w:sz w:val="16"/>
                <w:szCs w:val="16"/>
              </w:rPr>
              <w:t xml:space="preserve">The likelihood has been reduced from highly likely to likely and the consequence have been reduced from major to high in response to stakeholder feedback. This has resulted in the risk rating falling from severe to high. </w:t>
            </w:r>
          </w:p>
        </w:tc>
      </w:tr>
      <w:tr w:rsidR="007924F5" w:rsidRPr="008B3D42" w14:paraId="7D3BE3C0" w14:textId="77777777" w:rsidTr="004C46E5">
        <w:trPr>
          <w:cnfStyle w:val="000000100000" w:firstRow="0" w:lastRow="0" w:firstColumn="0" w:lastColumn="0" w:oddVBand="0" w:evenVBand="0" w:oddHBand="1" w:evenHBand="0" w:firstRowFirstColumn="0" w:firstRowLastColumn="0" w:lastRowFirstColumn="0" w:lastRowLastColumn="0"/>
          <w:trHeight w:val="450"/>
        </w:trPr>
        <w:tc>
          <w:tcPr>
            <w:tcW w:w="423" w:type="pct"/>
            <w:vMerge w:val="restart"/>
          </w:tcPr>
          <w:p w14:paraId="7B78C1DE" w14:textId="77777777" w:rsidR="007924F5" w:rsidRPr="008B3D42" w:rsidRDefault="007924F5" w:rsidP="003A5FCE">
            <w:pPr>
              <w:spacing w:before="20" w:after="20"/>
              <w:rPr>
                <w:rFonts w:asciiTheme="majorHAnsi" w:hAnsiTheme="majorHAnsi" w:cstheme="majorHAnsi"/>
                <w:sz w:val="16"/>
                <w:szCs w:val="16"/>
              </w:rPr>
            </w:pPr>
            <w:r>
              <w:rPr>
                <w:rFonts w:asciiTheme="majorHAnsi" w:hAnsiTheme="majorHAnsi" w:cstheme="majorHAnsi"/>
                <w:sz w:val="16"/>
                <w:szCs w:val="16"/>
              </w:rPr>
              <w:t>Ineffective</w:t>
            </w:r>
            <w:r w:rsidRPr="008B3D42">
              <w:rPr>
                <w:rFonts w:asciiTheme="majorHAnsi" w:hAnsiTheme="majorHAnsi" w:cstheme="majorHAnsi"/>
                <w:sz w:val="16"/>
                <w:szCs w:val="16"/>
              </w:rPr>
              <w:t xml:space="preserve"> negotiation frameworks and dispute resolution mechanisms </w:t>
            </w:r>
          </w:p>
        </w:tc>
        <w:tc>
          <w:tcPr>
            <w:tcW w:w="1495" w:type="pct"/>
          </w:tcPr>
          <w:p w14:paraId="62B2655F" w14:textId="77777777" w:rsidR="007924F5" w:rsidRPr="008B3D42" w:rsidRDefault="00381202" w:rsidP="003A5FCE">
            <w:pPr>
              <w:rPr>
                <w:rFonts w:asciiTheme="majorHAnsi" w:hAnsiTheme="majorHAnsi" w:cstheme="majorHAnsi"/>
                <w:sz w:val="16"/>
                <w:szCs w:val="16"/>
              </w:rPr>
            </w:pPr>
            <w:r>
              <w:rPr>
                <w:rFonts w:asciiTheme="majorHAnsi" w:hAnsiTheme="majorHAnsi" w:cstheme="majorHAnsi"/>
                <w:sz w:val="16"/>
                <w:szCs w:val="16"/>
              </w:rPr>
              <w:t xml:space="preserve">Differences in negotiation frameworks </w:t>
            </w:r>
            <w:r w:rsidR="006F2A6E">
              <w:rPr>
                <w:rFonts w:asciiTheme="majorHAnsi" w:hAnsiTheme="majorHAnsi" w:cstheme="majorHAnsi"/>
                <w:sz w:val="16"/>
                <w:szCs w:val="16"/>
              </w:rPr>
              <w:t>give</w:t>
            </w:r>
            <w:r w:rsidR="002E6D47">
              <w:rPr>
                <w:rFonts w:asciiTheme="majorHAnsi" w:hAnsiTheme="majorHAnsi" w:cstheme="majorHAnsi"/>
                <w:sz w:val="16"/>
                <w:szCs w:val="16"/>
              </w:rPr>
              <w:t>s</w:t>
            </w:r>
            <w:r w:rsidR="006F2A6E">
              <w:rPr>
                <w:rFonts w:asciiTheme="majorHAnsi" w:hAnsiTheme="majorHAnsi" w:cstheme="majorHAnsi"/>
                <w:sz w:val="16"/>
                <w:szCs w:val="16"/>
              </w:rPr>
              <w:t xml:space="preserve"> rise to u</w:t>
            </w:r>
            <w:r w:rsidR="006F2A6E" w:rsidRPr="008B3D42">
              <w:rPr>
                <w:rFonts w:asciiTheme="majorHAnsi" w:hAnsiTheme="majorHAnsi" w:cstheme="majorHAnsi"/>
                <w:sz w:val="16"/>
                <w:szCs w:val="16"/>
              </w:rPr>
              <w:t xml:space="preserve">nnecessary </w:t>
            </w:r>
            <w:r w:rsidR="007924F5" w:rsidRPr="008B3D42">
              <w:rPr>
                <w:rFonts w:asciiTheme="majorHAnsi" w:hAnsiTheme="majorHAnsi" w:cstheme="majorHAnsi"/>
                <w:sz w:val="16"/>
                <w:szCs w:val="16"/>
              </w:rPr>
              <w:t xml:space="preserve">costs and delays on negotiating parties and </w:t>
            </w:r>
            <w:r w:rsidR="002E6D47">
              <w:rPr>
                <w:rFonts w:asciiTheme="majorHAnsi" w:hAnsiTheme="majorHAnsi" w:cstheme="majorHAnsi"/>
                <w:sz w:val="16"/>
                <w:szCs w:val="16"/>
              </w:rPr>
              <w:t xml:space="preserve">hinders the </w:t>
            </w:r>
            <w:r w:rsidR="007924F5" w:rsidRPr="008B3D42">
              <w:rPr>
                <w:rFonts w:asciiTheme="majorHAnsi" w:hAnsiTheme="majorHAnsi" w:cstheme="majorHAnsi"/>
                <w:sz w:val="16"/>
                <w:szCs w:val="16"/>
              </w:rPr>
              <w:t xml:space="preserve">ability of shippers to </w:t>
            </w:r>
            <w:r w:rsidR="002E6D47">
              <w:rPr>
                <w:rFonts w:asciiTheme="majorHAnsi" w:hAnsiTheme="majorHAnsi" w:cstheme="majorHAnsi"/>
                <w:sz w:val="16"/>
                <w:szCs w:val="16"/>
              </w:rPr>
              <w:t xml:space="preserve">effectively </w:t>
            </w:r>
            <w:r w:rsidR="007924F5" w:rsidRPr="008B3D42">
              <w:rPr>
                <w:rFonts w:asciiTheme="majorHAnsi" w:hAnsiTheme="majorHAnsi" w:cstheme="majorHAnsi"/>
                <w:sz w:val="16"/>
                <w:szCs w:val="16"/>
              </w:rPr>
              <w:t>negotiate</w:t>
            </w:r>
            <w:r w:rsidR="002E6D47">
              <w:rPr>
                <w:rFonts w:asciiTheme="majorHAnsi" w:hAnsiTheme="majorHAnsi" w:cstheme="majorHAnsi"/>
                <w:sz w:val="16"/>
                <w:szCs w:val="16"/>
              </w:rPr>
              <w:t xml:space="preserve"> with service providers</w:t>
            </w:r>
            <w:r w:rsidR="007924F5" w:rsidRPr="008B3D42">
              <w:rPr>
                <w:rFonts w:asciiTheme="majorHAnsi" w:hAnsiTheme="majorHAnsi" w:cstheme="majorHAnsi"/>
                <w:sz w:val="16"/>
                <w:szCs w:val="16"/>
              </w:rPr>
              <w:t>.</w:t>
            </w:r>
          </w:p>
        </w:tc>
        <w:tc>
          <w:tcPr>
            <w:tcW w:w="543" w:type="pct"/>
          </w:tcPr>
          <w:p w14:paraId="70E7D3F0" w14:textId="77777777" w:rsidR="007924F5" w:rsidRPr="008B3D42" w:rsidRDefault="007924F5" w:rsidP="003A5FCE">
            <w:pPr>
              <w:tabs>
                <w:tab w:val="left" w:pos="720"/>
              </w:tabs>
              <w:spacing w:before="20" w:after="20"/>
              <w:ind w:right="85"/>
              <w:rPr>
                <w:rFonts w:asciiTheme="majorHAnsi" w:hAnsiTheme="majorHAnsi" w:cstheme="majorHAnsi"/>
                <w:sz w:val="16"/>
                <w:szCs w:val="16"/>
              </w:rPr>
            </w:pPr>
            <w:r w:rsidRPr="008B3D42">
              <w:rPr>
                <w:rFonts w:asciiTheme="majorHAnsi" w:hAnsiTheme="majorHAnsi" w:cstheme="majorHAnsi"/>
                <w:sz w:val="16"/>
                <w:szCs w:val="16"/>
              </w:rPr>
              <w:t>n.a.</w:t>
            </w:r>
          </w:p>
        </w:tc>
        <w:tc>
          <w:tcPr>
            <w:tcW w:w="371" w:type="pct"/>
          </w:tcPr>
          <w:p w14:paraId="08BA83A5"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Likely</w:t>
            </w:r>
          </w:p>
        </w:tc>
        <w:tc>
          <w:tcPr>
            <w:tcW w:w="462" w:type="pct"/>
          </w:tcPr>
          <w:p w14:paraId="76590251"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Moderate</w:t>
            </w:r>
          </w:p>
        </w:tc>
        <w:tc>
          <w:tcPr>
            <w:tcW w:w="287" w:type="pct"/>
            <w:tcBorders>
              <w:bottom w:val="single" w:sz="4" w:space="0" w:color="auto"/>
            </w:tcBorders>
            <w:shd w:val="clear" w:color="auto" w:fill="FFFF00"/>
          </w:tcPr>
          <w:p w14:paraId="4FBAD22A" w14:textId="77777777" w:rsidR="007924F5" w:rsidRPr="008B3D42" w:rsidRDefault="007924F5" w:rsidP="003A5FCE">
            <w:pPr>
              <w:spacing w:before="20" w:after="20"/>
              <w:rPr>
                <w:rFonts w:asciiTheme="majorHAnsi" w:hAnsiTheme="majorHAnsi" w:cstheme="majorHAnsi"/>
                <w:sz w:val="16"/>
                <w:szCs w:val="16"/>
              </w:rPr>
            </w:pPr>
            <w:r w:rsidRPr="008B3D42">
              <w:rPr>
                <w:rFonts w:asciiTheme="majorHAnsi" w:hAnsiTheme="majorHAnsi" w:cstheme="majorHAnsi"/>
                <w:sz w:val="16"/>
                <w:szCs w:val="16"/>
              </w:rPr>
              <w:t>Medium</w:t>
            </w:r>
          </w:p>
        </w:tc>
        <w:tc>
          <w:tcPr>
            <w:tcW w:w="1419" w:type="pct"/>
            <w:tcBorders>
              <w:bottom w:val="single" w:sz="4" w:space="0" w:color="auto"/>
            </w:tcBorders>
            <w:shd w:val="clear" w:color="auto" w:fill="FFFFFF" w:themeFill="background1"/>
          </w:tcPr>
          <w:p w14:paraId="4D1D6F19" w14:textId="77777777" w:rsidR="007924F5" w:rsidRPr="008B3D42" w:rsidRDefault="007924F5" w:rsidP="003A5FCE">
            <w:pPr>
              <w:spacing w:before="20" w:after="20"/>
              <w:rPr>
                <w:rFonts w:asciiTheme="majorHAnsi" w:hAnsiTheme="majorHAnsi" w:cstheme="majorHAnsi"/>
                <w:sz w:val="16"/>
                <w:szCs w:val="16"/>
              </w:rPr>
            </w:pPr>
            <w:r>
              <w:rPr>
                <w:rFonts w:asciiTheme="majorHAnsi" w:hAnsiTheme="majorHAnsi" w:cstheme="majorHAnsi"/>
                <w:sz w:val="16"/>
                <w:szCs w:val="16"/>
              </w:rPr>
              <w:t xml:space="preserve">The consequence has been increased to moderate in response to stakeholder feedback that unnecessary costs and delays for shippers can have a moderate impact on the transportation of gas and the efficient operation of the gas market. </w:t>
            </w:r>
          </w:p>
        </w:tc>
      </w:tr>
      <w:tr w:rsidR="007924F5" w:rsidRPr="008B3D42" w14:paraId="3CC26EF2" w14:textId="77777777" w:rsidTr="004C46E5">
        <w:trPr>
          <w:cnfStyle w:val="000000010000" w:firstRow="0" w:lastRow="0" w:firstColumn="0" w:lastColumn="0" w:oddVBand="0" w:evenVBand="0" w:oddHBand="0" w:evenHBand="1" w:firstRowFirstColumn="0" w:firstRowLastColumn="0" w:lastRowFirstColumn="0" w:lastRowLastColumn="0"/>
          <w:trHeight w:val="448"/>
        </w:trPr>
        <w:tc>
          <w:tcPr>
            <w:tcW w:w="423" w:type="pct"/>
            <w:vMerge/>
          </w:tcPr>
          <w:p w14:paraId="7D9D3C80" w14:textId="77777777" w:rsidR="007924F5" w:rsidRPr="008B3D42" w:rsidRDefault="007924F5" w:rsidP="0095328D">
            <w:pPr>
              <w:spacing w:before="20" w:after="20"/>
              <w:rPr>
                <w:rFonts w:asciiTheme="majorHAnsi" w:hAnsiTheme="majorHAnsi" w:cstheme="majorHAnsi"/>
                <w:sz w:val="16"/>
                <w:szCs w:val="16"/>
              </w:rPr>
            </w:pPr>
          </w:p>
        </w:tc>
        <w:tc>
          <w:tcPr>
            <w:tcW w:w="1495" w:type="pct"/>
          </w:tcPr>
          <w:p w14:paraId="1426EF2B" w14:textId="77777777" w:rsidR="007924F5" w:rsidRPr="008B3D42" w:rsidRDefault="007924F5" w:rsidP="0095328D">
            <w:pPr>
              <w:tabs>
                <w:tab w:val="left" w:pos="720"/>
              </w:tabs>
              <w:spacing w:before="20" w:after="20"/>
              <w:ind w:right="85"/>
              <w:rPr>
                <w:rFonts w:asciiTheme="majorHAnsi" w:hAnsiTheme="majorHAnsi" w:cstheme="majorHAnsi"/>
                <w:sz w:val="16"/>
                <w:szCs w:val="16"/>
              </w:rPr>
            </w:pPr>
            <w:r w:rsidRPr="008B3D42">
              <w:rPr>
                <w:rFonts w:asciiTheme="majorHAnsi" w:hAnsiTheme="majorHAnsi" w:cstheme="majorHAnsi"/>
                <w:sz w:val="16"/>
                <w:szCs w:val="16"/>
              </w:rPr>
              <w:t>Vulnerability of smaller shippers to exercises of market power (because the threat of arbitration initiated by these shippers is not considered credible).</w:t>
            </w:r>
          </w:p>
        </w:tc>
        <w:tc>
          <w:tcPr>
            <w:tcW w:w="543" w:type="pct"/>
          </w:tcPr>
          <w:p w14:paraId="34B1F10E" w14:textId="77777777" w:rsidR="007924F5" w:rsidRPr="008B3D42" w:rsidRDefault="007924F5" w:rsidP="0095328D">
            <w:pPr>
              <w:tabs>
                <w:tab w:val="left" w:pos="720"/>
              </w:tabs>
              <w:spacing w:before="20" w:after="20"/>
              <w:ind w:right="85"/>
              <w:rPr>
                <w:rFonts w:asciiTheme="majorHAnsi" w:hAnsiTheme="majorHAnsi" w:cstheme="majorHAnsi"/>
                <w:sz w:val="16"/>
                <w:szCs w:val="16"/>
                <w:highlight w:val="yellow"/>
              </w:rPr>
            </w:pPr>
            <w:r w:rsidRPr="008B3D42">
              <w:rPr>
                <w:rFonts w:asciiTheme="majorHAnsi" w:hAnsiTheme="majorHAnsi" w:cstheme="majorHAnsi"/>
                <w:sz w:val="16"/>
                <w:szCs w:val="16"/>
              </w:rPr>
              <w:t>n.a.</w:t>
            </w:r>
          </w:p>
        </w:tc>
        <w:tc>
          <w:tcPr>
            <w:tcW w:w="371" w:type="pct"/>
          </w:tcPr>
          <w:p w14:paraId="297974EA" w14:textId="77777777" w:rsidR="007924F5" w:rsidRPr="008B3D42" w:rsidRDefault="007924F5" w:rsidP="0095328D">
            <w:pPr>
              <w:spacing w:before="20" w:after="20"/>
              <w:rPr>
                <w:rFonts w:asciiTheme="majorHAnsi" w:hAnsiTheme="majorHAnsi" w:cstheme="majorHAnsi"/>
                <w:sz w:val="16"/>
                <w:szCs w:val="16"/>
              </w:rPr>
            </w:pPr>
            <w:r w:rsidRPr="008B3D42">
              <w:rPr>
                <w:rFonts w:asciiTheme="majorHAnsi" w:hAnsiTheme="majorHAnsi" w:cstheme="majorHAnsi"/>
                <w:sz w:val="16"/>
                <w:szCs w:val="16"/>
              </w:rPr>
              <w:t>Highly likely</w:t>
            </w:r>
          </w:p>
        </w:tc>
        <w:tc>
          <w:tcPr>
            <w:tcW w:w="462" w:type="pct"/>
          </w:tcPr>
          <w:p w14:paraId="3386EBC8" w14:textId="77777777" w:rsidR="007924F5" w:rsidRPr="008B3D42" w:rsidRDefault="007924F5" w:rsidP="0095328D">
            <w:pPr>
              <w:spacing w:before="20" w:after="20"/>
              <w:rPr>
                <w:rFonts w:asciiTheme="majorHAnsi" w:hAnsiTheme="majorHAnsi" w:cstheme="majorHAnsi"/>
                <w:sz w:val="16"/>
                <w:szCs w:val="16"/>
              </w:rPr>
            </w:pPr>
            <w:r w:rsidRPr="008B3D42">
              <w:rPr>
                <w:rFonts w:asciiTheme="majorHAnsi" w:hAnsiTheme="majorHAnsi" w:cstheme="majorHAnsi"/>
                <w:sz w:val="16"/>
                <w:szCs w:val="16"/>
              </w:rPr>
              <w:t>Moderate</w:t>
            </w:r>
          </w:p>
        </w:tc>
        <w:tc>
          <w:tcPr>
            <w:tcW w:w="287" w:type="pct"/>
            <w:tcBorders>
              <w:bottom w:val="single" w:sz="4" w:space="0" w:color="auto"/>
            </w:tcBorders>
            <w:shd w:val="clear" w:color="auto" w:fill="FFC000"/>
          </w:tcPr>
          <w:p w14:paraId="5A102907" w14:textId="77777777" w:rsidR="007924F5" w:rsidRPr="008B3D42" w:rsidRDefault="007924F5" w:rsidP="0095328D">
            <w:pPr>
              <w:spacing w:before="20" w:after="20"/>
              <w:rPr>
                <w:rFonts w:asciiTheme="majorHAnsi" w:hAnsiTheme="majorHAnsi" w:cstheme="majorHAnsi"/>
                <w:sz w:val="16"/>
                <w:szCs w:val="16"/>
              </w:rPr>
            </w:pPr>
            <w:r w:rsidRPr="008B3D42">
              <w:rPr>
                <w:rFonts w:asciiTheme="majorHAnsi" w:hAnsiTheme="majorHAnsi" w:cstheme="majorHAnsi"/>
                <w:sz w:val="16"/>
                <w:szCs w:val="16"/>
              </w:rPr>
              <w:t>High</w:t>
            </w:r>
          </w:p>
        </w:tc>
        <w:tc>
          <w:tcPr>
            <w:tcW w:w="1419" w:type="pct"/>
            <w:tcBorders>
              <w:bottom w:val="single" w:sz="4" w:space="0" w:color="auto"/>
            </w:tcBorders>
            <w:shd w:val="clear" w:color="auto" w:fill="FFFFFF" w:themeFill="background1"/>
          </w:tcPr>
          <w:p w14:paraId="3902D56C" w14:textId="77777777" w:rsidR="007924F5" w:rsidRPr="008B3D42" w:rsidRDefault="007924F5" w:rsidP="0095328D">
            <w:pPr>
              <w:spacing w:before="20" w:after="20"/>
              <w:rPr>
                <w:rFonts w:asciiTheme="majorHAnsi" w:hAnsiTheme="majorHAnsi" w:cstheme="majorHAnsi"/>
                <w:sz w:val="16"/>
                <w:szCs w:val="16"/>
              </w:rPr>
            </w:pPr>
            <w:r>
              <w:rPr>
                <w:rFonts w:asciiTheme="majorHAnsi" w:hAnsiTheme="majorHAnsi" w:cstheme="majorHAnsi"/>
                <w:sz w:val="16"/>
                <w:szCs w:val="16"/>
              </w:rPr>
              <w:t>The consequence has been reduced from major to moderate in response to stakeholder feedback that the group of affected stakeholders is likely to be quite small and is unlikely therefore to have a major impact on the efficient transportation of gas and the efficient operation of the gas market.</w:t>
            </w:r>
          </w:p>
        </w:tc>
      </w:tr>
      <w:tr w:rsidR="007924F5" w:rsidRPr="008B3D42" w14:paraId="0B00DB3C" w14:textId="77777777" w:rsidTr="004C46E5">
        <w:trPr>
          <w:cnfStyle w:val="000000100000" w:firstRow="0" w:lastRow="0" w:firstColumn="0" w:lastColumn="0" w:oddVBand="0" w:evenVBand="0" w:oddHBand="1" w:evenHBand="0" w:firstRowFirstColumn="0" w:firstRowLastColumn="0" w:lastRowFirstColumn="0" w:lastRowLastColumn="0"/>
          <w:trHeight w:val="448"/>
        </w:trPr>
        <w:tc>
          <w:tcPr>
            <w:tcW w:w="423" w:type="pct"/>
            <w:vMerge/>
            <w:tcBorders>
              <w:bottom w:val="single" w:sz="4" w:space="0" w:color="auto"/>
            </w:tcBorders>
          </w:tcPr>
          <w:p w14:paraId="0A27042C" w14:textId="77777777" w:rsidR="007924F5" w:rsidRPr="008B3D42" w:rsidRDefault="007924F5" w:rsidP="0095328D">
            <w:pPr>
              <w:spacing w:before="20" w:after="20"/>
              <w:rPr>
                <w:rFonts w:asciiTheme="majorHAnsi" w:hAnsiTheme="majorHAnsi" w:cstheme="majorHAnsi"/>
                <w:sz w:val="16"/>
                <w:szCs w:val="16"/>
              </w:rPr>
            </w:pPr>
          </w:p>
        </w:tc>
        <w:tc>
          <w:tcPr>
            <w:tcW w:w="1495" w:type="pct"/>
            <w:tcBorders>
              <w:bottom w:val="single" w:sz="4" w:space="0" w:color="auto"/>
            </w:tcBorders>
          </w:tcPr>
          <w:p w14:paraId="15D7BFB0" w14:textId="77777777" w:rsidR="007924F5" w:rsidRPr="008B3D42" w:rsidRDefault="007924F5" w:rsidP="0095328D">
            <w:pPr>
              <w:tabs>
                <w:tab w:val="left" w:pos="720"/>
              </w:tabs>
              <w:spacing w:before="20" w:after="20"/>
              <w:ind w:right="85"/>
              <w:rPr>
                <w:rFonts w:asciiTheme="majorHAnsi" w:hAnsiTheme="majorHAnsi" w:cstheme="majorHAnsi"/>
                <w:sz w:val="16"/>
                <w:szCs w:val="16"/>
              </w:rPr>
            </w:pPr>
            <w:r w:rsidRPr="008B3D42">
              <w:rPr>
                <w:rFonts w:asciiTheme="majorHAnsi" w:hAnsiTheme="majorHAnsi" w:cstheme="majorHAnsi"/>
                <w:sz w:val="16"/>
                <w:szCs w:val="16"/>
              </w:rPr>
              <w:t xml:space="preserve">Inefficient and ineffective elements of the </w:t>
            </w:r>
            <w:r w:rsidR="003816A7">
              <w:rPr>
                <w:rFonts w:asciiTheme="majorHAnsi" w:hAnsiTheme="majorHAnsi" w:cstheme="majorHAnsi"/>
                <w:sz w:val="16"/>
                <w:szCs w:val="16"/>
              </w:rPr>
              <w:t xml:space="preserve">scheme pipeline </w:t>
            </w:r>
            <w:r w:rsidRPr="008B3D42">
              <w:rPr>
                <w:rFonts w:asciiTheme="majorHAnsi" w:hAnsiTheme="majorHAnsi" w:cstheme="majorHAnsi"/>
                <w:sz w:val="16"/>
                <w:szCs w:val="16"/>
              </w:rPr>
              <w:t xml:space="preserve">dispute resolution mechanism, which undermine the </w:t>
            </w:r>
            <w:r w:rsidR="003816A7">
              <w:rPr>
                <w:rFonts w:asciiTheme="majorHAnsi" w:hAnsiTheme="majorHAnsi" w:cstheme="majorHAnsi"/>
                <w:sz w:val="16"/>
                <w:szCs w:val="16"/>
              </w:rPr>
              <w:t xml:space="preserve">credibility of the </w:t>
            </w:r>
            <w:r w:rsidRPr="008B3D42">
              <w:rPr>
                <w:rFonts w:asciiTheme="majorHAnsi" w:hAnsiTheme="majorHAnsi" w:cstheme="majorHAnsi"/>
                <w:sz w:val="16"/>
                <w:szCs w:val="16"/>
              </w:rPr>
              <w:t>threat of arbitration.</w:t>
            </w:r>
          </w:p>
        </w:tc>
        <w:tc>
          <w:tcPr>
            <w:tcW w:w="543" w:type="pct"/>
            <w:tcBorders>
              <w:bottom w:val="single" w:sz="4" w:space="0" w:color="auto"/>
            </w:tcBorders>
          </w:tcPr>
          <w:p w14:paraId="10E18327" w14:textId="77777777" w:rsidR="007924F5" w:rsidRPr="008B3D42" w:rsidRDefault="007924F5" w:rsidP="0095328D">
            <w:pPr>
              <w:tabs>
                <w:tab w:val="left" w:pos="720"/>
              </w:tabs>
              <w:spacing w:before="20" w:after="20"/>
              <w:ind w:right="85"/>
              <w:rPr>
                <w:rFonts w:asciiTheme="majorHAnsi" w:hAnsiTheme="majorHAnsi" w:cstheme="majorHAnsi"/>
                <w:sz w:val="16"/>
                <w:szCs w:val="16"/>
                <w:highlight w:val="yellow"/>
              </w:rPr>
            </w:pPr>
            <w:r w:rsidRPr="008B3D42">
              <w:rPr>
                <w:rFonts w:asciiTheme="majorHAnsi" w:hAnsiTheme="majorHAnsi" w:cstheme="majorHAnsi"/>
                <w:sz w:val="16"/>
                <w:szCs w:val="16"/>
              </w:rPr>
              <w:t>n.a.</w:t>
            </w:r>
          </w:p>
        </w:tc>
        <w:tc>
          <w:tcPr>
            <w:tcW w:w="371" w:type="pct"/>
            <w:tcBorders>
              <w:bottom w:val="single" w:sz="4" w:space="0" w:color="auto"/>
            </w:tcBorders>
          </w:tcPr>
          <w:p w14:paraId="36713C32" w14:textId="77777777" w:rsidR="007924F5" w:rsidRPr="008B3D42" w:rsidRDefault="007924F5" w:rsidP="0095328D">
            <w:pPr>
              <w:spacing w:before="20" w:after="20"/>
              <w:rPr>
                <w:rFonts w:asciiTheme="majorHAnsi" w:hAnsiTheme="majorHAnsi" w:cstheme="majorHAnsi"/>
                <w:sz w:val="16"/>
                <w:szCs w:val="16"/>
              </w:rPr>
            </w:pPr>
            <w:r>
              <w:rPr>
                <w:rFonts w:asciiTheme="majorHAnsi" w:hAnsiTheme="majorHAnsi" w:cstheme="majorHAnsi"/>
                <w:sz w:val="16"/>
                <w:szCs w:val="16"/>
              </w:rPr>
              <w:t>Highly likely</w:t>
            </w:r>
          </w:p>
        </w:tc>
        <w:tc>
          <w:tcPr>
            <w:tcW w:w="462" w:type="pct"/>
            <w:tcBorders>
              <w:bottom w:val="single" w:sz="4" w:space="0" w:color="auto"/>
            </w:tcBorders>
          </w:tcPr>
          <w:p w14:paraId="311F1984" w14:textId="77777777" w:rsidR="007924F5" w:rsidRPr="008B3D42" w:rsidRDefault="007924F5" w:rsidP="0095328D">
            <w:pPr>
              <w:spacing w:before="20" w:after="20"/>
              <w:rPr>
                <w:rFonts w:asciiTheme="majorHAnsi" w:hAnsiTheme="majorHAnsi" w:cstheme="majorHAnsi"/>
                <w:sz w:val="16"/>
                <w:szCs w:val="16"/>
              </w:rPr>
            </w:pPr>
            <w:r w:rsidRPr="008B3D42">
              <w:rPr>
                <w:rFonts w:asciiTheme="majorHAnsi" w:hAnsiTheme="majorHAnsi" w:cstheme="majorHAnsi"/>
                <w:sz w:val="16"/>
                <w:szCs w:val="16"/>
              </w:rPr>
              <w:t>Moderate</w:t>
            </w:r>
          </w:p>
        </w:tc>
        <w:tc>
          <w:tcPr>
            <w:tcW w:w="287" w:type="pct"/>
            <w:tcBorders>
              <w:bottom w:val="single" w:sz="4" w:space="0" w:color="auto"/>
            </w:tcBorders>
            <w:shd w:val="clear" w:color="auto" w:fill="FFC000"/>
          </w:tcPr>
          <w:p w14:paraId="11229E25" w14:textId="77777777" w:rsidR="007924F5" w:rsidRPr="008B3D42" w:rsidRDefault="007924F5" w:rsidP="0095328D">
            <w:pPr>
              <w:spacing w:before="20" w:after="20"/>
              <w:rPr>
                <w:rFonts w:asciiTheme="majorHAnsi" w:hAnsiTheme="majorHAnsi" w:cstheme="majorHAnsi"/>
                <w:sz w:val="16"/>
                <w:szCs w:val="16"/>
              </w:rPr>
            </w:pPr>
            <w:r w:rsidRPr="008B3D42">
              <w:rPr>
                <w:rFonts w:asciiTheme="majorHAnsi" w:hAnsiTheme="majorHAnsi" w:cstheme="majorHAnsi"/>
                <w:sz w:val="16"/>
                <w:szCs w:val="16"/>
              </w:rPr>
              <w:t>High</w:t>
            </w:r>
          </w:p>
        </w:tc>
        <w:tc>
          <w:tcPr>
            <w:tcW w:w="1419" w:type="pct"/>
            <w:tcBorders>
              <w:bottom w:val="single" w:sz="4" w:space="0" w:color="auto"/>
            </w:tcBorders>
            <w:shd w:val="clear" w:color="auto" w:fill="FFFFFF" w:themeFill="background1"/>
          </w:tcPr>
          <w:p w14:paraId="7819A5F7" w14:textId="77777777" w:rsidR="007924F5" w:rsidRPr="008B3D42" w:rsidRDefault="007924F5" w:rsidP="0095328D">
            <w:pPr>
              <w:spacing w:before="20" w:after="20"/>
              <w:rPr>
                <w:rFonts w:asciiTheme="majorHAnsi" w:hAnsiTheme="majorHAnsi" w:cstheme="majorHAnsi"/>
                <w:sz w:val="16"/>
                <w:szCs w:val="16"/>
              </w:rPr>
            </w:pPr>
            <w:r>
              <w:rPr>
                <w:rFonts w:asciiTheme="majorHAnsi" w:hAnsiTheme="majorHAnsi" w:cstheme="majorHAnsi"/>
                <w:sz w:val="16"/>
                <w:szCs w:val="16"/>
              </w:rPr>
              <w:t>The consequence has been reduced from high to moderate in response to stakeholder feedback that the consequence of these deficiencies is only likely to have a moderate impact on the efficient transportation of gas and the efficient operation of the gas market</w:t>
            </w:r>
          </w:p>
        </w:tc>
      </w:tr>
      <w:bookmarkEnd w:id="267"/>
    </w:tbl>
    <w:p w14:paraId="3AE752DB" w14:textId="77777777" w:rsidR="000E43D3" w:rsidRDefault="000E43D3" w:rsidP="005A71F2">
      <w:pPr>
        <w:pStyle w:val="BodyText"/>
      </w:pPr>
      <w:r>
        <w:br w:type="page"/>
      </w:r>
    </w:p>
    <w:p w14:paraId="57626F07" w14:textId="77777777" w:rsidR="006A6BDB" w:rsidRPr="0024211F" w:rsidRDefault="006A6BDB" w:rsidP="006A6BDB">
      <w:pPr>
        <w:keepNext/>
        <w:rPr>
          <w:b/>
        </w:rPr>
      </w:pPr>
      <w:r w:rsidRPr="0024211F">
        <w:rPr>
          <w:rFonts w:cs="Arial"/>
          <w:b/>
        </w:rPr>
        <w:lastRenderedPageBreak/>
        <w:t xml:space="preserve">Table </w:t>
      </w:r>
      <w:r>
        <w:rPr>
          <w:rFonts w:cs="Arial"/>
          <w:b/>
        </w:rPr>
        <w:t>C.</w:t>
      </w:r>
      <w:r w:rsidR="005A71F2">
        <w:rPr>
          <w:rFonts w:cs="Arial"/>
          <w:b/>
        </w:rPr>
        <w:t>5</w:t>
      </w:r>
      <w:r w:rsidRPr="0024211F">
        <w:rPr>
          <w:rFonts w:cs="Arial"/>
          <w:b/>
        </w:rPr>
        <w:t>: R</w:t>
      </w:r>
      <w:r w:rsidRPr="0024211F">
        <w:rPr>
          <w:b/>
        </w:rPr>
        <w:t>isk</w:t>
      </w:r>
      <w:r>
        <w:rPr>
          <w:b/>
        </w:rPr>
        <w:t xml:space="preserve">s associated with the </w:t>
      </w:r>
      <w:r w:rsidR="00C520DA">
        <w:rPr>
          <w:b/>
        </w:rPr>
        <w:t xml:space="preserve">reform options </w:t>
      </w:r>
    </w:p>
    <w:tbl>
      <w:tblPr>
        <w:tblStyle w:val="TableGrid4"/>
        <w:tblW w:w="5118" w:type="pct"/>
        <w:tblLook w:val="04A0" w:firstRow="1" w:lastRow="0" w:firstColumn="1" w:lastColumn="0" w:noHBand="0" w:noVBand="1"/>
      </w:tblPr>
      <w:tblGrid>
        <w:gridCol w:w="441"/>
        <w:gridCol w:w="1350"/>
        <w:gridCol w:w="783"/>
        <w:gridCol w:w="850"/>
        <w:gridCol w:w="750"/>
        <w:gridCol w:w="783"/>
        <w:gridCol w:w="850"/>
        <w:gridCol w:w="750"/>
        <w:gridCol w:w="783"/>
        <w:gridCol w:w="850"/>
        <w:gridCol w:w="750"/>
        <w:gridCol w:w="783"/>
        <w:gridCol w:w="850"/>
        <w:gridCol w:w="750"/>
        <w:gridCol w:w="2711"/>
      </w:tblGrid>
      <w:tr w:rsidR="0038662A" w:rsidRPr="00757E3A" w14:paraId="0409DE50" w14:textId="77777777" w:rsidTr="00120E27">
        <w:trPr>
          <w:cnfStyle w:val="100000000000" w:firstRow="1" w:lastRow="0" w:firstColumn="0" w:lastColumn="0" w:oddVBand="0" w:evenVBand="0" w:oddHBand="0" w:evenHBand="0" w:firstRowFirstColumn="0" w:firstRowLastColumn="0" w:lastRowFirstColumn="0" w:lastRowLastColumn="0"/>
          <w:trHeight w:val="132"/>
          <w:tblHeader/>
        </w:trPr>
        <w:tc>
          <w:tcPr>
            <w:tcW w:w="638" w:type="pct"/>
            <w:gridSpan w:val="2"/>
            <w:vMerge w:val="restart"/>
            <w:tcBorders>
              <w:right w:val="single" w:sz="4" w:space="0" w:color="FFFFFF" w:themeColor="background1"/>
            </w:tcBorders>
            <w:shd w:val="clear" w:color="auto" w:fill="002060"/>
            <w:vAlign w:val="bottom"/>
          </w:tcPr>
          <w:p w14:paraId="764A46B7" w14:textId="77777777" w:rsidR="0085232E" w:rsidRPr="00757E3A" w:rsidRDefault="0085232E" w:rsidP="006A6BDB">
            <w:pPr>
              <w:tabs>
                <w:tab w:val="left" w:pos="720"/>
              </w:tabs>
              <w:spacing w:before="120" w:after="120"/>
              <w:ind w:left="85"/>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Impact</w:t>
            </w:r>
          </w:p>
        </w:tc>
        <w:tc>
          <w:tcPr>
            <w:tcW w:w="84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1A87DF42" w14:textId="77777777" w:rsidR="0085232E" w:rsidRPr="00757E3A" w:rsidRDefault="0085232E" w:rsidP="006A6BDB">
            <w:pPr>
              <w:jc w:val="cente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Option 2</w:t>
            </w:r>
          </w:p>
        </w:tc>
        <w:tc>
          <w:tcPr>
            <w:tcW w:w="84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698C955B" w14:textId="77777777" w:rsidR="0085232E" w:rsidRPr="00757E3A" w:rsidRDefault="0085232E" w:rsidP="006A6BDB">
            <w:pPr>
              <w:jc w:val="cente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Option 3A</w:t>
            </w:r>
          </w:p>
        </w:tc>
        <w:tc>
          <w:tcPr>
            <w:tcW w:w="84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514AAE9B" w14:textId="77777777" w:rsidR="0085232E" w:rsidRPr="00757E3A" w:rsidRDefault="0085232E" w:rsidP="006A6BDB">
            <w:pPr>
              <w:jc w:val="cente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Option 3B</w:t>
            </w:r>
          </w:p>
        </w:tc>
        <w:tc>
          <w:tcPr>
            <w:tcW w:w="84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39195563" w14:textId="77777777" w:rsidR="0085232E" w:rsidRPr="00757E3A" w:rsidRDefault="0085232E" w:rsidP="006A6BDB">
            <w:pPr>
              <w:jc w:val="cente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Option 4</w:t>
            </w:r>
          </w:p>
        </w:tc>
        <w:tc>
          <w:tcPr>
            <w:tcW w:w="96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1BED9215" w14:textId="77777777" w:rsidR="0085232E" w:rsidRPr="00757E3A" w:rsidRDefault="0085232E" w:rsidP="006A6BDB">
            <w:pPr>
              <w:jc w:val="cente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Rationale for deviations from the status quo</w:t>
            </w:r>
          </w:p>
        </w:tc>
      </w:tr>
      <w:tr w:rsidR="00757E3A" w:rsidRPr="00757E3A" w14:paraId="39450665" w14:textId="77777777" w:rsidTr="00120E27">
        <w:trPr>
          <w:cnfStyle w:val="100000000000" w:firstRow="1" w:lastRow="0" w:firstColumn="0" w:lastColumn="0" w:oddVBand="0" w:evenVBand="0" w:oddHBand="0" w:evenHBand="0" w:firstRowFirstColumn="0" w:firstRowLastColumn="0" w:lastRowFirstColumn="0" w:lastRowLastColumn="0"/>
          <w:trHeight w:val="424"/>
          <w:tblHeader/>
        </w:trPr>
        <w:tc>
          <w:tcPr>
            <w:tcW w:w="638" w:type="pct"/>
            <w:gridSpan w:val="2"/>
            <w:vMerge/>
            <w:tcBorders>
              <w:right w:val="single" w:sz="4" w:space="0" w:color="FFFFFF" w:themeColor="background1"/>
            </w:tcBorders>
            <w:shd w:val="clear" w:color="auto" w:fill="002060"/>
            <w:vAlign w:val="bottom"/>
          </w:tcPr>
          <w:p w14:paraId="09A25CC3" w14:textId="77777777" w:rsidR="00022B37" w:rsidRPr="00757E3A" w:rsidRDefault="00022B37" w:rsidP="00022B37">
            <w:pPr>
              <w:tabs>
                <w:tab w:val="left" w:pos="720"/>
              </w:tabs>
              <w:spacing w:before="120" w:after="120"/>
              <w:ind w:left="85"/>
              <w:rPr>
                <w:rFonts w:asciiTheme="majorHAnsi" w:hAnsiTheme="majorHAnsi" w:cstheme="majorHAnsi"/>
                <w:b/>
                <w:color w:val="FFFFFF"/>
                <w:sz w:val="15"/>
                <w:szCs w:val="15"/>
              </w:rPr>
            </w:pP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34CD5312" w14:textId="77777777" w:rsidR="00022B37" w:rsidRPr="00757E3A" w:rsidRDefault="00022B37" w:rsidP="00022B37">
            <w:pP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L*</w:t>
            </w:r>
          </w:p>
        </w:tc>
        <w:tc>
          <w:tcPr>
            <w:tcW w:w="3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43F8B627" w14:textId="77777777" w:rsidR="00022B37" w:rsidRPr="00757E3A" w:rsidRDefault="00022B37" w:rsidP="00022B37">
            <w:pP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C*</w:t>
            </w: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3770BD20" w14:textId="77777777" w:rsidR="00022B37" w:rsidRPr="00757E3A" w:rsidRDefault="00022B37" w:rsidP="00022B37">
            <w:pP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Risk Rating</w:t>
            </w: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7B144EFC" w14:textId="77777777" w:rsidR="00022B37" w:rsidRPr="00757E3A" w:rsidRDefault="00022B37" w:rsidP="00022B37">
            <w:pP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L*</w:t>
            </w:r>
          </w:p>
        </w:tc>
        <w:tc>
          <w:tcPr>
            <w:tcW w:w="3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55271BFF" w14:textId="77777777" w:rsidR="00022B37" w:rsidRPr="00757E3A" w:rsidRDefault="00022B37" w:rsidP="00022B37">
            <w:pP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C*</w:t>
            </w: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5869E89E" w14:textId="77777777" w:rsidR="00022B37" w:rsidRPr="00757E3A" w:rsidRDefault="00022B37" w:rsidP="00022B37">
            <w:pP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Risk Rating</w:t>
            </w: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720DCD36" w14:textId="77777777" w:rsidR="00022B37" w:rsidRPr="00757E3A" w:rsidRDefault="00022B37" w:rsidP="00022B37">
            <w:pP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L*</w:t>
            </w:r>
          </w:p>
        </w:tc>
        <w:tc>
          <w:tcPr>
            <w:tcW w:w="3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16868C54" w14:textId="77777777" w:rsidR="00022B37" w:rsidRPr="00757E3A" w:rsidRDefault="00022B37" w:rsidP="00022B37">
            <w:pP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C*</w:t>
            </w: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42C221CC" w14:textId="77777777" w:rsidR="00022B37" w:rsidRPr="00757E3A" w:rsidRDefault="00022B37" w:rsidP="00022B37">
            <w:pP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Risk Rating</w:t>
            </w: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2C975A30" w14:textId="77777777" w:rsidR="00022B37" w:rsidRPr="00757E3A" w:rsidRDefault="00022B37" w:rsidP="00022B37">
            <w:pP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L*</w:t>
            </w:r>
          </w:p>
        </w:tc>
        <w:tc>
          <w:tcPr>
            <w:tcW w:w="3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456BBD6D" w14:textId="77777777" w:rsidR="00022B37" w:rsidRPr="00757E3A" w:rsidRDefault="00022B37" w:rsidP="00022B37">
            <w:pP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C*</w:t>
            </w: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514EDE35" w14:textId="77777777" w:rsidR="00022B37" w:rsidRPr="00757E3A" w:rsidRDefault="00022B37" w:rsidP="00022B37">
            <w:pPr>
              <w:rPr>
                <w:rFonts w:asciiTheme="majorHAnsi" w:hAnsiTheme="majorHAnsi" w:cstheme="majorHAnsi"/>
                <w:b/>
                <w:color w:val="FFFFFF"/>
                <w:sz w:val="15"/>
                <w:szCs w:val="15"/>
              </w:rPr>
            </w:pPr>
            <w:r w:rsidRPr="00757E3A">
              <w:rPr>
                <w:rFonts w:asciiTheme="majorHAnsi" w:hAnsiTheme="majorHAnsi" w:cstheme="majorHAnsi"/>
                <w:b/>
                <w:color w:val="FFFFFF"/>
                <w:sz w:val="15"/>
                <w:szCs w:val="15"/>
              </w:rPr>
              <w:t>Risk Rating</w:t>
            </w:r>
          </w:p>
        </w:tc>
        <w:tc>
          <w:tcPr>
            <w:tcW w:w="96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9AF6866" w14:textId="77777777" w:rsidR="00022B37" w:rsidRPr="00757E3A" w:rsidRDefault="00022B37" w:rsidP="00022B37">
            <w:pPr>
              <w:rPr>
                <w:rFonts w:asciiTheme="majorHAnsi" w:hAnsiTheme="majorHAnsi" w:cstheme="majorHAnsi"/>
                <w:b/>
                <w:color w:val="FFFFFF"/>
                <w:sz w:val="15"/>
                <w:szCs w:val="15"/>
              </w:rPr>
            </w:pPr>
          </w:p>
        </w:tc>
      </w:tr>
      <w:tr w:rsidR="00757E3A" w:rsidRPr="00757E3A" w14:paraId="70ACFF01" w14:textId="77777777" w:rsidTr="00120E27">
        <w:trPr>
          <w:cnfStyle w:val="000000100000" w:firstRow="0" w:lastRow="0" w:firstColumn="0" w:lastColumn="0" w:oddVBand="0" w:evenVBand="0" w:oddHBand="1" w:evenHBand="0" w:firstRowFirstColumn="0" w:firstRowLastColumn="0" w:lastRowFirstColumn="0" w:lastRowLastColumn="0"/>
          <w:trHeight w:val="602"/>
        </w:trPr>
        <w:tc>
          <w:tcPr>
            <w:tcW w:w="157" w:type="pct"/>
            <w:vMerge w:val="restart"/>
            <w:textDirection w:val="btLr"/>
          </w:tcPr>
          <w:p w14:paraId="28131567" w14:textId="77777777" w:rsidR="00EF0C73" w:rsidRPr="00757E3A" w:rsidRDefault="00EF0C73" w:rsidP="00A45CA5">
            <w:pPr>
              <w:spacing w:before="20" w:after="20"/>
              <w:ind w:left="113" w:right="113"/>
              <w:jc w:val="center"/>
              <w:rPr>
                <w:rFonts w:asciiTheme="majorHAnsi" w:hAnsiTheme="majorHAnsi" w:cstheme="majorHAnsi"/>
                <w:sz w:val="15"/>
                <w:szCs w:val="15"/>
              </w:rPr>
            </w:pPr>
            <w:r w:rsidRPr="00757E3A">
              <w:rPr>
                <w:rFonts w:asciiTheme="majorHAnsi" w:hAnsiTheme="majorHAnsi" w:cstheme="majorHAnsi"/>
                <w:sz w:val="15"/>
                <w:szCs w:val="15"/>
              </w:rPr>
              <w:t xml:space="preserve">Inappropriate </w:t>
            </w:r>
            <w:r w:rsidR="00722F7F">
              <w:rPr>
                <w:rFonts w:asciiTheme="majorHAnsi" w:hAnsiTheme="majorHAnsi" w:cstheme="majorHAnsi"/>
                <w:sz w:val="15"/>
                <w:szCs w:val="15"/>
              </w:rPr>
              <w:t xml:space="preserve">threshold for </w:t>
            </w:r>
            <w:r w:rsidR="009A6C7E">
              <w:rPr>
                <w:rFonts w:asciiTheme="majorHAnsi" w:hAnsiTheme="majorHAnsi" w:cstheme="majorHAnsi"/>
                <w:sz w:val="15"/>
                <w:szCs w:val="15"/>
              </w:rPr>
              <w:t>economic regulation</w:t>
            </w:r>
          </w:p>
        </w:tc>
        <w:tc>
          <w:tcPr>
            <w:tcW w:w="481" w:type="pct"/>
            <w:tcBorders>
              <w:bottom w:val="single" w:sz="4" w:space="0" w:color="auto"/>
            </w:tcBorders>
          </w:tcPr>
          <w:p w14:paraId="7F28D98B" w14:textId="35728CCD" w:rsidR="00EF0C73" w:rsidRPr="00757E3A" w:rsidRDefault="00EF0C73" w:rsidP="00FB571B">
            <w:pPr>
              <w:rPr>
                <w:rFonts w:asciiTheme="majorHAnsi" w:hAnsiTheme="majorHAnsi" w:cstheme="majorHAnsi"/>
                <w:sz w:val="15"/>
                <w:szCs w:val="15"/>
              </w:rPr>
            </w:pPr>
            <w:r w:rsidRPr="00757E3A">
              <w:rPr>
                <w:rFonts w:asciiTheme="majorHAnsi" w:hAnsiTheme="majorHAnsi" w:cstheme="majorHAnsi"/>
                <w:sz w:val="15"/>
                <w:szCs w:val="15"/>
              </w:rPr>
              <w:t xml:space="preserve">Some pipelines </w:t>
            </w:r>
            <w:r w:rsidR="002C342D" w:rsidRPr="00757E3A">
              <w:rPr>
                <w:rFonts w:asciiTheme="majorHAnsi" w:hAnsiTheme="majorHAnsi" w:cstheme="majorHAnsi"/>
                <w:sz w:val="15"/>
                <w:szCs w:val="15"/>
              </w:rPr>
              <w:t>providing 3</w:t>
            </w:r>
            <w:r w:rsidR="002C342D" w:rsidRPr="00757E3A">
              <w:rPr>
                <w:rFonts w:asciiTheme="majorHAnsi" w:hAnsiTheme="majorHAnsi" w:cstheme="majorHAnsi"/>
                <w:sz w:val="15"/>
                <w:szCs w:val="15"/>
                <w:vertAlign w:val="superscript"/>
              </w:rPr>
              <w:t>rd</w:t>
            </w:r>
            <w:r w:rsidR="002C342D" w:rsidRPr="00757E3A">
              <w:rPr>
                <w:rFonts w:asciiTheme="majorHAnsi" w:hAnsiTheme="majorHAnsi" w:cstheme="majorHAnsi"/>
                <w:sz w:val="15"/>
                <w:szCs w:val="15"/>
              </w:rPr>
              <w:t xml:space="preserve"> party access </w:t>
            </w:r>
            <w:r w:rsidRPr="00757E3A">
              <w:rPr>
                <w:rFonts w:asciiTheme="majorHAnsi" w:hAnsiTheme="majorHAnsi" w:cstheme="majorHAnsi"/>
                <w:sz w:val="15"/>
                <w:szCs w:val="15"/>
              </w:rPr>
              <w:t xml:space="preserve">may be subject to economic regulation when they don’t have the requisite degree of market power (i.e. the risk of over-regulation), which can </w:t>
            </w:r>
            <w:r w:rsidR="004F5A3E">
              <w:rPr>
                <w:rFonts w:asciiTheme="majorHAnsi" w:hAnsiTheme="majorHAnsi" w:cstheme="majorHAnsi"/>
                <w:sz w:val="15"/>
                <w:szCs w:val="15"/>
              </w:rPr>
              <w:t xml:space="preserve">lead </w:t>
            </w:r>
            <w:r w:rsidRPr="00757E3A">
              <w:rPr>
                <w:rFonts w:asciiTheme="majorHAnsi" w:hAnsiTheme="majorHAnsi" w:cstheme="majorHAnsi"/>
                <w:sz w:val="15"/>
                <w:szCs w:val="15"/>
              </w:rPr>
              <w:t>to unnecessary regulatory and compliance costs</w:t>
            </w:r>
          </w:p>
        </w:tc>
        <w:tc>
          <w:tcPr>
            <w:tcW w:w="279" w:type="pct"/>
            <w:tcBorders>
              <w:top w:val="single" w:sz="4" w:space="0" w:color="FFFFFF" w:themeColor="background1"/>
            </w:tcBorders>
          </w:tcPr>
          <w:p w14:paraId="5D2EB47D" w14:textId="77777777" w:rsidR="00EF0C73" w:rsidRPr="00757E3A" w:rsidRDefault="00EF0C73" w:rsidP="00FB571B">
            <w:pPr>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top w:val="single" w:sz="4" w:space="0" w:color="FFFFFF" w:themeColor="background1"/>
            </w:tcBorders>
          </w:tcPr>
          <w:p w14:paraId="63CEF726" w14:textId="77777777" w:rsidR="00EF0C73" w:rsidRPr="00757E3A" w:rsidRDefault="00EF0C73" w:rsidP="00FB571B">
            <w:pPr>
              <w:spacing w:before="20" w:after="20"/>
              <w:rPr>
                <w:rFonts w:asciiTheme="majorHAnsi" w:hAnsiTheme="majorHAnsi" w:cstheme="majorHAnsi"/>
                <w:sz w:val="15"/>
                <w:szCs w:val="15"/>
              </w:rPr>
            </w:pPr>
            <w:r w:rsidRPr="00757E3A">
              <w:rPr>
                <w:rFonts w:asciiTheme="majorHAnsi" w:hAnsiTheme="majorHAnsi" w:cstheme="majorHAnsi"/>
                <w:sz w:val="15"/>
                <w:szCs w:val="15"/>
              </w:rPr>
              <w:t>Minor</w:t>
            </w:r>
          </w:p>
        </w:tc>
        <w:tc>
          <w:tcPr>
            <w:tcW w:w="267" w:type="pct"/>
            <w:tcBorders>
              <w:top w:val="single" w:sz="4" w:space="0" w:color="FFFFFF" w:themeColor="background1"/>
              <w:bottom w:val="single" w:sz="4" w:space="0" w:color="auto"/>
            </w:tcBorders>
            <w:shd w:val="clear" w:color="auto" w:fill="92D050"/>
          </w:tcPr>
          <w:p w14:paraId="15EC618C" w14:textId="77777777" w:rsidR="00EF0C73" w:rsidRPr="00757E3A" w:rsidRDefault="00EF0C73" w:rsidP="00FB571B">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top w:val="single" w:sz="4" w:space="0" w:color="FFFFFF" w:themeColor="background1"/>
              <w:bottom w:val="single" w:sz="4" w:space="0" w:color="auto"/>
            </w:tcBorders>
            <w:shd w:val="clear" w:color="auto" w:fill="FFFFFF" w:themeFill="background1"/>
          </w:tcPr>
          <w:p w14:paraId="2866EB30" w14:textId="77777777" w:rsidR="00EF0C73" w:rsidRPr="00757E3A" w:rsidRDefault="00EF0C73" w:rsidP="00FB571B">
            <w:pPr>
              <w:spacing w:before="20" w:after="20"/>
              <w:rPr>
                <w:rFonts w:asciiTheme="majorHAnsi" w:hAnsiTheme="majorHAnsi" w:cstheme="majorHAnsi"/>
                <w:sz w:val="15"/>
                <w:szCs w:val="15"/>
              </w:rPr>
            </w:pPr>
            <w:r w:rsidRPr="00757E3A">
              <w:rPr>
                <w:rFonts w:asciiTheme="majorHAnsi" w:hAnsiTheme="majorHAnsi" w:cstheme="majorHAnsi"/>
                <w:sz w:val="15"/>
                <w:szCs w:val="15"/>
              </w:rPr>
              <w:t>Possible</w:t>
            </w:r>
          </w:p>
        </w:tc>
        <w:tc>
          <w:tcPr>
            <w:tcW w:w="303" w:type="pct"/>
            <w:tcBorders>
              <w:top w:val="single" w:sz="4" w:space="0" w:color="FFFFFF" w:themeColor="background1"/>
              <w:bottom w:val="single" w:sz="4" w:space="0" w:color="auto"/>
            </w:tcBorders>
            <w:shd w:val="clear" w:color="auto" w:fill="FFFFFF" w:themeFill="background1"/>
          </w:tcPr>
          <w:p w14:paraId="0F59542D" w14:textId="77777777" w:rsidR="00EF0C73" w:rsidRPr="00757E3A" w:rsidRDefault="00EF0C73" w:rsidP="00FB571B">
            <w:pPr>
              <w:spacing w:before="20" w:after="20"/>
              <w:rPr>
                <w:rFonts w:asciiTheme="majorHAnsi" w:hAnsiTheme="majorHAnsi" w:cstheme="majorHAnsi"/>
                <w:sz w:val="15"/>
                <w:szCs w:val="15"/>
              </w:rPr>
            </w:pPr>
            <w:r w:rsidRPr="00757E3A">
              <w:rPr>
                <w:rFonts w:asciiTheme="majorHAnsi" w:hAnsiTheme="majorHAnsi" w:cstheme="majorHAnsi"/>
                <w:sz w:val="15"/>
                <w:szCs w:val="15"/>
              </w:rPr>
              <w:t>Minor</w:t>
            </w:r>
          </w:p>
        </w:tc>
        <w:tc>
          <w:tcPr>
            <w:tcW w:w="267" w:type="pct"/>
            <w:tcBorders>
              <w:top w:val="single" w:sz="4" w:space="0" w:color="FFFFFF" w:themeColor="background1"/>
              <w:bottom w:val="single" w:sz="4" w:space="0" w:color="auto"/>
            </w:tcBorders>
            <w:shd w:val="clear" w:color="auto" w:fill="92D050"/>
          </w:tcPr>
          <w:p w14:paraId="70FEFD9D" w14:textId="77777777" w:rsidR="00EF0C73" w:rsidRPr="00757E3A" w:rsidRDefault="00EF0C73" w:rsidP="00FB571B">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top w:val="single" w:sz="4" w:space="0" w:color="FFFFFF" w:themeColor="background1"/>
              <w:bottom w:val="single" w:sz="4" w:space="0" w:color="auto"/>
            </w:tcBorders>
            <w:shd w:val="clear" w:color="auto" w:fill="FFFFFF" w:themeFill="background1"/>
          </w:tcPr>
          <w:p w14:paraId="015463E1" w14:textId="77777777" w:rsidR="00EF0C73" w:rsidRPr="00757E3A" w:rsidRDefault="00FB769A" w:rsidP="00FB571B">
            <w:pPr>
              <w:spacing w:before="20" w:after="20"/>
              <w:rPr>
                <w:rFonts w:asciiTheme="majorHAnsi" w:hAnsiTheme="majorHAnsi" w:cstheme="majorHAnsi"/>
                <w:sz w:val="15"/>
                <w:szCs w:val="15"/>
              </w:rPr>
            </w:pPr>
            <w:r>
              <w:rPr>
                <w:rFonts w:asciiTheme="majorHAnsi" w:hAnsiTheme="majorHAnsi" w:cstheme="majorHAnsi"/>
                <w:sz w:val="15"/>
                <w:szCs w:val="15"/>
              </w:rPr>
              <w:t>Possible</w:t>
            </w:r>
          </w:p>
        </w:tc>
        <w:tc>
          <w:tcPr>
            <w:tcW w:w="303" w:type="pct"/>
            <w:tcBorders>
              <w:top w:val="single" w:sz="4" w:space="0" w:color="FFFFFF" w:themeColor="background1"/>
              <w:bottom w:val="single" w:sz="4" w:space="0" w:color="auto"/>
            </w:tcBorders>
            <w:shd w:val="clear" w:color="auto" w:fill="FFFFFF" w:themeFill="background1"/>
          </w:tcPr>
          <w:p w14:paraId="1D885B53" w14:textId="77777777" w:rsidR="00EF0C73" w:rsidRPr="00757E3A" w:rsidRDefault="00C40234" w:rsidP="00FB571B">
            <w:pPr>
              <w:spacing w:before="20" w:after="20"/>
              <w:rPr>
                <w:rFonts w:asciiTheme="majorHAnsi" w:hAnsiTheme="majorHAnsi" w:cstheme="majorHAnsi"/>
                <w:sz w:val="15"/>
                <w:szCs w:val="15"/>
              </w:rPr>
            </w:pPr>
            <w:r w:rsidRPr="00757E3A">
              <w:rPr>
                <w:rFonts w:asciiTheme="majorHAnsi" w:hAnsiTheme="majorHAnsi" w:cstheme="majorHAnsi"/>
                <w:sz w:val="15"/>
                <w:szCs w:val="15"/>
              </w:rPr>
              <w:t>Minor</w:t>
            </w:r>
          </w:p>
        </w:tc>
        <w:tc>
          <w:tcPr>
            <w:tcW w:w="267" w:type="pct"/>
            <w:tcBorders>
              <w:top w:val="single" w:sz="4" w:space="0" w:color="FFFFFF" w:themeColor="background1"/>
              <w:bottom w:val="single" w:sz="4" w:space="0" w:color="auto"/>
            </w:tcBorders>
            <w:shd w:val="clear" w:color="auto" w:fill="92D050"/>
          </w:tcPr>
          <w:p w14:paraId="1324358E" w14:textId="77777777" w:rsidR="00EF0C73" w:rsidRPr="00757E3A" w:rsidRDefault="005B29AE" w:rsidP="00FB571B">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top w:val="single" w:sz="4" w:space="0" w:color="FFFFFF" w:themeColor="background1"/>
              <w:bottom w:val="single" w:sz="4" w:space="0" w:color="auto"/>
            </w:tcBorders>
            <w:shd w:val="clear" w:color="auto" w:fill="FFFFFF" w:themeFill="background1"/>
          </w:tcPr>
          <w:p w14:paraId="6F27429E" w14:textId="77777777" w:rsidR="00EF0C73" w:rsidRPr="00757E3A" w:rsidRDefault="00FB769A" w:rsidP="00FB571B">
            <w:pPr>
              <w:spacing w:before="20" w:after="20"/>
              <w:rPr>
                <w:rFonts w:asciiTheme="majorHAnsi" w:hAnsiTheme="majorHAnsi" w:cstheme="majorHAnsi"/>
                <w:sz w:val="15"/>
                <w:szCs w:val="15"/>
              </w:rPr>
            </w:pPr>
            <w:r>
              <w:rPr>
                <w:rFonts w:asciiTheme="majorHAnsi" w:hAnsiTheme="majorHAnsi" w:cstheme="majorHAnsi"/>
                <w:sz w:val="15"/>
                <w:szCs w:val="15"/>
              </w:rPr>
              <w:t>Possible</w:t>
            </w:r>
          </w:p>
        </w:tc>
        <w:tc>
          <w:tcPr>
            <w:tcW w:w="303" w:type="pct"/>
            <w:tcBorders>
              <w:top w:val="single" w:sz="4" w:space="0" w:color="FFFFFF" w:themeColor="background1"/>
              <w:bottom w:val="single" w:sz="4" w:space="0" w:color="auto"/>
            </w:tcBorders>
            <w:shd w:val="clear" w:color="auto" w:fill="FFFFFF" w:themeFill="background1"/>
          </w:tcPr>
          <w:p w14:paraId="5033882B" w14:textId="77777777" w:rsidR="00EF0C73" w:rsidRPr="00757E3A" w:rsidRDefault="00C40234" w:rsidP="00FB571B">
            <w:pPr>
              <w:spacing w:before="20" w:after="20"/>
              <w:rPr>
                <w:rFonts w:asciiTheme="majorHAnsi" w:hAnsiTheme="majorHAnsi" w:cstheme="majorHAnsi"/>
                <w:sz w:val="15"/>
                <w:szCs w:val="15"/>
              </w:rPr>
            </w:pPr>
            <w:r w:rsidRPr="00757E3A">
              <w:rPr>
                <w:rFonts w:asciiTheme="majorHAnsi" w:hAnsiTheme="majorHAnsi" w:cstheme="majorHAnsi"/>
                <w:sz w:val="15"/>
                <w:szCs w:val="15"/>
              </w:rPr>
              <w:t>Minor</w:t>
            </w:r>
          </w:p>
        </w:tc>
        <w:tc>
          <w:tcPr>
            <w:tcW w:w="267" w:type="pct"/>
            <w:tcBorders>
              <w:top w:val="single" w:sz="4" w:space="0" w:color="FFFFFF" w:themeColor="background1"/>
              <w:bottom w:val="single" w:sz="4" w:space="0" w:color="auto"/>
            </w:tcBorders>
            <w:shd w:val="clear" w:color="auto" w:fill="92D050"/>
          </w:tcPr>
          <w:p w14:paraId="63FBB6E8" w14:textId="77777777" w:rsidR="00EF0C73" w:rsidRPr="00757E3A" w:rsidRDefault="005B29AE" w:rsidP="00FB571B">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966" w:type="pct"/>
            <w:tcBorders>
              <w:top w:val="single" w:sz="4" w:space="0" w:color="FFFFFF" w:themeColor="background1"/>
              <w:bottom w:val="single" w:sz="4" w:space="0" w:color="auto"/>
            </w:tcBorders>
            <w:shd w:val="clear" w:color="auto" w:fill="auto"/>
          </w:tcPr>
          <w:p w14:paraId="4AA4C197" w14:textId="77777777" w:rsidR="00EF0C73" w:rsidRPr="00757E3A" w:rsidRDefault="002D57B9" w:rsidP="00F27CDD">
            <w:pPr>
              <w:rPr>
                <w:rFonts w:asciiTheme="majorHAnsi" w:hAnsiTheme="majorHAnsi" w:cstheme="majorHAnsi"/>
                <w:sz w:val="15"/>
                <w:szCs w:val="15"/>
              </w:rPr>
            </w:pPr>
            <w:r>
              <w:rPr>
                <w:rFonts w:asciiTheme="majorHAnsi" w:hAnsiTheme="majorHAnsi" w:cstheme="majorHAnsi"/>
                <w:sz w:val="15"/>
                <w:szCs w:val="15"/>
              </w:rPr>
              <w:t xml:space="preserve">The likelihood of this </w:t>
            </w:r>
            <w:r w:rsidR="00EF0C73" w:rsidRPr="00757E3A">
              <w:rPr>
                <w:rFonts w:asciiTheme="majorHAnsi" w:hAnsiTheme="majorHAnsi" w:cstheme="majorHAnsi"/>
                <w:sz w:val="15"/>
                <w:szCs w:val="15"/>
              </w:rPr>
              <w:t xml:space="preserve">risk </w:t>
            </w:r>
            <w:r>
              <w:rPr>
                <w:rFonts w:asciiTheme="majorHAnsi" w:hAnsiTheme="majorHAnsi" w:cstheme="majorHAnsi"/>
                <w:sz w:val="15"/>
                <w:szCs w:val="15"/>
              </w:rPr>
              <w:t xml:space="preserve">eventuating </w:t>
            </w:r>
            <w:r w:rsidR="00EF0C73" w:rsidRPr="00757E3A">
              <w:rPr>
                <w:rFonts w:asciiTheme="majorHAnsi" w:hAnsiTheme="majorHAnsi" w:cstheme="majorHAnsi"/>
                <w:sz w:val="15"/>
                <w:szCs w:val="15"/>
              </w:rPr>
              <w:t xml:space="preserve">is: </w:t>
            </w:r>
          </w:p>
          <w:p w14:paraId="2DA3997F" w14:textId="77777777" w:rsidR="00EF0C73" w:rsidRPr="00757E3A" w:rsidRDefault="00EF0C73" w:rsidP="00F27CDD">
            <w:pPr>
              <w:pStyle w:val="TableBullet10"/>
              <w:spacing w:before="0" w:after="0"/>
              <w:ind w:left="227" w:right="0"/>
              <w:rPr>
                <w:sz w:val="15"/>
                <w:szCs w:val="15"/>
              </w:rPr>
            </w:pPr>
            <w:r w:rsidRPr="00757E3A">
              <w:rPr>
                <w:sz w:val="15"/>
                <w:szCs w:val="15"/>
              </w:rPr>
              <w:t>lower under Option 2 than the status quo because pipelines would be able to obtain a full exemption from regulation if they can demonstrate they lack market power</w:t>
            </w:r>
            <w:r w:rsidR="008E2DE5">
              <w:rPr>
                <w:sz w:val="15"/>
                <w:szCs w:val="15"/>
              </w:rPr>
              <w:t>, which reduces the likelihood of the risk</w:t>
            </w:r>
            <w:r w:rsidR="00B40931">
              <w:rPr>
                <w:sz w:val="15"/>
                <w:szCs w:val="15"/>
              </w:rPr>
              <w:t>.</w:t>
            </w:r>
          </w:p>
          <w:p w14:paraId="7844563B" w14:textId="77777777" w:rsidR="00EF0C73" w:rsidRPr="00757E3A" w:rsidRDefault="007B270D" w:rsidP="005B29AE">
            <w:pPr>
              <w:pStyle w:val="TableBullet10"/>
              <w:spacing w:before="0" w:after="0"/>
              <w:ind w:left="227" w:right="0"/>
              <w:rPr>
                <w:sz w:val="15"/>
                <w:szCs w:val="15"/>
              </w:rPr>
            </w:pPr>
            <w:r>
              <w:rPr>
                <w:sz w:val="15"/>
                <w:szCs w:val="15"/>
              </w:rPr>
              <w:t xml:space="preserve">the same as the status quo </w:t>
            </w:r>
            <w:r w:rsidR="00EF0C73" w:rsidRPr="00757E3A">
              <w:rPr>
                <w:sz w:val="15"/>
                <w:szCs w:val="15"/>
              </w:rPr>
              <w:t xml:space="preserve">under </w:t>
            </w:r>
            <w:r w:rsidR="005B29AE">
              <w:rPr>
                <w:sz w:val="15"/>
                <w:szCs w:val="15"/>
              </w:rPr>
              <w:t>o</w:t>
            </w:r>
            <w:r w:rsidR="00EF0C73" w:rsidRPr="00757E3A">
              <w:rPr>
                <w:sz w:val="15"/>
                <w:szCs w:val="15"/>
              </w:rPr>
              <w:t>ption</w:t>
            </w:r>
            <w:r w:rsidR="005B29AE">
              <w:rPr>
                <w:sz w:val="15"/>
                <w:szCs w:val="15"/>
              </w:rPr>
              <w:t>s</w:t>
            </w:r>
            <w:r w:rsidR="00EF0C73" w:rsidRPr="00757E3A">
              <w:rPr>
                <w:sz w:val="15"/>
                <w:szCs w:val="15"/>
              </w:rPr>
              <w:t xml:space="preserve"> 3A</w:t>
            </w:r>
            <w:r w:rsidR="005B29AE">
              <w:rPr>
                <w:sz w:val="15"/>
                <w:szCs w:val="15"/>
              </w:rPr>
              <w:t xml:space="preserve">, 3B and 4 </w:t>
            </w:r>
            <w:r w:rsidR="00EF0C73" w:rsidRPr="00757E3A">
              <w:rPr>
                <w:sz w:val="15"/>
                <w:szCs w:val="15"/>
              </w:rPr>
              <w:t>because all pipelines providing third party access would be subject to regulation</w:t>
            </w:r>
            <w:r w:rsidR="005B29AE">
              <w:rPr>
                <w:sz w:val="15"/>
                <w:szCs w:val="15"/>
              </w:rPr>
              <w:t>.</w:t>
            </w:r>
          </w:p>
        </w:tc>
      </w:tr>
      <w:tr w:rsidR="00757E3A" w:rsidRPr="00757E3A" w14:paraId="7AB3267B" w14:textId="77777777" w:rsidTr="00120E27">
        <w:trPr>
          <w:cnfStyle w:val="000000010000" w:firstRow="0" w:lastRow="0" w:firstColumn="0" w:lastColumn="0" w:oddVBand="0" w:evenVBand="0" w:oddHBand="0" w:evenHBand="1" w:firstRowFirstColumn="0" w:firstRowLastColumn="0" w:lastRowFirstColumn="0" w:lastRowLastColumn="0"/>
          <w:trHeight w:val="600"/>
        </w:trPr>
        <w:tc>
          <w:tcPr>
            <w:tcW w:w="157" w:type="pct"/>
            <w:vMerge/>
          </w:tcPr>
          <w:p w14:paraId="37BFC705" w14:textId="77777777" w:rsidR="00EF0C73" w:rsidRPr="00757E3A" w:rsidRDefault="00EF0C73" w:rsidP="00CF688C">
            <w:pPr>
              <w:spacing w:before="20" w:after="20"/>
              <w:rPr>
                <w:rFonts w:asciiTheme="majorHAnsi" w:hAnsiTheme="majorHAnsi" w:cstheme="majorHAnsi"/>
                <w:sz w:val="15"/>
                <w:szCs w:val="15"/>
              </w:rPr>
            </w:pPr>
          </w:p>
        </w:tc>
        <w:tc>
          <w:tcPr>
            <w:tcW w:w="481" w:type="pct"/>
            <w:tcBorders>
              <w:bottom w:val="single" w:sz="4" w:space="0" w:color="auto"/>
            </w:tcBorders>
          </w:tcPr>
          <w:p w14:paraId="5342D5D2" w14:textId="77777777" w:rsidR="00EF0C73" w:rsidRPr="00757E3A" w:rsidRDefault="00EF0C73" w:rsidP="00CF688C">
            <w:pPr>
              <w:tabs>
                <w:tab w:val="left" w:pos="720"/>
              </w:tabs>
              <w:spacing w:before="20" w:after="20"/>
              <w:ind w:right="85"/>
              <w:rPr>
                <w:rFonts w:asciiTheme="majorHAnsi" w:hAnsiTheme="majorHAnsi" w:cstheme="majorHAnsi"/>
                <w:sz w:val="15"/>
                <w:szCs w:val="15"/>
              </w:rPr>
            </w:pPr>
            <w:r w:rsidRPr="00757E3A">
              <w:rPr>
                <w:rFonts w:asciiTheme="majorHAnsi" w:hAnsiTheme="majorHAnsi" w:cstheme="majorHAnsi"/>
                <w:sz w:val="15"/>
                <w:szCs w:val="15"/>
              </w:rPr>
              <w:t xml:space="preserve">The application of regulation to pipelines with a greenfield exemption may distort the incentives service providers have to invest in new pipelines. </w:t>
            </w:r>
          </w:p>
        </w:tc>
        <w:tc>
          <w:tcPr>
            <w:tcW w:w="279" w:type="pct"/>
          </w:tcPr>
          <w:p w14:paraId="4611AC4F" w14:textId="77777777" w:rsidR="00EF0C73" w:rsidRPr="00757E3A" w:rsidRDefault="00EF0C73" w:rsidP="00CF688C">
            <w:pPr>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Pr>
          <w:p w14:paraId="2F0C366E" w14:textId="77777777" w:rsidR="00EF0C73" w:rsidRPr="00757E3A" w:rsidRDefault="00EF0C73" w:rsidP="00CF688C">
            <w:pPr>
              <w:spacing w:before="20" w:after="20"/>
              <w:rPr>
                <w:rFonts w:asciiTheme="majorHAnsi" w:hAnsiTheme="majorHAnsi" w:cstheme="majorHAnsi"/>
                <w:sz w:val="15"/>
                <w:szCs w:val="15"/>
              </w:rPr>
            </w:pPr>
            <w:r w:rsidRPr="00757E3A">
              <w:rPr>
                <w:rFonts w:asciiTheme="majorHAnsi" w:hAnsiTheme="majorHAnsi" w:cstheme="majorHAnsi"/>
                <w:sz w:val="15"/>
                <w:szCs w:val="15"/>
              </w:rPr>
              <w:t>Minor</w:t>
            </w:r>
          </w:p>
        </w:tc>
        <w:tc>
          <w:tcPr>
            <w:tcW w:w="267" w:type="pct"/>
            <w:tcBorders>
              <w:bottom w:val="single" w:sz="4" w:space="0" w:color="auto"/>
            </w:tcBorders>
            <w:shd w:val="clear" w:color="auto" w:fill="92D050"/>
          </w:tcPr>
          <w:p w14:paraId="0290EABD" w14:textId="77777777" w:rsidR="00EF0C73" w:rsidRPr="00757E3A" w:rsidRDefault="00EF0C73" w:rsidP="00CF688C">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FFFFFF" w:themeFill="background1"/>
          </w:tcPr>
          <w:p w14:paraId="0C8A00CC" w14:textId="77777777" w:rsidR="00EF0C73" w:rsidRPr="00757E3A" w:rsidRDefault="00EF0C73" w:rsidP="00CF688C">
            <w:pPr>
              <w:spacing w:before="20" w:after="20"/>
              <w:rPr>
                <w:rFonts w:asciiTheme="majorHAnsi" w:hAnsiTheme="majorHAnsi" w:cstheme="majorHAnsi"/>
                <w:sz w:val="15"/>
                <w:szCs w:val="15"/>
              </w:rPr>
            </w:pPr>
            <w:r w:rsidRPr="00757E3A">
              <w:rPr>
                <w:rFonts w:asciiTheme="majorHAnsi" w:hAnsiTheme="majorHAnsi" w:cstheme="majorHAnsi"/>
                <w:sz w:val="15"/>
                <w:szCs w:val="15"/>
              </w:rPr>
              <w:t>Possible</w:t>
            </w:r>
          </w:p>
        </w:tc>
        <w:tc>
          <w:tcPr>
            <w:tcW w:w="303" w:type="pct"/>
            <w:tcBorders>
              <w:bottom w:val="single" w:sz="4" w:space="0" w:color="auto"/>
            </w:tcBorders>
            <w:shd w:val="clear" w:color="auto" w:fill="FFFFFF" w:themeFill="background1"/>
          </w:tcPr>
          <w:p w14:paraId="254D4511" w14:textId="77777777" w:rsidR="00EF0C73" w:rsidRPr="00757E3A" w:rsidRDefault="00EF0C73" w:rsidP="00CF688C">
            <w:pPr>
              <w:spacing w:before="20" w:after="20"/>
              <w:rPr>
                <w:rFonts w:asciiTheme="majorHAnsi" w:hAnsiTheme="majorHAnsi" w:cstheme="majorHAnsi"/>
                <w:sz w:val="15"/>
                <w:szCs w:val="15"/>
              </w:rPr>
            </w:pPr>
            <w:r w:rsidRPr="00757E3A">
              <w:rPr>
                <w:rFonts w:asciiTheme="majorHAnsi" w:hAnsiTheme="majorHAnsi" w:cstheme="majorHAnsi"/>
                <w:sz w:val="15"/>
                <w:szCs w:val="15"/>
              </w:rPr>
              <w:t>Minor</w:t>
            </w:r>
          </w:p>
        </w:tc>
        <w:tc>
          <w:tcPr>
            <w:tcW w:w="267" w:type="pct"/>
            <w:tcBorders>
              <w:bottom w:val="single" w:sz="4" w:space="0" w:color="auto"/>
            </w:tcBorders>
            <w:shd w:val="clear" w:color="auto" w:fill="92D050"/>
          </w:tcPr>
          <w:p w14:paraId="205F5511" w14:textId="77777777" w:rsidR="00EF0C73" w:rsidRPr="00757E3A" w:rsidRDefault="00EF0C73" w:rsidP="00CF688C">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FFFFFF" w:themeFill="background1"/>
          </w:tcPr>
          <w:p w14:paraId="044F24BD" w14:textId="77777777" w:rsidR="00EF0C73" w:rsidRPr="00757E3A" w:rsidRDefault="00EF0C73" w:rsidP="00CF688C">
            <w:pPr>
              <w:spacing w:before="20" w:after="20"/>
              <w:rPr>
                <w:rFonts w:asciiTheme="majorHAnsi" w:hAnsiTheme="majorHAnsi" w:cstheme="majorHAnsi"/>
                <w:sz w:val="15"/>
                <w:szCs w:val="15"/>
              </w:rPr>
            </w:pPr>
            <w:r w:rsidRPr="00757E3A">
              <w:rPr>
                <w:rFonts w:asciiTheme="majorHAnsi" w:hAnsiTheme="majorHAnsi" w:cstheme="majorHAnsi"/>
                <w:sz w:val="15"/>
                <w:szCs w:val="15"/>
              </w:rPr>
              <w:t>Possible</w:t>
            </w:r>
          </w:p>
        </w:tc>
        <w:tc>
          <w:tcPr>
            <w:tcW w:w="303" w:type="pct"/>
            <w:tcBorders>
              <w:bottom w:val="single" w:sz="4" w:space="0" w:color="auto"/>
            </w:tcBorders>
            <w:shd w:val="clear" w:color="auto" w:fill="FFFFFF" w:themeFill="background1"/>
          </w:tcPr>
          <w:p w14:paraId="6B41214A" w14:textId="77777777" w:rsidR="00EF0C73" w:rsidRPr="00757E3A" w:rsidRDefault="00EF0C73" w:rsidP="00CF688C">
            <w:pPr>
              <w:spacing w:before="20" w:after="20"/>
              <w:rPr>
                <w:rFonts w:asciiTheme="majorHAnsi" w:hAnsiTheme="majorHAnsi" w:cstheme="majorHAnsi"/>
                <w:sz w:val="15"/>
                <w:szCs w:val="15"/>
              </w:rPr>
            </w:pPr>
            <w:r w:rsidRPr="00757E3A">
              <w:rPr>
                <w:rFonts w:asciiTheme="majorHAnsi" w:hAnsiTheme="majorHAnsi" w:cstheme="majorHAnsi"/>
                <w:sz w:val="15"/>
                <w:szCs w:val="15"/>
              </w:rPr>
              <w:t>Minor</w:t>
            </w:r>
          </w:p>
        </w:tc>
        <w:tc>
          <w:tcPr>
            <w:tcW w:w="267" w:type="pct"/>
            <w:tcBorders>
              <w:bottom w:val="single" w:sz="4" w:space="0" w:color="auto"/>
            </w:tcBorders>
            <w:shd w:val="clear" w:color="auto" w:fill="92D050"/>
          </w:tcPr>
          <w:p w14:paraId="3CA70609" w14:textId="77777777" w:rsidR="00EF0C73" w:rsidRPr="00757E3A" w:rsidRDefault="00EF0C73" w:rsidP="00CF688C">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FFFFFF" w:themeFill="background1"/>
          </w:tcPr>
          <w:p w14:paraId="6E9F69F3" w14:textId="77777777" w:rsidR="00EF0C73" w:rsidRPr="00757E3A" w:rsidRDefault="00EF0C73" w:rsidP="00CF688C">
            <w:pPr>
              <w:spacing w:before="20" w:after="20"/>
              <w:rPr>
                <w:rFonts w:asciiTheme="majorHAnsi" w:hAnsiTheme="majorHAnsi" w:cstheme="majorHAnsi"/>
                <w:sz w:val="15"/>
                <w:szCs w:val="15"/>
              </w:rPr>
            </w:pPr>
            <w:r w:rsidRPr="00757E3A">
              <w:rPr>
                <w:rFonts w:asciiTheme="majorHAnsi" w:hAnsiTheme="majorHAnsi" w:cstheme="majorHAnsi"/>
                <w:sz w:val="15"/>
                <w:szCs w:val="15"/>
              </w:rPr>
              <w:t>Possible</w:t>
            </w:r>
          </w:p>
        </w:tc>
        <w:tc>
          <w:tcPr>
            <w:tcW w:w="303" w:type="pct"/>
            <w:tcBorders>
              <w:bottom w:val="single" w:sz="4" w:space="0" w:color="auto"/>
            </w:tcBorders>
            <w:shd w:val="clear" w:color="auto" w:fill="FFFFFF" w:themeFill="background1"/>
          </w:tcPr>
          <w:p w14:paraId="74B07195" w14:textId="77777777" w:rsidR="00EF0C73" w:rsidRPr="00757E3A" w:rsidRDefault="00EF0C73" w:rsidP="00CF688C">
            <w:pPr>
              <w:spacing w:before="20"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FFFF00"/>
          </w:tcPr>
          <w:p w14:paraId="300246F5" w14:textId="77777777" w:rsidR="00EF0C73" w:rsidRPr="00757E3A" w:rsidRDefault="00EF0C73" w:rsidP="00CF688C">
            <w:pPr>
              <w:spacing w:before="20" w:after="20"/>
              <w:rPr>
                <w:rFonts w:asciiTheme="majorHAnsi" w:hAnsiTheme="majorHAnsi" w:cstheme="majorHAnsi"/>
                <w:sz w:val="15"/>
                <w:szCs w:val="15"/>
              </w:rPr>
            </w:pPr>
            <w:r w:rsidRPr="00757E3A">
              <w:rPr>
                <w:rFonts w:asciiTheme="majorHAnsi" w:hAnsiTheme="majorHAnsi" w:cstheme="majorHAnsi"/>
                <w:sz w:val="15"/>
                <w:szCs w:val="15"/>
              </w:rPr>
              <w:t>Medium</w:t>
            </w:r>
          </w:p>
        </w:tc>
        <w:tc>
          <w:tcPr>
            <w:tcW w:w="966" w:type="pct"/>
            <w:tcBorders>
              <w:bottom w:val="single" w:sz="4" w:space="0" w:color="auto"/>
            </w:tcBorders>
            <w:shd w:val="clear" w:color="auto" w:fill="auto"/>
          </w:tcPr>
          <w:p w14:paraId="6268F926" w14:textId="77777777" w:rsidR="00EF0C73" w:rsidRPr="00757E3A" w:rsidRDefault="00703BB5" w:rsidP="00F27CDD">
            <w:pPr>
              <w:pStyle w:val="TableBullet10"/>
              <w:spacing w:before="0" w:after="0"/>
              <w:ind w:left="227" w:right="0"/>
              <w:rPr>
                <w:sz w:val="15"/>
                <w:szCs w:val="15"/>
              </w:rPr>
            </w:pPr>
            <w:r>
              <w:rPr>
                <w:sz w:val="15"/>
                <w:szCs w:val="15"/>
              </w:rPr>
              <w:t xml:space="preserve">The likelihood of this risk eventuating is </w:t>
            </w:r>
            <w:r w:rsidR="00EF0C73" w:rsidRPr="00757E3A">
              <w:rPr>
                <w:sz w:val="15"/>
                <w:szCs w:val="15"/>
              </w:rPr>
              <w:t>lower under Option 2 than the status quo because pipelines would be able to obtain a full exemption from regulation if they obtain a greenfield exemption.</w:t>
            </w:r>
          </w:p>
          <w:p w14:paraId="702AFFF7" w14:textId="77777777" w:rsidR="00EF0C73" w:rsidRPr="00757E3A" w:rsidRDefault="00703BB5" w:rsidP="00F27CDD">
            <w:pPr>
              <w:pStyle w:val="TableBullet10"/>
              <w:spacing w:before="0" w:after="0"/>
              <w:ind w:left="227" w:right="0"/>
              <w:rPr>
                <w:sz w:val="15"/>
                <w:szCs w:val="15"/>
              </w:rPr>
            </w:pPr>
            <w:r>
              <w:rPr>
                <w:sz w:val="15"/>
                <w:szCs w:val="15"/>
              </w:rPr>
              <w:t>T</w:t>
            </w:r>
            <w:r w:rsidRPr="00757E3A">
              <w:rPr>
                <w:sz w:val="15"/>
                <w:szCs w:val="15"/>
              </w:rPr>
              <w:t xml:space="preserve">he </w:t>
            </w:r>
            <w:r>
              <w:rPr>
                <w:sz w:val="15"/>
                <w:szCs w:val="15"/>
              </w:rPr>
              <w:t xml:space="preserve">likelihood and consequence are the </w:t>
            </w:r>
            <w:r w:rsidR="00EF0C73" w:rsidRPr="00757E3A">
              <w:rPr>
                <w:sz w:val="15"/>
                <w:szCs w:val="15"/>
              </w:rPr>
              <w:t xml:space="preserve">same </w:t>
            </w:r>
            <w:r>
              <w:rPr>
                <w:sz w:val="15"/>
                <w:szCs w:val="15"/>
              </w:rPr>
              <w:t xml:space="preserve">as the status quo </w:t>
            </w:r>
            <w:r w:rsidR="00EF0C73" w:rsidRPr="00757E3A">
              <w:rPr>
                <w:sz w:val="15"/>
                <w:szCs w:val="15"/>
              </w:rPr>
              <w:t xml:space="preserve">under </w:t>
            </w:r>
            <w:r w:rsidR="00B40931">
              <w:rPr>
                <w:sz w:val="15"/>
                <w:szCs w:val="15"/>
              </w:rPr>
              <w:t>o</w:t>
            </w:r>
            <w:r w:rsidR="00B40931" w:rsidRPr="00757E3A">
              <w:rPr>
                <w:sz w:val="15"/>
                <w:szCs w:val="15"/>
              </w:rPr>
              <w:t xml:space="preserve">ptions </w:t>
            </w:r>
            <w:r w:rsidR="00EF0C73" w:rsidRPr="00757E3A">
              <w:rPr>
                <w:sz w:val="15"/>
                <w:szCs w:val="15"/>
              </w:rPr>
              <w:t xml:space="preserve">3A and 3B because pipelines with a greenfield exemption would still be subject to the </w:t>
            </w:r>
            <w:r w:rsidR="00531979">
              <w:rPr>
                <w:sz w:val="15"/>
                <w:szCs w:val="15"/>
              </w:rPr>
              <w:t>lighter</w:t>
            </w:r>
            <w:r w:rsidR="00EF0C73" w:rsidRPr="00757E3A">
              <w:rPr>
                <w:sz w:val="15"/>
                <w:szCs w:val="15"/>
              </w:rPr>
              <w:t xml:space="preserve"> form of regulation if, in the case of Option 3A, it is providing third party access</w:t>
            </w:r>
            <w:r w:rsidR="00B40931">
              <w:rPr>
                <w:sz w:val="15"/>
                <w:szCs w:val="15"/>
              </w:rPr>
              <w:t>.</w:t>
            </w:r>
            <w:r w:rsidR="00B40931" w:rsidRPr="00757E3A">
              <w:rPr>
                <w:sz w:val="15"/>
                <w:szCs w:val="15"/>
              </w:rPr>
              <w:t xml:space="preserve"> </w:t>
            </w:r>
          </w:p>
          <w:p w14:paraId="3CAAACC7" w14:textId="77777777" w:rsidR="00EF0C73" w:rsidRPr="00757E3A" w:rsidRDefault="00B40931" w:rsidP="00F27CDD">
            <w:pPr>
              <w:pStyle w:val="TableBullet10"/>
              <w:spacing w:before="0" w:after="0"/>
              <w:ind w:left="227" w:right="0"/>
              <w:rPr>
                <w:sz w:val="15"/>
                <w:szCs w:val="15"/>
              </w:rPr>
            </w:pPr>
            <w:r>
              <w:rPr>
                <w:sz w:val="15"/>
                <w:szCs w:val="15"/>
              </w:rPr>
              <w:t xml:space="preserve">The likelihood of this risk eventuating under Option 4 is the same as the status quo but the consequence is </w:t>
            </w:r>
            <w:r w:rsidR="00EF0C73" w:rsidRPr="00757E3A">
              <w:rPr>
                <w:sz w:val="15"/>
                <w:szCs w:val="15"/>
              </w:rPr>
              <w:t>higher because there would be no greenfield exemption under this option</w:t>
            </w:r>
            <w:r w:rsidR="00C55D46">
              <w:rPr>
                <w:sz w:val="15"/>
                <w:szCs w:val="15"/>
              </w:rPr>
              <w:t xml:space="preserve"> so a pipeline could be subject to the stronger form of regulation</w:t>
            </w:r>
            <w:r w:rsidR="00EF0C73" w:rsidRPr="00757E3A">
              <w:rPr>
                <w:sz w:val="15"/>
                <w:szCs w:val="15"/>
              </w:rPr>
              <w:t xml:space="preserve">.    </w:t>
            </w:r>
          </w:p>
        </w:tc>
      </w:tr>
      <w:tr w:rsidR="00757E3A" w:rsidRPr="00757E3A" w14:paraId="798435A1" w14:textId="77777777" w:rsidTr="00120E27">
        <w:trPr>
          <w:cnfStyle w:val="000000100000" w:firstRow="0" w:lastRow="0" w:firstColumn="0" w:lastColumn="0" w:oddVBand="0" w:evenVBand="0" w:oddHBand="1" w:evenHBand="0" w:firstRowFirstColumn="0" w:firstRowLastColumn="0" w:lastRowFirstColumn="0" w:lastRowLastColumn="0"/>
          <w:trHeight w:val="600"/>
        </w:trPr>
        <w:tc>
          <w:tcPr>
            <w:tcW w:w="157" w:type="pct"/>
            <w:vMerge/>
          </w:tcPr>
          <w:p w14:paraId="45D834DE" w14:textId="77777777" w:rsidR="00EF0C73" w:rsidRPr="00757E3A" w:rsidRDefault="00EF0C73" w:rsidP="00951835">
            <w:pPr>
              <w:spacing w:before="20" w:after="20"/>
              <w:rPr>
                <w:rFonts w:asciiTheme="majorHAnsi" w:hAnsiTheme="majorHAnsi" w:cstheme="majorHAnsi"/>
                <w:sz w:val="15"/>
                <w:szCs w:val="15"/>
              </w:rPr>
            </w:pPr>
          </w:p>
        </w:tc>
        <w:tc>
          <w:tcPr>
            <w:tcW w:w="481" w:type="pct"/>
            <w:tcBorders>
              <w:bottom w:val="single" w:sz="4" w:space="0" w:color="auto"/>
            </w:tcBorders>
          </w:tcPr>
          <w:p w14:paraId="12710FFA" w14:textId="4D9ED231" w:rsidR="00EF0C73" w:rsidRPr="00757E3A" w:rsidRDefault="00EF0C73" w:rsidP="00951835">
            <w:pPr>
              <w:tabs>
                <w:tab w:val="left" w:pos="720"/>
              </w:tabs>
              <w:spacing w:before="20" w:after="20"/>
              <w:ind w:right="85"/>
              <w:rPr>
                <w:rFonts w:asciiTheme="majorHAnsi" w:hAnsiTheme="majorHAnsi" w:cstheme="majorHAnsi"/>
                <w:sz w:val="15"/>
                <w:szCs w:val="15"/>
              </w:rPr>
            </w:pPr>
            <w:r w:rsidRPr="00757E3A">
              <w:rPr>
                <w:rFonts w:asciiTheme="majorHAnsi" w:hAnsiTheme="majorHAnsi" w:cstheme="majorHAnsi"/>
                <w:sz w:val="15"/>
                <w:szCs w:val="15"/>
              </w:rPr>
              <w:t xml:space="preserve">Use of the coverage test for </w:t>
            </w:r>
            <w:r w:rsidR="004F5A3E">
              <w:rPr>
                <w:rFonts w:asciiTheme="majorHAnsi" w:hAnsiTheme="majorHAnsi" w:cstheme="majorHAnsi"/>
                <w:sz w:val="15"/>
                <w:szCs w:val="15"/>
              </w:rPr>
              <w:t>3rd</w:t>
            </w:r>
            <w:r w:rsidR="004F5A3E" w:rsidRPr="00757E3A">
              <w:rPr>
                <w:rFonts w:asciiTheme="majorHAnsi" w:hAnsiTheme="majorHAnsi" w:cstheme="majorHAnsi"/>
                <w:sz w:val="15"/>
                <w:szCs w:val="15"/>
              </w:rPr>
              <w:t xml:space="preserve"> </w:t>
            </w:r>
            <w:r w:rsidRPr="00757E3A">
              <w:rPr>
                <w:rFonts w:asciiTheme="majorHAnsi" w:hAnsiTheme="majorHAnsi" w:cstheme="majorHAnsi"/>
                <w:sz w:val="15"/>
                <w:szCs w:val="15"/>
              </w:rPr>
              <w:t xml:space="preserve">party access may result in under-regulation and inefficient investment in and use of pipelines that </w:t>
            </w:r>
            <w:r w:rsidR="004F5A3E">
              <w:rPr>
                <w:rFonts w:asciiTheme="majorHAnsi" w:hAnsiTheme="majorHAnsi" w:cstheme="majorHAnsi"/>
                <w:sz w:val="15"/>
                <w:szCs w:val="15"/>
              </w:rPr>
              <w:t xml:space="preserve">don’t </w:t>
            </w:r>
            <w:r w:rsidRPr="00757E3A">
              <w:rPr>
                <w:rFonts w:asciiTheme="majorHAnsi" w:hAnsiTheme="majorHAnsi" w:cstheme="majorHAnsi"/>
                <w:sz w:val="15"/>
                <w:szCs w:val="15"/>
              </w:rPr>
              <w:t>provide access.</w:t>
            </w:r>
          </w:p>
        </w:tc>
        <w:tc>
          <w:tcPr>
            <w:tcW w:w="279" w:type="pct"/>
          </w:tcPr>
          <w:p w14:paraId="167EAFCE" w14:textId="77777777" w:rsidR="00EF0C73" w:rsidRPr="00757E3A" w:rsidRDefault="00EF0C73" w:rsidP="00951835">
            <w:pPr>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Pr>
          <w:p w14:paraId="152B3E57" w14:textId="77777777" w:rsidR="00EF0C73" w:rsidRPr="00757E3A" w:rsidRDefault="00EF0C73" w:rsidP="00951835">
            <w:pPr>
              <w:spacing w:before="20" w:after="20"/>
              <w:rPr>
                <w:rFonts w:asciiTheme="majorHAnsi" w:hAnsiTheme="majorHAnsi" w:cstheme="majorHAnsi"/>
                <w:sz w:val="15"/>
                <w:szCs w:val="15"/>
              </w:rPr>
            </w:pPr>
            <w:r w:rsidRPr="00757E3A">
              <w:rPr>
                <w:rFonts w:asciiTheme="majorHAnsi" w:hAnsiTheme="majorHAnsi" w:cstheme="majorHAnsi"/>
                <w:sz w:val="15"/>
                <w:szCs w:val="15"/>
              </w:rPr>
              <w:t>Minor</w:t>
            </w:r>
          </w:p>
        </w:tc>
        <w:tc>
          <w:tcPr>
            <w:tcW w:w="267" w:type="pct"/>
            <w:tcBorders>
              <w:bottom w:val="single" w:sz="4" w:space="0" w:color="auto"/>
            </w:tcBorders>
            <w:shd w:val="clear" w:color="auto" w:fill="92D050"/>
          </w:tcPr>
          <w:p w14:paraId="3703548A" w14:textId="77777777" w:rsidR="00EF0C73" w:rsidRPr="00757E3A" w:rsidRDefault="00EF0C73" w:rsidP="00951835">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FFFFFF" w:themeFill="background1"/>
          </w:tcPr>
          <w:p w14:paraId="15CF102C" w14:textId="77777777" w:rsidR="00EF0C73" w:rsidRPr="00757E3A" w:rsidRDefault="00EF0C73" w:rsidP="00951835">
            <w:pPr>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bottom w:val="single" w:sz="4" w:space="0" w:color="auto"/>
            </w:tcBorders>
            <w:shd w:val="clear" w:color="auto" w:fill="FFFFFF" w:themeFill="background1"/>
          </w:tcPr>
          <w:p w14:paraId="43AC19E3" w14:textId="77777777" w:rsidR="00EF0C73" w:rsidRPr="00757E3A" w:rsidRDefault="00EF0C73" w:rsidP="00951835">
            <w:pPr>
              <w:spacing w:before="20" w:after="20"/>
              <w:rPr>
                <w:rFonts w:asciiTheme="majorHAnsi" w:hAnsiTheme="majorHAnsi" w:cstheme="majorHAnsi"/>
                <w:sz w:val="15"/>
                <w:szCs w:val="15"/>
              </w:rPr>
            </w:pPr>
            <w:r w:rsidRPr="00757E3A">
              <w:rPr>
                <w:rFonts w:asciiTheme="majorHAnsi" w:hAnsiTheme="majorHAnsi" w:cstheme="majorHAnsi"/>
                <w:sz w:val="15"/>
                <w:szCs w:val="15"/>
              </w:rPr>
              <w:t>Minor</w:t>
            </w:r>
          </w:p>
        </w:tc>
        <w:tc>
          <w:tcPr>
            <w:tcW w:w="267" w:type="pct"/>
            <w:tcBorders>
              <w:bottom w:val="single" w:sz="4" w:space="0" w:color="auto"/>
            </w:tcBorders>
            <w:shd w:val="clear" w:color="auto" w:fill="92D050"/>
          </w:tcPr>
          <w:p w14:paraId="3C69F241" w14:textId="77777777" w:rsidR="00EF0C73" w:rsidRPr="00757E3A" w:rsidRDefault="00EF0C73" w:rsidP="00951835">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FFFFFF" w:themeFill="background1"/>
          </w:tcPr>
          <w:p w14:paraId="477F8AD1" w14:textId="77777777" w:rsidR="00EF0C73" w:rsidRPr="00757E3A" w:rsidRDefault="00EF0C73" w:rsidP="00951835">
            <w:pPr>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bottom w:val="single" w:sz="4" w:space="0" w:color="auto"/>
            </w:tcBorders>
            <w:shd w:val="clear" w:color="auto" w:fill="FFFFFF" w:themeFill="background1"/>
          </w:tcPr>
          <w:p w14:paraId="02FD60A7" w14:textId="77777777" w:rsidR="00EF0C73" w:rsidRPr="00757E3A" w:rsidRDefault="00EF0C73" w:rsidP="00951835">
            <w:pPr>
              <w:spacing w:before="20" w:after="20"/>
              <w:rPr>
                <w:rFonts w:asciiTheme="majorHAnsi" w:hAnsiTheme="majorHAnsi" w:cstheme="majorHAnsi"/>
                <w:sz w:val="15"/>
                <w:szCs w:val="15"/>
              </w:rPr>
            </w:pPr>
            <w:r w:rsidRPr="00757E3A">
              <w:rPr>
                <w:rFonts w:asciiTheme="majorHAnsi" w:hAnsiTheme="majorHAnsi" w:cstheme="majorHAnsi"/>
                <w:sz w:val="15"/>
                <w:szCs w:val="15"/>
              </w:rPr>
              <w:t>Minor</w:t>
            </w:r>
          </w:p>
        </w:tc>
        <w:tc>
          <w:tcPr>
            <w:tcW w:w="267" w:type="pct"/>
            <w:tcBorders>
              <w:bottom w:val="single" w:sz="4" w:space="0" w:color="auto"/>
            </w:tcBorders>
            <w:shd w:val="clear" w:color="auto" w:fill="92D050"/>
          </w:tcPr>
          <w:p w14:paraId="4D718949" w14:textId="77777777" w:rsidR="00EF0C73" w:rsidRPr="00757E3A" w:rsidRDefault="00EF0C73" w:rsidP="00951835">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FFFFFF" w:themeFill="background1"/>
          </w:tcPr>
          <w:p w14:paraId="17AC8C37" w14:textId="77777777" w:rsidR="00EF0C73" w:rsidRPr="00757E3A" w:rsidRDefault="00EF0C73" w:rsidP="00951835">
            <w:pPr>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bottom w:val="single" w:sz="4" w:space="0" w:color="auto"/>
            </w:tcBorders>
            <w:shd w:val="clear" w:color="auto" w:fill="FFFFFF" w:themeFill="background1"/>
          </w:tcPr>
          <w:p w14:paraId="518BEA87" w14:textId="77777777" w:rsidR="00EF0C73" w:rsidRPr="00757E3A" w:rsidRDefault="00EF0C73" w:rsidP="00951835">
            <w:pPr>
              <w:spacing w:before="20" w:after="20"/>
              <w:rPr>
                <w:rFonts w:asciiTheme="majorHAnsi" w:hAnsiTheme="majorHAnsi" w:cstheme="majorHAnsi"/>
                <w:sz w:val="15"/>
                <w:szCs w:val="15"/>
              </w:rPr>
            </w:pPr>
            <w:r w:rsidRPr="00757E3A">
              <w:rPr>
                <w:rFonts w:asciiTheme="majorHAnsi" w:hAnsiTheme="majorHAnsi" w:cstheme="majorHAnsi"/>
                <w:sz w:val="15"/>
                <w:szCs w:val="15"/>
              </w:rPr>
              <w:t>Minor</w:t>
            </w:r>
          </w:p>
        </w:tc>
        <w:tc>
          <w:tcPr>
            <w:tcW w:w="267" w:type="pct"/>
            <w:tcBorders>
              <w:bottom w:val="single" w:sz="4" w:space="0" w:color="auto"/>
            </w:tcBorders>
            <w:shd w:val="clear" w:color="auto" w:fill="92D050"/>
          </w:tcPr>
          <w:p w14:paraId="7FB120FE" w14:textId="77777777" w:rsidR="00EF0C73" w:rsidRPr="00757E3A" w:rsidRDefault="00EF0C73" w:rsidP="00951835">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966" w:type="pct"/>
            <w:tcBorders>
              <w:bottom w:val="single" w:sz="4" w:space="0" w:color="auto"/>
            </w:tcBorders>
            <w:shd w:val="clear" w:color="auto" w:fill="auto"/>
          </w:tcPr>
          <w:p w14:paraId="494BBC50" w14:textId="77777777" w:rsidR="00EF0C73" w:rsidRPr="00757E3A" w:rsidRDefault="00EF0C73" w:rsidP="00951835">
            <w:pPr>
              <w:spacing w:before="20" w:after="20"/>
              <w:rPr>
                <w:rFonts w:asciiTheme="majorHAnsi" w:hAnsiTheme="majorHAnsi" w:cstheme="majorHAnsi"/>
                <w:sz w:val="15"/>
                <w:szCs w:val="15"/>
              </w:rPr>
            </w:pPr>
            <w:r w:rsidRPr="00757E3A">
              <w:rPr>
                <w:rFonts w:asciiTheme="majorHAnsi" w:hAnsiTheme="majorHAnsi" w:cstheme="majorHAnsi"/>
                <w:sz w:val="15"/>
                <w:szCs w:val="15"/>
              </w:rPr>
              <w:t xml:space="preserve">This risk is lower under all options because the coverage test would be removed under each option. </w:t>
            </w:r>
          </w:p>
        </w:tc>
      </w:tr>
      <w:tr w:rsidR="00757E3A" w:rsidRPr="00757E3A" w14:paraId="17F82127" w14:textId="77777777" w:rsidTr="00120E27">
        <w:trPr>
          <w:cnfStyle w:val="000000010000" w:firstRow="0" w:lastRow="0" w:firstColumn="0" w:lastColumn="0" w:oddVBand="0" w:evenVBand="0" w:oddHBand="0" w:evenHBand="1" w:firstRowFirstColumn="0" w:firstRowLastColumn="0" w:lastRowFirstColumn="0" w:lastRowLastColumn="0"/>
          <w:trHeight w:val="600"/>
        </w:trPr>
        <w:tc>
          <w:tcPr>
            <w:tcW w:w="157" w:type="pct"/>
            <w:vMerge w:val="restart"/>
            <w:textDirection w:val="btLr"/>
          </w:tcPr>
          <w:p w14:paraId="600A6942" w14:textId="77777777" w:rsidR="00FD3330" w:rsidRPr="00757E3A" w:rsidRDefault="009A6C7E" w:rsidP="00841301">
            <w:pPr>
              <w:keepNext/>
              <w:spacing w:before="20" w:after="20"/>
              <w:ind w:left="113" w:right="113"/>
              <w:jc w:val="center"/>
              <w:rPr>
                <w:rFonts w:asciiTheme="majorHAnsi" w:hAnsiTheme="majorHAnsi" w:cstheme="majorHAnsi"/>
                <w:sz w:val="15"/>
                <w:szCs w:val="15"/>
              </w:rPr>
            </w:pPr>
            <w:r>
              <w:rPr>
                <w:rFonts w:asciiTheme="majorHAnsi" w:hAnsiTheme="majorHAnsi" w:cstheme="majorHAnsi"/>
                <w:sz w:val="15"/>
                <w:szCs w:val="15"/>
              </w:rPr>
              <w:lastRenderedPageBreak/>
              <w:t>Ineffective</w:t>
            </w:r>
            <w:r w:rsidR="00FD3330" w:rsidRPr="00757E3A">
              <w:rPr>
                <w:rFonts w:asciiTheme="majorHAnsi" w:hAnsiTheme="majorHAnsi" w:cstheme="majorHAnsi"/>
                <w:sz w:val="15"/>
                <w:szCs w:val="15"/>
              </w:rPr>
              <w:t xml:space="preserve"> forms of regulation</w:t>
            </w:r>
          </w:p>
        </w:tc>
        <w:tc>
          <w:tcPr>
            <w:tcW w:w="481" w:type="pct"/>
            <w:tcBorders>
              <w:bottom w:val="single" w:sz="4" w:space="0" w:color="auto"/>
            </w:tcBorders>
          </w:tcPr>
          <w:p w14:paraId="0A74E7EA" w14:textId="77777777" w:rsidR="00FD3330" w:rsidRPr="00757E3A" w:rsidRDefault="00FD3330" w:rsidP="00841301">
            <w:pPr>
              <w:keepNext/>
              <w:tabs>
                <w:tab w:val="left" w:pos="720"/>
              </w:tabs>
              <w:spacing w:before="20" w:after="20"/>
              <w:ind w:right="85"/>
              <w:rPr>
                <w:rFonts w:asciiTheme="majorHAnsi" w:hAnsiTheme="majorHAnsi" w:cstheme="majorHAnsi"/>
                <w:sz w:val="15"/>
                <w:szCs w:val="15"/>
              </w:rPr>
            </w:pPr>
            <w:r w:rsidRPr="00757E3A">
              <w:rPr>
                <w:rFonts w:asciiTheme="majorHAnsi" w:hAnsiTheme="majorHAnsi" w:cstheme="majorHAnsi"/>
                <w:sz w:val="15"/>
                <w:szCs w:val="15"/>
              </w:rPr>
              <w:t xml:space="preserve">Pipelines that should be subject to a </w:t>
            </w:r>
            <w:r w:rsidR="00531979">
              <w:rPr>
                <w:rFonts w:asciiTheme="majorHAnsi" w:hAnsiTheme="majorHAnsi" w:cstheme="majorHAnsi"/>
                <w:sz w:val="15"/>
                <w:szCs w:val="15"/>
              </w:rPr>
              <w:t>stronger</w:t>
            </w:r>
            <w:r w:rsidRPr="00757E3A">
              <w:rPr>
                <w:rFonts w:asciiTheme="majorHAnsi" w:hAnsiTheme="majorHAnsi" w:cstheme="majorHAnsi"/>
                <w:sz w:val="15"/>
                <w:szCs w:val="15"/>
              </w:rPr>
              <w:t xml:space="preserve"> form of regulation will not be (i.e. the risk of under-regulation), which can result in shippers being more susceptible to exercises of market power with consequential effects for efficiency and consumers. </w:t>
            </w:r>
          </w:p>
        </w:tc>
        <w:tc>
          <w:tcPr>
            <w:tcW w:w="279" w:type="pct"/>
          </w:tcPr>
          <w:p w14:paraId="41F1B4CE" w14:textId="77777777" w:rsidR="00FD3330" w:rsidRPr="00757E3A" w:rsidRDefault="00F1391C" w:rsidP="00841301">
            <w:pPr>
              <w:keepNext/>
              <w:spacing w:before="20" w:after="20"/>
              <w:rPr>
                <w:rFonts w:asciiTheme="majorHAnsi" w:hAnsiTheme="majorHAnsi" w:cstheme="majorHAnsi"/>
                <w:sz w:val="15"/>
                <w:szCs w:val="15"/>
              </w:rPr>
            </w:pPr>
            <w:r>
              <w:rPr>
                <w:rFonts w:asciiTheme="majorHAnsi" w:hAnsiTheme="majorHAnsi" w:cstheme="majorHAnsi"/>
                <w:sz w:val="15"/>
                <w:szCs w:val="15"/>
              </w:rPr>
              <w:t>Possible</w:t>
            </w:r>
          </w:p>
        </w:tc>
        <w:tc>
          <w:tcPr>
            <w:tcW w:w="303" w:type="pct"/>
          </w:tcPr>
          <w:p w14:paraId="70B21089" w14:textId="77777777" w:rsidR="00FD3330" w:rsidRPr="00757E3A" w:rsidRDefault="00FD3330" w:rsidP="00841301">
            <w:pPr>
              <w:keepNext/>
              <w:spacing w:before="20" w:after="20"/>
              <w:rPr>
                <w:rFonts w:asciiTheme="majorHAnsi" w:hAnsiTheme="majorHAnsi" w:cstheme="majorHAnsi"/>
                <w:sz w:val="15"/>
                <w:szCs w:val="15"/>
              </w:rPr>
            </w:pPr>
            <w:r w:rsidRPr="00757E3A">
              <w:rPr>
                <w:rFonts w:asciiTheme="majorHAnsi" w:hAnsiTheme="majorHAnsi" w:cstheme="majorHAnsi"/>
                <w:sz w:val="15"/>
                <w:szCs w:val="15"/>
              </w:rPr>
              <w:t>Major</w:t>
            </w:r>
          </w:p>
        </w:tc>
        <w:tc>
          <w:tcPr>
            <w:tcW w:w="267" w:type="pct"/>
            <w:tcBorders>
              <w:bottom w:val="single" w:sz="4" w:space="0" w:color="auto"/>
            </w:tcBorders>
            <w:shd w:val="clear" w:color="auto" w:fill="FFC000"/>
          </w:tcPr>
          <w:p w14:paraId="7A313F78" w14:textId="77777777" w:rsidR="00FD3330" w:rsidRPr="00757E3A" w:rsidRDefault="00F1391C" w:rsidP="00841301">
            <w:pPr>
              <w:keepNext/>
              <w:spacing w:before="20" w:after="20"/>
              <w:rPr>
                <w:rFonts w:asciiTheme="majorHAnsi" w:hAnsiTheme="majorHAnsi" w:cstheme="majorHAnsi"/>
                <w:sz w:val="15"/>
                <w:szCs w:val="15"/>
              </w:rPr>
            </w:pPr>
            <w:r>
              <w:rPr>
                <w:rFonts w:asciiTheme="majorHAnsi" w:hAnsiTheme="majorHAnsi" w:cstheme="majorHAnsi"/>
                <w:sz w:val="15"/>
                <w:szCs w:val="15"/>
              </w:rPr>
              <w:t>High</w:t>
            </w:r>
          </w:p>
        </w:tc>
        <w:tc>
          <w:tcPr>
            <w:tcW w:w="279" w:type="pct"/>
            <w:shd w:val="clear" w:color="auto" w:fill="FFFFFF" w:themeFill="background1"/>
          </w:tcPr>
          <w:p w14:paraId="4E5CC76B" w14:textId="77777777" w:rsidR="00FD3330" w:rsidRPr="00757E3A" w:rsidRDefault="00FD3330" w:rsidP="00841301">
            <w:pPr>
              <w:keepNext/>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shd w:val="clear" w:color="auto" w:fill="FFFFFF" w:themeFill="background1"/>
          </w:tcPr>
          <w:p w14:paraId="585B3234" w14:textId="77777777" w:rsidR="00FD3330" w:rsidRPr="00757E3A" w:rsidRDefault="00FD3330" w:rsidP="00841301">
            <w:pPr>
              <w:keepNext/>
              <w:spacing w:before="20" w:after="20"/>
              <w:rPr>
                <w:rFonts w:asciiTheme="majorHAnsi" w:hAnsiTheme="majorHAnsi" w:cstheme="majorHAnsi"/>
                <w:sz w:val="15"/>
                <w:szCs w:val="15"/>
              </w:rPr>
            </w:pPr>
            <w:r w:rsidRPr="00757E3A">
              <w:rPr>
                <w:rFonts w:asciiTheme="majorHAnsi" w:hAnsiTheme="majorHAnsi" w:cstheme="majorHAnsi"/>
                <w:sz w:val="15"/>
                <w:szCs w:val="15"/>
              </w:rPr>
              <w:t>Major</w:t>
            </w:r>
          </w:p>
        </w:tc>
        <w:tc>
          <w:tcPr>
            <w:tcW w:w="267" w:type="pct"/>
            <w:tcBorders>
              <w:bottom w:val="single" w:sz="4" w:space="0" w:color="auto"/>
            </w:tcBorders>
            <w:shd w:val="clear" w:color="auto" w:fill="FFFF00"/>
          </w:tcPr>
          <w:p w14:paraId="3DA1E908" w14:textId="77777777" w:rsidR="00FD3330" w:rsidRPr="00757E3A" w:rsidRDefault="00FD3330" w:rsidP="00841301">
            <w:pPr>
              <w:keepNext/>
              <w:spacing w:before="20" w:after="20"/>
              <w:rPr>
                <w:rFonts w:asciiTheme="majorHAnsi" w:hAnsiTheme="majorHAnsi" w:cstheme="majorHAnsi"/>
                <w:sz w:val="15"/>
                <w:szCs w:val="15"/>
              </w:rPr>
            </w:pPr>
            <w:r w:rsidRPr="00757E3A">
              <w:rPr>
                <w:rFonts w:asciiTheme="majorHAnsi" w:hAnsiTheme="majorHAnsi" w:cstheme="majorHAnsi"/>
                <w:sz w:val="15"/>
                <w:szCs w:val="15"/>
              </w:rPr>
              <w:t>Medium</w:t>
            </w:r>
          </w:p>
        </w:tc>
        <w:tc>
          <w:tcPr>
            <w:tcW w:w="279" w:type="pct"/>
            <w:shd w:val="clear" w:color="auto" w:fill="FFFFFF" w:themeFill="background1"/>
          </w:tcPr>
          <w:p w14:paraId="0775A037" w14:textId="77777777" w:rsidR="00FD3330" w:rsidRPr="00757E3A" w:rsidRDefault="00FD3330" w:rsidP="00841301">
            <w:pPr>
              <w:keepNext/>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shd w:val="clear" w:color="auto" w:fill="FFFFFF" w:themeFill="background1"/>
          </w:tcPr>
          <w:p w14:paraId="46901C52" w14:textId="77777777" w:rsidR="00FD3330" w:rsidRPr="00757E3A" w:rsidRDefault="00FD3330" w:rsidP="00841301">
            <w:pPr>
              <w:keepNext/>
              <w:spacing w:before="20" w:after="20"/>
              <w:rPr>
                <w:rFonts w:asciiTheme="majorHAnsi" w:hAnsiTheme="majorHAnsi" w:cstheme="majorHAnsi"/>
                <w:sz w:val="15"/>
                <w:szCs w:val="15"/>
              </w:rPr>
            </w:pPr>
            <w:r w:rsidRPr="00757E3A">
              <w:rPr>
                <w:rFonts w:asciiTheme="majorHAnsi" w:hAnsiTheme="majorHAnsi" w:cstheme="majorHAnsi"/>
                <w:sz w:val="15"/>
                <w:szCs w:val="15"/>
              </w:rPr>
              <w:t>Major</w:t>
            </w:r>
          </w:p>
        </w:tc>
        <w:tc>
          <w:tcPr>
            <w:tcW w:w="267" w:type="pct"/>
            <w:tcBorders>
              <w:bottom w:val="single" w:sz="4" w:space="0" w:color="auto"/>
            </w:tcBorders>
            <w:shd w:val="clear" w:color="auto" w:fill="FFFF00"/>
          </w:tcPr>
          <w:p w14:paraId="219B546D" w14:textId="77777777" w:rsidR="00FD3330" w:rsidRPr="00757E3A" w:rsidRDefault="00FD3330" w:rsidP="00841301">
            <w:pPr>
              <w:keepNext/>
              <w:spacing w:before="20" w:after="20"/>
              <w:rPr>
                <w:rFonts w:asciiTheme="majorHAnsi" w:hAnsiTheme="majorHAnsi" w:cstheme="majorHAnsi"/>
                <w:sz w:val="15"/>
                <w:szCs w:val="15"/>
              </w:rPr>
            </w:pPr>
            <w:r w:rsidRPr="00757E3A">
              <w:rPr>
                <w:rFonts w:asciiTheme="majorHAnsi" w:hAnsiTheme="majorHAnsi" w:cstheme="majorHAnsi"/>
                <w:sz w:val="15"/>
                <w:szCs w:val="15"/>
              </w:rPr>
              <w:t>Medium</w:t>
            </w:r>
          </w:p>
        </w:tc>
        <w:tc>
          <w:tcPr>
            <w:tcW w:w="279" w:type="pct"/>
            <w:shd w:val="clear" w:color="auto" w:fill="FFFFFF" w:themeFill="background1"/>
          </w:tcPr>
          <w:p w14:paraId="5F029CE2" w14:textId="77777777" w:rsidR="00FD3330" w:rsidRPr="00757E3A" w:rsidRDefault="00FD3330" w:rsidP="00841301">
            <w:pPr>
              <w:keepNext/>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shd w:val="clear" w:color="auto" w:fill="FFFFFF" w:themeFill="background1"/>
          </w:tcPr>
          <w:p w14:paraId="0249684A" w14:textId="77777777" w:rsidR="00FD3330" w:rsidRPr="00757E3A" w:rsidRDefault="00FD3330" w:rsidP="00841301">
            <w:pPr>
              <w:keepNext/>
              <w:spacing w:before="20" w:after="20"/>
              <w:rPr>
                <w:rFonts w:asciiTheme="majorHAnsi" w:hAnsiTheme="majorHAnsi" w:cstheme="majorHAnsi"/>
                <w:sz w:val="15"/>
                <w:szCs w:val="15"/>
              </w:rPr>
            </w:pPr>
            <w:r w:rsidRPr="00757E3A">
              <w:rPr>
                <w:rFonts w:asciiTheme="majorHAnsi" w:hAnsiTheme="majorHAnsi" w:cstheme="majorHAnsi"/>
                <w:sz w:val="15"/>
                <w:szCs w:val="15"/>
              </w:rPr>
              <w:t>Major</w:t>
            </w:r>
          </w:p>
        </w:tc>
        <w:tc>
          <w:tcPr>
            <w:tcW w:w="267" w:type="pct"/>
            <w:shd w:val="clear" w:color="auto" w:fill="FFFF00"/>
          </w:tcPr>
          <w:p w14:paraId="55329EB9" w14:textId="77777777" w:rsidR="00FD3330" w:rsidRPr="00A66911" w:rsidRDefault="00FD3330" w:rsidP="00841301">
            <w:pPr>
              <w:keepNext/>
              <w:spacing w:before="20" w:after="20"/>
              <w:rPr>
                <w:rFonts w:asciiTheme="majorHAnsi" w:hAnsiTheme="majorHAnsi" w:cstheme="majorHAnsi"/>
                <w:sz w:val="15"/>
                <w:szCs w:val="15"/>
              </w:rPr>
            </w:pPr>
            <w:r w:rsidRPr="00A66911">
              <w:rPr>
                <w:rFonts w:asciiTheme="majorHAnsi" w:hAnsiTheme="majorHAnsi" w:cstheme="majorHAnsi"/>
                <w:sz w:val="15"/>
                <w:szCs w:val="15"/>
              </w:rPr>
              <w:t>Medium</w:t>
            </w:r>
          </w:p>
        </w:tc>
        <w:tc>
          <w:tcPr>
            <w:tcW w:w="966" w:type="pct"/>
            <w:shd w:val="clear" w:color="auto" w:fill="auto"/>
          </w:tcPr>
          <w:p w14:paraId="11FFEFC3" w14:textId="77777777" w:rsidR="00FD3330" w:rsidRPr="00A66911" w:rsidRDefault="007A791F" w:rsidP="00A66911">
            <w:pPr>
              <w:pStyle w:val="TableBullet10"/>
              <w:ind w:left="227" w:right="0"/>
              <w:rPr>
                <w:sz w:val="15"/>
                <w:szCs w:val="15"/>
              </w:rPr>
            </w:pPr>
            <w:r>
              <w:rPr>
                <w:sz w:val="15"/>
                <w:szCs w:val="15"/>
              </w:rPr>
              <w:t xml:space="preserve">The likelihood of this risk is </w:t>
            </w:r>
            <w:r w:rsidR="008C40DF" w:rsidRPr="00A66911">
              <w:rPr>
                <w:sz w:val="15"/>
                <w:szCs w:val="15"/>
              </w:rPr>
              <w:t xml:space="preserve">lower under </w:t>
            </w:r>
            <w:r w:rsidR="00A66911" w:rsidRPr="00A66911">
              <w:rPr>
                <w:sz w:val="15"/>
                <w:szCs w:val="15"/>
              </w:rPr>
              <w:t>O</w:t>
            </w:r>
            <w:r w:rsidR="008C40DF" w:rsidRPr="00A66911">
              <w:rPr>
                <w:sz w:val="15"/>
                <w:szCs w:val="15"/>
              </w:rPr>
              <w:t>ption</w:t>
            </w:r>
            <w:r w:rsidR="00A66911" w:rsidRPr="00A66911">
              <w:rPr>
                <w:sz w:val="15"/>
                <w:szCs w:val="15"/>
              </w:rPr>
              <w:t xml:space="preserve"> 2</w:t>
            </w:r>
            <w:r w:rsidR="008C40DF" w:rsidRPr="00A66911">
              <w:rPr>
                <w:sz w:val="15"/>
                <w:szCs w:val="15"/>
              </w:rPr>
              <w:t xml:space="preserve"> </w:t>
            </w:r>
            <w:r>
              <w:rPr>
                <w:sz w:val="15"/>
                <w:szCs w:val="15"/>
              </w:rPr>
              <w:t xml:space="preserve">than the status quo </w:t>
            </w:r>
            <w:r w:rsidR="008C40DF" w:rsidRPr="00A66911">
              <w:rPr>
                <w:sz w:val="15"/>
                <w:szCs w:val="15"/>
              </w:rPr>
              <w:t>because the coverage test would not be considered as part of the form of regulation test</w:t>
            </w:r>
            <w:r w:rsidR="00436191" w:rsidRPr="00A66911">
              <w:rPr>
                <w:sz w:val="15"/>
                <w:szCs w:val="15"/>
              </w:rPr>
              <w:t xml:space="preserve">. </w:t>
            </w:r>
            <w:r w:rsidR="004B069E">
              <w:rPr>
                <w:sz w:val="15"/>
                <w:szCs w:val="15"/>
              </w:rPr>
              <w:t xml:space="preserve">The regulator would not, however, play an active monitoring role under this option so the likelihood of the risk eventuating is still possible. </w:t>
            </w:r>
          </w:p>
          <w:p w14:paraId="229DBA13" w14:textId="77777777" w:rsidR="00A66911" w:rsidRPr="00A66911" w:rsidRDefault="004B069E" w:rsidP="00A66911">
            <w:pPr>
              <w:pStyle w:val="TableBullet10"/>
              <w:ind w:left="227" w:right="0"/>
              <w:rPr>
                <w:sz w:val="15"/>
                <w:szCs w:val="15"/>
              </w:rPr>
            </w:pPr>
            <w:r>
              <w:rPr>
                <w:sz w:val="15"/>
                <w:szCs w:val="15"/>
              </w:rPr>
              <w:t xml:space="preserve">The likelihood of this risk is lower under </w:t>
            </w:r>
            <w:r w:rsidR="00A66911" w:rsidRPr="00A66911">
              <w:rPr>
                <w:sz w:val="15"/>
                <w:szCs w:val="15"/>
              </w:rPr>
              <w:t xml:space="preserve">options 3A, 3B and 4 because the </w:t>
            </w:r>
            <w:r w:rsidR="0033122F">
              <w:rPr>
                <w:sz w:val="15"/>
                <w:szCs w:val="15"/>
              </w:rPr>
              <w:t xml:space="preserve">coverage test would be removed and the </w:t>
            </w:r>
            <w:r w:rsidR="00A66911" w:rsidRPr="00A66911">
              <w:rPr>
                <w:sz w:val="15"/>
                <w:szCs w:val="15"/>
              </w:rPr>
              <w:t xml:space="preserve">regulator would play a more active role in monitoring the behaviour of service providers under these options. </w:t>
            </w:r>
          </w:p>
        </w:tc>
      </w:tr>
      <w:tr w:rsidR="00757E3A" w:rsidRPr="00757E3A" w14:paraId="46AB46B5" w14:textId="77777777" w:rsidTr="00120E27">
        <w:trPr>
          <w:cnfStyle w:val="000000100000" w:firstRow="0" w:lastRow="0" w:firstColumn="0" w:lastColumn="0" w:oddVBand="0" w:evenVBand="0" w:oddHBand="1" w:evenHBand="0" w:firstRowFirstColumn="0" w:firstRowLastColumn="0" w:lastRowFirstColumn="0" w:lastRowLastColumn="0"/>
          <w:trHeight w:val="430"/>
        </w:trPr>
        <w:tc>
          <w:tcPr>
            <w:tcW w:w="157" w:type="pct"/>
            <w:vMerge/>
            <w:textDirection w:val="btLr"/>
          </w:tcPr>
          <w:p w14:paraId="251C9C21" w14:textId="77777777" w:rsidR="00720F36" w:rsidRPr="00757E3A" w:rsidRDefault="00720F36" w:rsidP="00720F36">
            <w:pPr>
              <w:spacing w:before="20" w:after="20"/>
              <w:ind w:left="113" w:right="113"/>
              <w:rPr>
                <w:rFonts w:asciiTheme="majorHAnsi" w:hAnsiTheme="majorHAnsi" w:cstheme="majorHAnsi"/>
                <w:sz w:val="15"/>
                <w:szCs w:val="15"/>
              </w:rPr>
            </w:pPr>
          </w:p>
        </w:tc>
        <w:tc>
          <w:tcPr>
            <w:tcW w:w="481" w:type="pct"/>
            <w:tcBorders>
              <w:bottom w:val="single" w:sz="4" w:space="0" w:color="auto"/>
            </w:tcBorders>
          </w:tcPr>
          <w:p w14:paraId="559E51FD" w14:textId="77777777" w:rsidR="00720F36" w:rsidRPr="00757E3A" w:rsidRDefault="00720F36" w:rsidP="00720F36">
            <w:pPr>
              <w:tabs>
                <w:tab w:val="left" w:pos="720"/>
              </w:tabs>
              <w:spacing w:before="20" w:after="20"/>
              <w:ind w:right="85"/>
              <w:rPr>
                <w:rFonts w:asciiTheme="majorHAnsi" w:hAnsiTheme="majorHAnsi" w:cstheme="majorHAnsi"/>
                <w:sz w:val="15"/>
                <w:szCs w:val="15"/>
              </w:rPr>
            </w:pPr>
            <w:r w:rsidRPr="00757E3A">
              <w:rPr>
                <w:rFonts w:asciiTheme="majorHAnsi" w:hAnsiTheme="majorHAnsi" w:cstheme="majorHAnsi"/>
                <w:sz w:val="15"/>
                <w:szCs w:val="15"/>
              </w:rPr>
              <w:t xml:space="preserve">Unnecessary complexity in the forms of regulation resulting in </w:t>
            </w:r>
            <w:r w:rsidR="00A103E2" w:rsidRPr="00757E3A">
              <w:rPr>
                <w:rFonts w:asciiTheme="majorHAnsi" w:hAnsiTheme="majorHAnsi" w:cstheme="majorHAnsi"/>
                <w:sz w:val="15"/>
                <w:szCs w:val="15"/>
              </w:rPr>
              <w:t xml:space="preserve">higher </w:t>
            </w:r>
            <w:r w:rsidRPr="00757E3A">
              <w:rPr>
                <w:rFonts w:asciiTheme="majorHAnsi" w:hAnsiTheme="majorHAnsi" w:cstheme="majorHAnsi"/>
                <w:sz w:val="15"/>
                <w:szCs w:val="15"/>
              </w:rPr>
              <w:t>administrative, compliance and regulatory costs.</w:t>
            </w:r>
          </w:p>
        </w:tc>
        <w:tc>
          <w:tcPr>
            <w:tcW w:w="279" w:type="pct"/>
          </w:tcPr>
          <w:p w14:paraId="35BC32FF" w14:textId="77777777" w:rsidR="00720F36" w:rsidRPr="00757E3A" w:rsidRDefault="00720F36" w:rsidP="00720F36">
            <w:pPr>
              <w:spacing w:before="20" w:after="20"/>
              <w:rPr>
                <w:rFonts w:asciiTheme="majorHAnsi" w:hAnsiTheme="majorHAnsi" w:cstheme="majorHAnsi"/>
                <w:sz w:val="15"/>
                <w:szCs w:val="15"/>
              </w:rPr>
            </w:pPr>
            <w:r w:rsidRPr="00757E3A">
              <w:rPr>
                <w:rFonts w:asciiTheme="majorHAnsi" w:hAnsiTheme="majorHAnsi" w:cstheme="majorHAnsi"/>
                <w:sz w:val="15"/>
                <w:szCs w:val="15"/>
              </w:rPr>
              <w:t>Unlikely</w:t>
            </w:r>
          </w:p>
        </w:tc>
        <w:tc>
          <w:tcPr>
            <w:tcW w:w="303" w:type="pct"/>
          </w:tcPr>
          <w:p w14:paraId="0FFD438C" w14:textId="77777777" w:rsidR="00720F36" w:rsidRPr="00757E3A" w:rsidRDefault="00720F36" w:rsidP="00720F36">
            <w:pPr>
              <w:spacing w:before="20"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92D050"/>
          </w:tcPr>
          <w:p w14:paraId="0214FC59" w14:textId="77777777" w:rsidR="00720F36" w:rsidRPr="00757E3A" w:rsidRDefault="00720F36" w:rsidP="00720F36">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FFFFFF" w:themeFill="background1"/>
          </w:tcPr>
          <w:p w14:paraId="7A21956E" w14:textId="77777777" w:rsidR="00720F36" w:rsidRPr="00757E3A" w:rsidRDefault="00720F36" w:rsidP="00720F36">
            <w:pPr>
              <w:spacing w:before="20" w:after="20"/>
              <w:rPr>
                <w:rFonts w:asciiTheme="majorHAnsi" w:hAnsiTheme="majorHAnsi" w:cstheme="majorHAnsi"/>
                <w:sz w:val="15"/>
                <w:szCs w:val="15"/>
              </w:rPr>
            </w:pPr>
            <w:r w:rsidRPr="00757E3A">
              <w:rPr>
                <w:rFonts w:asciiTheme="majorHAnsi" w:hAnsiTheme="majorHAnsi" w:cstheme="majorHAnsi"/>
                <w:sz w:val="15"/>
                <w:szCs w:val="15"/>
              </w:rPr>
              <w:t>Unlikely</w:t>
            </w:r>
          </w:p>
        </w:tc>
        <w:tc>
          <w:tcPr>
            <w:tcW w:w="303" w:type="pct"/>
            <w:tcBorders>
              <w:bottom w:val="single" w:sz="4" w:space="0" w:color="auto"/>
            </w:tcBorders>
            <w:shd w:val="clear" w:color="auto" w:fill="FFFFFF" w:themeFill="background1"/>
          </w:tcPr>
          <w:p w14:paraId="756E9884" w14:textId="77777777" w:rsidR="00720F36" w:rsidRPr="00757E3A" w:rsidRDefault="00720F36" w:rsidP="00720F36">
            <w:pPr>
              <w:spacing w:before="20"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92D050"/>
          </w:tcPr>
          <w:p w14:paraId="2EDE04F4" w14:textId="77777777" w:rsidR="00720F36" w:rsidRPr="00757E3A" w:rsidRDefault="00720F36" w:rsidP="00720F36">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FFFFFF" w:themeFill="background1"/>
          </w:tcPr>
          <w:p w14:paraId="1670C801" w14:textId="77777777" w:rsidR="00720F36" w:rsidRPr="00757E3A" w:rsidRDefault="00720F36" w:rsidP="00720F36">
            <w:pPr>
              <w:spacing w:before="20" w:after="20"/>
              <w:rPr>
                <w:rFonts w:asciiTheme="majorHAnsi" w:hAnsiTheme="majorHAnsi" w:cstheme="majorHAnsi"/>
                <w:sz w:val="15"/>
                <w:szCs w:val="15"/>
              </w:rPr>
            </w:pPr>
            <w:r w:rsidRPr="00757E3A">
              <w:rPr>
                <w:rFonts w:asciiTheme="majorHAnsi" w:hAnsiTheme="majorHAnsi" w:cstheme="majorHAnsi"/>
                <w:sz w:val="15"/>
                <w:szCs w:val="15"/>
              </w:rPr>
              <w:t>Unlikely</w:t>
            </w:r>
          </w:p>
        </w:tc>
        <w:tc>
          <w:tcPr>
            <w:tcW w:w="303" w:type="pct"/>
            <w:tcBorders>
              <w:bottom w:val="single" w:sz="4" w:space="0" w:color="auto"/>
            </w:tcBorders>
            <w:shd w:val="clear" w:color="auto" w:fill="FFFFFF" w:themeFill="background1"/>
          </w:tcPr>
          <w:p w14:paraId="7FB58D26" w14:textId="77777777" w:rsidR="00720F36" w:rsidRPr="00757E3A" w:rsidRDefault="00720F36" w:rsidP="00720F36">
            <w:pPr>
              <w:spacing w:before="20"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92D050"/>
          </w:tcPr>
          <w:p w14:paraId="72F4F33F" w14:textId="77777777" w:rsidR="00720F36" w:rsidRPr="00757E3A" w:rsidRDefault="00720F36" w:rsidP="00720F36">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FFFFFF" w:themeFill="background1"/>
          </w:tcPr>
          <w:p w14:paraId="3A24AF40" w14:textId="77777777" w:rsidR="00720F36" w:rsidRPr="00757E3A" w:rsidRDefault="00E1150D" w:rsidP="00720F36">
            <w:pPr>
              <w:spacing w:before="20" w:after="20"/>
              <w:rPr>
                <w:rFonts w:asciiTheme="majorHAnsi" w:hAnsiTheme="majorHAnsi" w:cstheme="majorHAnsi"/>
                <w:sz w:val="15"/>
                <w:szCs w:val="15"/>
              </w:rPr>
            </w:pPr>
            <w:r w:rsidRPr="00757E3A">
              <w:rPr>
                <w:rFonts w:asciiTheme="majorHAnsi" w:hAnsiTheme="majorHAnsi" w:cstheme="majorHAnsi"/>
                <w:sz w:val="15"/>
                <w:szCs w:val="15"/>
              </w:rPr>
              <w:t>Likely</w:t>
            </w:r>
          </w:p>
        </w:tc>
        <w:tc>
          <w:tcPr>
            <w:tcW w:w="303" w:type="pct"/>
            <w:tcBorders>
              <w:bottom w:val="single" w:sz="4" w:space="0" w:color="auto"/>
            </w:tcBorders>
            <w:shd w:val="clear" w:color="auto" w:fill="FFFFFF" w:themeFill="background1"/>
          </w:tcPr>
          <w:p w14:paraId="2C63EB5D" w14:textId="77777777" w:rsidR="00720F36" w:rsidRPr="00757E3A" w:rsidRDefault="00E1150D" w:rsidP="00720F36">
            <w:pPr>
              <w:spacing w:before="20"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FFC000"/>
          </w:tcPr>
          <w:p w14:paraId="104922B5" w14:textId="77777777" w:rsidR="00720F36" w:rsidRPr="00757E3A" w:rsidRDefault="00E1150D" w:rsidP="00720F36">
            <w:pPr>
              <w:spacing w:before="20" w:after="20"/>
              <w:rPr>
                <w:rFonts w:asciiTheme="majorHAnsi" w:hAnsiTheme="majorHAnsi" w:cstheme="majorHAnsi"/>
                <w:sz w:val="15"/>
                <w:szCs w:val="15"/>
              </w:rPr>
            </w:pPr>
            <w:r w:rsidRPr="00757E3A">
              <w:rPr>
                <w:rFonts w:asciiTheme="majorHAnsi" w:hAnsiTheme="majorHAnsi" w:cstheme="majorHAnsi"/>
                <w:sz w:val="15"/>
                <w:szCs w:val="15"/>
              </w:rPr>
              <w:t>High</w:t>
            </w:r>
          </w:p>
        </w:tc>
        <w:tc>
          <w:tcPr>
            <w:tcW w:w="966" w:type="pct"/>
            <w:tcBorders>
              <w:bottom w:val="single" w:sz="4" w:space="0" w:color="auto"/>
            </w:tcBorders>
            <w:shd w:val="clear" w:color="auto" w:fill="auto"/>
          </w:tcPr>
          <w:p w14:paraId="60C53E03" w14:textId="77777777" w:rsidR="00E1150D" w:rsidRPr="00757E3A" w:rsidRDefault="0033122F" w:rsidP="000A3668">
            <w:pPr>
              <w:pStyle w:val="ListParagraph"/>
              <w:numPr>
                <w:ilvl w:val="0"/>
                <w:numId w:val="94"/>
              </w:numPr>
              <w:spacing w:before="20" w:after="20" w:line="240" w:lineRule="auto"/>
              <w:ind w:left="227" w:hanging="227"/>
              <w:rPr>
                <w:rFonts w:asciiTheme="majorHAnsi" w:hAnsiTheme="majorHAnsi" w:cstheme="majorHAnsi"/>
                <w:sz w:val="15"/>
                <w:szCs w:val="15"/>
              </w:rPr>
            </w:pPr>
            <w:r>
              <w:rPr>
                <w:rFonts w:asciiTheme="majorHAnsi" w:hAnsiTheme="majorHAnsi" w:cstheme="majorHAnsi"/>
                <w:sz w:val="15"/>
                <w:szCs w:val="15"/>
              </w:rPr>
              <w:t xml:space="preserve">The </w:t>
            </w:r>
            <w:r w:rsidR="0029479A">
              <w:rPr>
                <w:rFonts w:asciiTheme="majorHAnsi" w:hAnsiTheme="majorHAnsi" w:cstheme="majorHAnsi"/>
                <w:sz w:val="15"/>
                <w:szCs w:val="15"/>
              </w:rPr>
              <w:t xml:space="preserve">likelihood of this risk is lower </w:t>
            </w:r>
            <w:r w:rsidR="0026776B">
              <w:rPr>
                <w:rFonts w:asciiTheme="majorHAnsi" w:hAnsiTheme="majorHAnsi" w:cstheme="majorHAnsi"/>
                <w:sz w:val="15"/>
                <w:szCs w:val="15"/>
              </w:rPr>
              <w:t xml:space="preserve">than the status quo </w:t>
            </w:r>
            <w:r w:rsidR="00E1150D" w:rsidRPr="00757E3A">
              <w:rPr>
                <w:rFonts w:asciiTheme="majorHAnsi" w:hAnsiTheme="majorHAnsi" w:cstheme="majorHAnsi"/>
                <w:sz w:val="15"/>
                <w:szCs w:val="15"/>
              </w:rPr>
              <w:t>under options 2, 3A and 3B because they all involve the movement to two forms of regulation, with limited changes to the two existing forms</w:t>
            </w:r>
            <w:r w:rsidR="0026776B">
              <w:rPr>
                <w:rFonts w:asciiTheme="majorHAnsi" w:hAnsiTheme="majorHAnsi" w:cstheme="majorHAnsi"/>
                <w:sz w:val="15"/>
                <w:szCs w:val="15"/>
              </w:rPr>
              <w:t>.</w:t>
            </w:r>
          </w:p>
          <w:p w14:paraId="09E8E524" w14:textId="77777777" w:rsidR="00E1150D" w:rsidRPr="00757E3A" w:rsidRDefault="0026776B" w:rsidP="000A3668">
            <w:pPr>
              <w:pStyle w:val="ListParagraph"/>
              <w:numPr>
                <w:ilvl w:val="0"/>
                <w:numId w:val="94"/>
              </w:numPr>
              <w:spacing w:before="20" w:after="20" w:line="240" w:lineRule="auto"/>
              <w:ind w:left="227" w:hanging="227"/>
              <w:rPr>
                <w:rFonts w:asciiTheme="majorHAnsi" w:hAnsiTheme="majorHAnsi" w:cstheme="majorHAnsi"/>
                <w:sz w:val="15"/>
                <w:szCs w:val="15"/>
              </w:rPr>
            </w:pPr>
            <w:r>
              <w:rPr>
                <w:rFonts w:asciiTheme="majorHAnsi" w:hAnsiTheme="majorHAnsi" w:cstheme="majorHAnsi"/>
                <w:sz w:val="15"/>
                <w:szCs w:val="15"/>
              </w:rPr>
              <w:t xml:space="preserve">The </w:t>
            </w:r>
            <w:r w:rsidR="00130947">
              <w:rPr>
                <w:rFonts w:asciiTheme="majorHAnsi" w:hAnsiTheme="majorHAnsi" w:cstheme="majorHAnsi"/>
                <w:sz w:val="15"/>
                <w:szCs w:val="15"/>
              </w:rPr>
              <w:t xml:space="preserve">likelihood of this risk is also lower than the status quo under Option 4, but not as low as the other options. This is </w:t>
            </w:r>
            <w:r w:rsidR="00E1150D" w:rsidRPr="00757E3A">
              <w:rPr>
                <w:rFonts w:asciiTheme="majorHAnsi" w:hAnsiTheme="majorHAnsi" w:cstheme="majorHAnsi"/>
                <w:sz w:val="15"/>
                <w:szCs w:val="15"/>
              </w:rPr>
              <w:t>because while there would be only two forms of regulation</w:t>
            </w:r>
            <w:r w:rsidR="00130947">
              <w:rPr>
                <w:rFonts w:asciiTheme="majorHAnsi" w:hAnsiTheme="majorHAnsi" w:cstheme="majorHAnsi"/>
                <w:sz w:val="15"/>
                <w:szCs w:val="15"/>
              </w:rPr>
              <w:t xml:space="preserve"> under Option 4</w:t>
            </w:r>
            <w:r w:rsidR="00E1150D" w:rsidRPr="00757E3A">
              <w:rPr>
                <w:rFonts w:asciiTheme="majorHAnsi" w:hAnsiTheme="majorHAnsi" w:cstheme="majorHAnsi"/>
                <w:sz w:val="15"/>
                <w:szCs w:val="15"/>
              </w:rPr>
              <w:t xml:space="preserve">, the </w:t>
            </w:r>
            <w:r w:rsidR="00531979">
              <w:rPr>
                <w:rFonts w:asciiTheme="majorHAnsi" w:hAnsiTheme="majorHAnsi" w:cstheme="majorHAnsi"/>
                <w:sz w:val="15"/>
                <w:szCs w:val="15"/>
              </w:rPr>
              <w:t>stronger</w:t>
            </w:r>
            <w:r w:rsidR="0076701C" w:rsidRPr="00757E3A">
              <w:rPr>
                <w:rFonts w:asciiTheme="majorHAnsi" w:hAnsiTheme="majorHAnsi" w:cstheme="majorHAnsi"/>
                <w:sz w:val="15"/>
                <w:szCs w:val="15"/>
              </w:rPr>
              <w:t xml:space="preserve"> form would be based on direct price control, the transition to which could give rise to higher costs and risks. </w:t>
            </w:r>
          </w:p>
        </w:tc>
      </w:tr>
      <w:tr w:rsidR="00757E3A" w:rsidRPr="00757E3A" w14:paraId="31F9617D" w14:textId="77777777" w:rsidTr="00120E27">
        <w:trPr>
          <w:cnfStyle w:val="000000010000" w:firstRow="0" w:lastRow="0" w:firstColumn="0" w:lastColumn="0" w:oddVBand="0" w:evenVBand="0" w:oddHBand="0" w:evenHBand="1" w:firstRowFirstColumn="0" w:firstRowLastColumn="0" w:lastRowFirstColumn="0" w:lastRowLastColumn="0"/>
          <w:trHeight w:val="600"/>
        </w:trPr>
        <w:tc>
          <w:tcPr>
            <w:tcW w:w="157" w:type="pct"/>
            <w:vMerge/>
            <w:textDirection w:val="btLr"/>
          </w:tcPr>
          <w:p w14:paraId="33C4632C" w14:textId="77777777" w:rsidR="0070547E" w:rsidRPr="00757E3A" w:rsidRDefault="0070547E" w:rsidP="0070547E">
            <w:pPr>
              <w:spacing w:before="20" w:after="20"/>
              <w:ind w:left="113" w:right="113"/>
              <w:rPr>
                <w:rFonts w:asciiTheme="majorHAnsi" w:hAnsiTheme="majorHAnsi" w:cstheme="majorHAnsi"/>
                <w:sz w:val="15"/>
                <w:szCs w:val="15"/>
              </w:rPr>
            </w:pPr>
          </w:p>
        </w:tc>
        <w:tc>
          <w:tcPr>
            <w:tcW w:w="481" w:type="pct"/>
            <w:tcBorders>
              <w:bottom w:val="single" w:sz="4" w:space="0" w:color="auto"/>
            </w:tcBorders>
          </w:tcPr>
          <w:p w14:paraId="101D6B86" w14:textId="77777777" w:rsidR="0070547E" w:rsidRPr="00757E3A" w:rsidRDefault="0070547E" w:rsidP="0070547E">
            <w:pPr>
              <w:tabs>
                <w:tab w:val="left" w:pos="720"/>
              </w:tabs>
              <w:spacing w:before="20" w:after="20"/>
              <w:ind w:right="85"/>
              <w:rPr>
                <w:rFonts w:asciiTheme="majorHAnsi" w:hAnsiTheme="majorHAnsi" w:cstheme="majorHAnsi"/>
                <w:sz w:val="15"/>
                <w:szCs w:val="15"/>
              </w:rPr>
            </w:pPr>
            <w:r w:rsidRPr="00757E3A">
              <w:rPr>
                <w:rFonts w:asciiTheme="majorHAnsi" w:hAnsiTheme="majorHAnsi" w:cstheme="majorHAnsi"/>
                <w:sz w:val="15"/>
                <w:szCs w:val="15"/>
              </w:rPr>
              <w:t>Exercises of dynamic market power are not effectively constrained, which could further entrench incumbent service providers’ market power.</w:t>
            </w:r>
          </w:p>
        </w:tc>
        <w:tc>
          <w:tcPr>
            <w:tcW w:w="279" w:type="pct"/>
          </w:tcPr>
          <w:p w14:paraId="53B2B3AB" w14:textId="77777777" w:rsidR="0070547E" w:rsidRPr="00757E3A" w:rsidRDefault="0070547E" w:rsidP="0070547E">
            <w:pPr>
              <w:spacing w:before="20" w:after="20"/>
              <w:rPr>
                <w:rFonts w:asciiTheme="majorHAnsi" w:hAnsiTheme="majorHAnsi" w:cstheme="majorHAnsi"/>
                <w:sz w:val="15"/>
                <w:szCs w:val="15"/>
              </w:rPr>
            </w:pPr>
            <w:r w:rsidRPr="00757E3A">
              <w:rPr>
                <w:rFonts w:asciiTheme="majorHAnsi" w:hAnsiTheme="majorHAnsi" w:cstheme="majorHAnsi"/>
                <w:sz w:val="15"/>
                <w:szCs w:val="15"/>
              </w:rPr>
              <w:t>Possible</w:t>
            </w:r>
          </w:p>
        </w:tc>
        <w:tc>
          <w:tcPr>
            <w:tcW w:w="303" w:type="pct"/>
          </w:tcPr>
          <w:p w14:paraId="09A3859C" w14:textId="77777777" w:rsidR="0070547E" w:rsidRPr="00757E3A" w:rsidRDefault="0070547E" w:rsidP="0070547E">
            <w:pPr>
              <w:spacing w:before="20" w:after="20"/>
              <w:rPr>
                <w:rFonts w:asciiTheme="majorHAnsi" w:hAnsiTheme="majorHAnsi" w:cstheme="majorHAnsi"/>
                <w:sz w:val="15"/>
                <w:szCs w:val="15"/>
              </w:rPr>
            </w:pPr>
            <w:r w:rsidRPr="00757E3A">
              <w:rPr>
                <w:rFonts w:asciiTheme="majorHAnsi" w:hAnsiTheme="majorHAnsi" w:cstheme="majorHAnsi"/>
                <w:sz w:val="15"/>
                <w:szCs w:val="15"/>
              </w:rPr>
              <w:t>High</w:t>
            </w:r>
          </w:p>
        </w:tc>
        <w:tc>
          <w:tcPr>
            <w:tcW w:w="267" w:type="pct"/>
            <w:tcBorders>
              <w:bottom w:val="single" w:sz="4" w:space="0" w:color="auto"/>
            </w:tcBorders>
            <w:shd w:val="clear" w:color="auto" w:fill="FFFF00"/>
          </w:tcPr>
          <w:p w14:paraId="61496705" w14:textId="77777777" w:rsidR="0070547E" w:rsidRPr="00757E3A" w:rsidRDefault="0070547E" w:rsidP="0070547E">
            <w:pPr>
              <w:spacing w:before="20" w:after="20"/>
              <w:rPr>
                <w:rFonts w:asciiTheme="majorHAnsi" w:hAnsiTheme="majorHAnsi" w:cstheme="majorHAnsi"/>
                <w:sz w:val="15"/>
                <w:szCs w:val="15"/>
              </w:rPr>
            </w:pPr>
            <w:r w:rsidRPr="00757E3A">
              <w:rPr>
                <w:rFonts w:asciiTheme="majorHAnsi" w:hAnsiTheme="majorHAnsi" w:cstheme="majorHAnsi"/>
                <w:sz w:val="15"/>
                <w:szCs w:val="15"/>
              </w:rPr>
              <w:t>Medium</w:t>
            </w:r>
          </w:p>
        </w:tc>
        <w:tc>
          <w:tcPr>
            <w:tcW w:w="279" w:type="pct"/>
            <w:tcBorders>
              <w:bottom w:val="single" w:sz="4" w:space="0" w:color="auto"/>
            </w:tcBorders>
            <w:shd w:val="clear" w:color="auto" w:fill="FFFFFF" w:themeFill="background1"/>
          </w:tcPr>
          <w:p w14:paraId="5802113E" w14:textId="77777777" w:rsidR="0070547E" w:rsidRPr="00757E3A" w:rsidRDefault="0070547E" w:rsidP="0070547E">
            <w:pPr>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bottom w:val="single" w:sz="4" w:space="0" w:color="auto"/>
            </w:tcBorders>
            <w:shd w:val="clear" w:color="auto" w:fill="FFFFFF" w:themeFill="background1"/>
          </w:tcPr>
          <w:p w14:paraId="625C5CF9" w14:textId="77777777" w:rsidR="0070547E" w:rsidRPr="00757E3A" w:rsidRDefault="0070547E" w:rsidP="0070547E">
            <w:pPr>
              <w:spacing w:before="20" w:after="20"/>
              <w:rPr>
                <w:rFonts w:asciiTheme="majorHAnsi" w:hAnsiTheme="majorHAnsi" w:cstheme="majorHAnsi"/>
                <w:sz w:val="15"/>
                <w:szCs w:val="15"/>
              </w:rPr>
            </w:pPr>
            <w:r w:rsidRPr="00757E3A">
              <w:rPr>
                <w:rFonts w:asciiTheme="majorHAnsi" w:hAnsiTheme="majorHAnsi" w:cstheme="majorHAnsi"/>
                <w:sz w:val="15"/>
                <w:szCs w:val="15"/>
              </w:rPr>
              <w:t>High</w:t>
            </w:r>
          </w:p>
        </w:tc>
        <w:tc>
          <w:tcPr>
            <w:tcW w:w="267" w:type="pct"/>
            <w:tcBorders>
              <w:bottom w:val="single" w:sz="4" w:space="0" w:color="auto"/>
            </w:tcBorders>
            <w:shd w:val="clear" w:color="auto" w:fill="92D050"/>
          </w:tcPr>
          <w:p w14:paraId="0C67BA6A" w14:textId="77777777" w:rsidR="0070547E" w:rsidRPr="00757E3A" w:rsidRDefault="0070547E" w:rsidP="0070547E">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FFFFFF" w:themeFill="background1"/>
          </w:tcPr>
          <w:p w14:paraId="026734F3" w14:textId="77777777" w:rsidR="0070547E" w:rsidRPr="00757E3A" w:rsidRDefault="0070547E" w:rsidP="0070547E">
            <w:pPr>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bottom w:val="single" w:sz="4" w:space="0" w:color="auto"/>
            </w:tcBorders>
            <w:shd w:val="clear" w:color="auto" w:fill="FFFFFF" w:themeFill="background1"/>
          </w:tcPr>
          <w:p w14:paraId="4C6709D8" w14:textId="77777777" w:rsidR="0070547E" w:rsidRPr="00757E3A" w:rsidRDefault="0070547E" w:rsidP="0070547E">
            <w:pPr>
              <w:spacing w:before="20" w:after="20"/>
              <w:rPr>
                <w:rFonts w:asciiTheme="majorHAnsi" w:hAnsiTheme="majorHAnsi" w:cstheme="majorHAnsi"/>
                <w:sz w:val="15"/>
                <w:szCs w:val="15"/>
              </w:rPr>
            </w:pPr>
            <w:r w:rsidRPr="00757E3A">
              <w:rPr>
                <w:rFonts w:asciiTheme="majorHAnsi" w:hAnsiTheme="majorHAnsi" w:cstheme="majorHAnsi"/>
                <w:sz w:val="15"/>
                <w:szCs w:val="15"/>
              </w:rPr>
              <w:t>High</w:t>
            </w:r>
          </w:p>
        </w:tc>
        <w:tc>
          <w:tcPr>
            <w:tcW w:w="267" w:type="pct"/>
            <w:tcBorders>
              <w:bottom w:val="single" w:sz="4" w:space="0" w:color="auto"/>
            </w:tcBorders>
            <w:shd w:val="clear" w:color="auto" w:fill="92D050"/>
          </w:tcPr>
          <w:p w14:paraId="27F18CD2" w14:textId="77777777" w:rsidR="0070547E" w:rsidRPr="00757E3A" w:rsidRDefault="0070547E" w:rsidP="0070547E">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FFFFFF" w:themeFill="background1"/>
          </w:tcPr>
          <w:p w14:paraId="78B42D9A" w14:textId="77777777" w:rsidR="0070547E" w:rsidRPr="00757E3A" w:rsidRDefault="0070547E" w:rsidP="0070547E">
            <w:pPr>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bottom w:val="single" w:sz="4" w:space="0" w:color="auto"/>
            </w:tcBorders>
            <w:shd w:val="clear" w:color="auto" w:fill="FFFFFF" w:themeFill="background1"/>
          </w:tcPr>
          <w:p w14:paraId="33465A91" w14:textId="77777777" w:rsidR="0070547E" w:rsidRPr="00757E3A" w:rsidRDefault="0070547E" w:rsidP="0070547E">
            <w:pPr>
              <w:spacing w:before="20" w:after="20"/>
              <w:rPr>
                <w:rFonts w:asciiTheme="majorHAnsi" w:hAnsiTheme="majorHAnsi" w:cstheme="majorHAnsi"/>
                <w:sz w:val="15"/>
                <w:szCs w:val="15"/>
              </w:rPr>
            </w:pPr>
            <w:r w:rsidRPr="00757E3A">
              <w:rPr>
                <w:rFonts w:asciiTheme="majorHAnsi" w:hAnsiTheme="majorHAnsi" w:cstheme="majorHAnsi"/>
                <w:sz w:val="15"/>
                <w:szCs w:val="15"/>
              </w:rPr>
              <w:t>High</w:t>
            </w:r>
          </w:p>
        </w:tc>
        <w:tc>
          <w:tcPr>
            <w:tcW w:w="267" w:type="pct"/>
            <w:tcBorders>
              <w:bottom w:val="single" w:sz="4" w:space="0" w:color="auto"/>
            </w:tcBorders>
            <w:shd w:val="clear" w:color="auto" w:fill="92D050"/>
          </w:tcPr>
          <w:p w14:paraId="2D0D3CA0" w14:textId="77777777" w:rsidR="0070547E" w:rsidRPr="00757E3A" w:rsidRDefault="0070547E" w:rsidP="0070547E">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966" w:type="pct"/>
            <w:tcBorders>
              <w:bottom w:val="single" w:sz="4" w:space="0" w:color="auto"/>
            </w:tcBorders>
            <w:shd w:val="clear" w:color="auto" w:fill="auto"/>
          </w:tcPr>
          <w:p w14:paraId="6FDB98B2" w14:textId="77777777" w:rsidR="0070547E" w:rsidRPr="00757E3A" w:rsidRDefault="00A05B7B" w:rsidP="000A3668">
            <w:pPr>
              <w:pStyle w:val="ListParagraph"/>
              <w:numPr>
                <w:ilvl w:val="0"/>
                <w:numId w:val="93"/>
              </w:numPr>
              <w:spacing w:before="20" w:after="20" w:line="240" w:lineRule="auto"/>
              <w:ind w:left="227" w:hanging="227"/>
              <w:rPr>
                <w:rFonts w:asciiTheme="majorHAnsi" w:hAnsiTheme="majorHAnsi" w:cstheme="majorHAnsi"/>
                <w:sz w:val="15"/>
                <w:szCs w:val="15"/>
              </w:rPr>
            </w:pPr>
            <w:r>
              <w:rPr>
                <w:rFonts w:asciiTheme="majorHAnsi" w:hAnsiTheme="majorHAnsi" w:cstheme="majorHAnsi"/>
                <w:sz w:val="15"/>
                <w:szCs w:val="15"/>
              </w:rPr>
              <w:t xml:space="preserve">The likelihood of this risk is </w:t>
            </w:r>
            <w:r w:rsidR="0070547E" w:rsidRPr="00757E3A">
              <w:rPr>
                <w:rFonts w:asciiTheme="majorHAnsi" w:hAnsiTheme="majorHAnsi" w:cstheme="majorHAnsi"/>
                <w:sz w:val="15"/>
                <w:szCs w:val="15"/>
              </w:rPr>
              <w:t xml:space="preserve">unchanged under </w:t>
            </w:r>
            <w:r w:rsidR="00EB76AF" w:rsidRPr="00757E3A">
              <w:rPr>
                <w:rFonts w:asciiTheme="majorHAnsi" w:hAnsiTheme="majorHAnsi" w:cstheme="majorHAnsi"/>
                <w:sz w:val="15"/>
                <w:szCs w:val="15"/>
              </w:rPr>
              <w:t>Option 2 because no additional measures would be put in place to address exercises of dynamic market power</w:t>
            </w:r>
            <w:r w:rsidR="0098680D">
              <w:rPr>
                <w:rFonts w:asciiTheme="majorHAnsi" w:hAnsiTheme="majorHAnsi" w:cstheme="majorHAnsi"/>
                <w:sz w:val="15"/>
                <w:szCs w:val="15"/>
              </w:rPr>
              <w:t>.</w:t>
            </w:r>
          </w:p>
          <w:p w14:paraId="567DC4F2" w14:textId="77777777" w:rsidR="00EB76AF" w:rsidRPr="00757E3A" w:rsidRDefault="00A05B7B" w:rsidP="000A3668">
            <w:pPr>
              <w:pStyle w:val="ListParagraph"/>
              <w:numPr>
                <w:ilvl w:val="0"/>
                <w:numId w:val="93"/>
              </w:numPr>
              <w:spacing w:before="20" w:after="20" w:line="240" w:lineRule="auto"/>
              <w:ind w:left="227" w:hanging="227"/>
              <w:rPr>
                <w:rFonts w:asciiTheme="majorHAnsi" w:hAnsiTheme="majorHAnsi" w:cstheme="majorHAnsi"/>
                <w:sz w:val="15"/>
                <w:szCs w:val="15"/>
              </w:rPr>
            </w:pPr>
            <w:r>
              <w:rPr>
                <w:rFonts w:asciiTheme="majorHAnsi" w:hAnsiTheme="majorHAnsi" w:cstheme="majorHAnsi"/>
                <w:sz w:val="15"/>
                <w:szCs w:val="15"/>
              </w:rPr>
              <w:t xml:space="preserve">The likelihood of this risk is lower than the status quo </w:t>
            </w:r>
            <w:r w:rsidR="00EB76AF" w:rsidRPr="00757E3A">
              <w:rPr>
                <w:rFonts w:asciiTheme="majorHAnsi" w:hAnsiTheme="majorHAnsi" w:cstheme="majorHAnsi"/>
                <w:sz w:val="15"/>
                <w:szCs w:val="15"/>
              </w:rPr>
              <w:t>under options 3A, 3B and 4 because additional measures would be put in place to constrain exercises of dynamic market power.</w:t>
            </w:r>
          </w:p>
        </w:tc>
      </w:tr>
      <w:tr w:rsidR="00353985" w:rsidRPr="00757E3A" w14:paraId="409D9097" w14:textId="77777777" w:rsidTr="00120E27">
        <w:trPr>
          <w:cnfStyle w:val="000000100000" w:firstRow="0" w:lastRow="0" w:firstColumn="0" w:lastColumn="0" w:oddVBand="0" w:evenVBand="0" w:oddHBand="1" w:evenHBand="0" w:firstRowFirstColumn="0" w:firstRowLastColumn="0" w:lastRowFirstColumn="0" w:lastRowLastColumn="0"/>
          <w:cantSplit/>
          <w:trHeight w:val="1134"/>
        </w:trPr>
        <w:tc>
          <w:tcPr>
            <w:tcW w:w="157" w:type="pct"/>
            <w:shd w:val="clear" w:color="auto" w:fill="FFFFFF" w:themeFill="background1"/>
            <w:textDirection w:val="btLr"/>
          </w:tcPr>
          <w:p w14:paraId="471DCFA0" w14:textId="77777777" w:rsidR="00353985" w:rsidRPr="00757E3A" w:rsidRDefault="00353985" w:rsidP="005359F9">
            <w:pPr>
              <w:jc w:val="center"/>
              <w:rPr>
                <w:rFonts w:asciiTheme="majorHAnsi" w:hAnsiTheme="majorHAnsi" w:cstheme="majorHAnsi"/>
                <w:sz w:val="15"/>
                <w:szCs w:val="15"/>
              </w:rPr>
            </w:pPr>
            <w:r>
              <w:rPr>
                <w:rFonts w:asciiTheme="majorHAnsi" w:hAnsiTheme="majorHAnsi" w:cstheme="majorHAnsi"/>
                <w:sz w:val="16"/>
                <w:szCs w:val="16"/>
              </w:rPr>
              <w:lastRenderedPageBreak/>
              <w:t xml:space="preserve">Inefficient governance </w:t>
            </w:r>
          </w:p>
        </w:tc>
        <w:tc>
          <w:tcPr>
            <w:tcW w:w="481" w:type="pct"/>
            <w:shd w:val="clear" w:color="auto" w:fill="FFFFFF" w:themeFill="background1"/>
          </w:tcPr>
          <w:p w14:paraId="5DB31772" w14:textId="77777777" w:rsidR="00296C70" w:rsidRPr="00757E3A" w:rsidRDefault="00353985" w:rsidP="005359F9">
            <w:pPr>
              <w:tabs>
                <w:tab w:val="left" w:pos="720"/>
              </w:tabs>
              <w:spacing w:before="20" w:after="20"/>
              <w:ind w:right="85"/>
              <w:rPr>
                <w:rFonts w:asciiTheme="majorHAnsi" w:hAnsiTheme="majorHAnsi" w:cstheme="majorHAnsi"/>
                <w:sz w:val="15"/>
                <w:szCs w:val="15"/>
              </w:rPr>
            </w:pPr>
            <w:r w:rsidRPr="00757E3A">
              <w:rPr>
                <w:rFonts w:asciiTheme="majorHAnsi" w:hAnsiTheme="majorHAnsi" w:cstheme="majorHAnsi"/>
                <w:sz w:val="15"/>
                <w:szCs w:val="15"/>
              </w:rPr>
              <w:t xml:space="preserve">Inefficient governance </w:t>
            </w:r>
            <w:r w:rsidR="00296C70">
              <w:rPr>
                <w:rFonts w:asciiTheme="majorHAnsi" w:hAnsiTheme="majorHAnsi" w:cstheme="majorHAnsi"/>
                <w:sz w:val="15"/>
                <w:szCs w:val="15"/>
              </w:rPr>
              <w:t xml:space="preserve">arrangements for when and how to regulate decisions, </w:t>
            </w:r>
            <w:r w:rsidRPr="00757E3A">
              <w:rPr>
                <w:rFonts w:asciiTheme="majorHAnsi" w:hAnsiTheme="majorHAnsi" w:cstheme="majorHAnsi"/>
                <w:sz w:val="15"/>
                <w:szCs w:val="15"/>
              </w:rPr>
              <w:t>which can duplicate effort and result in unnecessary costs and delays to decision making.</w:t>
            </w:r>
          </w:p>
        </w:tc>
        <w:tc>
          <w:tcPr>
            <w:tcW w:w="279" w:type="pct"/>
            <w:shd w:val="clear" w:color="auto" w:fill="FFFFFF" w:themeFill="background1"/>
          </w:tcPr>
          <w:p w14:paraId="3A9766F4" w14:textId="77777777" w:rsidR="00353985" w:rsidRPr="00757E3A" w:rsidRDefault="00353985" w:rsidP="00353985">
            <w:pPr>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shd w:val="clear" w:color="auto" w:fill="FFFFFF" w:themeFill="background1"/>
          </w:tcPr>
          <w:p w14:paraId="5D555FC0" w14:textId="77777777" w:rsidR="00353985" w:rsidRPr="00757E3A" w:rsidRDefault="00353985" w:rsidP="00353985">
            <w:pPr>
              <w:spacing w:before="20" w:after="20"/>
              <w:rPr>
                <w:rFonts w:asciiTheme="majorHAnsi" w:hAnsiTheme="majorHAnsi" w:cstheme="majorHAnsi"/>
                <w:sz w:val="15"/>
                <w:szCs w:val="15"/>
              </w:rPr>
            </w:pPr>
            <w:r w:rsidRPr="00757E3A">
              <w:rPr>
                <w:rFonts w:asciiTheme="majorHAnsi" w:hAnsiTheme="majorHAnsi" w:cstheme="majorHAnsi"/>
                <w:sz w:val="15"/>
                <w:szCs w:val="15"/>
              </w:rPr>
              <w:t>Minor</w:t>
            </w:r>
          </w:p>
        </w:tc>
        <w:tc>
          <w:tcPr>
            <w:tcW w:w="267" w:type="pct"/>
            <w:tcBorders>
              <w:bottom w:val="single" w:sz="4" w:space="0" w:color="auto"/>
            </w:tcBorders>
            <w:shd w:val="clear" w:color="auto" w:fill="92D050"/>
          </w:tcPr>
          <w:p w14:paraId="2F474309" w14:textId="77777777" w:rsidR="00353985" w:rsidRPr="00757E3A" w:rsidRDefault="00353985" w:rsidP="00353985">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FFFFFF" w:themeFill="background1"/>
          </w:tcPr>
          <w:p w14:paraId="5BE37487" w14:textId="77777777" w:rsidR="00353985" w:rsidRPr="00757E3A" w:rsidRDefault="00353985" w:rsidP="00353985">
            <w:pPr>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bottom w:val="single" w:sz="4" w:space="0" w:color="auto"/>
            </w:tcBorders>
            <w:shd w:val="clear" w:color="auto" w:fill="FFFFFF" w:themeFill="background1"/>
          </w:tcPr>
          <w:p w14:paraId="3FFA4B17" w14:textId="77777777" w:rsidR="00353985" w:rsidRPr="00757E3A" w:rsidRDefault="00353985" w:rsidP="00353985">
            <w:pPr>
              <w:spacing w:before="20" w:after="20"/>
              <w:rPr>
                <w:rFonts w:asciiTheme="majorHAnsi" w:hAnsiTheme="majorHAnsi" w:cstheme="majorHAnsi"/>
                <w:sz w:val="15"/>
                <w:szCs w:val="15"/>
              </w:rPr>
            </w:pPr>
            <w:r w:rsidRPr="00757E3A">
              <w:rPr>
                <w:rFonts w:asciiTheme="majorHAnsi" w:hAnsiTheme="majorHAnsi" w:cstheme="majorHAnsi"/>
                <w:sz w:val="15"/>
                <w:szCs w:val="15"/>
              </w:rPr>
              <w:t>Minor</w:t>
            </w:r>
          </w:p>
        </w:tc>
        <w:tc>
          <w:tcPr>
            <w:tcW w:w="267" w:type="pct"/>
            <w:tcBorders>
              <w:bottom w:val="single" w:sz="4" w:space="0" w:color="auto"/>
            </w:tcBorders>
            <w:shd w:val="clear" w:color="auto" w:fill="92D050"/>
          </w:tcPr>
          <w:p w14:paraId="001F885A" w14:textId="77777777" w:rsidR="00353985" w:rsidRPr="00757E3A" w:rsidRDefault="00353985" w:rsidP="00353985">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FFFFFF" w:themeFill="background1"/>
          </w:tcPr>
          <w:p w14:paraId="54BE93C0" w14:textId="77777777" w:rsidR="00353985" w:rsidRPr="00757E3A" w:rsidRDefault="00353985" w:rsidP="00353985">
            <w:pPr>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bottom w:val="single" w:sz="4" w:space="0" w:color="auto"/>
            </w:tcBorders>
            <w:shd w:val="clear" w:color="auto" w:fill="FFFFFF" w:themeFill="background1"/>
          </w:tcPr>
          <w:p w14:paraId="2E37094A" w14:textId="77777777" w:rsidR="00353985" w:rsidRPr="00757E3A" w:rsidRDefault="00353985" w:rsidP="00353985">
            <w:pPr>
              <w:spacing w:before="20" w:after="20"/>
              <w:rPr>
                <w:rFonts w:asciiTheme="majorHAnsi" w:hAnsiTheme="majorHAnsi" w:cstheme="majorHAnsi"/>
                <w:sz w:val="15"/>
                <w:szCs w:val="15"/>
              </w:rPr>
            </w:pPr>
            <w:r w:rsidRPr="00757E3A">
              <w:rPr>
                <w:rFonts w:asciiTheme="majorHAnsi" w:hAnsiTheme="majorHAnsi" w:cstheme="majorHAnsi"/>
                <w:sz w:val="15"/>
                <w:szCs w:val="15"/>
              </w:rPr>
              <w:t>Minor</w:t>
            </w:r>
          </w:p>
        </w:tc>
        <w:tc>
          <w:tcPr>
            <w:tcW w:w="267" w:type="pct"/>
            <w:tcBorders>
              <w:bottom w:val="single" w:sz="4" w:space="0" w:color="auto"/>
            </w:tcBorders>
            <w:shd w:val="clear" w:color="auto" w:fill="92D050"/>
          </w:tcPr>
          <w:p w14:paraId="106C2A43" w14:textId="77777777" w:rsidR="00353985" w:rsidRPr="00757E3A" w:rsidRDefault="00353985" w:rsidP="00353985">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FFFFFF" w:themeFill="background1"/>
          </w:tcPr>
          <w:p w14:paraId="209DFFAB" w14:textId="77777777" w:rsidR="00353985" w:rsidRPr="00757E3A" w:rsidRDefault="00353985" w:rsidP="00353985">
            <w:pPr>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bottom w:val="single" w:sz="4" w:space="0" w:color="auto"/>
            </w:tcBorders>
            <w:shd w:val="clear" w:color="auto" w:fill="FFFFFF" w:themeFill="background1"/>
          </w:tcPr>
          <w:p w14:paraId="686606DB" w14:textId="77777777" w:rsidR="00353985" w:rsidRPr="00757E3A" w:rsidRDefault="00353985" w:rsidP="00353985">
            <w:pPr>
              <w:spacing w:before="20" w:after="20"/>
              <w:rPr>
                <w:rFonts w:asciiTheme="majorHAnsi" w:hAnsiTheme="majorHAnsi" w:cstheme="majorHAnsi"/>
                <w:sz w:val="15"/>
                <w:szCs w:val="15"/>
              </w:rPr>
            </w:pPr>
            <w:r w:rsidRPr="00757E3A">
              <w:rPr>
                <w:rFonts w:asciiTheme="majorHAnsi" w:hAnsiTheme="majorHAnsi" w:cstheme="majorHAnsi"/>
                <w:sz w:val="15"/>
                <w:szCs w:val="15"/>
              </w:rPr>
              <w:t>Minor</w:t>
            </w:r>
          </w:p>
        </w:tc>
        <w:tc>
          <w:tcPr>
            <w:tcW w:w="267" w:type="pct"/>
            <w:tcBorders>
              <w:bottom w:val="single" w:sz="4" w:space="0" w:color="auto"/>
            </w:tcBorders>
            <w:shd w:val="clear" w:color="auto" w:fill="92D050"/>
          </w:tcPr>
          <w:p w14:paraId="2D21E131" w14:textId="77777777" w:rsidR="00353985" w:rsidRPr="00757E3A" w:rsidRDefault="00353985" w:rsidP="00353985">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966" w:type="pct"/>
            <w:tcBorders>
              <w:bottom w:val="single" w:sz="4" w:space="0" w:color="auto"/>
            </w:tcBorders>
            <w:shd w:val="clear" w:color="auto" w:fill="auto"/>
          </w:tcPr>
          <w:p w14:paraId="07C8E248" w14:textId="77777777" w:rsidR="00353985" w:rsidRPr="00757E3A" w:rsidRDefault="00353985" w:rsidP="00353985">
            <w:pPr>
              <w:spacing w:before="20" w:after="20"/>
              <w:rPr>
                <w:rFonts w:asciiTheme="majorHAnsi" w:hAnsiTheme="majorHAnsi" w:cstheme="majorHAnsi"/>
                <w:sz w:val="15"/>
                <w:szCs w:val="15"/>
              </w:rPr>
            </w:pPr>
            <w:r w:rsidRPr="00757E3A">
              <w:rPr>
                <w:rFonts w:asciiTheme="majorHAnsi" w:hAnsiTheme="majorHAnsi" w:cstheme="majorHAnsi"/>
                <w:sz w:val="15"/>
                <w:szCs w:val="15"/>
              </w:rPr>
              <w:t>This risk is lower under all options because under each option there would be a single decision-maker.</w:t>
            </w:r>
          </w:p>
        </w:tc>
      </w:tr>
      <w:tr w:rsidR="00757E3A" w:rsidRPr="00757E3A" w14:paraId="2E6E5040" w14:textId="77777777" w:rsidTr="00120E27">
        <w:trPr>
          <w:cnfStyle w:val="000000010000" w:firstRow="0" w:lastRow="0" w:firstColumn="0" w:lastColumn="0" w:oddVBand="0" w:evenVBand="0" w:oddHBand="0" w:evenHBand="1" w:firstRowFirstColumn="0" w:firstRowLastColumn="0" w:lastRowFirstColumn="0" w:lastRowLastColumn="0"/>
          <w:cantSplit/>
          <w:trHeight w:val="1134"/>
        </w:trPr>
        <w:tc>
          <w:tcPr>
            <w:tcW w:w="157" w:type="pct"/>
            <w:shd w:val="clear" w:color="auto" w:fill="FFFFFF" w:themeFill="background1"/>
            <w:textDirection w:val="btLr"/>
          </w:tcPr>
          <w:p w14:paraId="77C0BFAD" w14:textId="77777777" w:rsidR="00F059FA" w:rsidRPr="00757E3A" w:rsidRDefault="00F059FA" w:rsidP="00841301">
            <w:pPr>
              <w:spacing w:before="20" w:after="20"/>
              <w:ind w:left="113" w:right="113"/>
              <w:jc w:val="center"/>
              <w:rPr>
                <w:rFonts w:asciiTheme="majorHAnsi" w:hAnsiTheme="majorHAnsi" w:cstheme="majorHAnsi"/>
                <w:sz w:val="15"/>
                <w:szCs w:val="15"/>
              </w:rPr>
            </w:pPr>
            <w:r w:rsidRPr="00757E3A">
              <w:rPr>
                <w:rFonts w:asciiTheme="majorHAnsi" w:hAnsiTheme="majorHAnsi" w:cstheme="majorHAnsi"/>
                <w:sz w:val="15"/>
                <w:szCs w:val="15"/>
              </w:rPr>
              <w:t xml:space="preserve">Inadequate Information disclosure </w:t>
            </w:r>
          </w:p>
        </w:tc>
        <w:tc>
          <w:tcPr>
            <w:tcW w:w="481" w:type="pct"/>
            <w:shd w:val="clear" w:color="auto" w:fill="FFFFFF" w:themeFill="background1"/>
          </w:tcPr>
          <w:p w14:paraId="38865359" w14:textId="77777777" w:rsidR="00F059FA" w:rsidRPr="00757E3A" w:rsidRDefault="00F059FA" w:rsidP="00F059FA">
            <w:pPr>
              <w:tabs>
                <w:tab w:val="left" w:pos="720"/>
              </w:tabs>
              <w:spacing w:before="20" w:after="20"/>
              <w:ind w:right="85"/>
              <w:rPr>
                <w:rFonts w:asciiTheme="majorHAnsi" w:hAnsiTheme="majorHAnsi" w:cstheme="majorHAnsi"/>
                <w:sz w:val="15"/>
                <w:szCs w:val="15"/>
              </w:rPr>
            </w:pPr>
            <w:r w:rsidRPr="00757E3A">
              <w:rPr>
                <w:rFonts w:asciiTheme="majorHAnsi" w:hAnsiTheme="majorHAnsi" w:cstheme="majorHAnsi"/>
                <w:sz w:val="15"/>
                <w:szCs w:val="15"/>
              </w:rPr>
              <w:t xml:space="preserve">Shippers have to negotiate on the basis of incomplete, inaccurate, confusing and/or asymmetric information, which can hinder the price discovery process, give rise to higher transaction costs and make shippers more susceptible to market power. </w:t>
            </w:r>
          </w:p>
        </w:tc>
        <w:tc>
          <w:tcPr>
            <w:tcW w:w="279" w:type="pct"/>
            <w:shd w:val="clear" w:color="auto" w:fill="FFFFFF" w:themeFill="background1"/>
          </w:tcPr>
          <w:p w14:paraId="14384EC8" w14:textId="77777777" w:rsidR="00F059FA" w:rsidRPr="00757E3A" w:rsidRDefault="00F059FA" w:rsidP="00F059FA">
            <w:pPr>
              <w:spacing w:before="20" w:after="20"/>
              <w:rPr>
                <w:rFonts w:asciiTheme="majorHAnsi" w:hAnsiTheme="majorHAnsi" w:cstheme="majorHAnsi"/>
                <w:sz w:val="15"/>
                <w:szCs w:val="15"/>
              </w:rPr>
            </w:pPr>
            <w:r w:rsidRPr="00757E3A">
              <w:rPr>
                <w:rFonts w:asciiTheme="majorHAnsi" w:hAnsiTheme="majorHAnsi" w:cstheme="majorHAnsi"/>
                <w:sz w:val="15"/>
                <w:szCs w:val="15"/>
              </w:rPr>
              <w:t>Possible</w:t>
            </w:r>
          </w:p>
        </w:tc>
        <w:tc>
          <w:tcPr>
            <w:tcW w:w="303" w:type="pct"/>
            <w:shd w:val="clear" w:color="auto" w:fill="FFFFFF" w:themeFill="background1"/>
          </w:tcPr>
          <w:p w14:paraId="4F331324" w14:textId="77777777" w:rsidR="00F059FA" w:rsidRPr="00757E3A" w:rsidRDefault="00F059FA" w:rsidP="00F059FA">
            <w:pPr>
              <w:spacing w:before="20" w:after="20"/>
              <w:rPr>
                <w:rFonts w:asciiTheme="majorHAnsi" w:hAnsiTheme="majorHAnsi" w:cstheme="majorHAnsi"/>
                <w:sz w:val="15"/>
                <w:szCs w:val="15"/>
              </w:rPr>
            </w:pPr>
            <w:r w:rsidRPr="00757E3A">
              <w:rPr>
                <w:rFonts w:asciiTheme="majorHAnsi" w:hAnsiTheme="majorHAnsi" w:cstheme="majorHAnsi"/>
                <w:sz w:val="15"/>
                <w:szCs w:val="15"/>
              </w:rPr>
              <w:t>High</w:t>
            </w:r>
          </w:p>
        </w:tc>
        <w:tc>
          <w:tcPr>
            <w:tcW w:w="267" w:type="pct"/>
            <w:tcBorders>
              <w:bottom w:val="single" w:sz="4" w:space="0" w:color="auto"/>
            </w:tcBorders>
            <w:shd w:val="clear" w:color="auto" w:fill="FFFF00"/>
          </w:tcPr>
          <w:p w14:paraId="757226AA" w14:textId="77777777" w:rsidR="00F059FA" w:rsidRPr="00757E3A" w:rsidRDefault="00F059FA" w:rsidP="00F059FA">
            <w:pPr>
              <w:spacing w:before="20" w:after="20"/>
              <w:rPr>
                <w:rFonts w:asciiTheme="majorHAnsi" w:hAnsiTheme="majorHAnsi" w:cstheme="majorHAnsi"/>
                <w:sz w:val="15"/>
                <w:szCs w:val="15"/>
              </w:rPr>
            </w:pPr>
            <w:r w:rsidRPr="00757E3A">
              <w:rPr>
                <w:rFonts w:asciiTheme="majorHAnsi" w:hAnsiTheme="majorHAnsi" w:cstheme="majorHAnsi"/>
                <w:sz w:val="15"/>
                <w:szCs w:val="15"/>
              </w:rPr>
              <w:t>Medium</w:t>
            </w:r>
          </w:p>
        </w:tc>
        <w:tc>
          <w:tcPr>
            <w:tcW w:w="279" w:type="pct"/>
            <w:tcBorders>
              <w:bottom w:val="single" w:sz="4" w:space="0" w:color="auto"/>
            </w:tcBorders>
            <w:shd w:val="clear" w:color="auto" w:fill="FFFFFF" w:themeFill="background1"/>
          </w:tcPr>
          <w:p w14:paraId="374238C0" w14:textId="77777777" w:rsidR="00F059FA" w:rsidRPr="00757E3A" w:rsidRDefault="00F059FA" w:rsidP="00F059FA">
            <w:pPr>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bottom w:val="single" w:sz="4" w:space="0" w:color="auto"/>
            </w:tcBorders>
            <w:shd w:val="clear" w:color="auto" w:fill="FFFFFF" w:themeFill="background1"/>
          </w:tcPr>
          <w:p w14:paraId="0287F44C" w14:textId="77777777" w:rsidR="00F059FA" w:rsidRPr="00757E3A" w:rsidRDefault="00F059FA" w:rsidP="00F059FA">
            <w:pPr>
              <w:spacing w:before="20" w:after="20"/>
              <w:rPr>
                <w:rFonts w:asciiTheme="majorHAnsi" w:hAnsiTheme="majorHAnsi" w:cstheme="majorHAnsi"/>
                <w:sz w:val="15"/>
                <w:szCs w:val="15"/>
              </w:rPr>
            </w:pPr>
            <w:r w:rsidRPr="00757E3A">
              <w:rPr>
                <w:rFonts w:asciiTheme="majorHAnsi" w:hAnsiTheme="majorHAnsi" w:cstheme="majorHAnsi"/>
                <w:sz w:val="15"/>
                <w:szCs w:val="15"/>
              </w:rPr>
              <w:t>High</w:t>
            </w:r>
          </w:p>
        </w:tc>
        <w:tc>
          <w:tcPr>
            <w:tcW w:w="267" w:type="pct"/>
            <w:tcBorders>
              <w:bottom w:val="single" w:sz="4" w:space="0" w:color="auto"/>
            </w:tcBorders>
            <w:shd w:val="clear" w:color="auto" w:fill="92D050"/>
          </w:tcPr>
          <w:p w14:paraId="34B3B338" w14:textId="77777777" w:rsidR="00F059FA" w:rsidRPr="00757E3A" w:rsidRDefault="00F059FA" w:rsidP="00F059FA">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FFFFFF" w:themeFill="background1"/>
          </w:tcPr>
          <w:p w14:paraId="6CEF3A3E" w14:textId="77777777" w:rsidR="00F059FA" w:rsidRPr="00757E3A" w:rsidRDefault="00F059FA" w:rsidP="00F059FA">
            <w:pPr>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bottom w:val="single" w:sz="4" w:space="0" w:color="auto"/>
            </w:tcBorders>
            <w:shd w:val="clear" w:color="auto" w:fill="FFFFFF" w:themeFill="background1"/>
          </w:tcPr>
          <w:p w14:paraId="309A57A2" w14:textId="77777777" w:rsidR="00F059FA" w:rsidRPr="00757E3A" w:rsidRDefault="00F059FA" w:rsidP="00F059FA">
            <w:pPr>
              <w:spacing w:before="20" w:after="20"/>
              <w:rPr>
                <w:rFonts w:asciiTheme="majorHAnsi" w:hAnsiTheme="majorHAnsi" w:cstheme="majorHAnsi"/>
                <w:sz w:val="15"/>
                <w:szCs w:val="15"/>
              </w:rPr>
            </w:pPr>
            <w:r w:rsidRPr="00757E3A">
              <w:rPr>
                <w:rFonts w:asciiTheme="majorHAnsi" w:hAnsiTheme="majorHAnsi" w:cstheme="majorHAnsi"/>
                <w:sz w:val="15"/>
                <w:szCs w:val="15"/>
              </w:rPr>
              <w:t>High</w:t>
            </w:r>
          </w:p>
        </w:tc>
        <w:tc>
          <w:tcPr>
            <w:tcW w:w="267" w:type="pct"/>
            <w:tcBorders>
              <w:bottom w:val="single" w:sz="4" w:space="0" w:color="auto"/>
            </w:tcBorders>
            <w:shd w:val="clear" w:color="auto" w:fill="92D050"/>
          </w:tcPr>
          <w:p w14:paraId="2C20A61D" w14:textId="77777777" w:rsidR="00F059FA" w:rsidRPr="00757E3A" w:rsidRDefault="00F059FA" w:rsidP="00F059FA">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FFFFFF" w:themeFill="background1"/>
          </w:tcPr>
          <w:p w14:paraId="7B916C37" w14:textId="77777777" w:rsidR="00F059FA" w:rsidRPr="00757E3A" w:rsidRDefault="00F059FA" w:rsidP="00F059FA">
            <w:pPr>
              <w:spacing w:before="20"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bottom w:val="single" w:sz="4" w:space="0" w:color="auto"/>
            </w:tcBorders>
            <w:shd w:val="clear" w:color="auto" w:fill="FFFFFF" w:themeFill="background1"/>
          </w:tcPr>
          <w:p w14:paraId="14F17757" w14:textId="77777777" w:rsidR="00F059FA" w:rsidRPr="00757E3A" w:rsidRDefault="00F059FA" w:rsidP="00F059FA">
            <w:pPr>
              <w:spacing w:before="20" w:after="20"/>
              <w:rPr>
                <w:rFonts w:asciiTheme="majorHAnsi" w:hAnsiTheme="majorHAnsi" w:cstheme="majorHAnsi"/>
                <w:sz w:val="15"/>
                <w:szCs w:val="15"/>
              </w:rPr>
            </w:pPr>
            <w:r w:rsidRPr="00757E3A">
              <w:rPr>
                <w:rFonts w:asciiTheme="majorHAnsi" w:hAnsiTheme="majorHAnsi" w:cstheme="majorHAnsi"/>
                <w:sz w:val="15"/>
                <w:szCs w:val="15"/>
              </w:rPr>
              <w:t>High</w:t>
            </w:r>
          </w:p>
        </w:tc>
        <w:tc>
          <w:tcPr>
            <w:tcW w:w="267" w:type="pct"/>
            <w:tcBorders>
              <w:bottom w:val="single" w:sz="4" w:space="0" w:color="auto"/>
            </w:tcBorders>
            <w:shd w:val="clear" w:color="auto" w:fill="92D050"/>
          </w:tcPr>
          <w:p w14:paraId="0E7BF3BD" w14:textId="77777777" w:rsidR="00F059FA" w:rsidRPr="00757E3A" w:rsidRDefault="00F059FA" w:rsidP="00F059FA">
            <w:pPr>
              <w:spacing w:before="20"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966" w:type="pct"/>
            <w:tcBorders>
              <w:bottom w:val="single" w:sz="4" w:space="0" w:color="auto"/>
            </w:tcBorders>
            <w:shd w:val="clear" w:color="auto" w:fill="auto"/>
          </w:tcPr>
          <w:p w14:paraId="444256CD" w14:textId="77777777" w:rsidR="002A0408" w:rsidRPr="00757E3A" w:rsidRDefault="006F24BE" w:rsidP="00E330BE">
            <w:pPr>
              <w:pStyle w:val="TableBullet10"/>
              <w:spacing w:before="0" w:after="0"/>
              <w:ind w:left="227" w:right="0"/>
              <w:rPr>
                <w:sz w:val="15"/>
                <w:szCs w:val="15"/>
              </w:rPr>
            </w:pPr>
            <w:r>
              <w:rPr>
                <w:sz w:val="15"/>
                <w:szCs w:val="15"/>
              </w:rPr>
              <w:t xml:space="preserve">The likelihood of this risk is </w:t>
            </w:r>
            <w:r w:rsidR="003A0808">
              <w:rPr>
                <w:sz w:val="15"/>
                <w:szCs w:val="15"/>
              </w:rPr>
              <w:t>l</w:t>
            </w:r>
            <w:r w:rsidR="00F059FA" w:rsidRPr="00757E3A">
              <w:rPr>
                <w:sz w:val="15"/>
                <w:szCs w:val="15"/>
              </w:rPr>
              <w:t xml:space="preserve">ower under Option 2 </w:t>
            </w:r>
            <w:r>
              <w:rPr>
                <w:sz w:val="15"/>
                <w:szCs w:val="15"/>
              </w:rPr>
              <w:t xml:space="preserve">than the status quo </w:t>
            </w:r>
            <w:r w:rsidR="00F059FA" w:rsidRPr="00757E3A">
              <w:rPr>
                <w:sz w:val="15"/>
                <w:szCs w:val="15"/>
              </w:rPr>
              <w:t xml:space="preserve">because </w:t>
            </w:r>
            <w:r w:rsidR="002A0408" w:rsidRPr="00757E3A">
              <w:rPr>
                <w:sz w:val="15"/>
                <w:szCs w:val="15"/>
              </w:rPr>
              <w:t xml:space="preserve">all </w:t>
            </w:r>
            <w:r w:rsidR="00F059FA" w:rsidRPr="00757E3A">
              <w:rPr>
                <w:sz w:val="15"/>
                <w:szCs w:val="15"/>
              </w:rPr>
              <w:t xml:space="preserve">service providers </w:t>
            </w:r>
            <w:r w:rsidR="002A0408" w:rsidRPr="00757E3A">
              <w:rPr>
                <w:sz w:val="15"/>
                <w:szCs w:val="15"/>
              </w:rPr>
              <w:t xml:space="preserve">providing third party access would be required to publish Basic Information and all regulated service providers would be required to publish financial and service usage </w:t>
            </w:r>
            <w:r w:rsidR="00DC2E0C" w:rsidRPr="00757E3A">
              <w:rPr>
                <w:sz w:val="15"/>
                <w:szCs w:val="15"/>
              </w:rPr>
              <w:t>information</w:t>
            </w:r>
            <w:r w:rsidR="002A0408" w:rsidRPr="00757E3A">
              <w:rPr>
                <w:sz w:val="15"/>
                <w:szCs w:val="15"/>
              </w:rPr>
              <w:t>.</w:t>
            </w:r>
            <w:r>
              <w:rPr>
                <w:sz w:val="15"/>
                <w:szCs w:val="15"/>
              </w:rPr>
              <w:t xml:space="preserve"> It would, however, still be higher than the other options because it does not provide for any measures to </w:t>
            </w:r>
            <w:r w:rsidR="00F71A6A">
              <w:rPr>
                <w:sz w:val="15"/>
                <w:szCs w:val="15"/>
              </w:rPr>
              <w:t xml:space="preserve">improve the information published under the lighter form of regulation. </w:t>
            </w:r>
          </w:p>
          <w:p w14:paraId="4008D8B4" w14:textId="77777777" w:rsidR="00F059FA" w:rsidRPr="00757E3A" w:rsidRDefault="00F71A6A" w:rsidP="000A3668">
            <w:pPr>
              <w:pStyle w:val="ListParagraph"/>
              <w:numPr>
                <w:ilvl w:val="0"/>
                <w:numId w:val="92"/>
              </w:numPr>
              <w:spacing w:after="0" w:line="240" w:lineRule="auto"/>
              <w:ind w:left="227" w:hanging="227"/>
              <w:rPr>
                <w:rFonts w:asciiTheme="majorHAnsi" w:hAnsiTheme="majorHAnsi" w:cstheme="majorHAnsi"/>
                <w:sz w:val="15"/>
                <w:szCs w:val="15"/>
              </w:rPr>
            </w:pPr>
            <w:r>
              <w:rPr>
                <w:rFonts w:asciiTheme="majorHAnsi" w:hAnsiTheme="majorHAnsi" w:cstheme="majorHAnsi"/>
                <w:sz w:val="15"/>
                <w:szCs w:val="15"/>
              </w:rPr>
              <w:t xml:space="preserve">The likelihood of this risk is </w:t>
            </w:r>
            <w:r w:rsidR="003A0808">
              <w:rPr>
                <w:rFonts w:asciiTheme="majorHAnsi" w:hAnsiTheme="majorHAnsi" w:cstheme="majorHAnsi"/>
                <w:sz w:val="15"/>
                <w:szCs w:val="15"/>
              </w:rPr>
              <w:t>l</w:t>
            </w:r>
            <w:r w:rsidR="002A0408" w:rsidRPr="00757E3A">
              <w:rPr>
                <w:rFonts w:asciiTheme="majorHAnsi" w:hAnsiTheme="majorHAnsi" w:cstheme="majorHAnsi"/>
                <w:sz w:val="15"/>
                <w:szCs w:val="15"/>
              </w:rPr>
              <w:t xml:space="preserve">owest under </w:t>
            </w:r>
            <w:r w:rsidR="00DC2E0C" w:rsidRPr="00757E3A">
              <w:rPr>
                <w:rFonts w:asciiTheme="majorHAnsi" w:hAnsiTheme="majorHAnsi" w:cstheme="majorHAnsi"/>
                <w:sz w:val="15"/>
                <w:szCs w:val="15"/>
              </w:rPr>
              <w:t>o</w:t>
            </w:r>
            <w:r w:rsidR="002A0408" w:rsidRPr="00757E3A">
              <w:rPr>
                <w:rFonts w:asciiTheme="majorHAnsi" w:hAnsiTheme="majorHAnsi" w:cstheme="majorHAnsi"/>
                <w:sz w:val="15"/>
                <w:szCs w:val="15"/>
              </w:rPr>
              <w:t xml:space="preserve">ptions 3A, 3B and 4 because </w:t>
            </w:r>
            <w:r w:rsidR="00E330BE" w:rsidRPr="00757E3A">
              <w:rPr>
                <w:rFonts w:asciiTheme="majorHAnsi" w:hAnsiTheme="majorHAnsi" w:cstheme="majorHAnsi"/>
                <w:sz w:val="15"/>
                <w:szCs w:val="15"/>
              </w:rPr>
              <w:t xml:space="preserve">in addition to all </w:t>
            </w:r>
            <w:r w:rsidR="00DC2E0C" w:rsidRPr="00757E3A">
              <w:rPr>
                <w:rFonts w:asciiTheme="majorHAnsi" w:hAnsiTheme="majorHAnsi" w:cstheme="majorHAnsi"/>
                <w:sz w:val="15"/>
                <w:szCs w:val="15"/>
              </w:rPr>
              <w:t xml:space="preserve">service providers providing third party access </w:t>
            </w:r>
            <w:r w:rsidR="00E330BE" w:rsidRPr="00757E3A">
              <w:rPr>
                <w:rFonts w:asciiTheme="majorHAnsi" w:hAnsiTheme="majorHAnsi" w:cstheme="majorHAnsi"/>
                <w:sz w:val="15"/>
                <w:szCs w:val="15"/>
              </w:rPr>
              <w:t xml:space="preserve">having to publish Basic Information and, where relevant, financial and </w:t>
            </w:r>
            <w:r>
              <w:rPr>
                <w:rFonts w:asciiTheme="majorHAnsi" w:hAnsiTheme="majorHAnsi" w:cstheme="majorHAnsi"/>
                <w:sz w:val="15"/>
                <w:szCs w:val="15"/>
              </w:rPr>
              <w:t xml:space="preserve">demand </w:t>
            </w:r>
            <w:r w:rsidR="00E330BE" w:rsidRPr="00757E3A">
              <w:rPr>
                <w:rFonts w:asciiTheme="majorHAnsi" w:hAnsiTheme="majorHAnsi" w:cstheme="majorHAnsi"/>
                <w:sz w:val="15"/>
                <w:szCs w:val="15"/>
              </w:rPr>
              <w:t xml:space="preserve">information, improvements would be </w:t>
            </w:r>
            <w:r>
              <w:rPr>
                <w:rFonts w:asciiTheme="majorHAnsi" w:hAnsiTheme="majorHAnsi" w:cstheme="majorHAnsi"/>
                <w:sz w:val="15"/>
                <w:szCs w:val="15"/>
              </w:rPr>
              <w:t xml:space="preserve">made </w:t>
            </w:r>
            <w:r w:rsidR="00E330BE" w:rsidRPr="00757E3A">
              <w:rPr>
                <w:rFonts w:asciiTheme="majorHAnsi" w:hAnsiTheme="majorHAnsi" w:cstheme="majorHAnsi"/>
                <w:sz w:val="15"/>
                <w:szCs w:val="15"/>
              </w:rPr>
              <w:t>the quality</w:t>
            </w:r>
            <w:r>
              <w:rPr>
                <w:rFonts w:asciiTheme="majorHAnsi" w:hAnsiTheme="majorHAnsi" w:cstheme="majorHAnsi"/>
                <w:sz w:val="15"/>
                <w:szCs w:val="15"/>
              </w:rPr>
              <w:t xml:space="preserve"> and </w:t>
            </w:r>
            <w:r w:rsidR="00E330BE" w:rsidRPr="00757E3A">
              <w:rPr>
                <w:rFonts w:asciiTheme="majorHAnsi" w:hAnsiTheme="majorHAnsi" w:cstheme="majorHAnsi"/>
                <w:sz w:val="15"/>
                <w:szCs w:val="15"/>
              </w:rPr>
              <w:t xml:space="preserve">reliability, usability and accessibility of information. </w:t>
            </w:r>
          </w:p>
        </w:tc>
      </w:tr>
      <w:tr w:rsidR="00757E3A" w:rsidRPr="00757E3A" w14:paraId="3A68987F" w14:textId="77777777" w:rsidTr="00120E27">
        <w:trPr>
          <w:cnfStyle w:val="000000100000" w:firstRow="0" w:lastRow="0" w:firstColumn="0" w:lastColumn="0" w:oddVBand="0" w:evenVBand="0" w:oddHBand="1" w:evenHBand="0" w:firstRowFirstColumn="0" w:firstRowLastColumn="0" w:lastRowFirstColumn="0" w:lastRowLastColumn="0"/>
          <w:trHeight w:val="450"/>
        </w:trPr>
        <w:tc>
          <w:tcPr>
            <w:tcW w:w="157" w:type="pct"/>
            <w:vMerge w:val="restart"/>
            <w:textDirection w:val="btLr"/>
          </w:tcPr>
          <w:p w14:paraId="59097F70" w14:textId="77777777" w:rsidR="0075501D" w:rsidRPr="00757E3A" w:rsidRDefault="009A6C7E" w:rsidP="003027CD">
            <w:pPr>
              <w:widowControl w:val="0"/>
              <w:spacing w:before="20" w:after="20"/>
              <w:ind w:left="113" w:right="113"/>
              <w:jc w:val="center"/>
              <w:rPr>
                <w:rFonts w:asciiTheme="majorHAnsi" w:hAnsiTheme="majorHAnsi" w:cstheme="majorHAnsi"/>
                <w:sz w:val="15"/>
                <w:szCs w:val="15"/>
              </w:rPr>
            </w:pPr>
            <w:r>
              <w:rPr>
                <w:rFonts w:asciiTheme="majorHAnsi" w:hAnsiTheme="majorHAnsi" w:cstheme="majorHAnsi"/>
                <w:sz w:val="15"/>
                <w:szCs w:val="15"/>
              </w:rPr>
              <w:t>Ineffective</w:t>
            </w:r>
            <w:r w:rsidR="0075501D" w:rsidRPr="00757E3A">
              <w:rPr>
                <w:rFonts w:asciiTheme="majorHAnsi" w:hAnsiTheme="majorHAnsi" w:cstheme="majorHAnsi"/>
                <w:sz w:val="15"/>
                <w:szCs w:val="15"/>
              </w:rPr>
              <w:t xml:space="preserve"> negotiation frameworks and dispute resolution mechanisms</w:t>
            </w:r>
          </w:p>
        </w:tc>
        <w:tc>
          <w:tcPr>
            <w:tcW w:w="481" w:type="pct"/>
          </w:tcPr>
          <w:p w14:paraId="5C6AE3DF" w14:textId="77777777" w:rsidR="0075501D" w:rsidRPr="00757E3A" w:rsidRDefault="0075501D"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Unnecessary costs and delays on negotiating parties and hindered ability of shippers to negotiate.</w:t>
            </w:r>
          </w:p>
        </w:tc>
        <w:tc>
          <w:tcPr>
            <w:tcW w:w="279" w:type="pct"/>
          </w:tcPr>
          <w:p w14:paraId="0BB4C957" w14:textId="77777777" w:rsidR="0075501D" w:rsidRPr="00757E3A" w:rsidRDefault="0075501D"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Pr>
          <w:p w14:paraId="319CD497" w14:textId="77777777" w:rsidR="0075501D" w:rsidRPr="00757E3A" w:rsidRDefault="0075501D"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92D050"/>
          </w:tcPr>
          <w:p w14:paraId="6894715B" w14:textId="77777777" w:rsidR="0075501D" w:rsidRPr="00757E3A" w:rsidRDefault="0075501D"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auto"/>
          </w:tcPr>
          <w:p w14:paraId="21CD9B5C" w14:textId="77777777" w:rsidR="0075501D" w:rsidRPr="00757E3A" w:rsidRDefault="0075501D"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bottom w:val="single" w:sz="4" w:space="0" w:color="auto"/>
            </w:tcBorders>
            <w:shd w:val="clear" w:color="auto" w:fill="auto"/>
          </w:tcPr>
          <w:p w14:paraId="67CDD017" w14:textId="77777777" w:rsidR="0075501D" w:rsidRPr="00757E3A" w:rsidRDefault="0075501D"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92D050"/>
          </w:tcPr>
          <w:p w14:paraId="5DB500FC" w14:textId="77777777" w:rsidR="0075501D" w:rsidRPr="00757E3A" w:rsidRDefault="0075501D"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auto"/>
          </w:tcPr>
          <w:p w14:paraId="03F39C57" w14:textId="77777777" w:rsidR="0075501D" w:rsidRPr="00757E3A" w:rsidRDefault="0075501D"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bottom w:val="single" w:sz="4" w:space="0" w:color="auto"/>
            </w:tcBorders>
            <w:shd w:val="clear" w:color="auto" w:fill="auto"/>
          </w:tcPr>
          <w:p w14:paraId="33C17273" w14:textId="77777777" w:rsidR="0075501D" w:rsidRPr="00757E3A" w:rsidRDefault="0075501D"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92D050"/>
          </w:tcPr>
          <w:p w14:paraId="1F506C23" w14:textId="77777777" w:rsidR="0075501D" w:rsidRPr="00757E3A" w:rsidRDefault="0075501D"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auto"/>
          </w:tcPr>
          <w:p w14:paraId="6B5143B1" w14:textId="77777777" w:rsidR="0075501D" w:rsidRPr="00757E3A" w:rsidRDefault="0075501D"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bottom w:val="single" w:sz="4" w:space="0" w:color="auto"/>
            </w:tcBorders>
            <w:shd w:val="clear" w:color="auto" w:fill="auto"/>
          </w:tcPr>
          <w:p w14:paraId="279EDA5C" w14:textId="77777777" w:rsidR="0075501D" w:rsidRPr="00757E3A" w:rsidRDefault="0075501D"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92D050"/>
          </w:tcPr>
          <w:p w14:paraId="142BB50B" w14:textId="77777777" w:rsidR="0075501D" w:rsidRPr="00757E3A" w:rsidRDefault="0075501D"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966" w:type="pct"/>
            <w:tcBorders>
              <w:bottom w:val="single" w:sz="4" w:space="0" w:color="auto"/>
            </w:tcBorders>
            <w:shd w:val="clear" w:color="auto" w:fill="auto"/>
          </w:tcPr>
          <w:p w14:paraId="6BCD349F" w14:textId="77777777" w:rsidR="0075501D" w:rsidRPr="00757E3A" w:rsidRDefault="0075501D"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 xml:space="preserve">This risk is lower under all reform options because </w:t>
            </w:r>
            <w:r w:rsidR="00890600" w:rsidRPr="00757E3A">
              <w:rPr>
                <w:rFonts w:asciiTheme="majorHAnsi" w:hAnsiTheme="majorHAnsi" w:cstheme="majorHAnsi"/>
                <w:sz w:val="15"/>
                <w:szCs w:val="15"/>
              </w:rPr>
              <w:t xml:space="preserve">a single negotiation framework would be implemented that addresses the concerns raised about the existing negotiation frameworks. </w:t>
            </w:r>
          </w:p>
        </w:tc>
      </w:tr>
      <w:tr w:rsidR="00757E3A" w:rsidRPr="00757E3A" w14:paraId="6F38CB5C" w14:textId="77777777" w:rsidTr="00120E27">
        <w:trPr>
          <w:cnfStyle w:val="000000010000" w:firstRow="0" w:lastRow="0" w:firstColumn="0" w:lastColumn="0" w:oddVBand="0" w:evenVBand="0" w:oddHBand="0" w:evenHBand="1" w:firstRowFirstColumn="0" w:firstRowLastColumn="0" w:lastRowFirstColumn="0" w:lastRowLastColumn="0"/>
          <w:trHeight w:val="448"/>
        </w:trPr>
        <w:tc>
          <w:tcPr>
            <w:tcW w:w="157" w:type="pct"/>
            <w:vMerge/>
          </w:tcPr>
          <w:p w14:paraId="59AF06CB" w14:textId="77777777" w:rsidR="00D5744B" w:rsidRPr="00757E3A" w:rsidRDefault="00D5744B" w:rsidP="003027CD">
            <w:pPr>
              <w:widowControl w:val="0"/>
              <w:spacing w:before="20" w:after="20"/>
              <w:rPr>
                <w:rFonts w:asciiTheme="majorHAnsi" w:hAnsiTheme="majorHAnsi" w:cstheme="majorHAnsi"/>
                <w:sz w:val="15"/>
                <w:szCs w:val="15"/>
              </w:rPr>
            </w:pPr>
          </w:p>
        </w:tc>
        <w:tc>
          <w:tcPr>
            <w:tcW w:w="481" w:type="pct"/>
          </w:tcPr>
          <w:p w14:paraId="2AA47E9A" w14:textId="77777777" w:rsidR="00D5744B" w:rsidRPr="00757E3A" w:rsidRDefault="00D5744B" w:rsidP="003027CD">
            <w:pPr>
              <w:widowControl w:val="0"/>
              <w:tabs>
                <w:tab w:val="left" w:pos="720"/>
              </w:tabs>
              <w:spacing w:after="20"/>
              <w:ind w:right="85"/>
              <w:rPr>
                <w:rFonts w:asciiTheme="majorHAnsi" w:hAnsiTheme="majorHAnsi" w:cstheme="majorHAnsi"/>
                <w:sz w:val="15"/>
                <w:szCs w:val="15"/>
              </w:rPr>
            </w:pPr>
            <w:r w:rsidRPr="00757E3A">
              <w:rPr>
                <w:rFonts w:asciiTheme="majorHAnsi" w:hAnsiTheme="majorHAnsi" w:cstheme="majorHAnsi"/>
                <w:sz w:val="15"/>
                <w:szCs w:val="15"/>
              </w:rPr>
              <w:t xml:space="preserve">Vulnerability of smaller shippers to exercises of market power (because the threat of arbitration </w:t>
            </w:r>
            <w:r w:rsidRPr="00757E3A">
              <w:rPr>
                <w:rFonts w:asciiTheme="majorHAnsi" w:hAnsiTheme="majorHAnsi" w:cstheme="majorHAnsi"/>
                <w:sz w:val="15"/>
                <w:szCs w:val="15"/>
              </w:rPr>
              <w:lastRenderedPageBreak/>
              <w:t>initiated by these shippers is not considered credible).</w:t>
            </w:r>
          </w:p>
        </w:tc>
        <w:tc>
          <w:tcPr>
            <w:tcW w:w="279" w:type="pct"/>
          </w:tcPr>
          <w:p w14:paraId="0399A028" w14:textId="77777777" w:rsidR="00D5744B" w:rsidRPr="00757E3A" w:rsidRDefault="00D5744B"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lastRenderedPageBreak/>
              <w:t>Likely</w:t>
            </w:r>
          </w:p>
        </w:tc>
        <w:tc>
          <w:tcPr>
            <w:tcW w:w="303" w:type="pct"/>
          </w:tcPr>
          <w:p w14:paraId="37A1D993" w14:textId="77777777" w:rsidR="00D5744B" w:rsidRPr="00757E3A" w:rsidRDefault="00D5744B"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FFFF00"/>
          </w:tcPr>
          <w:p w14:paraId="5724BB56" w14:textId="77777777" w:rsidR="00D5744B" w:rsidRPr="00757E3A" w:rsidRDefault="00D5744B"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Medium</w:t>
            </w:r>
          </w:p>
        </w:tc>
        <w:tc>
          <w:tcPr>
            <w:tcW w:w="279" w:type="pct"/>
            <w:tcBorders>
              <w:bottom w:val="single" w:sz="4" w:space="0" w:color="auto"/>
            </w:tcBorders>
            <w:shd w:val="clear" w:color="auto" w:fill="auto"/>
          </w:tcPr>
          <w:p w14:paraId="3733B167" w14:textId="77777777" w:rsidR="00D5744B" w:rsidRPr="00757E3A" w:rsidRDefault="00D5744B"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 xml:space="preserve">Unlikely </w:t>
            </w:r>
          </w:p>
        </w:tc>
        <w:tc>
          <w:tcPr>
            <w:tcW w:w="303" w:type="pct"/>
            <w:tcBorders>
              <w:bottom w:val="single" w:sz="4" w:space="0" w:color="auto"/>
            </w:tcBorders>
            <w:shd w:val="clear" w:color="auto" w:fill="auto"/>
          </w:tcPr>
          <w:p w14:paraId="55298A1E" w14:textId="77777777" w:rsidR="00D5744B" w:rsidRPr="00757E3A" w:rsidRDefault="00D5744B"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92D050"/>
          </w:tcPr>
          <w:p w14:paraId="35A4889A" w14:textId="77777777" w:rsidR="00D5744B" w:rsidRPr="00757E3A" w:rsidRDefault="00D5744B"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auto"/>
          </w:tcPr>
          <w:p w14:paraId="04193E69" w14:textId="77777777" w:rsidR="00D5744B" w:rsidRPr="00757E3A" w:rsidRDefault="00D5744B"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 xml:space="preserve">Unlikely </w:t>
            </w:r>
          </w:p>
        </w:tc>
        <w:tc>
          <w:tcPr>
            <w:tcW w:w="303" w:type="pct"/>
            <w:tcBorders>
              <w:bottom w:val="single" w:sz="4" w:space="0" w:color="auto"/>
            </w:tcBorders>
            <w:shd w:val="clear" w:color="auto" w:fill="auto"/>
          </w:tcPr>
          <w:p w14:paraId="577BFA0A" w14:textId="77777777" w:rsidR="00D5744B" w:rsidRPr="00757E3A" w:rsidRDefault="00D5744B"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92D050"/>
          </w:tcPr>
          <w:p w14:paraId="4A343ECE" w14:textId="77777777" w:rsidR="00D5744B" w:rsidRPr="00757E3A" w:rsidRDefault="00D5744B"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auto"/>
          </w:tcPr>
          <w:p w14:paraId="515A3143" w14:textId="77777777" w:rsidR="00D5744B" w:rsidRPr="00757E3A" w:rsidRDefault="00D5744B"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Rare</w:t>
            </w:r>
          </w:p>
        </w:tc>
        <w:tc>
          <w:tcPr>
            <w:tcW w:w="303" w:type="pct"/>
            <w:tcBorders>
              <w:bottom w:val="single" w:sz="4" w:space="0" w:color="auto"/>
            </w:tcBorders>
            <w:shd w:val="clear" w:color="auto" w:fill="auto"/>
          </w:tcPr>
          <w:p w14:paraId="0C20BBAC" w14:textId="77777777" w:rsidR="00D5744B" w:rsidRPr="00757E3A" w:rsidRDefault="00D5744B"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92D050"/>
          </w:tcPr>
          <w:p w14:paraId="5ECC7147" w14:textId="77777777" w:rsidR="00D5744B" w:rsidRPr="00757E3A" w:rsidRDefault="00D5744B" w:rsidP="003027CD">
            <w:pPr>
              <w:widowControl w:val="0"/>
              <w:spacing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966" w:type="pct"/>
            <w:tcBorders>
              <w:bottom w:val="single" w:sz="4" w:space="0" w:color="auto"/>
            </w:tcBorders>
            <w:shd w:val="clear" w:color="auto" w:fill="auto"/>
          </w:tcPr>
          <w:p w14:paraId="642288AF" w14:textId="77777777" w:rsidR="00D5744B" w:rsidRPr="00757E3A" w:rsidRDefault="005359F9" w:rsidP="000A3668">
            <w:pPr>
              <w:pStyle w:val="ListParagraph"/>
              <w:widowControl w:val="0"/>
              <w:numPr>
                <w:ilvl w:val="0"/>
                <w:numId w:val="91"/>
              </w:numPr>
              <w:spacing w:after="20" w:line="240" w:lineRule="auto"/>
              <w:ind w:left="227" w:hanging="227"/>
              <w:rPr>
                <w:rFonts w:asciiTheme="majorHAnsi" w:hAnsiTheme="majorHAnsi" w:cstheme="majorHAnsi"/>
                <w:sz w:val="15"/>
                <w:szCs w:val="15"/>
              </w:rPr>
            </w:pPr>
            <w:r>
              <w:rPr>
                <w:rFonts w:asciiTheme="majorHAnsi" w:hAnsiTheme="majorHAnsi" w:cstheme="majorHAnsi"/>
                <w:sz w:val="15"/>
                <w:szCs w:val="15"/>
              </w:rPr>
              <w:t xml:space="preserve">The likelihood of this risk is </w:t>
            </w:r>
            <w:r w:rsidR="00C84B16" w:rsidRPr="00757E3A">
              <w:rPr>
                <w:rFonts w:asciiTheme="majorHAnsi" w:hAnsiTheme="majorHAnsi" w:cstheme="majorHAnsi"/>
                <w:sz w:val="15"/>
                <w:szCs w:val="15"/>
              </w:rPr>
              <w:t xml:space="preserve">lower under Option 2 </w:t>
            </w:r>
            <w:r>
              <w:rPr>
                <w:rFonts w:asciiTheme="majorHAnsi" w:hAnsiTheme="majorHAnsi" w:cstheme="majorHAnsi"/>
                <w:sz w:val="15"/>
                <w:szCs w:val="15"/>
              </w:rPr>
              <w:t xml:space="preserve">than the status quo </w:t>
            </w:r>
            <w:r w:rsidR="00C84B16" w:rsidRPr="00757E3A">
              <w:rPr>
                <w:rFonts w:asciiTheme="majorHAnsi" w:hAnsiTheme="majorHAnsi" w:cstheme="majorHAnsi"/>
                <w:sz w:val="15"/>
                <w:szCs w:val="15"/>
              </w:rPr>
              <w:t xml:space="preserve">because the </w:t>
            </w:r>
            <w:r w:rsidR="00527D23" w:rsidRPr="00757E3A">
              <w:rPr>
                <w:rFonts w:asciiTheme="majorHAnsi" w:hAnsiTheme="majorHAnsi" w:cstheme="majorHAnsi"/>
                <w:sz w:val="15"/>
                <w:szCs w:val="15"/>
              </w:rPr>
              <w:t xml:space="preserve">barriers to accessing the dispute resolution mechanism would be reduced by amending the </w:t>
            </w:r>
            <w:r w:rsidR="00C84B16" w:rsidRPr="00757E3A">
              <w:rPr>
                <w:rFonts w:asciiTheme="majorHAnsi" w:hAnsiTheme="majorHAnsi" w:cstheme="majorHAnsi"/>
                <w:sz w:val="15"/>
                <w:szCs w:val="15"/>
              </w:rPr>
              <w:t>cost provisions</w:t>
            </w:r>
            <w:r w:rsidR="00C33DBC" w:rsidRPr="00757E3A">
              <w:rPr>
                <w:rFonts w:asciiTheme="majorHAnsi" w:hAnsiTheme="majorHAnsi" w:cstheme="majorHAnsi"/>
                <w:sz w:val="15"/>
                <w:szCs w:val="15"/>
              </w:rPr>
              <w:t xml:space="preserve"> (the likelihood of the risk arising is lower). It is not as low as the </w:t>
            </w:r>
            <w:r w:rsidR="00C33DBC" w:rsidRPr="00757E3A">
              <w:rPr>
                <w:rFonts w:asciiTheme="majorHAnsi" w:hAnsiTheme="majorHAnsi" w:cstheme="majorHAnsi"/>
                <w:sz w:val="15"/>
                <w:szCs w:val="15"/>
              </w:rPr>
              <w:lastRenderedPageBreak/>
              <w:t xml:space="preserve">other options because it does not address all the impediments to </w:t>
            </w:r>
            <w:r w:rsidR="005A35E2" w:rsidRPr="00757E3A">
              <w:rPr>
                <w:rFonts w:asciiTheme="majorHAnsi" w:hAnsiTheme="majorHAnsi" w:cstheme="majorHAnsi"/>
                <w:sz w:val="15"/>
                <w:szCs w:val="15"/>
              </w:rPr>
              <w:t>smaller shippers triggering a dispute</w:t>
            </w:r>
            <w:r w:rsidR="00527D23" w:rsidRPr="00757E3A">
              <w:rPr>
                <w:rFonts w:asciiTheme="majorHAnsi" w:hAnsiTheme="majorHAnsi" w:cstheme="majorHAnsi"/>
                <w:sz w:val="15"/>
                <w:szCs w:val="15"/>
              </w:rPr>
              <w:t>;</w:t>
            </w:r>
          </w:p>
          <w:p w14:paraId="1BE27DE3" w14:textId="77777777" w:rsidR="005A35E2" w:rsidRPr="00757E3A" w:rsidRDefault="005359F9" w:rsidP="000A3668">
            <w:pPr>
              <w:pStyle w:val="ListParagraph"/>
              <w:widowControl w:val="0"/>
              <w:numPr>
                <w:ilvl w:val="0"/>
                <w:numId w:val="91"/>
              </w:numPr>
              <w:spacing w:after="20" w:line="240" w:lineRule="auto"/>
              <w:ind w:left="227" w:hanging="227"/>
              <w:rPr>
                <w:rFonts w:asciiTheme="majorHAnsi" w:hAnsiTheme="majorHAnsi" w:cstheme="majorHAnsi"/>
                <w:sz w:val="15"/>
                <w:szCs w:val="15"/>
              </w:rPr>
            </w:pPr>
            <w:r>
              <w:rPr>
                <w:rFonts w:asciiTheme="majorHAnsi" w:hAnsiTheme="majorHAnsi" w:cstheme="majorHAnsi"/>
                <w:sz w:val="15"/>
                <w:szCs w:val="15"/>
              </w:rPr>
              <w:t xml:space="preserve">The likelihood of this risk is </w:t>
            </w:r>
            <w:r w:rsidR="005A35E2" w:rsidRPr="00757E3A">
              <w:rPr>
                <w:rFonts w:asciiTheme="majorHAnsi" w:hAnsiTheme="majorHAnsi" w:cstheme="majorHAnsi"/>
                <w:sz w:val="15"/>
                <w:szCs w:val="15"/>
              </w:rPr>
              <w:t xml:space="preserve">even lower under options 3A and 3B because under these options user groups would be allowed to be joined to proceedings and the smaller shipper would be able to elect to have the dispute mediated by a regulator appointed </w:t>
            </w:r>
            <w:r w:rsidR="00B91669" w:rsidRPr="00757E3A">
              <w:rPr>
                <w:rFonts w:asciiTheme="majorHAnsi" w:hAnsiTheme="majorHAnsi" w:cstheme="majorHAnsi"/>
                <w:sz w:val="15"/>
                <w:szCs w:val="15"/>
              </w:rPr>
              <w:t xml:space="preserve">mediator. </w:t>
            </w:r>
          </w:p>
          <w:p w14:paraId="4CEE5B7E" w14:textId="0B19C443" w:rsidR="00B471C0" w:rsidRPr="00C5711C" w:rsidRDefault="005359F9" w:rsidP="00C5711C">
            <w:pPr>
              <w:pStyle w:val="ListParagraph"/>
              <w:widowControl w:val="0"/>
              <w:numPr>
                <w:ilvl w:val="0"/>
                <w:numId w:val="91"/>
              </w:numPr>
              <w:spacing w:after="20" w:line="240" w:lineRule="auto"/>
              <w:ind w:left="227" w:hanging="227"/>
              <w:rPr>
                <w:rFonts w:asciiTheme="majorHAnsi" w:hAnsiTheme="majorHAnsi" w:cstheme="majorHAnsi"/>
                <w:sz w:val="15"/>
                <w:szCs w:val="15"/>
              </w:rPr>
            </w:pPr>
            <w:r>
              <w:rPr>
                <w:rFonts w:asciiTheme="majorHAnsi" w:hAnsiTheme="majorHAnsi" w:cstheme="majorHAnsi"/>
                <w:sz w:val="15"/>
                <w:szCs w:val="15"/>
              </w:rPr>
              <w:t xml:space="preserve">The likelihood of this risk is </w:t>
            </w:r>
            <w:r w:rsidR="00841301">
              <w:rPr>
                <w:rFonts w:asciiTheme="majorHAnsi" w:hAnsiTheme="majorHAnsi" w:cstheme="majorHAnsi"/>
                <w:sz w:val="15"/>
                <w:szCs w:val="15"/>
              </w:rPr>
              <w:t>l</w:t>
            </w:r>
            <w:r w:rsidR="00B91669" w:rsidRPr="00757E3A">
              <w:rPr>
                <w:rFonts w:asciiTheme="majorHAnsi" w:hAnsiTheme="majorHAnsi" w:cstheme="majorHAnsi"/>
                <w:sz w:val="15"/>
                <w:szCs w:val="15"/>
              </w:rPr>
              <w:t xml:space="preserve">owest under Option 4 because </w:t>
            </w:r>
            <w:r w:rsidR="00BF261A" w:rsidRPr="00757E3A">
              <w:rPr>
                <w:rFonts w:asciiTheme="majorHAnsi" w:hAnsiTheme="majorHAnsi" w:cstheme="majorHAnsi"/>
                <w:sz w:val="15"/>
                <w:szCs w:val="15"/>
              </w:rPr>
              <w:t xml:space="preserve">a smaller shipper using a pipeline subject to the </w:t>
            </w:r>
            <w:r w:rsidR="00531979">
              <w:rPr>
                <w:rFonts w:asciiTheme="majorHAnsi" w:hAnsiTheme="majorHAnsi" w:cstheme="majorHAnsi"/>
                <w:sz w:val="15"/>
                <w:szCs w:val="15"/>
              </w:rPr>
              <w:t>lighter</w:t>
            </w:r>
            <w:r w:rsidR="00BF261A" w:rsidRPr="00757E3A">
              <w:rPr>
                <w:rFonts w:asciiTheme="majorHAnsi" w:hAnsiTheme="majorHAnsi" w:cstheme="majorHAnsi"/>
                <w:sz w:val="15"/>
                <w:szCs w:val="15"/>
              </w:rPr>
              <w:t xml:space="preserve"> form of regulation would be able to elect to have dispute arbitrated by a regulator </w:t>
            </w:r>
          </w:p>
        </w:tc>
      </w:tr>
      <w:tr w:rsidR="00757E3A" w:rsidRPr="00757E3A" w14:paraId="03E9C682" w14:textId="77777777" w:rsidTr="00120E27">
        <w:trPr>
          <w:cnfStyle w:val="000000100000" w:firstRow="0" w:lastRow="0" w:firstColumn="0" w:lastColumn="0" w:oddVBand="0" w:evenVBand="0" w:oddHBand="1" w:evenHBand="0" w:firstRowFirstColumn="0" w:firstRowLastColumn="0" w:lastRowFirstColumn="0" w:lastRowLastColumn="0"/>
          <w:trHeight w:val="448"/>
        </w:trPr>
        <w:tc>
          <w:tcPr>
            <w:tcW w:w="157" w:type="pct"/>
            <w:vMerge/>
          </w:tcPr>
          <w:p w14:paraId="70DE7969" w14:textId="77777777" w:rsidR="003442C5" w:rsidRPr="00757E3A" w:rsidRDefault="003442C5" w:rsidP="003027CD">
            <w:pPr>
              <w:widowControl w:val="0"/>
              <w:spacing w:before="20" w:after="20"/>
              <w:rPr>
                <w:rFonts w:asciiTheme="majorHAnsi" w:hAnsiTheme="majorHAnsi" w:cstheme="majorHAnsi"/>
                <w:sz w:val="15"/>
                <w:szCs w:val="15"/>
              </w:rPr>
            </w:pPr>
          </w:p>
        </w:tc>
        <w:tc>
          <w:tcPr>
            <w:tcW w:w="481" w:type="pct"/>
          </w:tcPr>
          <w:p w14:paraId="21E4AE0D" w14:textId="77777777" w:rsidR="003442C5" w:rsidRPr="00757E3A" w:rsidRDefault="003442C5" w:rsidP="00B471C0">
            <w:pPr>
              <w:keepNext/>
              <w:widowControl w:val="0"/>
              <w:tabs>
                <w:tab w:val="left" w:pos="720"/>
              </w:tabs>
              <w:spacing w:after="20"/>
              <w:ind w:right="85"/>
              <w:rPr>
                <w:rFonts w:asciiTheme="majorHAnsi" w:hAnsiTheme="majorHAnsi" w:cstheme="majorHAnsi"/>
                <w:sz w:val="15"/>
                <w:szCs w:val="15"/>
              </w:rPr>
            </w:pPr>
            <w:r w:rsidRPr="00757E3A">
              <w:rPr>
                <w:rFonts w:asciiTheme="majorHAnsi" w:hAnsiTheme="majorHAnsi" w:cstheme="majorHAnsi"/>
                <w:sz w:val="15"/>
                <w:szCs w:val="15"/>
              </w:rPr>
              <w:t>Inefficient and ineffective elements of the full and light regulation dispute resolution mechanism, which undermine the threat of arbitration.</w:t>
            </w:r>
          </w:p>
        </w:tc>
        <w:tc>
          <w:tcPr>
            <w:tcW w:w="279" w:type="pct"/>
            <w:tcBorders>
              <w:bottom w:val="single" w:sz="4" w:space="0" w:color="auto"/>
            </w:tcBorders>
          </w:tcPr>
          <w:p w14:paraId="5CF5FAC5" w14:textId="77777777" w:rsidR="003442C5" w:rsidRPr="00757E3A" w:rsidRDefault="003442C5" w:rsidP="00B471C0">
            <w:pPr>
              <w:keepNext/>
              <w:widowControl w:val="0"/>
              <w:spacing w:after="20"/>
              <w:rPr>
                <w:rFonts w:asciiTheme="majorHAnsi" w:hAnsiTheme="majorHAnsi" w:cstheme="majorHAnsi"/>
                <w:sz w:val="15"/>
                <w:szCs w:val="15"/>
              </w:rPr>
            </w:pPr>
            <w:r w:rsidRPr="00757E3A">
              <w:rPr>
                <w:rFonts w:asciiTheme="majorHAnsi" w:hAnsiTheme="majorHAnsi" w:cstheme="majorHAnsi"/>
                <w:sz w:val="15"/>
                <w:szCs w:val="15"/>
              </w:rPr>
              <w:t>Unlikely</w:t>
            </w:r>
          </w:p>
        </w:tc>
        <w:tc>
          <w:tcPr>
            <w:tcW w:w="303" w:type="pct"/>
            <w:tcBorders>
              <w:bottom w:val="single" w:sz="4" w:space="0" w:color="auto"/>
            </w:tcBorders>
          </w:tcPr>
          <w:p w14:paraId="63A22D6F" w14:textId="77777777" w:rsidR="003442C5" w:rsidRPr="00757E3A" w:rsidRDefault="003442C5" w:rsidP="00B471C0">
            <w:pPr>
              <w:keepNext/>
              <w:widowControl w:val="0"/>
              <w:spacing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92D050"/>
          </w:tcPr>
          <w:p w14:paraId="5FB5DB4E" w14:textId="77777777" w:rsidR="00841301" w:rsidRPr="00726600" w:rsidRDefault="003442C5" w:rsidP="00B471C0">
            <w:pPr>
              <w:keepNext/>
              <w:widowControl w:val="0"/>
              <w:spacing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auto"/>
          </w:tcPr>
          <w:p w14:paraId="5EAB3353" w14:textId="77777777" w:rsidR="003442C5" w:rsidRPr="00757E3A" w:rsidRDefault="003442C5" w:rsidP="00B471C0">
            <w:pPr>
              <w:keepNext/>
              <w:widowControl w:val="0"/>
              <w:spacing w:after="20"/>
              <w:rPr>
                <w:rFonts w:asciiTheme="majorHAnsi" w:hAnsiTheme="majorHAnsi" w:cstheme="majorHAnsi"/>
                <w:sz w:val="15"/>
                <w:szCs w:val="15"/>
              </w:rPr>
            </w:pPr>
            <w:r w:rsidRPr="00757E3A">
              <w:rPr>
                <w:rFonts w:asciiTheme="majorHAnsi" w:hAnsiTheme="majorHAnsi" w:cstheme="majorHAnsi"/>
                <w:sz w:val="15"/>
                <w:szCs w:val="15"/>
              </w:rPr>
              <w:t>Unlikely</w:t>
            </w:r>
          </w:p>
        </w:tc>
        <w:tc>
          <w:tcPr>
            <w:tcW w:w="303" w:type="pct"/>
            <w:tcBorders>
              <w:bottom w:val="single" w:sz="4" w:space="0" w:color="auto"/>
            </w:tcBorders>
            <w:shd w:val="clear" w:color="auto" w:fill="auto"/>
          </w:tcPr>
          <w:p w14:paraId="68DCD7E2" w14:textId="77777777" w:rsidR="003442C5" w:rsidRPr="00757E3A" w:rsidRDefault="003442C5" w:rsidP="00B471C0">
            <w:pPr>
              <w:keepNext/>
              <w:widowControl w:val="0"/>
              <w:spacing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92D050"/>
          </w:tcPr>
          <w:p w14:paraId="7B52E60B" w14:textId="77777777" w:rsidR="003442C5" w:rsidRPr="00757E3A" w:rsidRDefault="003442C5" w:rsidP="00B471C0">
            <w:pPr>
              <w:keepNext/>
              <w:widowControl w:val="0"/>
              <w:spacing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auto"/>
          </w:tcPr>
          <w:p w14:paraId="3650383F" w14:textId="77777777" w:rsidR="003442C5" w:rsidRPr="00757E3A" w:rsidRDefault="003442C5" w:rsidP="00B471C0">
            <w:pPr>
              <w:keepNext/>
              <w:widowControl w:val="0"/>
              <w:spacing w:after="20"/>
              <w:rPr>
                <w:rFonts w:asciiTheme="majorHAnsi" w:hAnsiTheme="majorHAnsi" w:cstheme="majorHAnsi"/>
                <w:sz w:val="15"/>
                <w:szCs w:val="15"/>
              </w:rPr>
            </w:pPr>
            <w:r w:rsidRPr="00757E3A">
              <w:rPr>
                <w:rFonts w:asciiTheme="majorHAnsi" w:hAnsiTheme="majorHAnsi" w:cstheme="majorHAnsi"/>
                <w:sz w:val="15"/>
                <w:szCs w:val="15"/>
              </w:rPr>
              <w:t>Unlikely</w:t>
            </w:r>
          </w:p>
        </w:tc>
        <w:tc>
          <w:tcPr>
            <w:tcW w:w="303" w:type="pct"/>
            <w:tcBorders>
              <w:bottom w:val="single" w:sz="4" w:space="0" w:color="auto"/>
            </w:tcBorders>
            <w:shd w:val="clear" w:color="auto" w:fill="auto"/>
          </w:tcPr>
          <w:p w14:paraId="3E8A934A" w14:textId="77777777" w:rsidR="003442C5" w:rsidRPr="00757E3A" w:rsidRDefault="003442C5" w:rsidP="00B471C0">
            <w:pPr>
              <w:keepNext/>
              <w:widowControl w:val="0"/>
              <w:spacing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92D050"/>
          </w:tcPr>
          <w:p w14:paraId="654165E2" w14:textId="77777777" w:rsidR="003442C5" w:rsidRPr="00757E3A" w:rsidRDefault="003442C5" w:rsidP="00B471C0">
            <w:pPr>
              <w:keepNext/>
              <w:widowControl w:val="0"/>
              <w:spacing w:after="20"/>
              <w:rPr>
                <w:rFonts w:asciiTheme="majorHAnsi" w:hAnsiTheme="majorHAnsi" w:cstheme="majorHAnsi"/>
                <w:sz w:val="15"/>
                <w:szCs w:val="15"/>
              </w:rPr>
            </w:pPr>
            <w:r w:rsidRPr="00757E3A">
              <w:rPr>
                <w:rFonts w:asciiTheme="majorHAnsi" w:hAnsiTheme="majorHAnsi" w:cstheme="majorHAnsi"/>
                <w:sz w:val="15"/>
                <w:szCs w:val="15"/>
              </w:rPr>
              <w:t>Low</w:t>
            </w:r>
          </w:p>
        </w:tc>
        <w:tc>
          <w:tcPr>
            <w:tcW w:w="279" w:type="pct"/>
            <w:tcBorders>
              <w:bottom w:val="single" w:sz="4" w:space="0" w:color="auto"/>
            </w:tcBorders>
            <w:shd w:val="clear" w:color="auto" w:fill="auto"/>
          </w:tcPr>
          <w:p w14:paraId="18EE6D70" w14:textId="77777777" w:rsidR="003442C5" w:rsidRPr="00757E3A" w:rsidRDefault="003442C5" w:rsidP="00B471C0">
            <w:pPr>
              <w:keepNext/>
              <w:widowControl w:val="0"/>
              <w:spacing w:after="20"/>
              <w:rPr>
                <w:rFonts w:asciiTheme="majorHAnsi" w:hAnsiTheme="majorHAnsi" w:cstheme="majorHAnsi"/>
                <w:sz w:val="15"/>
                <w:szCs w:val="15"/>
              </w:rPr>
            </w:pPr>
            <w:r w:rsidRPr="00757E3A">
              <w:rPr>
                <w:rFonts w:asciiTheme="majorHAnsi" w:hAnsiTheme="majorHAnsi" w:cstheme="majorHAnsi"/>
                <w:sz w:val="15"/>
                <w:szCs w:val="15"/>
              </w:rPr>
              <w:t>n.a.</w:t>
            </w:r>
          </w:p>
        </w:tc>
        <w:tc>
          <w:tcPr>
            <w:tcW w:w="303" w:type="pct"/>
            <w:tcBorders>
              <w:bottom w:val="single" w:sz="4" w:space="0" w:color="auto"/>
            </w:tcBorders>
            <w:shd w:val="clear" w:color="auto" w:fill="auto"/>
          </w:tcPr>
          <w:p w14:paraId="0DE92F77" w14:textId="77777777" w:rsidR="003442C5" w:rsidRPr="00757E3A" w:rsidRDefault="003442C5" w:rsidP="00B471C0">
            <w:pPr>
              <w:keepNext/>
              <w:widowControl w:val="0"/>
              <w:spacing w:after="20"/>
              <w:rPr>
                <w:rFonts w:asciiTheme="majorHAnsi" w:hAnsiTheme="majorHAnsi" w:cstheme="majorHAnsi"/>
                <w:sz w:val="15"/>
                <w:szCs w:val="15"/>
              </w:rPr>
            </w:pPr>
            <w:r w:rsidRPr="00757E3A">
              <w:rPr>
                <w:rFonts w:asciiTheme="majorHAnsi" w:hAnsiTheme="majorHAnsi" w:cstheme="majorHAnsi"/>
                <w:sz w:val="15"/>
                <w:szCs w:val="15"/>
              </w:rPr>
              <w:t>n.a.</w:t>
            </w:r>
          </w:p>
        </w:tc>
        <w:tc>
          <w:tcPr>
            <w:tcW w:w="267" w:type="pct"/>
            <w:tcBorders>
              <w:bottom w:val="single" w:sz="4" w:space="0" w:color="auto"/>
            </w:tcBorders>
            <w:shd w:val="clear" w:color="auto" w:fill="auto"/>
          </w:tcPr>
          <w:p w14:paraId="45CEB089" w14:textId="77777777" w:rsidR="003442C5" w:rsidRPr="00757E3A" w:rsidRDefault="003442C5" w:rsidP="00B471C0">
            <w:pPr>
              <w:keepNext/>
              <w:widowControl w:val="0"/>
              <w:spacing w:after="20"/>
              <w:rPr>
                <w:rFonts w:asciiTheme="majorHAnsi" w:hAnsiTheme="majorHAnsi" w:cstheme="majorHAnsi"/>
                <w:sz w:val="15"/>
                <w:szCs w:val="15"/>
              </w:rPr>
            </w:pPr>
            <w:r w:rsidRPr="00757E3A">
              <w:rPr>
                <w:rFonts w:asciiTheme="majorHAnsi" w:hAnsiTheme="majorHAnsi" w:cstheme="majorHAnsi"/>
                <w:sz w:val="15"/>
                <w:szCs w:val="15"/>
              </w:rPr>
              <w:t>n.a.</w:t>
            </w:r>
          </w:p>
        </w:tc>
        <w:tc>
          <w:tcPr>
            <w:tcW w:w="966" w:type="pct"/>
            <w:shd w:val="clear" w:color="auto" w:fill="auto"/>
          </w:tcPr>
          <w:p w14:paraId="25575C7A" w14:textId="77777777" w:rsidR="00B471C0" w:rsidRDefault="00B44E1A" w:rsidP="00B471C0">
            <w:pPr>
              <w:keepNext/>
              <w:widowControl w:val="0"/>
              <w:spacing w:after="20"/>
              <w:rPr>
                <w:rFonts w:asciiTheme="majorHAnsi" w:hAnsiTheme="majorHAnsi" w:cstheme="majorHAnsi"/>
                <w:sz w:val="15"/>
                <w:szCs w:val="15"/>
              </w:rPr>
            </w:pPr>
            <w:r w:rsidRPr="00757E3A">
              <w:rPr>
                <w:rFonts w:asciiTheme="majorHAnsi" w:hAnsiTheme="majorHAnsi" w:cstheme="majorHAnsi"/>
                <w:sz w:val="15"/>
                <w:szCs w:val="15"/>
              </w:rPr>
              <w:t xml:space="preserve">Under options 2, 3A and 3B the </w:t>
            </w:r>
            <w:r w:rsidR="00153EB5">
              <w:rPr>
                <w:rFonts w:asciiTheme="majorHAnsi" w:hAnsiTheme="majorHAnsi" w:cstheme="majorHAnsi"/>
                <w:sz w:val="15"/>
                <w:szCs w:val="15"/>
              </w:rPr>
              <w:t>scheme pipeline</w:t>
            </w:r>
            <w:r w:rsidR="00153EB5" w:rsidRPr="00757E3A">
              <w:rPr>
                <w:rFonts w:asciiTheme="majorHAnsi" w:hAnsiTheme="majorHAnsi" w:cstheme="majorHAnsi"/>
                <w:sz w:val="15"/>
                <w:szCs w:val="15"/>
              </w:rPr>
              <w:t xml:space="preserve"> </w:t>
            </w:r>
            <w:r w:rsidR="00A04D34" w:rsidRPr="00757E3A">
              <w:rPr>
                <w:rFonts w:asciiTheme="majorHAnsi" w:hAnsiTheme="majorHAnsi" w:cstheme="majorHAnsi"/>
                <w:sz w:val="15"/>
                <w:szCs w:val="15"/>
              </w:rPr>
              <w:t xml:space="preserve">dispute resolution mechanism would be amended to address the identified issues. </w:t>
            </w:r>
            <w:r w:rsidR="00AA4657" w:rsidRPr="00757E3A">
              <w:rPr>
                <w:rFonts w:asciiTheme="majorHAnsi" w:hAnsiTheme="majorHAnsi" w:cstheme="majorHAnsi"/>
                <w:sz w:val="15"/>
                <w:szCs w:val="15"/>
              </w:rPr>
              <w:t xml:space="preserve">The likelihood </w:t>
            </w:r>
            <w:r w:rsidR="008A453F" w:rsidRPr="00757E3A">
              <w:rPr>
                <w:rFonts w:asciiTheme="majorHAnsi" w:hAnsiTheme="majorHAnsi" w:cstheme="majorHAnsi"/>
                <w:sz w:val="15"/>
                <w:szCs w:val="15"/>
              </w:rPr>
              <w:t xml:space="preserve">of the risk arising </w:t>
            </w:r>
            <w:r w:rsidR="00AA4657" w:rsidRPr="00757E3A">
              <w:rPr>
                <w:rFonts w:asciiTheme="majorHAnsi" w:hAnsiTheme="majorHAnsi" w:cstheme="majorHAnsi"/>
                <w:sz w:val="15"/>
                <w:szCs w:val="15"/>
              </w:rPr>
              <w:t xml:space="preserve">has therefore reduced. </w:t>
            </w:r>
          </w:p>
          <w:p w14:paraId="23836C98" w14:textId="77777777" w:rsidR="003442C5" w:rsidRPr="00757E3A" w:rsidRDefault="00A04D34" w:rsidP="00B471C0">
            <w:pPr>
              <w:keepNext/>
              <w:widowControl w:val="0"/>
              <w:spacing w:after="20"/>
              <w:rPr>
                <w:rFonts w:asciiTheme="majorHAnsi" w:hAnsiTheme="majorHAnsi" w:cstheme="majorHAnsi"/>
                <w:sz w:val="15"/>
                <w:szCs w:val="15"/>
              </w:rPr>
            </w:pPr>
            <w:r w:rsidRPr="00757E3A">
              <w:rPr>
                <w:rFonts w:asciiTheme="majorHAnsi" w:hAnsiTheme="majorHAnsi" w:cstheme="majorHAnsi"/>
                <w:sz w:val="15"/>
                <w:szCs w:val="15"/>
              </w:rPr>
              <w:t xml:space="preserve">In the case of Option 4, there would be no </w:t>
            </w:r>
            <w:r w:rsidR="009769C6" w:rsidRPr="00757E3A">
              <w:rPr>
                <w:rFonts w:asciiTheme="majorHAnsi" w:hAnsiTheme="majorHAnsi" w:cstheme="majorHAnsi"/>
                <w:sz w:val="15"/>
                <w:szCs w:val="15"/>
              </w:rPr>
              <w:t xml:space="preserve">dispute resolution mechanism under the </w:t>
            </w:r>
            <w:r w:rsidR="00531979">
              <w:rPr>
                <w:rFonts w:asciiTheme="majorHAnsi" w:hAnsiTheme="majorHAnsi" w:cstheme="majorHAnsi"/>
                <w:sz w:val="15"/>
                <w:szCs w:val="15"/>
              </w:rPr>
              <w:t>stronger</w:t>
            </w:r>
            <w:r w:rsidR="009769C6" w:rsidRPr="00757E3A">
              <w:rPr>
                <w:rFonts w:asciiTheme="majorHAnsi" w:hAnsiTheme="majorHAnsi" w:cstheme="majorHAnsi"/>
                <w:sz w:val="15"/>
                <w:szCs w:val="15"/>
              </w:rPr>
              <w:t xml:space="preserve"> form of regulation because a direct price control form of regulation would apply. </w:t>
            </w:r>
          </w:p>
        </w:tc>
      </w:tr>
      <w:tr w:rsidR="00F575AD" w:rsidRPr="00757E3A" w14:paraId="66894751" w14:textId="77777777" w:rsidTr="00120E27">
        <w:trPr>
          <w:cnfStyle w:val="000000010000" w:firstRow="0" w:lastRow="0" w:firstColumn="0" w:lastColumn="0" w:oddVBand="0" w:evenVBand="0" w:oddHBand="0" w:evenHBand="1" w:firstRowFirstColumn="0" w:firstRowLastColumn="0" w:lastRowFirstColumn="0" w:lastRowLastColumn="0"/>
          <w:trHeight w:val="448"/>
        </w:trPr>
        <w:tc>
          <w:tcPr>
            <w:tcW w:w="157" w:type="pct"/>
            <w:vMerge w:val="restart"/>
            <w:textDirection w:val="btLr"/>
          </w:tcPr>
          <w:p w14:paraId="3A71210C" w14:textId="77777777" w:rsidR="00F575AD" w:rsidRPr="00757E3A" w:rsidRDefault="00F575AD" w:rsidP="003771F3">
            <w:pPr>
              <w:keepNext/>
              <w:widowControl w:val="0"/>
              <w:spacing w:before="20" w:after="20"/>
              <w:jc w:val="center"/>
              <w:rPr>
                <w:rFonts w:asciiTheme="majorHAnsi" w:hAnsiTheme="majorHAnsi" w:cstheme="majorHAnsi"/>
                <w:sz w:val="15"/>
                <w:szCs w:val="15"/>
              </w:rPr>
            </w:pPr>
            <w:r w:rsidRPr="00757E3A">
              <w:rPr>
                <w:rFonts w:asciiTheme="majorHAnsi" w:hAnsiTheme="majorHAnsi" w:cstheme="majorHAnsi"/>
                <w:sz w:val="15"/>
                <w:szCs w:val="15"/>
              </w:rPr>
              <w:lastRenderedPageBreak/>
              <w:t>Other risks associated with the options</w:t>
            </w:r>
          </w:p>
        </w:tc>
        <w:tc>
          <w:tcPr>
            <w:tcW w:w="481" w:type="pct"/>
          </w:tcPr>
          <w:p w14:paraId="210DAF90" w14:textId="4BFA00AA" w:rsidR="00F575AD" w:rsidRPr="00757E3A" w:rsidRDefault="00F575AD" w:rsidP="003027CD">
            <w:pPr>
              <w:keepNext/>
              <w:widowControl w:val="0"/>
              <w:tabs>
                <w:tab w:val="left" w:pos="720"/>
              </w:tabs>
              <w:spacing w:after="20"/>
              <w:ind w:right="85"/>
              <w:rPr>
                <w:sz w:val="15"/>
                <w:szCs w:val="15"/>
              </w:rPr>
            </w:pPr>
            <w:r>
              <w:rPr>
                <w:sz w:val="15"/>
                <w:szCs w:val="15"/>
              </w:rPr>
              <w:t xml:space="preserve">Risk of regulatory error </w:t>
            </w:r>
            <w:r w:rsidR="00C5711C">
              <w:rPr>
                <w:sz w:val="15"/>
                <w:szCs w:val="15"/>
              </w:rPr>
              <w:t xml:space="preserve">for </w:t>
            </w:r>
            <w:r w:rsidR="00D0084D">
              <w:rPr>
                <w:sz w:val="15"/>
                <w:szCs w:val="15"/>
              </w:rPr>
              <w:t xml:space="preserve">regulatory exemptions </w:t>
            </w:r>
            <w:r>
              <w:rPr>
                <w:sz w:val="15"/>
                <w:szCs w:val="15"/>
              </w:rPr>
              <w:t>that results in pipelines providing 3</w:t>
            </w:r>
            <w:r w:rsidRPr="00771A9B">
              <w:rPr>
                <w:sz w:val="15"/>
                <w:szCs w:val="15"/>
                <w:vertAlign w:val="superscript"/>
              </w:rPr>
              <w:t>rd</w:t>
            </w:r>
            <w:r>
              <w:rPr>
                <w:sz w:val="15"/>
                <w:szCs w:val="15"/>
              </w:rPr>
              <w:t xml:space="preserve"> party access being exempt from regulation when they should not be and leave shippers exposed to market power</w:t>
            </w:r>
          </w:p>
        </w:tc>
        <w:tc>
          <w:tcPr>
            <w:tcW w:w="279" w:type="pct"/>
            <w:tcBorders>
              <w:bottom w:val="single" w:sz="4" w:space="0" w:color="auto"/>
            </w:tcBorders>
          </w:tcPr>
          <w:p w14:paraId="2514F7DD" w14:textId="77777777" w:rsidR="00F575AD" w:rsidRDefault="00F575AD"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Possible</w:t>
            </w:r>
          </w:p>
        </w:tc>
        <w:tc>
          <w:tcPr>
            <w:tcW w:w="303" w:type="pct"/>
            <w:tcBorders>
              <w:bottom w:val="single" w:sz="4" w:space="0" w:color="auto"/>
            </w:tcBorders>
          </w:tcPr>
          <w:p w14:paraId="307596E1" w14:textId="77777777" w:rsidR="00F575AD" w:rsidRDefault="00F575AD"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High</w:t>
            </w:r>
          </w:p>
        </w:tc>
        <w:tc>
          <w:tcPr>
            <w:tcW w:w="267" w:type="pct"/>
            <w:tcBorders>
              <w:bottom w:val="single" w:sz="4" w:space="0" w:color="auto"/>
            </w:tcBorders>
            <w:shd w:val="clear" w:color="auto" w:fill="FFC000"/>
          </w:tcPr>
          <w:p w14:paraId="2A29F50E" w14:textId="77777777" w:rsidR="00F575AD" w:rsidRDefault="00F575AD"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High</w:t>
            </w:r>
          </w:p>
        </w:tc>
        <w:tc>
          <w:tcPr>
            <w:tcW w:w="279" w:type="pct"/>
            <w:tcBorders>
              <w:bottom w:val="single" w:sz="4" w:space="0" w:color="auto"/>
            </w:tcBorders>
            <w:shd w:val="clear" w:color="auto" w:fill="auto"/>
          </w:tcPr>
          <w:p w14:paraId="26AAE038" w14:textId="77777777" w:rsidR="00F575AD" w:rsidRDefault="00F575AD"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n.a.</w:t>
            </w:r>
          </w:p>
        </w:tc>
        <w:tc>
          <w:tcPr>
            <w:tcW w:w="303" w:type="pct"/>
            <w:tcBorders>
              <w:bottom w:val="single" w:sz="4" w:space="0" w:color="auto"/>
            </w:tcBorders>
            <w:shd w:val="clear" w:color="auto" w:fill="auto"/>
          </w:tcPr>
          <w:p w14:paraId="04689EC9" w14:textId="77777777" w:rsidR="00F575AD" w:rsidRDefault="00F575AD"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n.a.</w:t>
            </w:r>
          </w:p>
        </w:tc>
        <w:tc>
          <w:tcPr>
            <w:tcW w:w="267" w:type="pct"/>
            <w:tcBorders>
              <w:bottom w:val="single" w:sz="4" w:space="0" w:color="auto"/>
            </w:tcBorders>
            <w:shd w:val="clear" w:color="auto" w:fill="auto"/>
          </w:tcPr>
          <w:p w14:paraId="3CA041B6" w14:textId="77777777" w:rsidR="00F575AD" w:rsidRDefault="00F575AD"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n.a.</w:t>
            </w:r>
          </w:p>
        </w:tc>
        <w:tc>
          <w:tcPr>
            <w:tcW w:w="279" w:type="pct"/>
            <w:tcBorders>
              <w:bottom w:val="single" w:sz="4" w:space="0" w:color="auto"/>
            </w:tcBorders>
            <w:shd w:val="clear" w:color="auto" w:fill="auto"/>
          </w:tcPr>
          <w:p w14:paraId="6B05C1E6" w14:textId="77777777" w:rsidR="00F575AD" w:rsidRDefault="00F575AD"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n.a.</w:t>
            </w:r>
          </w:p>
        </w:tc>
        <w:tc>
          <w:tcPr>
            <w:tcW w:w="303" w:type="pct"/>
            <w:tcBorders>
              <w:bottom w:val="single" w:sz="4" w:space="0" w:color="auto"/>
            </w:tcBorders>
            <w:shd w:val="clear" w:color="auto" w:fill="auto"/>
          </w:tcPr>
          <w:p w14:paraId="56EC8C24" w14:textId="77777777" w:rsidR="00F575AD" w:rsidRDefault="00F575AD"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n.a.</w:t>
            </w:r>
          </w:p>
        </w:tc>
        <w:tc>
          <w:tcPr>
            <w:tcW w:w="267" w:type="pct"/>
            <w:tcBorders>
              <w:bottom w:val="single" w:sz="4" w:space="0" w:color="auto"/>
            </w:tcBorders>
            <w:shd w:val="clear" w:color="auto" w:fill="auto"/>
          </w:tcPr>
          <w:p w14:paraId="4BC91705" w14:textId="77777777" w:rsidR="00F575AD" w:rsidRDefault="00F575AD"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n.a.</w:t>
            </w:r>
          </w:p>
        </w:tc>
        <w:tc>
          <w:tcPr>
            <w:tcW w:w="279" w:type="pct"/>
            <w:tcBorders>
              <w:bottom w:val="single" w:sz="4" w:space="0" w:color="auto"/>
            </w:tcBorders>
            <w:shd w:val="clear" w:color="auto" w:fill="auto"/>
          </w:tcPr>
          <w:p w14:paraId="7C8501C4" w14:textId="77777777" w:rsidR="00F575AD" w:rsidRDefault="00F575AD"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n.a.</w:t>
            </w:r>
          </w:p>
        </w:tc>
        <w:tc>
          <w:tcPr>
            <w:tcW w:w="303" w:type="pct"/>
            <w:tcBorders>
              <w:bottom w:val="single" w:sz="4" w:space="0" w:color="auto"/>
            </w:tcBorders>
            <w:shd w:val="clear" w:color="auto" w:fill="auto"/>
          </w:tcPr>
          <w:p w14:paraId="15A1AC13" w14:textId="77777777" w:rsidR="00F575AD" w:rsidRDefault="00F575AD"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n.a.</w:t>
            </w:r>
          </w:p>
        </w:tc>
        <w:tc>
          <w:tcPr>
            <w:tcW w:w="267" w:type="pct"/>
            <w:tcBorders>
              <w:bottom w:val="single" w:sz="4" w:space="0" w:color="auto"/>
            </w:tcBorders>
            <w:shd w:val="clear" w:color="auto" w:fill="auto"/>
          </w:tcPr>
          <w:p w14:paraId="76530FB8" w14:textId="77777777" w:rsidR="00F575AD" w:rsidRDefault="00F575AD"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n.a.</w:t>
            </w:r>
          </w:p>
        </w:tc>
        <w:tc>
          <w:tcPr>
            <w:tcW w:w="966" w:type="pct"/>
            <w:shd w:val="clear" w:color="auto" w:fill="auto"/>
          </w:tcPr>
          <w:p w14:paraId="6B8EF63C" w14:textId="77777777" w:rsidR="00F575AD" w:rsidRDefault="00F575AD"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This risk only arises under Option 2 because it is the only one that provides for a full exemption from regulation.</w:t>
            </w:r>
          </w:p>
        </w:tc>
      </w:tr>
      <w:tr w:rsidR="005E31B2" w:rsidRPr="00757E3A" w14:paraId="68F6AD86" w14:textId="77777777" w:rsidTr="00120E27">
        <w:trPr>
          <w:cnfStyle w:val="000000100000" w:firstRow="0" w:lastRow="0" w:firstColumn="0" w:lastColumn="0" w:oddVBand="0" w:evenVBand="0" w:oddHBand="1" w:evenHBand="0" w:firstRowFirstColumn="0" w:firstRowLastColumn="0" w:lastRowFirstColumn="0" w:lastRowLastColumn="0"/>
          <w:trHeight w:val="448"/>
        </w:trPr>
        <w:tc>
          <w:tcPr>
            <w:tcW w:w="157" w:type="pct"/>
            <w:vMerge/>
            <w:textDirection w:val="btLr"/>
          </w:tcPr>
          <w:p w14:paraId="3B81E171" w14:textId="77777777" w:rsidR="005E31B2" w:rsidRPr="00757E3A" w:rsidRDefault="005E31B2" w:rsidP="005E31B2">
            <w:pPr>
              <w:keepNext/>
              <w:widowControl w:val="0"/>
              <w:spacing w:before="20" w:after="20"/>
              <w:jc w:val="center"/>
              <w:rPr>
                <w:rFonts w:asciiTheme="majorHAnsi" w:hAnsiTheme="majorHAnsi" w:cstheme="majorHAnsi"/>
                <w:sz w:val="15"/>
                <w:szCs w:val="15"/>
              </w:rPr>
            </w:pPr>
          </w:p>
        </w:tc>
        <w:tc>
          <w:tcPr>
            <w:tcW w:w="481" w:type="pct"/>
          </w:tcPr>
          <w:p w14:paraId="00B27EED" w14:textId="7C4B6951" w:rsidR="005E31B2" w:rsidRDefault="005E31B2" w:rsidP="005E31B2">
            <w:pPr>
              <w:keepNext/>
              <w:widowControl w:val="0"/>
              <w:tabs>
                <w:tab w:val="left" w:pos="720"/>
              </w:tabs>
              <w:spacing w:after="20"/>
              <w:ind w:right="85"/>
              <w:rPr>
                <w:sz w:val="15"/>
                <w:szCs w:val="15"/>
              </w:rPr>
            </w:pPr>
            <w:r>
              <w:rPr>
                <w:sz w:val="15"/>
                <w:szCs w:val="15"/>
              </w:rPr>
              <w:t xml:space="preserve">Risk of regulatory error </w:t>
            </w:r>
            <w:r w:rsidR="00E258EF">
              <w:rPr>
                <w:sz w:val="15"/>
                <w:szCs w:val="15"/>
              </w:rPr>
              <w:t>for 3</w:t>
            </w:r>
            <w:r w:rsidR="00E258EF" w:rsidRPr="00E258EF">
              <w:rPr>
                <w:sz w:val="15"/>
                <w:szCs w:val="15"/>
                <w:vertAlign w:val="superscript"/>
              </w:rPr>
              <w:t>rd</w:t>
            </w:r>
            <w:r w:rsidR="00E258EF">
              <w:rPr>
                <w:sz w:val="15"/>
                <w:szCs w:val="15"/>
              </w:rPr>
              <w:t xml:space="preserve"> </w:t>
            </w:r>
            <w:r>
              <w:rPr>
                <w:sz w:val="15"/>
                <w:szCs w:val="15"/>
              </w:rPr>
              <w:t>party access test that results in pipelines not being required to provide 3</w:t>
            </w:r>
            <w:r w:rsidRPr="00771A9B">
              <w:rPr>
                <w:sz w:val="15"/>
                <w:szCs w:val="15"/>
                <w:vertAlign w:val="superscript"/>
              </w:rPr>
              <w:t>rd</w:t>
            </w:r>
            <w:r>
              <w:rPr>
                <w:sz w:val="15"/>
                <w:szCs w:val="15"/>
              </w:rPr>
              <w:t xml:space="preserve"> party access when it would be efficient for such access to occur.</w:t>
            </w:r>
          </w:p>
        </w:tc>
        <w:tc>
          <w:tcPr>
            <w:tcW w:w="279" w:type="pct"/>
            <w:tcBorders>
              <w:bottom w:val="single" w:sz="4" w:space="0" w:color="auto"/>
            </w:tcBorders>
          </w:tcPr>
          <w:p w14:paraId="5ABBF987" w14:textId="77777777" w:rsidR="005E31B2" w:rsidRDefault="005E31B2" w:rsidP="005E31B2">
            <w:pPr>
              <w:keepNext/>
              <w:widowControl w:val="0"/>
              <w:spacing w:after="20"/>
              <w:rPr>
                <w:rFonts w:asciiTheme="majorHAnsi" w:hAnsiTheme="majorHAnsi" w:cstheme="majorHAnsi"/>
                <w:sz w:val="15"/>
                <w:szCs w:val="15"/>
              </w:rPr>
            </w:pPr>
            <w:r>
              <w:rPr>
                <w:rFonts w:asciiTheme="majorHAnsi" w:hAnsiTheme="majorHAnsi" w:cstheme="majorHAnsi"/>
                <w:sz w:val="15"/>
                <w:szCs w:val="15"/>
              </w:rPr>
              <w:t>Possible</w:t>
            </w:r>
          </w:p>
        </w:tc>
        <w:tc>
          <w:tcPr>
            <w:tcW w:w="303" w:type="pct"/>
            <w:tcBorders>
              <w:bottom w:val="single" w:sz="4" w:space="0" w:color="auto"/>
            </w:tcBorders>
          </w:tcPr>
          <w:p w14:paraId="7860890E" w14:textId="77777777" w:rsidR="005E31B2" w:rsidRDefault="005E31B2" w:rsidP="005E31B2">
            <w:pPr>
              <w:keepNext/>
              <w:widowControl w:val="0"/>
              <w:spacing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FFFF00"/>
          </w:tcPr>
          <w:p w14:paraId="2A76E1A9" w14:textId="77777777" w:rsidR="005E31B2" w:rsidRDefault="005E31B2" w:rsidP="005E31B2">
            <w:pPr>
              <w:keepNext/>
              <w:widowControl w:val="0"/>
              <w:spacing w:after="20"/>
              <w:rPr>
                <w:rFonts w:asciiTheme="majorHAnsi" w:hAnsiTheme="majorHAnsi" w:cstheme="majorHAnsi"/>
                <w:sz w:val="15"/>
                <w:szCs w:val="15"/>
              </w:rPr>
            </w:pPr>
            <w:r>
              <w:rPr>
                <w:rFonts w:asciiTheme="majorHAnsi" w:hAnsiTheme="majorHAnsi" w:cstheme="majorHAnsi"/>
                <w:sz w:val="15"/>
                <w:szCs w:val="15"/>
              </w:rPr>
              <w:t>Medium</w:t>
            </w:r>
          </w:p>
        </w:tc>
        <w:tc>
          <w:tcPr>
            <w:tcW w:w="279" w:type="pct"/>
            <w:tcBorders>
              <w:bottom w:val="single" w:sz="4" w:space="0" w:color="auto"/>
            </w:tcBorders>
            <w:shd w:val="clear" w:color="auto" w:fill="auto"/>
          </w:tcPr>
          <w:p w14:paraId="2DBBE8BD" w14:textId="77777777" w:rsidR="005E31B2" w:rsidRDefault="005E31B2" w:rsidP="005E31B2">
            <w:pPr>
              <w:keepNext/>
              <w:widowControl w:val="0"/>
              <w:spacing w:after="20"/>
              <w:rPr>
                <w:rFonts w:asciiTheme="majorHAnsi" w:hAnsiTheme="majorHAnsi" w:cstheme="majorHAnsi"/>
                <w:sz w:val="15"/>
                <w:szCs w:val="15"/>
              </w:rPr>
            </w:pPr>
            <w:r>
              <w:rPr>
                <w:rFonts w:asciiTheme="majorHAnsi" w:hAnsiTheme="majorHAnsi" w:cstheme="majorHAnsi"/>
                <w:sz w:val="15"/>
                <w:szCs w:val="15"/>
              </w:rPr>
              <w:t>Possible</w:t>
            </w:r>
          </w:p>
        </w:tc>
        <w:tc>
          <w:tcPr>
            <w:tcW w:w="303" w:type="pct"/>
            <w:tcBorders>
              <w:bottom w:val="single" w:sz="4" w:space="0" w:color="auto"/>
            </w:tcBorders>
            <w:shd w:val="clear" w:color="auto" w:fill="auto"/>
          </w:tcPr>
          <w:p w14:paraId="1CDC540F" w14:textId="77777777" w:rsidR="005E31B2" w:rsidRDefault="005E31B2" w:rsidP="005E31B2">
            <w:pPr>
              <w:keepNext/>
              <w:widowControl w:val="0"/>
              <w:spacing w:after="20"/>
              <w:rPr>
                <w:rFonts w:asciiTheme="majorHAnsi" w:hAnsiTheme="majorHAnsi" w:cstheme="majorHAnsi"/>
                <w:sz w:val="15"/>
                <w:szCs w:val="15"/>
              </w:rPr>
            </w:pPr>
            <w:r w:rsidRPr="00757E3A">
              <w:rPr>
                <w:rFonts w:asciiTheme="majorHAnsi" w:hAnsiTheme="majorHAnsi" w:cstheme="majorHAnsi"/>
                <w:sz w:val="15"/>
                <w:szCs w:val="15"/>
              </w:rPr>
              <w:t>Moderate</w:t>
            </w:r>
          </w:p>
        </w:tc>
        <w:tc>
          <w:tcPr>
            <w:tcW w:w="267" w:type="pct"/>
            <w:tcBorders>
              <w:bottom w:val="single" w:sz="4" w:space="0" w:color="auto"/>
            </w:tcBorders>
            <w:shd w:val="clear" w:color="auto" w:fill="FFFF00"/>
          </w:tcPr>
          <w:p w14:paraId="4B917C2B" w14:textId="77777777" w:rsidR="005E31B2" w:rsidRDefault="005E31B2" w:rsidP="005E31B2">
            <w:pPr>
              <w:keepNext/>
              <w:widowControl w:val="0"/>
              <w:spacing w:after="20"/>
              <w:rPr>
                <w:rFonts w:asciiTheme="majorHAnsi" w:hAnsiTheme="majorHAnsi" w:cstheme="majorHAnsi"/>
                <w:sz w:val="15"/>
                <w:szCs w:val="15"/>
              </w:rPr>
            </w:pPr>
            <w:r>
              <w:rPr>
                <w:rFonts w:asciiTheme="majorHAnsi" w:hAnsiTheme="majorHAnsi" w:cstheme="majorHAnsi"/>
                <w:sz w:val="15"/>
                <w:szCs w:val="15"/>
              </w:rPr>
              <w:t>Medium</w:t>
            </w:r>
          </w:p>
        </w:tc>
        <w:tc>
          <w:tcPr>
            <w:tcW w:w="279" w:type="pct"/>
            <w:tcBorders>
              <w:bottom w:val="single" w:sz="4" w:space="0" w:color="auto"/>
            </w:tcBorders>
            <w:shd w:val="clear" w:color="auto" w:fill="auto"/>
          </w:tcPr>
          <w:p w14:paraId="27556AB8" w14:textId="77777777" w:rsidR="005E31B2" w:rsidRDefault="005E31B2" w:rsidP="005E31B2">
            <w:pPr>
              <w:keepNext/>
              <w:widowControl w:val="0"/>
              <w:spacing w:after="20"/>
              <w:rPr>
                <w:rFonts w:asciiTheme="majorHAnsi" w:hAnsiTheme="majorHAnsi" w:cstheme="majorHAnsi"/>
                <w:sz w:val="15"/>
                <w:szCs w:val="15"/>
              </w:rPr>
            </w:pPr>
            <w:r>
              <w:rPr>
                <w:rFonts w:asciiTheme="majorHAnsi" w:hAnsiTheme="majorHAnsi" w:cstheme="majorHAnsi"/>
                <w:sz w:val="15"/>
                <w:szCs w:val="15"/>
              </w:rPr>
              <w:t>n.a.</w:t>
            </w:r>
          </w:p>
        </w:tc>
        <w:tc>
          <w:tcPr>
            <w:tcW w:w="303" w:type="pct"/>
            <w:tcBorders>
              <w:bottom w:val="single" w:sz="4" w:space="0" w:color="auto"/>
            </w:tcBorders>
            <w:shd w:val="clear" w:color="auto" w:fill="auto"/>
          </w:tcPr>
          <w:p w14:paraId="12EBDA4E" w14:textId="77777777" w:rsidR="005E31B2" w:rsidRDefault="005E31B2" w:rsidP="005E31B2">
            <w:pPr>
              <w:keepNext/>
              <w:widowControl w:val="0"/>
              <w:spacing w:after="20"/>
              <w:rPr>
                <w:rFonts w:asciiTheme="majorHAnsi" w:hAnsiTheme="majorHAnsi" w:cstheme="majorHAnsi"/>
                <w:sz w:val="15"/>
                <w:szCs w:val="15"/>
              </w:rPr>
            </w:pPr>
            <w:r>
              <w:rPr>
                <w:rFonts w:asciiTheme="majorHAnsi" w:hAnsiTheme="majorHAnsi" w:cstheme="majorHAnsi"/>
                <w:sz w:val="15"/>
                <w:szCs w:val="15"/>
              </w:rPr>
              <w:t>n.a.</w:t>
            </w:r>
          </w:p>
        </w:tc>
        <w:tc>
          <w:tcPr>
            <w:tcW w:w="267" w:type="pct"/>
            <w:tcBorders>
              <w:bottom w:val="single" w:sz="4" w:space="0" w:color="auto"/>
            </w:tcBorders>
            <w:shd w:val="clear" w:color="auto" w:fill="auto"/>
          </w:tcPr>
          <w:p w14:paraId="7D22A46B" w14:textId="77777777" w:rsidR="005E31B2" w:rsidRDefault="005E31B2" w:rsidP="005E31B2">
            <w:pPr>
              <w:keepNext/>
              <w:widowControl w:val="0"/>
              <w:spacing w:after="20"/>
              <w:rPr>
                <w:rFonts w:asciiTheme="majorHAnsi" w:hAnsiTheme="majorHAnsi" w:cstheme="majorHAnsi"/>
                <w:sz w:val="15"/>
                <w:szCs w:val="15"/>
              </w:rPr>
            </w:pPr>
            <w:r>
              <w:rPr>
                <w:rFonts w:asciiTheme="majorHAnsi" w:hAnsiTheme="majorHAnsi" w:cstheme="majorHAnsi"/>
                <w:sz w:val="15"/>
                <w:szCs w:val="15"/>
              </w:rPr>
              <w:t>n.a.</w:t>
            </w:r>
          </w:p>
        </w:tc>
        <w:tc>
          <w:tcPr>
            <w:tcW w:w="279" w:type="pct"/>
            <w:tcBorders>
              <w:bottom w:val="single" w:sz="4" w:space="0" w:color="auto"/>
            </w:tcBorders>
            <w:shd w:val="clear" w:color="auto" w:fill="auto"/>
          </w:tcPr>
          <w:p w14:paraId="350AA504" w14:textId="77777777" w:rsidR="005E31B2" w:rsidRDefault="005E31B2" w:rsidP="005E31B2">
            <w:pPr>
              <w:keepNext/>
              <w:widowControl w:val="0"/>
              <w:spacing w:after="20"/>
              <w:rPr>
                <w:rFonts w:asciiTheme="majorHAnsi" w:hAnsiTheme="majorHAnsi" w:cstheme="majorHAnsi"/>
                <w:sz w:val="15"/>
                <w:szCs w:val="15"/>
              </w:rPr>
            </w:pPr>
            <w:r>
              <w:rPr>
                <w:rFonts w:asciiTheme="majorHAnsi" w:hAnsiTheme="majorHAnsi" w:cstheme="majorHAnsi"/>
                <w:sz w:val="15"/>
                <w:szCs w:val="15"/>
              </w:rPr>
              <w:t>n.a.</w:t>
            </w:r>
          </w:p>
        </w:tc>
        <w:tc>
          <w:tcPr>
            <w:tcW w:w="303" w:type="pct"/>
            <w:tcBorders>
              <w:bottom w:val="single" w:sz="4" w:space="0" w:color="auto"/>
            </w:tcBorders>
            <w:shd w:val="clear" w:color="auto" w:fill="auto"/>
          </w:tcPr>
          <w:p w14:paraId="746965F0" w14:textId="77777777" w:rsidR="005E31B2" w:rsidRDefault="005E31B2" w:rsidP="005E31B2">
            <w:pPr>
              <w:keepNext/>
              <w:widowControl w:val="0"/>
              <w:spacing w:after="20"/>
              <w:rPr>
                <w:rFonts w:asciiTheme="majorHAnsi" w:hAnsiTheme="majorHAnsi" w:cstheme="majorHAnsi"/>
                <w:sz w:val="15"/>
                <w:szCs w:val="15"/>
              </w:rPr>
            </w:pPr>
            <w:r>
              <w:rPr>
                <w:rFonts w:asciiTheme="majorHAnsi" w:hAnsiTheme="majorHAnsi" w:cstheme="majorHAnsi"/>
                <w:sz w:val="15"/>
                <w:szCs w:val="15"/>
              </w:rPr>
              <w:t>n.a.</w:t>
            </w:r>
          </w:p>
        </w:tc>
        <w:tc>
          <w:tcPr>
            <w:tcW w:w="267" w:type="pct"/>
            <w:tcBorders>
              <w:bottom w:val="single" w:sz="4" w:space="0" w:color="auto"/>
            </w:tcBorders>
            <w:shd w:val="clear" w:color="auto" w:fill="auto"/>
          </w:tcPr>
          <w:p w14:paraId="0A78A014" w14:textId="77777777" w:rsidR="005E31B2" w:rsidRDefault="005E31B2" w:rsidP="005E31B2">
            <w:pPr>
              <w:keepNext/>
              <w:widowControl w:val="0"/>
              <w:spacing w:after="20"/>
              <w:rPr>
                <w:rFonts w:asciiTheme="majorHAnsi" w:hAnsiTheme="majorHAnsi" w:cstheme="majorHAnsi"/>
                <w:sz w:val="15"/>
                <w:szCs w:val="15"/>
              </w:rPr>
            </w:pPr>
            <w:r>
              <w:rPr>
                <w:rFonts w:asciiTheme="majorHAnsi" w:hAnsiTheme="majorHAnsi" w:cstheme="majorHAnsi"/>
                <w:sz w:val="15"/>
                <w:szCs w:val="15"/>
              </w:rPr>
              <w:t>n.a.</w:t>
            </w:r>
          </w:p>
        </w:tc>
        <w:tc>
          <w:tcPr>
            <w:tcW w:w="966" w:type="pct"/>
            <w:shd w:val="clear" w:color="auto" w:fill="auto"/>
          </w:tcPr>
          <w:p w14:paraId="50A1C45B" w14:textId="77777777" w:rsidR="005E31B2" w:rsidRDefault="005E31B2" w:rsidP="005E31B2">
            <w:pPr>
              <w:keepNext/>
              <w:widowControl w:val="0"/>
              <w:spacing w:after="20"/>
              <w:rPr>
                <w:rFonts w:asciiTheme="majorHAnsi" w:hAnsiTheme="majorHAnsi" w:cstheme="majorHAnsi"/>
                <w:sz w:val="15"/>
                <w:szCs w:val="15"/>
              </w:rPr>
            </w:pPr>
            <w:r>
              <w:rPr>
                <w:rFonts w:asciiTheme="majorHAnsi" w:hAnsiTheme="majorHAnsi" w:cstheme="majorHAnsi"/>
                <w:sz w:val="15"/>
                <w:szCs w:val="15"/>
              </w:rPr>
              <w:t xml:space="preserve">This risk only arises under options 2 and 3A because they are the only ones that provide for the application of the third party access test. </w:t>
            </w:r>
          </w:p>
        </w:tc>
      </w:tr>
      <w:tr w:rsidR="00801BFC" w:rsidRPr="00757E3A" w14:paraId="3277D238" w14:textId="77777777" w:rsidTr="00120E27">
        <w:trPr>
          <w:cnfStyle w:val="000000010000" w:firstRow="0" w:lastRow="0" w:firstColumn="0" w:lastColumn="0" w:oddVBand="0" w:evenVBand="0" w:oddHBand="0" w:evenHBand="1" w:firstRowFirstColumn="0" w:firstRowLastColumn="0" w:lastRowFirstColumn="0" w:lastRowLastColumn="0"/>
          <w:trHeight w:val="448"/>
        </w:trPr>
        <w:tc>
          <w:tcPr>
            <w:tcW w:w="157" w:type="pct"/>
            <w:vMerge/>
            <w:textDirection w:val="btLr"/>
          </w:tcPr>
          <w:p w14:paraId="5A6BDF0B" w14:textId="77777777" w:rsidR="00801BFC" w:rsidRPr="00757E3A" w:rsidRDefault="00801BFC" w:rsidP="003027CD">
            <w:pPr>
              <w:keepNext/>
              <w:widowControl w:val="0"/>
              <w:spacing w:before="20" w:after="20"/>
              <w:rPr>
                <w:rFonts w:asciiTheme="majorHAnsi" w:hAnsiTheme="majorHAnsi" w:cstheme="majorHAnsi"/>
                <w:sz w:val="15"/>
                <w:szCs w:val="15"/>
              </w:rPr>
            </w:pPr>
          </w:p>
        </w:tc>
        <w:tc>
          <w:tcPr>
            <w:tcW w:w="481" w:type="pct"/>
          </w:tcPr>
          <w:p w14:paraId="7758A260" w14:textId="4DC33562" w:rsidR="00801BFC" w:rsidRPr="00757E3A" w:rsidRDefault="00801BFC" w:rsidP="003027CD">
            <w:pPr>
              <w:keepNext/>
              <w:widowControl w:val="0"/>
              <w:tabs>
                <w:tab w:val="left" w:pos="720"/>
              </w:tabs>
              <w:spacing w:after="20"/>
              <w:ind w:right="85"/>
              <w:rPr>
                <w:rFonts w:asciiTheme="majorHAnsi" w:hAnsiTheme="majorHAnsi" w:cstheme="majorHAnsi"/>
                <w:sz w:val="15"/>
                <w:szCs w:val="15"/>
              </w:rPr>
            </w:pPr>
            <w:r w:rsidRPr="00757E3A">
              <w:rPr>
                <w:sz w:val="15"/>
                <w:szCs w:val="15"/>
              </w:rPr>
              <w:t xml:space="preserve">Over-regulation of pipelines not voluntarily providing </w:t>
            </w:r>
            <w:r w:rsidR="00E55411">
              <w:rPr>
                <w:sz w:val="15"/>
                <w:szCs w:val="15"/>
              </w:rPr>
              <w:t>3</w:t>
            </w:r>
            <w:r w:rsidR="00E55411" w:rsidRPr="00E55411">
              <w:rPr>
                <w:sz w:val="15"/>
                <w:szCs w:val="15"/>
                <w:vertAlign w:val="superscript"/>
              </w:rPr>
              <w:t>rd</w:t>
            </w:r>
            <w:r w:rsidR="00E55411">
              <w:rPr>
                <w:sz w:val="15"/>
                <w:szCs w:val="15"/>
              </w:rPr>
              <w:t xml:space="preserve"> </w:t>
            </w:r>
            <w:r w:rsidRPr="00757E3A">
              <w:rPr>
                <w:sz w:val="15"/>
                <w:szCs w:val="15"/>
              </w:rPr>
              <w:t>party access</w:t>
            </w:r>
            <w:r w:rsidR="008A31FB">
              <w:rPr>
                <w:sz w:val="15"/>
                <w:szCs w:val="15"/>
              </w:rPr>
              <w:t xml:space="preserve"> could </w:t>
            </w:r>
            <w:r w:rsidR="001F02AB">
              <w:rPr>
                <w:sz w:val="15"/>
                <w:szCs w:val="15"/>
              </w:rPr>
              <w:t>impose costs on service providers</w:t>
            </w:r>
          </w:p>
        </w:tc>
        <w:tc>
          <w:tcPr>
            <w:tcW w:w="279" w:type="pct"/>
            <w:tcBorders>
              <w:bottom w:val="single" w:sz="4" w:space="0" w:color="auto"/>
            </w:tcBorders>
          </w:tcPr>
          <w:p w14:paraId="1E5A46F8" w14:textId="77777777" w:rsidR="00801BFC" w:rsidRPr="00757E3A" w:rsidRDefault="00801BFC"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Rare</w:t>
            </w:r>
          </w:p>
        </w:tc>
        <w:tc>
          <w:tcPr>
            <w:tcW w:w="303" w:type="pct"/>
            <w:tcBorders>
              <w:bottom w:val="single" w:sz="4" w:space="0" w:color="auto"/>
            </w:tcBorders>
          </w:tcPr>
          <w:p w14:paraId="086168F2" w14:textId="77777777" w:rsidR="00801BFC" w:rsidRPr="00757E3A" w:rsidRDefault="003919DB"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Moderate</w:t>
            </w:r>
          </w:p>
        </w:tc>
        <w:tc>
          <w:tcPr>
            <w:tcW w:w="267" w:type="pct"/>
            <w:tcBorders>
              <w:bottom w:val="single" w:sz="4" w:space="0" w:color="auto"/>
            </w:tcBorders>
            <w:shd w:val="clear" w:color="auto" w:fill="92D050"/>
          </w:tcPr>
          <w:p w14:paraId="1C03BF05" w14:textId="77777777" w:rsidR="00801BFC" w:rsidRPr="00757E3A" w:rsidRDefault="00801BFC"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Low</w:t>
            </w:r>
          </w:p>
        </w:tc>
        <w:tc>
          <w:tcPr>
            <w:tcW w:w="279" w:type="pct"/>
            <w:tcBorders>
              <w:bottom w:val="single" w:sz="4" w:space="0" w:color="auto"/>
            </w:tcBorders>
            <w:shd w:val="clear" w:color="auto" w:fill="auto"/>
          </w:tcPr>
          <w:p w14:paraId="56C3D1A5" w14:textId="77777777" w:rsidR="00801BFC" w:rsidRPr="00757E3A" w:rsidRDefault="00801BFC"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Rare</w:t>
            </w:r>
          </w:p>
        </w:tc>
        <w:tc>
          <w:tcPr>
            <w:tcW w:w="303" w:type="pct"/>
            <w:tcBorders>
              <w:bottom w:val="single" w:sz="4" w:space="0" w:color="auto"/>
            </w:tcBorders>
            <w:shd w:val="clear" w:color="auto" w:fill="auto"/>
          </w:tcPr>
          <w:p w14:paraId="314E94F0" w14:textId="77777777" w:rsidR="00801BFC" w:rsidRPr="00757E3A" w:rsidRDefault="003919DB"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Moderate</w:t>
            </w:r>
          </w:p>
        </w:tc>
        <w:tc>
          <w:tcPr>
            <w:tcW w:w="267" w:type="pct"/>
            <w:tcBorders>
              <w:bottom w:val="single" w:sz="4" w:space="0" w:color="auto"/>
            </w:tcBorders>
            <w:shd w:val="clear" w:color="auto" w:fill="92D050"/>
          </w:tcPr>
          <w:p w14:paraId="2EB4878A" w14:textId="77777777" w:rsidR="00801BFC" w:rsidRPr="00757E3A" w:rsidRDefault="00801BFC"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Low</w:t>
            </w:r>
          </w:p>
        </w:tc>
        <w:tc>
          <w:tcPr>
            <w:tcW w:w="279" w:type="pct"/>
            <w:tcBorders>
              <w:bottom w:val="single" w:sz="4" w:space="0" w:color="auto"/>
            </w:tcBorders>
            <w:shd w:val="clear" w:color="auto" w:fill="auto"/>
          </w:tcPr>
          <w:p w14:paraId="5EC0967E" w14:textId="77777777" w:rsidR="00801BFC" w:rsidRPr="00757E3A" w:rsidRDefault="00E93A6D"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Possible</w:t>
            </w:r>
          </w:p>
        </w:tc>
        <w:tc>
          <w:tcPr>
            <w:tcW w:w="303" w:type="pct"/>
            <w:tcBorders>
              <w:bottom w:val="single" w:sz="4" w:space="0" w:color="auto"/>
            </w:tcBorders>
            <w:shd w:val="clear" w:color="auto" w:fill="auto"/>
          </w:tcPr>
          <w:p w14:paraId="1D5A460E" w14:textId="77777777" w:rsidR="00801BFC" w:rsidRPr="00757E3A" w:rsidRDefault="00BA5AF8"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Moderate</w:t>
            </w:r>
          </w:p>
        </w:tc>
        <w:tc>
          <w:tcPr>
            <w:tcW w:w="267" w:type="pct"/>
            <w:tcBorders>
              <w:bottom w:val="single" w:sz="4" w:space="0" w:color="auto"/>
            </w:tcBorders>
            <w:shd w:val="clear" w:color="auto" w:fill="FFFF00"/>
          </w:tcPr>
          <w:p w14:paraId="2B3E383E" w14:textId="77777777" w:rsidR="00801BFC" w:rsidRPr="00757E3A" w:rsidRDefault="005C455A"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Medium</w:t>
            </w:r>
          </w:p>
        </w:tc>
        <w:tc>
          <w:tcPr>
            <w:tcW w:w="279" w:type="pct"/>
            <w:tcBorders>
              <w:bottom w:val="single" w:sz="4" w:space="0" w:color="auto"/>
            </w:tcBorders>
            <w:shd w:val="clear" w:color="auto" w:fill="auto"/>
          </w:tcPr>
          <w:p w14:paraId="0D005BFF" w14:textId="77777777" w:rsidR="00801BFC" w:rsidRPr="00757E3A" w:rsidRDefault="005C455A"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Possible</w:t>
            </w:r>
          </w:p>
        </w:tc>
        <w:tc>
          <w:tcPr>
            <w:tcW w:w="303" w:type="pct"/>
            <w:tcBorders>
              <w:bottom w:val="single" w:sz="4" w:space="0" w:color="auto"/>
            </w:tcBorders>
            <w:shd w:val="clear" w:color="auto" w:fill="auto"/>
          </w:tcPr>
          <w:p w14:paraId="61D60553" w14:textId="77777777" w:rsidR="00801BFC" w:rsidRPr="00757E3A" w:rsidRDefault="00BA5AF8"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 xml:space="preserve">Moderate </w:t>
            </w:r>
          </w:p>
        </w:tc>
        <w:tc>
          <w:tcPr>
            <w:tcW w:w="267" w:type="pct"/>
            <w:tcBorders>
              <w:bottom w:val="single" w:sz="4" w:space="0" w:color="auto"/>
            </w:tcBorders>
            <w:shd w:val="clear" w:color="auto" w:fill="FFFF00"/>
          </w:tcPr>
          <w:p w14:paraId="6A972A20" w14:textId="77777777" w:rsidR="00801BFC" w:rsidRPr="00757E3A" w:rsidRDefault="005C455A"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Medium</w:t>
            </w:r>
          </w:p>
        </w:tc>
        <w:tc>
          <w:tcPr>
            <w:tcW w:w="966" w:type="pct"/>
            <w:shd w:val="clear" w:color="auto" w:fill="auto"/>
          </w:tcPr>
          <w:p w14:paraId="4437F9D2" w14:textId="77777777" w:rsidR="00801BFC" w:rsidRPr="00757E3A" w:rsidRDefault="00801BFC" w:rsidP="003027CD">
            <w:pPr>
              <w:keepNext/>
              <w:widowControl w:val="0"/>
              <w:spacing w:after="20"/>
              <w:rPr>
                <w:rFonts w:asciiTheme="majorHAnsi" w:hAnsiTheme="majorHAnsi" w:cstheme="majorHAnsi"/>
                <w:sz w:val="15"/>
                <w:szCs w:val="15"/>
              </w:rPr>
            </w:pPr>
            <w:r>
              <w:rPr>
                <w:rFonts w:asciiTheme="majorHAnsi" w:hAnsiTheme="majorHAnsi" w:cstheme="majorHAnsi"/>
                <w:sz w:val="15"/>
                <w:szCs w:val="15"/>
              </w:rPr>
              <w:t xml:space="preserve">This risk is rated as </w:t>
            </w:r>
            <w:r w:rsidR="00BA5AF8">
              <w:rPr>
                <w:rFonts w:asciiTheme="majorHAnsi" w:hAnsiTheme="majorHAnsi" w:cstheme="majorHAnsi"/>
                <w:sz w:val="15"/>
                <w:szCs w:val="15"/>
              </w:rPr>
              <w:t xml:space="preserve">medium </w:t>
            </w:r>
            <w:r>
              <w:rPr>
                <w:rFonts w:asciiTheme="majorHAnsi" w:hAnsiTheme="majorHAnsi" w:cstheme="majorHAnsi"/>
                <w:sz w:val="15"/>
                <w:szCs w:val="15"/>
              </w:rPr>
              <w:t xml:space="preserve">under options 3B and 4 because without a test for third party access, there is a risk that access would be obtained where </w:t>
            </w:r>
            <w:r w:rsidR="00BA5AF8">
              <w:rPr>
                <w:rFonts w:asciiTheme="majorHAnsi" w:hAnsiTheme="majorHAnsi" w:cstheme="majorHAnsi"/>
                <w:sz w:val="15"/>
                <w:szCs w:val="15"/>
              </w:rPr>
              <w:t xml:space="preserve">it would not be efficient for such access to occur. </w:t>
            </w:r>
          </w:p>
        </w:tc>
      </w:tr>
      <w:tr w:rsidR="00801BFC" w:rsidRPr="00757E3A" w14:paraId="376DC515" w14:textId="77777777" w:rsidTr="00120E27">
        <w:trPr>
          <w:cnfStyle w:val="000000100000" w:firstRow="0" w:lastRow="0" w:firstColumn="0" w:lastColumn="0" w:oddVBand="0" w:evenVBand="0" w:oddHBand="1" w:evenHBand="0" w:firstRowFirstColumn="0" w:firstRowLastColumn="0" w:lastRowFirstColumn="0" w:lastRowLastColumn="0"/>
          <w:trHeight w:val="448"/>
        </w:trPr>
        <w:tc>
          <w:tcPr>
            <w:tcW w:w="157" w:type="pct"/>
            <w:vMerge/>
          </w:tcPr>
          <w:p w14:paraId="39C87B85" w14:textId="77777777" w:rsidR="00801BFC" w:rsidRPr="00757E3A" w:rsidRDefault="00801BFC" w:rsidP="00841301">
            <w:pPr>
              <w:spacing w:before="20" w:after="20"/>
              <w:rPr>
                <w:rFonts w:asciiTheme="majorHAnsi" w:hAnsiTheme="majorHAnsi" w:cstheme="majorHAnsi"/>
                <w:sz w:val="15"/>
                <w:szCs w:val="15"/>
              </w:rPr>
            </w:pPr>
          </w:p>
        </w:tc>
        <w:tc>
          <w:tcPr>
            <w:tcW w:w="481" w:type="pct"/>
          </w:tcPr>
          <w:p w14:paraId="5B377A9A" w14:textId="77777777" w:rsidR="00801BFC" w:rsidRPr="00757E3A" w:rsidRDefault="00801BFC" w:rsidP="003027CD">
            <w:pPr>
              <w:keepNext/>
              <w:tabs>
                <w:tab w:val="left" w:pos="720"/>
              </w:tabs>
              <w:spacing w:after="20"/>
              <w:ind w:right="85"/>
              <w:rPr>
                <w:rFonts w:asciiTheme="majorHAnsi" w:hAnsiTheme="majorHAnsi" w:cstheme="majorHAnsi"/>
                <w:sz w:val="15"/>
                <w:szCs w:val="15"/>
              </w:rPr>
            </w:pPr>
            <w:r w:rsidRPr="00757E3A">
              <w:rPr>
                <w:rFonts w:cs="Arial"/>
                <w:sz w:val="15"/>
                <w:szCs w:val="15"/>
              </w:rPr>
              <w:t xml:space="preserve">Reduced flexibility for shippers requiring bespoke services </w:t>
            </w:r>
          </w:p>
        </w:tc>
        <w:tc>
          <w:tcPr>
            <w:tcW w:w="279" w:type="pct"/>
            <w:tcBorders>
              <w:bottom w:val="single" w:sz="4" w:space="0" w:color="auto"/>
            </w:tcBorders>
          </w:tcPr>
          <w:p w14:paraId="7A674540" w14:textId="77777777" w:rsidR="00801BFC" w:rsidRPr="00757E3A" w:rsidRDefault="00801BFC" w:rsidP="003027CD">
            <w:pPr>
              <w:keepNext/>
              <w:spacing w:after="20"/>
              <w:rPr>
                <w:rFonts w:asciiTheme="majorHAnsi" w:hAnsiTheme="majorHAnsi" w:cstheme="majorHAnsi"/>
                <w:sz w:val="15"/>
                <w:szCs w:val="15"/>
              </w:rPr>
            </w:pPr>
            <w:r>
              <w:rPr>
                <w:rFonts w:asciiTheme="majorHAnsi" w:hAnsiTheme="majorHAnsi" w:cstheme="majorHAnsi"/>
                <w:sz w:val="15"/>
                <w:szCs w:val="15"/>
              </w:rPr>
              <w:t>Rare</w:t>
            </w:r>
          </w:p>
        </w:tc>
        <w:tc>
          <w:tcPr>
            <w:tcW w:w="303" w:type="pct"/>
            <w:tcBorders>
              <w:bottom w:val="single" w:sz="4" w:space="0" w:color="auto"/>
            </w:tcBorders>
          </w:tcPr>
          <w:p w14:paraId="66D8AA40" w14:textId="77777777" w:rsidR="00801BFC" w:rsidRPr="00757E3A" w:rsidRDefault="00801BFC" w:rsidP="003027CD">
            <w:pPr>
              <w:keepNext/>
              <w:spacing w:after="20"/>
              <w:rPr>
                <w:rFonts w:asciiTheme="majorHAnsi" w:hAnsiTheme="majorHAnsi" w:cstheme="majorHAnsi"/>
                <w:sz w:val="15"/>
                <w:szCs w:val="15"/>
              </w:rPr>
            </w:pPr>
            <w:r>
              <w:rPr>
                <w:rFonts w:asciiTheme="majorHAnsi" w:hAnsiTheme="majorHAnsi" w:cstheme="majorHAnsi"/>
                <w:sz w:val="15"/>
                <w:szCs w:val="15"/>
              </w:rPr>
              <w:t>High</w:t>
            </w:r>
          </w:p>
        </w:tc>
        <w:tc>
          <w:tcPr>
            <w:tcW w:w="267" w:type="pct"/>
            <w:tcBorders>
              <w:bottom w:val="single" w:sz="4" w:space="0" w:color="auto"/>
            </w:tcBorders>
            <w:shd w:val="clear" w:color="auto" w:fill="92D050"/>
          </w:tcPr>
          <w:p w14:paraId="210838C9" w14:textId="77777777" w:rsidR="00801BFC" w:rsidRPr="00757E3A" w:rsidRDefault="00801BFC" w:rsidP="003027CD">
            <w:pPr>
              <w:keepNext/>
              <w:spacing w:after="20"/>
              <w:rPr>
                <w:rFonts w:asciiTheme="majorHAnsi" w:hAnsiTheme="majorHAnsi" w:cstheme="majorHAnsi"/>
                <w:sz w:val="15"/>
                <w:szCs w:val="15"/>
              </w:rPr>
            </w:pPr>
            <w:r>
              <w:rPr>
                <w:rFonts w:asciiTheme="majorHAnsi" w:hAnsiTheme="majorHAnsi" w:cstheme="majorHAnsi"/>
                <w:sz w:val="15"/>
                <w:szCs w:val="15"/>
              </w:rPr>
              <w:t>Low</w:t>
            </w:r>
          </w:p>
        </w:tc>
        <w:tc>
          <w:tcPr>
            <w:tcW w:w="279" w:type="pct"/>
            <w:tcBorders>
              <w:bottom w:val="single" w:sz="4" w:space="0" w:color="auto"/>
            </w:tcBorders>
            <w:shd w:val="clear" w:color="auto" w:fill="auto"/>
          </w:tcPr>
          <w:p w14:paraId="53774133" w14:textId="77777777" w:rsidR="00801BFC" w:rsidRPr="00757E3A" w:rsidRDefault="00801BFC" w:rsidP="003027CD">
            <w:pPr>
              <w:keepNext/>
              <w:spacing w:after="20"/>
              <w:rPr>
                <w:rFonts w:asciiTheme="majorHAnsi" w:hAnsiTheme="majorHAnsi" w:cstheme="majorHAnsi"/>
                <w:sz w:val="15"/>
                <w:szCs w:val="15"/>
              </w:rPr>
            </w:pPr>
            <w:r>
              <w:rPr>
                <w:rFonts w:asciiTheme="majorHAnsi" w:hAnsiTheme="majorHAnsi" w:cstheme="majorHAnsi"/>
                <w:sz w:val="15"/>
                <w:szCs w:val="15"/>
              </w:rPr>
              <w:t>Rare</w:t>
            </w:r>
          </w:p>
        </w:tc>
        <w:tc>
          <w:tcPr>
            <w:tcW w:w="303" w:type="pct"/>
            <w:tcBorders>
              <w:bottom w:val="single" w:sz="4" w:space="0" w:color="auto"/>
            </w:tcBorders>
            <w:shd w:val="clear" w:color="auto" w:fill="auto"/>
          </w:tcPr>
          <w:p w14:paraId="210D14A0" w14:textId="77777777" w:rsidR="00801BFC" w:rsidRPr="00757E3A" w:rsidRDefault="00801BFC" w:rsidP="003027CD">
            <w:pPr>
              <w:keepNext/>
              <w:spacing w:after="20"/>
              <w:rPr>
                <w:rFonts w:asciiTheme="majorHAnsi" w:hAnsiTheme="majorHAnsi" w:cstheme="majorHAnsi"/>
                <w:sz w:val="15"/>
                <w:szCs w:val="15"/>
              </w:rPr>
            </w:pPr>
            <w:r>
              <w:rPr>
                <w:rFonts w:asciiTheme="majorHAnsi" w:hAnsiTheme="majorHAnsi" w:cstheme="majorHAnsi"/>
                <w:sz w:val="15"/>
                <w:szCs w:val="15"/>
              </w:rPr>
              <w:t>High</w:t>
            </w:r>
          </w:p>
        </w:tc>
        <w:tc>
          <w:tcPr>
            <w:tcW w:w="267" w:type="pct"/>
            <w:tcBorders>
              <w:bottom w:val="single" w:sz="4" w:space="0" w:color="auto"/>
            </w:tcBorders>
            <w:shd w:val="clear" w:color="auto" w:fill="92D050"/>
          </w:tcPr>
          <w:p w14:paraId="0DDD0277" w14:textId="77777777" w:rsidR="00801BFC" w:rsidRPr="00757E3A" w:rsidRDefault="00801BFC" w:rsidP="003027CD">
            <w:pPr>
              <w:keepNext/>
              <w:spacing w:after="20"/>
              <w:rPr>
                <w:rFonts w:asciiTheme="majorHAnsi" w:hAnsiTheme="majorHAnsi" w:cstheme="majorHAnsi"/>
                <w:sz w:val="15"/>
                <w:szCs w:val="15"/>
              </w:rPr>
            </w:pPr>
            <w:r>
              <w:rPr>
                <w:rFonts w:asciiTheme="majorHAnsi" w:hAnsiTheme="majorHAnsi" w:cstheme="majorHAnsi"/>
                <w:sz w:val="15"/>
                <w:szCs w:val="15"/>
              </w:rPr>
              <w:t>Low</w:t>
            </w:r>
          </w:p>
        </w:tc>
        <w:tc>
          <w:tcPr>
            <w:tcW w:w="279" w:type="pct"/>
            <w:tcBorders>
              <w:bottom w:val="single" w:sz="4" w:space="0" w:color="auto"/>
            </w:tcBorders>
            <w:shd w:val="clear" w:color="auto" w:fill="auto"/>
          </w:tcPr>
          <w:p w14:paraId="72B43584" w14:textId="77777777" w:rsidR="00801BFC" w:rsidRPr="00757E3A" w:rsidRDefault="00801BFC" w:rsidP="003027CD">
            <w:pPr>
              <w:keepNext/>
              <w:spacing w:after="20"/>
              <w:rPr>
                <w:rFonts w:asciiTheme="majorHAnsi" w:hAnsiTheme="majorHAnsi" w:cstheme="majorHAnsi"/>
                <w:sz w:val="15"/>
                <w:szCs w:val="15"/>
              </w:rPr>
            </w:pPr>
            <w:r>
              <w:rPr>
                <w:rFonts w:asciiTheme="majorHAnsi" w:hAnsiTheme="majorHAnsi" w:cstheme="majorHAnsi"/>
                <w:sz w:val="15"/>
                <w:szCs w:val="15"/>
              </w:rPr>
              <w:t>Rare</w:t>
            </w:r>
          </w:p>
        </w:tc>
        <w:tc>
          <w:tcPr>
            <w:tcW w:w="303" w:type="pct"/>
            <w:tcBorders>
              <w:bottom w:val="single" w:sz="4" w:space="0" w:color="auto"/>
            </w:tcBorders>
            <w:shd w:val="clear" w:color="auto" w:fill="auto"/>
          </w:tcPr>
          <w:p w14:paraId="06760231" w14:textId="77777777" w:rsidR="00801BFC" w:rsidRPr="00757E3A" w:rsidRDefault="00801BFC" w:rsidP="003027CD">
            <w:pPr>
              <w:keepNext/>
              <w:spacing w:after="20"/>
              <w:rPr>
                <w:rFonts w:asciiTheme="majorHAnsi" w:hAnsiTheme="majorHAnsi" w:cstheme="majorHAnsi"/>
                <w:sz w:val="15"/>
                <w:szCs w:val="15"/>
              </w:rPr>
            </w:pPr>
            <w:r>
              <w:rPr>
                <w:rFonts w:asciiTheme="majorHAnsi" w:hAnsiTheme="majorHAnsi" w:cstheme="majorHAnsi"/>
                <w:sz w:val="15"/>
                <w:szCs w:val="15"/>
              </w:rPr>
              <w:t>High</w:t>
            </w:r>
          </w:p>
        </w:tc>
        <w:tc>
          <w:tcPr>
            <w:tcW w:w="267" w:type="pct"/>
            <w:tcBorders>
              <w:bottom w:val="single" w:sz="4" w:space="0" w:color="auto"/>
            </w:tcBorders>
            <w:shd w:val="clear" w:color="auto" w:fill="92D050"/>
          </w:tcPr>
          <w:p w14:paraId="783EC161" w14:textId="77777777" w:rsidR="00801BFC" w:rsidRPr="00757E3A" w:rsidRDefault="00801BFC" w:rsidP="003027CD">
            <w:pPr>
              <w:keepNext/>
              <w:spacing w:after="20"/>
              <w:rPr>
                <w:rFonts w:asciiTheme="majorHAnsi" w:hAnsiTheme="majorHAnsi" w:cstheme="majorHAnsi"/>
                <w:sz w:val="15"/>
                <w:szCs w:val="15"/>
              </w:rPr>
            </w:pPr>
            <w:r>
              <w:rPr>
                <w:rFonts w:asciiTheme="majorHAnsi" w:hAnsiTheme="majorHAnsi" w:cstheme="majorHAnsi"/>
                <w:sz w:val="15"/>
                <w:szCs w:val="15"/>
              </w:rPr>
              <w:t>Low</w:t>
            </w:r>
          </w:p>
        </w:tc>
        <w:tc>
          <w:tcPr>
            <w:tcW w:w="279" w:type="pct"/>
            <w:tcBorders>
              <w:bottom w:val="single" w:sz="4" w:space="0" w:color="auto"/>
            </w:tcBorders>
            <w:shd w:val="clear" w:color="auto" w:fill="auto"/>
          </w:tcPr>
          <w:p w14:paraId="1A8D8D31" w14:textId="77777777" w:rsidR="00801BFC" w:rsidRPr="00757E3A" w:rsidRDefault="00801BFC" w:rsidP="003027CD">
            <w:pPr>
              <w:keepNext/>
              <w:spacing w:after="20"/>
              <w:rPr>
                <w:rFonts w:asciiTheme="majorHAnsi" w:hAnsiTheme="majorHAnsi" w:cstheme="majorHAnsi"/>
                <w:sz w:val="15"/>
                <w:szCs w:val="15"/>
              </w:rPr>
            </w:pPr>
            <w:r>
              <w:rPr>
                <w:rFonts w:asciiTheme="majorHAnsi" w:hAnsiTheme="majorHAnsi" w:cstheme="majorHAnsi"/>
                <w:sz w:val="15"/>
                <w:szCs w:val="15"/>
              </w:rPr>
              <w:t>Highly Likely</w:t>
            </w:r>
          </w:p>
        </w:tc>
        <w:tc>
          <w:tcPr>
            <w:tcW w:w="303" w:type="pct"/>
            <w:tcBorders>
              <w:bottom w:val="single" w:sz="4" w:space="0" w:color="auto"/>
            </w:tcBorders>
            <w:shd w:val="clear" w:color="auto" w:fill="auto"/>
          </w:tcPr>
          <w:p w14:paraId="436E5A75" w14:textId="77777777" w:rsidR="00801BFC" w:rsidRPr="00757E3A" w:rsidRDefault="00D75D67" w:rsidP="003027CD">
            <w:pPr>
              <w:keepNext/>
              <w:spacing w:after="20"/>
              <w:rPr>
                <w:rFonts w:asciiTheme="majorHAnsi" w:hAnsiTheme="majorHAnsi" w:cstheme="majorHAnsi"/>
                <w:sz w:val="15"/>
                <w:szCs w:val="15"/>
              </w:rPr>
            </w:pPr>
            <w:r>
              <w:rPr>
                <w:rFonts w:asciiTheme="majorHAnsi" w:hAnsiTheme="majorHAnsi" w:cstheme="majorHAnsi"/>
                <w:sz w:val="15"/>
                <w:szCs w:val="15"/>
              </w:rPr>
              <w:t>Major</w:t>
            </w:r>
          </w:p>
        </w:tc>
        <w:tc>
          <w:tcPr>
            <w:tcW w:w="267" w:type="pct"/>
            <w:tcBorders>
              <w:bottom w:val="single" w:sz="4" w:space="0" w:color="auto"/>
            </w:tcBorders>
            <w:shd w:val="clear" w:color="auto" w:fill="FF0000"/>
          </w:tcPr>
          <w:p w14:paraId="7B91032E" w14:textId="77777777" w:rsidR="00801BFC" w:rsidRPr="00757E3A" w:rsidRDefault="00D75D67" w:rsidP="003027CD">
            <w:pPr>
              <w:keepNext/>
              <w:spacing w:after="20"/>
              <w:rPr>
                <w:rFonts w:asciiTheme="majorHAnsi" w:hAnsiTheme="majorHAnsi" w:cstheme="majorHAnsi"/>
                <w:sz w:val="15"/>
                <w:szCs w:val="15"/>
              </w:rPr>
            </w:pPr>
            <w:r>
              <w:rPr>
                <w:rFonts w:asciiTheme="majorHAnsi" w:hAnsiTheme="majorHAnsi" w:cstheme="majorHAnsi"/>
                <w:sz w:val="15"/>
                <w:szCs w:val="15"/>
              </w:rPr>
              <w:t>Severe</w:t>
            </w:r>
          </w:p>
        </w:tc>
        <w:tc>
          <w:tcPr>
            <w:tcW w:w="966" w:type="pct"/>
            <w:vMerge w:val="restart"/>
            <w:shd w:val="clear" w:color="auto" w:fill="auto"/>
          </w:tcPr>
          <w:p w14:paraId="05340343" w14:textId="77777777" w:rsidR="00801BFC" w:rsidRPr="00757E3A" w:rsidRDefault="00801BFC" w:rsidP="003027CD">
            <w:pPr>
              <w:keepNext/>
              <w:spacing w:after="20"/>
              <w:rPr>
                <w:rFonts w:asciiTheme="majorHAnsi" w:hAnsiTheme="majorHAnsi" w:cstheme="majorHAnsi"/>
                <w:sz w:val="15"/>
                <w:szCs w:val="15"/>
              </w:rPr>
            </w:pPr>
            <w:r>
              <w:rPr>
                <w:rFonts w:asciiTheme="majorHAnsi" w:hAnsiTheme="majorHAnsi" w:cstheme="majorHAnsi"/>
                <w:sz w:val="15"/>
                <w:szCs w:val="15"/>
              </w:rPr>
              <w:t xml:space="preserve">This risk is rated as </w:t>
            </w:r>
            <w:r w:rsidR="00D75D67">
              <w:rPr>
                <w:rFonts w:asciiTheme="majorHAnsi" w:hAnsiTheme="majorHAnsi" w:cstheme="majorHAnsi"/>
                <w:sz w:val="15"/>
                <w:szCs w:val="15"/>
              </w:rPr>
              <w:t>severe</w:t>
            </w:r>
            <w:r>
              <w:rPr>
                <w:rFonts w:asciiTheme="majorHAnsi" w:hAnsiTheme="majorHAnsi" w:cstheme="majorHAnsi"/>
                <w:sz w:val="15"/>
                <w:szCs w:val="15"/>
              </w:rPr>
              <w:t xml:space="preserve"> under Option 4 because the movement to direct price control would result in a movement to standardised services and all shippers paying the same amount for capacity. </w:t>
            </w:r>
          </w:p>
        </w:tc>
      </w:tr>
      <w:tr w:rsidR="00D75D67" w:rsidRPr="00757E3A" w14:paraId="31E8D599" w14:textId="77777777" w:rsidTr="00120E27">
        <w:trPr>
          <w:cnfStyle w:val="000000010000" w:firstRow="0" w:lastRow="0" w:firstColumn="0" w:lastColumn="0" w:oddVBand="0" w:evenVBand="0" w:oddHBand="0" w:evenHBand="1" w:firstRowFirstColumn="0" w:firstRowLastColumn="0" w:lastRowFirstColumn="0" w:lastRowLastColumn="0"/>
          <w:trHeight w:val="448"/>
        </w:trPr>
        <w:tc>
          <w:tcPr>
            <w:tcW w:w="157" w:type="pct"/>
            <w:vMerge/>
          </w:tcPr>
          <w:p w14:paraId="092E82C2" w14:textId="77777777" w:rsidR="00D75D67" w:rsidRPr="00757E3A" w:rsidRDefault="00D75D67" w:rsidP="00D75D67">
            <w:pPr>
              <w:spacing w:before="20" w:after="20"/>
              <w:rPr>
                <w:rFonts w:asciiTheme="majorHAnsi" w:hAnsiTheme="majorHAnsi" w:cstheme="majorHAnsi"/>
                <w:sz w:val="15"/>
                <w:szCs w:val="15"/>
              </w:rPr>
            </w:pPr>
          </w:p>
        </w:tc>
        <w:tc>
          <w:tcPr>
            <w:tcW w:w="481" w:type="pct"/>
          </w:tcPr>
          <w:p w14:paraId="585B14EE" w14:textId="6DF8B1A3" w:rsidR="00D75D67" w:rsidRPr="00757E3A" w:rsidRDefault="00D75D67" w:rsidP="00D75D67">
            <w:pPr>
              <w:tabs>
                <w:tab w:val="left" w:pos="720"/>
              </w:tabs>
              <w:spacing w:before="20" w:after="20"/>
              <w:ind w:right="85"/>
              <w:rPr>
                <w:rFonts w:asciiTheme="majorHAnsi" w:hAnsiTheme="majorHAnsi" w:cstheme="majorHAnsi"/>
                <w:sz w:val="15"/>
                <w:szCs w:val="15"/>
              </w:rPr>
            </w:pPr>
            <w:r w:rsidRPr="00757E3A">
              <w:rPr>
                <w:rFonts w:cs="Arial"/>
                <w:sz w:val="15"/>
                <w:szCs w:val="15"/>
              </w:rPr>
              <w:t xml:space="preserve">Reduced investment because shippers </w:t>
            </w:r>
            <w:r>
              <w:rPr>
                <w:rFonts w:cs="Arial"/>
                <w:sz w:val="15"/>
                <w:szCs w:val="15"/>
              </w:rPr>
              <w:t xml:space="preserve">can’t </w:t>
            </w:r>
            <w:r w:rsidRPr="00757E3A">
              <w:rPr>
                <w:rFonts w:cs="Arial"/>
                <w:sz w:val="15"/>
                <w:szCs w:val="15"/>
              </w:rPr>
              <w:t xml:space="preserve">pay a different </w:t>
            </w:r>
            <w:r>
              <w:rPr>
                <w:rFonts w:cs="Arial"/>
                <w:sz w:val="15"/>
                <w:szCs w:val="15"/>
              </w:rPr>
              <w:t xml:space="preserve">price </w:t>
            </w:r>
            <w:r w:rsidRPr="00757E3A">
              <w:rPr>
                <w:rFonts w:cs="Arial"/>
                <w:sz w:val="15"/>
                <w:szCs w:val="15"/>
              </w:rPr>
              <w:t>for new capacity, even be prudent to do so.</w:t>
            </w:r>
          </w:p>
        </w:tc>
        <w:tc>
          <w:tcPr>
            <w:tcW w:w="279" w:type="pct"/>
            <w:tcBorders>
              <w:bottom w:val="single" w:sz="4" w:space="0" w:color="auto"/>
            </w:tcBorders>
          </w:tcPr>
          <w:p w14:paraId="393EE11A" w14:textId="77777777" w:rsidR="00D75D67" w:rsidRPr="00757E3A" w:rsidRDefault="00D75D67" w:rsidP="00D75D67">
            <w:pPr>
              <w:spacing w:before="20" w:after="20"/>
              <w:rPr>
                <w:rFonts w:asciiTheme="majorHAnsi" w:hAnsiTheme="majorHAnsi" w:cstheme="majorHAnsi"/>
                <w:sz w:val="15"/>
                <w:szCs w:val="15"/>
              </w:rPr>
            </w:pPr>
            <w:r>
              <w:rPr>
                <w:rFonts w:asciiTheme="majorHAnsi" w:hAnsiTheme="majorHAnsi" w:cstheme="majorHAnsi"/>
                <w:sz w:val="15"/>
                <w:szCs w:val="15"/>
              </w:rPr>
              <w:t>Rare</w:t>
            </w:r>
          </w:p>
        </w:tc>
        <w:tc>
          <w:tcPr>
            <w:tcW w:w="303" w:type="pct"/>
            <w:tcBorders>
              <w:bottom w:val="single" w:sz="4" w:space="0" w:color="auto"/>
            </w:tcBorders>
          </w:tcPr>
          <w:p w14:paraId="3C4E78D7" w14:textId="77777777" w:rsidR="00D75D67" w:rsidRPr="00757E3A" w:rsidRDefault="00D75D67" w:rsidP="00D75D67">
            <w:pPr>
              <w:spacing w:before="20" w:after="20"/>
              <w:rPr>
                <w:rFonts w:asciiTheme="majorHAnsi" w:hAnsiTheme="majorHAnsi" w:cstheme="majorHAnsi"/>
                <w:sz w:val="15"/>
                <w:szCs w:val="15"/>
              </w:rPr>
            </w:pPr>
            <w:r>
              <w:rPr>
                <w:rFonts w:asciiTheme="majorHAnsi" w:hAnsiTheme="majorHAnsi" w:cstheme="majorHAnsi"/>
                <w:sz w:val="15"/>
                <w:szCs w:val="15"/>
              </w:rPr>
              <w:t>High</w:t>
            </w:r>
          </w:p>
        </w:tc>
        <w:tc>
          <w:tcPr>
            <w:tcW w:w="267" w:type="pct"/>
            <w:tcBorders>
              <w:bottom w:val="single" w:sz="4" w:space="0" w:color="auto"/>
            </w:tcBorders>
            <w:shd w:val="clear" w:color="auto" w:fill="92D050"/>
          </w:tcPr>
          <w:p w14:paraId="297E9424" w14:textId="77777777" w:rsidR="00D75D67" w:rsidRPr="00757E3A" w:rsidRDefault="00D75D67" w:rsidP="00D75D67">
            <w:pPr>
              <w:spacing w:before="20" w:after="20"/>
              <w:rPr>
                <w:rFonts w:asciiTheme="majorHAnsi" w:hAnsiTheme="majorHAnsi" w:cstheme="majorHAnsi"/>
                <w:sz w:val="15"/>
                <w:szCs w:val="15"/>
              </w:rPr>
            </w:pPr>
            <w:r>
              <w:rPr>
                <w:rFonts w:asciiTheme="majorHAnsi" w:hAnsiTheme="majorHAnsi" w:cstheme="majorHAnsi"/>
                <w:sz w:val="15"/>
                <w:szCs w:val="15"/>
              </w:rPr>
              <w:t>Low</w:t>
            </w:r>
          </w:p>
        </w:tc>
        <w:tc>
          <w:tcPr>
            <w:tcW w:w="279" w:type="pct"/>
            <w:tcBorders>
              <w:bottom w:val="single" w:sz="4" w:space="0" w:color="auto"/>
            </w:tcBorders>
            <w:shd w:val="clear" w:color="auto" w:fill="auto"/>
          </w:tcPr>
          <w:p w14:paraId="78060037" w14:textId="77777777" w:rsidR="00D75D67" w:rsidRPr="00757E3A" w:rsidRDefault="00D75D67" w:rsidP="00D75D67">
            <w:pPr>
              <w:spacing w:before="20" w:after="20"/>
              <w:rPr>
                <w:rFonts w:asciiTheme="majorHAnsi" w:hAnsiTheme="majorHAnsi" w:cstheme="majorHAnsi"/>
                <w:sz w:val="15"/>
                <w:szCs w:val="15"/>
              </w:rPr>
            </w:pPr>
            <w:r>
              <w:rPr>
                <w:rFonts w:asciiTheme="majorHAnsi" w:hAnsiTheme="majorHAnsi" w:cstheme="majorHAnsi"/>
                <w:sz w:val="15"/>
                <w:szCs w:val="15"/>
              </w:rPr>
              <w:t>Rare</w:t>
            </w:r>
          </w:p>
        </w:tc>
        <w:tc>
          <w:tcPr>
            <w:tcW w:w="303" w:type="pct"/>
            <w:tcBorders>
              <w:bottom w:val="single" w:sz="4" w:space="0" w:color="auto"/>
            </w:tcBorders>
            <w:shd w:val="clear" w:color="auto" w:fill="auto"/>
          </w:tcPr>
          <w:p w14:paraId="194347B4" w14:textId="77777777" w:rsidR="00D75D67" w:rsidRPr="00757E3A" w:rsidRDefault="00D75D67" w:rsidP="00D75D67">
            <w:pPr>
              <w:spacing w:before="20" w:after="20"/>
              <w:rPr>
                <w:rFonts w:asciiTheme="majorHAnsi" w:hAnsiTheme="majorHAnsi" w:cstheme="majorHAnsi"/>
                <w:sz w:val="15"/>
                <w:szCs w:val="15"/>
              </w:rPr>
            </w:pPr>
            <w:r>
              <w:rPr>
                <w:rFonts w:asciiTheme="majorHAnsi" w:hAnsiTheme="majorHAnsi" w:cstheme="majorHAnsi"/>
                <w:sz w:val="15"/>
                <w:szCs w:val="15"/>
              </w:rPr>
              <w:t>High</w:t>
            </w:r>
          </w:p>
        </w:tc>
        <w:tc>
          <w:tcPr>
            <w:tcW w:w="267" w:type="pct"/>
            <w:tcBorders>
              <w:bottom w:val="single" w:sz="4" w:space="0" w:color="auto"/>
            </w:tcBorders>
            <w:shd w:val="clear" w:color="auto" w:fill="92D050"/>
          </w:tcPr>
          <w:p w14:paraId="45227279" w14:textId="77777777" w:rsidR="00D75D67" w:rsidRPr="00757E3A" w:rsidRDefault="00D75D67" w:rsidP="00D75D67">
            <w:pPr>
              <w:spacing w:before="20" w:after="20"/>
              <w:rPr>
                <w:rFonts w:asciiTheme="majorHAnsi" w:hAnsiTheme="majorHAnsi" w:cstheme="majorHAnsi"/>
                <w:sz w:val="15"/>
                <w:szCs w:val="15"/>
              </w:rPr>
            </w:pPr>
            <w:r>
              <w:rPr>
                <w:rFonts w:asciiTheme="majorHAnsi" w:hAnsiTheme="majorHAnsi" w:cstheme="majorHAnsi"/>
                <w:sz w:val="15"/>
                <w:szCs w:val="15"/>
              </w:rPr>
              <w:t>Low</w:t>
            </w:r>
          </w:p>
        </w:tc>
        <w:tc>
          <w:tcPr>
            <w:tcW w:w="279" w:type="pct"/>
            <w:tcBorders>
              <w:bottom w:val="single" w:sz="4" w:space="0" w:color="auto"/>
            </w:tcBorders>
            <w:shd w:val="clear" w:color="auto" w:fill="auto"/>
          </w:tcPr>
          <w:p w14:paraId="558E5AA1" w14:textId="77777777" w:rsidR="00D75D67" w:rsidRPr="00757E3A" w:rsidRDefault="00D75D67" w:rsidP="00D75D67">
            <w:pPr>
              <w:spacing w:before="20" w:after="20"/>
              <w:rPr>
                <w:rFonts w:asciiTheme="majorHAnsi" w:hAnsiTheme="majorHAnsi" w:cstheme="majorHAnsi"/>
                <w:sz w:val="15"/>
                <w:szCs w:val="15"/>
              </w:rPr>
            </w:pPr>
            <w:r>
              <w:rPr>
                <w:rFonts w:asciiTheme="majorHAnsi" w:hAnsiTheme="majorHAnsi" w:cstheme="majorHAnsi"/>
                <w:sz w:val="15"/>
                <w:szCs w:val="15"/>
              </w:rPr>
              <w:t>Rare</w:t>
            </w:r>
          </w:p>
        </w:tc>
        <w:tc>
          <w:tcPr>
            <w:tcW w:w="303" w:type="pct"/>
            <w:tcBorders>
              <w:bottom w:val="single" w:sz="4" w:space="0" w:color="auto"/>
            </w:tcBorders>
            <w:shd w:val="clear" w:color="auto" w:fill="auto"/>
          </w:tcPr>
          <w:p w14:paraId="5137C80D" w14:textId="77777777" w:rsidR="00D75D67" w:rsidRPr="00757E3A" w:rsidRDefault="00D75D67" w:rsidP="00D75D67">
            <w:pPr>
              <w:spacing w:before="20" w:after="20"/>
              <w:rPr>
                <w:rFonts w:asciiTheme="majorHAnsi" w:hAnsiTheme="majorHAnsi" w:cstheme="majorHAnsi"/>
                <w:sz w:val="15"/>
                <w:szCs w:val="15"/>
              </w:rPr>
            </w:pPr>
            <w:r>
              <w:rPr>
                <w:rFonts w:asciiTheme="majorHAnsi" w:hAnsiTheme="majorHAnsi" w:cstheme="majorHAnsi"/>
                <w:sz w:val="15"/>
                <w:szCs w:val="15"/>
              </w:rPr>
              <w:t>High</w:t>
            </w:r>
          </w:p>
        </w:tc>
        <w:tc>
          <w:tcPr>
            <w:tcW w:w="267" w:type="pct"/>
            <w:tcBorders>
              <w:bottom w:val="single" w:sz="4" w:space="0" w:color="auto"/>
            </w:tcBorders>
            <w:shd w:val="clear" w:color="auto" w:fill="92D050"/>
          </w:tcPr>
          <w:p w14:paraId="64027456" w14:textId="77777777" w:rsidR="00D75D67" w:rsidRPr="00757E3A" w:rsidRDefault="00D75D67" w:rsidP="00D75D67">
            <w:pPr>
              <w:spacing w:before="20" w:after="20"/>
              <w:rPr>
                <w:rFonts w:asciiTheme="majorHAnsi" w:hAnsiTheme="majorHAnsi" w:cstheme="majorHAnsi"/>
                <w:sz w:val="15"/>
                <w:szCs w:val="15"/>
              </w:rPr>
            </w:pPr>
            <w:r>
              <w:rPr>
                <w:rFonts w:asciiTheme="majorHAnsi" w:hAnsiTheme="majorHAnsi" w:cstheme="majorHAnsi"/>
                <w:sz w:val="15"/>
                <w:szCs w:val="15"/>
              </w:rPr>
              <w:t>Low</w:t>
            </w:r>
          </w:p>
        </w:tc>
        <w:tc>
          <w:tcPr>
            <w:tcW w:w="279" w:type="pct"/>
            <w:tcBorders>
              <w:bottom w:val="single" w:sz="4" w:space="0" w:color="auto"/>
            </w:tcBorders>
            <w:shd w:val="clear" w:color="auto" w:fill="auto"/>
          </w:tcPr>
          <w:p w14:paraId="4D35EA5F" w14:textId="77777777" w:rsidR="00D75D67" w:rsidRPr="00757E3A" w:rsidRDefault="00D75D67" w:rsidP="00D75D67">
            <w:pPr>
              <w:spacing w:before="20" w:after="20"/>
              <w:rPr>
                <w:rFonts w:asciiTheme="majorHAnsi" w:hAnsiTheme="majorHAnsi" w:cstheme="majorHAnsi"/>
                <w:sz w:val="15"/>
                <w:szCs w:val="15"/>
              </w:rPr>
            </w:pPr>
            <w:r>
              <w:rPr>
                <w:rFonts w:asciiTheme="majorHAnsi" w:hAnsiTheme="majorHAnsi" w:cstheme="majorHAnsi"/>
                <w:sz w:val="15"/>
                <w:szCs w:val="15"/>
              </w:rPr>
              <w:t>Highly Likely</w:t>
            </w:r>
          </w:p>
        </w:tc>
        <w:tc>
          <w:tcPr>
            <w:tcW w:w="303" w:type="pct"/>
            <w:tcBorders>
              <w:bottom w:val="single" w:sz="4" w:space="0" w:color="auto"/>
            </w:tcBorders>
            <w:shd w:val="clear" w:color="auto" w:fill="auto"/>
          </w:tcPr>
          <w:p w14:paraId="286D2444" w14:textId="77777777" w:rsidR="00D75D67" w:rsidRPr="00757E3A" w:rsidRDefault="00D75D67" w:rsidP="00D75D67">
            <w:pPr>
              <w:spacing w:before="20" w:after="20"/>
              <w:rPr>
                <w:rFonts w:asciiTheme="majorHAnsi" w:hAnsiTheme="majorHAnsi" w:cstheme="majorHAnsi"/>
                <w:sz w:val="15"/>
                <w:szCs w:val="15"/>
              </w:rPr>
            </w:pPr>
            <w:r>
              <w:rPr>
                <w:rFonts w:asciiTheme="majorHAnsi" w:hAnsiTheme="majorHAnsi" w:cstheme="majorHAnsi"/>
                <w:sz w:val="15"/>
                <w:szCs w:val="15"/>
              </w:rPr>
              <w:t>Major</w:t>
            </w:r>
          </w:p>
        </w:tc>
        <w:tc>
          <w:tcPr>
            <w:tcW w:w="267" w:type="pct"/>
            <w:tcBorders>
              <w:bottom w:val="single" w:sz="4" w:space="0" w:color="auto"/>
            </w:tcBorders>
            <w:shd w:val="clear" w:color="auto" w:fill="FF0000"/>
          </w:tcPr>
          <w:p w14:paraId="7E1511CD" w14:textId="77777777" w:rsidR="00D75D67" w:rsidRPr="00757E3A" w:rsidRDefault="00D75D67" w:rsidP="00D75D67">
            <w:pPr>
              <w:spacing w:before="20" w:after="20"/>
              <w:rPr>
                <w:rFonts w:asciiTheme="majorHAnsi" w:hAnsiTheme="majorHAnsi" w:cstheme="majorHAnsi"/>
                <w:sz w:val="15"/>
                <w:szCs w:val="15"/>
              </w:rPr>
            </w:pPr>
            <w:r>
              <w:rPr>
                <w:rFonts w:asciiTheme="majorHAnsi" w:hAnsiTheme="majorHAnsi" w:cstheme="majorHAnsi"/>
                <w:sz w:val="15"/>
                <w:szCs w:val="15"/>
              </w:rPr>
              <w:t>Severe</w:t>
            </w:r>
          </w:p>
        </w:tc>
        <w:tc>
          <w:tcPr>
            <w:tcW w:w="966" w:type="pct"/>
            <w:vMerge/>
            <w:shd w:val="clear" w:color="auto" w:fill="auto"/>
          </w:tcPr>
          <w:p w14:paraId="0958E228" w14:textId="77777777" w:rsidR="00D75D67" w:rsidRPr="00757E3A" w:rsidRDefault="00D75D67" w:rsidP="00D75D67">
            <w:pPr>
              <w:spacing w:before="20" w:after="20"/>
              <w:rPr>
                <w:rFonts w:asciiTheme="majorHAnsi" w:hAnsiTheme="majorHAnsi" w:cstheme="majorHAnsi"/>
                <w:sz w:val="15"/>
                <w:szCs w:val="15"/>
              </w:rPr>
            </w:pPr>
          </w:p>
        </w:tc>
      </w:tr>
    </w:tbl>
    <w:p w14:paraId="4C5729D8" w14:textId="77777777" w:rsidR="006A6BDB" w:rsidRDefault="00022B37" w:rsidP="00022B37">
      <w:pPr>
        <w:rPr>
          <w:rFonts w:cs="Arial"/>
          <w:bCs/>
          <w:sz w:val="16"/>
          <w:szCs w:val="16"/>
        </w:rPr>
      </w:pPr>
      <w:r w:rsidRPr="00916BDF">
        <w:rPr>
          <w:rFonts w:cs="Arial"/>
          <w:bCs/>
          <w:sz w:val="16"/>
          <w:szCs w:val="16"/>
        </w:rPr>
        <w:t>* L=Likelihood, C=Consequence</w:t>
      </w:r>
      <w:r w:rsidR="001D2D22">
        <w:rPr>
          <w:rFonts w:cs="Arial"/>
          <w:bCs/>
          <w:sz w:val="16"/>
          <w:szCs w:val="16"/>
        </w:rPr>
        <w:t>.</w:t>
      </w:r>
    </w:p>
    <w:p w14:paraId="46ED2673" w14:textId="77777777" w:rsidR="006A2B9A" w:rsidRPr="00916BDF" w:rsidRDefault="006A2B9A" w:rsidP="00022B37">
      <w:pPr>
        <w:rPr>
          <w:rFonts w:cs="Arial"/>
          <w:bCs/>
          <w:sz w:val="16"/>
          <w:szCs w:val="16"/>
        </w:rPr>
      </w:pPr>
    </w:p>
    <w:p w14:paraId="12E8E199" w14:textId="77777777" w:rsidR="000B0C37" w:rsidRDefault="000B0C37" w:rsidP="000B0C37">
      <w:pPr>
        <w:keepNext/>
        <w:rPr>
          <w:b/>
        </w:rPr>
      </w:pPr>
      <w:r w:rsidRPr="0024211F">
        <w:rPr>
          <w:rFonts w:cs="Arial"/>
          <w:b/>
        </w:rPr>
        <w:t xml:space="preserve">Table </w:t>
      </w:r>
      <w:r w:rsidR="00555BD9">
        <w:rPr>
          <w:rFonts w:cs="Arial"/>
          <w:b/>
        </w:rPr>
        <w:t>C</w:t>
      </w:r>
      <w:r w:rsidR="003626DF">
        <w:rPr>
          <w:rFonts w:cs="Arial"/>
          <w:b/>
        </w:rPr>
        <w:t>.</w:t>
      </w:r>
      <w:r w:rsidR="000362F0">
        <w:rPr>
          <w:rFonts w:cs="Arial"/>
          <w:b/>
        </w:rPr>
        <w:t>6</w:t>
      </w:r>
      <w:r w:rsidRPr="0024211F">
        <w:rPr>
          <w:rFonts w:cs="Arial"/>
          <w:b/>
        </w:rPr>
        <w:t xml:space="preserve">: </w:t>
      </w:r>
      <w:r w:rsidR="000362F0">
        <w:rPr>
          <w:rFonts w:cs="Arial"/>
          <w:b/>
        </w:rPr>
        <w:t>Residual r</w:t>
      </w:r>
      <w:r w:rsidRPr="0024211F">
        <w:rPr>
          <w:b/>
        </w:rPr>
        <w:t>isk</w:t>
      </w:r>
      <w:r>
        <w:rPr>
          <w:b/>
        </w:rPr>
        <w:t xml:space="preserve">s associated with </w:t>
      </w:r>
      <w:r w:rsidR="000362F0">
        <w:rPr>
          <w:b/>
        </w:rPr>
        <w:t xml:space="preserve">the policy </w:t>
      </w:r>
      <w:r>
        <w:rPr>
          <w:b/>
        </w:rPr>
        <w:t>options</w:t>
      </w:r>
      <w:r w:rsidRPr="0024211F">
        <w:rPr>
          <w:b/>
        </w:rPr>
        <w:t xml:space="preserve"> </w:t>
      </w:r>
    </w:p>
    <w:tbl>
      <w:tblPr>
        <w:tblStyle w:val="TableGrid"/>
        <w:tblW w:w="5000" w:type="pct"/>
        <w:tblLayout w:type="fixed"/>
        <w:tblLook w:val="0420" w:firstRow="1" w:lastRow="0" w:firstColumn="0" w:lastColumn="0" w:noHBand="0" w:noVBand="1"/>
      </w:tblPr>
      <w:tblGrid>
        <w:gridCol w:w="3430"/>
        <w:gridCol w:w="3430"/>
        <w:gridCol w:w="3430"/>
        <w:gridCol w:w="3430"/>
      </w:tblGrid>
      <w:tr w:rsidR="00497924" w14:paraId="16B9A7CF" w14:textId="77777777" w:rsidTr="00497924">
        <w:trPr>
          <w:cnfStyle w:val="100000000000" w:firstRow="1" w:lastRow="0" w:firstColumn="0" w:lastColumn="0" w:oddVBand="0" w:evenVBand="0" w:oddHBand="0" w:evenHBand="0" w:firstRowFirstColumn="0" w:firstRowLastColumn="0" w:lastRowFirstColumn="0" w:lastRowLastColumn="0"/>
          <w:cantSplit/>
          <w:tblHeader/>
        </w:trPr>
        <w:tc>
          <w:tcPr>
            <w:tcW w:w="1250" w:type="pct"/>
            <w:shd w:val="clear" w:color="auto" w:fill="002060"/>
          </w:tcPr>
          <w:p w14:paraId="0B235991" w14:textId="77777777" w:rsidR="00497924" w:rsidRDefault="00497924" w:rsidP="006A2B9A">
            <w:pPr>
              <w:pStyle w:val="TableHeading"/>
              <w:spacing w:before="20" w:after="20"/>
              <w:rPr>
                <w:lang w:eastAsia="fr-CA"/>
              </w:rPr>
            </w:pPr>
            <w:bookmarkStart w:id="268" w:name="ReturnHere"/>
            <w:bookmarkEnd w:id="268"/>
            <w:r>
              <w:rPr>
                <w:lang w:eastAsia="fr-CA"/>
              </w:rPr>
              <w:t>Option</w:t>
            </w:r>
          </w:p>
        </w:tc>
        <w:tc>
          <w:tcPr>
            <w:tcW w:w="1250" w:type="pct"/>
            <w:shd w:val="clear" w:color="auto" w:fill="002060"/>
          </w:tcPr>
          <w:p w14:paraId="662FBEE1" w14:textId="77777777" w:rsidR="00497924" w:rsidRDefault="00497924" w:rsidP="006A2B9A">
            <w:pPr>
              <w:pStyle w:val="TableHeading"/>
              <w:spacing w:before="20" w:after="20"/>
              <w:rPr>
                <w:lang w:eastAsia="fr-CA"/>
              </w:rPr>
            </w:pPr>
            <w:r>
              <w:rPr>
                <w:lang w:eastAsia="fr-CA"/>
              </w:rPr>
              <w:t>Residual Risk Likelihood</w:t>
            </w:r>
          </w:p>
        </w:tc>
        <w:tc>
          <w:tcPr>
            <w:tcW w:w="1250" w:type="pct"/>
            <w:shd w:val="clear" w:color="auto" w:fill="002060"/>
          </w:tcPr>
          <w:p w14:paraId="50BAA836" w14:textId="77777777" w:rsidR="00497924" w:rsidRDefault="00497924" w:rsidP="006A2B9A">
            <w:pPr>
              <w:pStyle w:val="TableHeading"/>
              <w:spacing w:before="20" w:after="20"/>
              <w:rPr>
                <w:lang w:eastAsia="fr-CA"/>
              </w:rPr>
            </w:pPr>
            <w:r>
              <w:rPr>
                <w:lang w:eastAsia="fr-CA"/>
              </w:rPr>
              <w:t>Residual Risk Consequence</w:t>
            </w:r>
          </w:p>
        </w:tc>
        <w:tc>
          <w:tcPr>
            <w:tcW w:w="1250" w:type="pct"/>
            <w:shd w:val="clear" w:color="auto" w:fill="002060"/>
          </w:tcPr>
          <w:p w14:paraId="23D3FDBB" w14:textId="77777777" w:rsidR="00497924" w:rsidRDefault="00497924" w:rsidP="006A2B9A">
            <w:pPr>
              <w:pStyle w:val="TableHeading"/>
              <w:spacing w:before="20" w:after="20"/>
              <w:rPr>
                <w:lang w:eastAsia="fr-CA"/>
              </w:rPr>
            </w:pPr>
            <w:r>
              <w:rPr>
                <w:lang w:eastAsia="fr-CA"/>
              </w:rPr>
              <w:t>Residual Risk Rating</w:t>
            </w:r>
          </w:p>
        </w:tc>
      </w:tr>
      <w:tr w:rsidR="00497924" w14:paraId="11E6873D" w14:textId="77777777" w:rsidTr="00497924">
        <w:trPr>
          <w:cantSplit/>
        </w:trPr>
        <w:tc>
          <w:tcPr>
            <w:tcW w:w="1250" w:type="pct"/>
          </w:tcPr>
          <w:p w14:paraId="6B675E81" w14:textId="77777777" w:rsidR="00497924" w:rsidRDefault="00497924" w:rsidP="006A2B9A">
            <w:pPr>
              <w:pStyle w:val="TableBodyText"/>
              <w:spacing w:before="20" w:after="20"/>
              <w:rPr>
                <w:lang w:eastAsia="fr-CA"/>
              </w:rPr>
            </w:pPr>
            <w:r>
              <w:rPr>
                <w:lang w:eastAsia="fr-CA"/>
              </w:rPr>
              <w:t>Option 1</w:t>
            </w:r>
          </w:p>
        </w:tc>
        <w:tc>
          <w:tcPr>
            <w:tcW w:w="1250" w:type="pct"/>
          </w:tcPr>
          <w:p w14:paraId="77A15E71" w14:textId="77777777" w:rsidR="00497924" w:rsidRDefault="00497924" w:rsidP="006A2B9A">
            <w:pPr>
              <w:pStyle w:val="TableBodyText"/>
              <w:spacing w:before="20" w:after="20"/>
              <w:rPr>
                <w:lang w:eastAsia="fr-CA"/>
              </w:rPr>
            </w:pPr>
            <w:r>
              <w:rPr>
                <w:lang w:eastAsia="fr-CA"/>
              </w:rPr>
              <w:t>Possible to Highly Likely</w:t>
            </w:r>
          </w:p>
        </w:tc>
        <w:tc>
          <w:tcPr>
            <w:tcW w:w="1250" w:type="pct"/>
          </w:tcPr>
          <w:p w14:paraId="04B0FE54" w14:textId="77777777" w:rsidR="00497924" w:rsidRDefault="00851C52" w:rsidP="006A2B9A">
            <w:pPr>
              <w:pStyle w:val="TableBodyText"/>
              <w:spacing w:before="20" w:after="20"/>
              <w:rPr>
                <w:lang w:eastAsia="fr-CA"/>
              </w:rPr>
            </w:pPr>
            <w:r>
              <w:rPr>
                <w:lang w:eastAsia="fr-CA"/>
              </w:rPr>
              <w:t>Minor to Major</w:t>
            </w:r>
          </w:p>
        </w:tc>
        <w:tc>
          <w:tcPr>
            <w:tcW w:w="1250" w:type="pct"/>
          </w:tcPr>
          <w:p w14:paraId="151997F0" w14:textId="77777777" w:rsidR="00497924" w:rsidRDefault="00E81482" w:rsidP="006A2B9A">
            <w:pPr>
              <w:pStyle w:val="TableBodyText"/>
              <w:spacing w:before="20" w:after="20"/>
              <w:rPr>
                <w:lang w:eastAsia="fr-CA"/>
              </w:rPr>
            </w:pPr>
            <w:r>
              <w:rPr>
                <w:lang w:eastAsia="fr-CA"/>
              </w:rPr>
              <w:t>Medium to Severe</w:t>
            </w:r>
          </w:p>
        </w:tc>
      </w:tr>
      <w:tr w:rsidR="00497924" w14:paraId="2DDE086D" w14:textId="77777777" w:rsidTr="00497924">
        <w:trPr>
          <w:cnfStyle w:val="000000010000" w:firstRow="0" w:lastRow="0" w:firstColumn="0" w:lastColumn="0" w:oddVBand="0" w:evenVBand="0" w:oddHBand="0" w:evenHBand="1" w:firstRowFirstColumn="0" w:firstRowLastColumn="0" w:lastRowFirstColumn="0" w:lastRowLastColumn="0"/>
          <w:cantSplit/>
        </w:trPr>
        <w:tc>
          <w:tcPr>
            <w:tcW w:w="1250" w:type="pct"/>
          </w:tcPr>
          <w:p w14:paraId="53DEF9B7" w14:textId="77777777" w:rsidR="00497924" w:rsidRDefault="00497924" w:rsidP="006A2B9A">
            <w:pPr>
              <w:pStyle w:val="TableBodyText"/>
              <w:spacing w:before="20" w:after="20"/>
              <w:rPr>
                <w:lang w:eastAsia="fr-CA"/>
              </w:rPr>
            </w:pPr>
            <w:r>
              <w:rPr>
                <w:lang w:eastAsia="fr-CA"/>
              </w:rPr>
              <w:t>Option 2</w:t>
            </w:r>
          </w:p>
        </w:tc>
        <w:tc>
          <w:tcPr>
            <w:tcW w:w="1250" w:type="pct"/>
          </w:tcPr>
          <w:p w14:paraId="2C1EB10E" w14:textId="77777777" w:rsidR="00497924" w:rsidRDefault="00497924" w:rsidP="006A2B9A">
            <w:pPr>
              <w:pStyle w:val="TableBodyText"/>
              <w:spacing w:before="20" w:after="20"/>
              <w:rPr>
                <w:lang w:eastAsia="fr-CA"/>
              </w:rPr>
            </w:pPr>
            <w:r>
              <w:rPr>
                <w:lang w:eastAsia="fr-CA"/>
              </w:rPr>
              <w:t xml:space="preserve">Rare to </w:t>
            </w:r>
            <w:r w:rsidR="005E4952">
              <w:rPr>
                <w:lang w:eastAsia="fr-CA"/>
              </w:rPr>
              <w:t>Likely</w:t>
            </w:r>
          </w:p>
        </w:tc>
        <w:tc>
          <w:tcPr>
            <w:tcW w:w="1250" w:type="pct"/>
          </w:tcPr>
          <w:p w14:paraId="307B3C2E" w14:textId="77777777" w:rsidR="00497924" w:rsidRDefault="00851C52" w:rsidP="006A2B9A">
            <w:pPr>
              <w:pStyle w:val="TableBodyText"/>
              <w:spacing w:before="20" w:after="20"/>
              <w:rPr>
                <w:lang w:eastAsia="fr-CA"/>
              </w:rPr>
            </w:pPr>
            <w:r>
              <w:rPr>
                <w:lang w:eastAsia="fr-CA"/>
              </w:rPr>
              <w:t>Minor to Major</w:t>
            </w:r>
          </w:p>
        </w:tc>
        <w:tc>
          <w:tcPr>
            <w:tcW w:w="1250" w:type="pct"/>
          </w:tcPr>
          <w:p w14:paraId="02C07F3D" w14:textId="77777777" w:rsidR="00497924" w:rsidRDefault="00E81482" w:rsidP="006A2B9A">
            <w:pPr>
              <w:pStyle w:val="TableBodyText"/>
              <w:spacing w:before="20" w:after="20"/>
              <w:rPr>
                <w:lang w:eastAsia="fr-CA"/>
              </w:rPr>
            </w:pPr>
            <w:r>
              <w:rPr>
                <w:lang w:eastAsia="fr-CA"/>
              </w:rPr>
              <w:t xml:space="preserve">Low to High </w:t>
            </w:r>
          </w:p>
        </w:tc>
      </w:tr>
      <w:tr w:rsidR="00497924" w14:paraId="13BAF6F2" w14:textId="77777777" w:rsidTr="00497924">
        <w:trPr>
          <w:cantSplit/>
        </w:trPr>
        <w:tc>
          <w:tcPr>
            <w:tcW w:w="1250" w:type="pct"/>
          </w:tcPr>
          <w:p w14:paraId="39F5F918" w14:textId="77777777" w:rsidR="00497924" w:rsidRDefault="00497924" w:rsidP="006A2B9A">
            <w:pPr>
              <w:pStyle w:val="TableBodyText"/>
              <w:spacing w:before="20" w:after="20"/>
              <w:rPr>
                <w:lang w:eastAsia="fr-CA"/>
              </w:rPr>
            </w:pPr>
            <w:r>
              <w:rPr>
                <w:lang w:eastAsia="fr-CA"/>
              </w:rPr>
              <w:t>Option 3A</w:t>
            </w:r>
          </w:p>
        </w:tc>
        <w:tc>
          <w:tcPr>
            <w:tcW w:w="1250" w:type="pct"/>
          </w:tcPr>
          <w:p w14:paraId="2C61E0BE" w14:textId="77777777" w:rsidR="00497924" w:rsidRDefault="005E4952" w:rsidP="006A2B9A">
            <w:pPr>
              <w:pStyle w:val="TableBodyText"/>
              <w:spacing w:before="20" w:after="20"/>
              <w:rPr>
                <w:lang w:eastAsia="fr-CA"/>
              </w:rPr>
            </w:pPr>
            <w:r>
              <w:rPr>
                <w:lang w:eastAsia="fr-CA"/>
              </w:rPr>
              <w:t>Rare to Possible</w:t>
            </w:r>
          </w:p>
        </w:tc>
        <w:tc>
          <w:tcPr>
            <w:tcW w:w="1250" w:type="pct"/>
          </w:tcPr>
          <w:p w14:paraId="41F79664" w14:textId="77777777" w:rsidR="00497924" w:rsidRDefault="00E81482" w:rsidP="006A2B9A">
            <w:pPr>
              <w:pStyle w:val="TableBodyText"/>
              <w:spacing w:before="20" w:after="20"/>
              <w:rPr>
                <w:lang w:eastAsia="fr-CA"/>
              </w:rPr>
            </w:pPr>
            <w:r>
              <w:rPr>
                <w:lang w:eastAsia="fr-CA"/>
              </w:rPr>
              <w:t>Minor to Major</w:t>
            </w:r>
          </w:p>
        </w:tc>
        <w:tc>
          <w:tcPr>
            <w:tcW w:w="1250" w:type="pct"/>
          </w:tcPr>
          <w:p w14:paraId="52514B1A" w14:textId="77777777" w:rsidR="00497924" w:rsidRDefault="006A2B9A" w:rsidP="006A2B9A">
            <w:pPr>
              <w:pStyle w:val="TableBodyText"/>
              <w:spacing w:before="20" w:after="20"/>
              <w:rPr>
                <w:lang w:eastAsia="fr-CA"/>
              </w:rPr>
            </w:pPr>
            <w:r>
              <w:rPr>
                <w:lang w:eastAsia="fr-CA"/>
              </w:rPr>
              <w:t>Low to Medium</w:t>
            </w:r>
          </w:p>
        </w:tc>
      </w:tr>
      <w:tr w:rsidR="00497924" w14:paraId="1BAF5DC2" w14:textId="77777777" w:rsidTr="00497924">
        <w:trPr>
          <w:cnfStyle w:val="000000010000" w:firstRow="0" w:lastRow="0" w:firstColumn="0" w:lastColumn="0" w:oddVBand="0" w:evenVBand="0" w:oddHBand="0" w:evenHBand="1" w:firstRowFirstColumn="0" w:firstRowLastColumn="0" w:lastRowFirstColumn="0" w:lastRowLastColumn="0"/>
          <w:cantSplit/>
        </w:trPr>
        <w:tc>
          <w:tcPr>
            <w:tcW w:w="1250" w:type="pct"/>
          </w:tcPr>
          <w:p w14:paraId="06A054DE" w14:textId="77777777" w:rsidR="00497924" w:rsidRDefault="00497924" w:rsidP="006A2B9A">
            <w:pPr>
              <w:pStyle w:val="TableBodyText"/>
              <w:spacing w:before="20" w:after="20"/>
              <w:rPr>
                <w:lang w:eastAsia="fr-CA"/>
              </w:rPr>
            </w:pPr>
            <w:r>
              <w:rPr>
                <w:lang w:eastAsia="fr-CA"/>
              </w:rPr>
              <w:t>Option 3B</w:t>
            </w:r>
          </w:p>
        </w:tc>
        <w:tc>
          <w:tcPr>
            <w:tcW w:w="1250" w:type="pct"/>
          </w:tcPr>
          <w:p w14:paraId="4FE48FE8" w14:textId="77777777" w:rsidR="00497924" w:rsidRDefault="00851C52" w:rsidP="006A2B9A">
            <w:pPr>
              <w:pStyle w:val="TableBodyText"/>
              <w:spacing w:before="20" w:after="20"/>
              <w:rPr>
                <w:lang w:eastAsia="fr-CA"/>
              </w:rPr>
            </w:pPr>
            <w:r>
              <w:rPr>
                <w:lang w:eastAsia="fr-CA"/>
              </w:rPr>
              <w:t>Rare to Possible</w:t>
            </w:r>
          </w:p>
        </w:tc>
        <w:tc>
          <w:tcPr>
            <w:tcW w:w="1250" w:type="pct"/>
          </w:tcPr>
          <w:p w14:paraId="0E718728" w14:textId="77777777" w:rsidR="00497924" w:rsidRDefault="00E81482" w:rsidP="006A2B9A">
            <w:pPr>
              <w:pStyle w:val="TableBodyText"/>
              <w:spacing w:before="20" w:after="20"/>
              <w:rPr>
                <w:lang w:eastAsia="fr-CA"/>
              </w:rPr>
            </w:pPr>
            <w:r>
              <w:rPr>
                <w:lang w:eastAsia="fr-CA"/>
              </w:rPr>
              <w:t>Minor to Major</w:t>
            </w:r>
          </w:p>
        </w:tc>
        <w:tc>
          <w:tcPr>
            <w:tcW w:w="1250" w:type="pct"/>
          </w:tcPr>
          <w:p w14:paraId="345AD523" w14:textId="77777777" w:rsidR="00497924" w:rsidRDefault="006A2B9A" w:rsidP="006A2B9A">
            <w:pPr>
              <w:pStyle w:val="TableBodyText"/>
              <w:spacing w:before="20" w:after="20"/>
              <w:rPr>
                <w:lang w:eastAsia="fr-CA"/>
              </w:rPr>
            </w:pPr>
            <w:r>
              <w:rPr>
                <w:lang w:eastAsia="fr-CA"/>
              </w:rPr>
              <w:t xml:space="preserve">Low to Medium </w:t>
            </w:r>
          </w:p>
        </w:tc>
      </w:tr>
      <w:tr w:rsidR="00497924" w14:paraId="1C64CF2E" w14:textId="77777777" w:rsidTr="00497924">
        <w:trPr>
          <w:cantSplit/>
        </w:trPr>
        <w:tc>
          <w:tcPr>
            <w:tcW w:w="1250" w:type="pct"/>
          </w:tcPr>
          <w:p w14:paraId="31AC9E3D" w14:textId="77777777" w:rsidR="00497924" w:rsidRDefault="00497924" w:rsidP="006A2B9A">
            <w:pPr>
              <w:pStyle w:val="TableBodyText"/>
              <w:spacing w:before="20" w:after="20"/>
              <w:rPr>
                <w:lang w:eastAsia="fr-CA"/>
              </w:rPr>
            </w:pPr>
            <w:r>
              <w:rPr>
                <w:lang w:eastAsia="fr-CA"/>
              </w:rPr>
              <w:t>Option 4</w:t>
            </w:r>
          </w:p>
        </w:tc>
        <w:tc>
          <w:tcPr>
            <w:tcW w:w="1250" w:type="pct"/>
          </w:tcPr>
          <w:p w14:paraId="463F5DEE" w14:textId="77777777" w:rsidR="00497924" w:rsidRDefault="00851C52" w:rsidP="006A2B9A">
            <w:pPr>
              <w:pStyle w:val="TableBodyText"/>
              <w:spacing w:before="20" w:after="20"/>
              <w:rPr>
                <w:lang w:eastAsia="fr-CA"/>
              </w:rPr>
            </w:pPr>
            <w:r>
              <w:rPr>
                <w:lang w:eastAsia="fr-CA"/>
              </w:rPr>
              <w:t xml:space="preserve">Rare to Highly Likely </w:t>
            </w:r>
            <w:r w:rsidR="00497924">
              <w:rPr>
                <w:lang w:eastAsia="fr-CA"/>
              </w:rPr>
              <w:t xml:space="preserve"> </w:t>
            </w:r>
          </w:p>
        </w:tc>
        <w:tc>
          <w:tcPr>
            <w:tcW w:w="1250" w:type="pct"/>
          </w:tcPr>
          <w:p w14:paraId="08035027" w14:textId="77777777" w:rsidR="00497924" w:rsidRDefault="00E81482" w:rsidP="006A2B9A">
            <w:pPr>
              <w:pStyle w:val="TableBodyText"/>
              <w:spacing w:before="20" w:after="20"/>
              <w:rPr>
                <w:lang w:eastAsia="fr-CA"/>
              </w:rPr>
            </w:pPr>
            <w:r>
              <w:rPr>
                <w:lang w:eastAsia="fr-CA"/>
              </w:rPr>
              <w:t>Minor to Major</w:t>
            </w:r>
          </w:p>
        </w:tc>
        <w:tc>
          <w:tcPr>
            <w:tcW w:w="1250" w:type="pct"/>
          </w:tcPr>
          <w:p w14:paraId="02268FBC" w14:textId="77777777" w:rsidR="00497924" w:rsidRDefault="006A2B9A" w:rsidP="006A2B9A">
            <w:pPr>
              <w:pStyle w:val="TableBodyText"/>
              <w:spacing w:before="20" w:after="20"/>
              <w:rPr>
                <w:lang w:eastAsia="fr-CA"/>
              </w:rPr>
            </w:pPr>
            <w:r>
              <w:rPr>
                <w:lang w:eastAsia="fr-CA"/>
              </w:rPr>
              <w:t>Low to Severe</w:t>
            </w:r>
          </w:p>
        </w:tc>
      </w:tr>
      <w:bookmarkEnd w:id="242"/>
    </w:tbl>
    <w:p w14:paraId="626CCDCF" w14:textId="77777777" w:rsidR="000B0C37" w:rsidRDefault="000B0C37">
      <w:pPr>
        <w:rPr>
          <w:lang w:eastAsia="en-US"/>
        </w:rPr>
      </w:pPr>
    </w:p>
    <w:p w14:paraId="03207497" w14:textId="77777777" w:rsidR="000B0C37" w:rsidRPr="006B4639" w:rsidRDefault="000B0C37">
      <w:pPr>
        <w:rPr>
          <w:lang w:eastAsia="en-US"/>
        </w:rPr>
        <w:sectPr w:rsidR="000B0C37" w:rsidRPr="006B4639" w:rsidSect="00B64524">
          <w:pgSz w:w="16839" w:h="11907" w:orient="landscape" w:code="9"/>
          <w:pgMar w:top="993" w:right="1418" w:bottom="709" w:left="1701" w:header="567" w:footer="397" w:gutter="0"/>
          <w:cols w:space="708"/>
          <w:docGrid w:linePitch="360"/>
        </w:sectPr>
      </w:pPr>
    </w:p>
    <w:p w14:paraId="0F257809" w14:textId="77777777" w:rsidR="00826E80" w:rsidRDefault="00C86421" w:rsidP="00ED5D3E">
      <w:pPr>
        <w:pStyle w:val="Heading9"/>
        <w:spacing w:before="0"/>
      </w:pPr>
      <w:bookmarkStart w:id="269" w:name="_Toc62219440"/>
      <w:r>
        <w:lastRenderedPageBreak/>
        <w:t xml:space="preserve">CBA </w:t>
      </w:r>
      <w:r w:rsidR="00DA192F">
        <w:t>q</w:t>
      </w:r>
      <w:r>
        <w:t>uantitative analysis</w:t>
      </w:r>
      <w:bookmarkEnd w:id="269"/>
    </w:p>
    <w:p w14:paraId="2B7AA712" w14:textId="77777777" w:rsidR="00171EB0" w:rsidRDefault="00EE6D30" w:rsidP="00EE6D30">
      <w:pPr>
        <w:pStyle w:val="BodyText"/>
        <w:rPr>
          <w:lang w:eastAsia="en-US"/>
        </w:rPr>
      </w:pPr>
      <w:r>
        <w:rPr>
          <w:lang w:eastAsia="en-US"/>
        </w:rPr>
        <w:t xml:space="preserve">This appendix provides further detail on </w:t>
      </w:r>
      <w:r w:rsidR="008029B1">
        <w:rPr>
          <w:lang w:eastAsia="en-US"/>
        </w:rPr>
        <w:t xml:space="preserve">the quantitative analysis carried out </w:t>
      </w:r>
      <w:r w:rsidR="00171EB0">
        <w:rPr>
          <w:lang w:eastAsia="en-US"/>
        </w:rPr>
        <w:t xml:space="preserve">by PwC </w:t>
      </w:r>
      <w:r w:rsidR="008029B1">
        <w:rPr>
          <w:lang w:eastAsia="en-US"/>
        </w:rPr>
        <w:t xml:space="preserve">as part of the CBA for those </w:t>
      </w:r>
      <w:r>
        <w:rPr>
          <w:lang w:eastAsia="en-US"/>
        </w:rPr>
        <w:t xml:space="preserve">costs and benefits </w:t>
      </w:r>
      <w:r w:rsidR="008029B1">
        <w:rPr>
          <w:lang w:eastAsia="en-US"/>
        </w:rPr>
        <w:t>where it was possible to quantify</w:t>
      </w:r>
      <w:r w:rsidR="00171EB0">
        <w:rPr>
          <w:lang w:eastAsia="en-US"/>
        </w:rPr>
        <w:t>.</w:t>
      </w:r>
    </w:p>
    <w:p w14:paraId="1B68380E" w14:textId="77777777" w:rsidR="00171EB0" w:rsidRDefault="001A440E" w:rsidP="001A440E">
      <w:pPr>
        <w:pStyle w:val="AppendixHeading2"/>
      </w:pPr>
      <w:r>
        <w:t>Quantified costs</w:t>
      </w:r>
    </w:p>
    <w:p w14:paraId="083B34C0" w14:textId="77777777" w:rsidR="001A440E" w:rsidRPr="0089087F" w:rsidRDefault="00956B7A" w:rsidP="001A440E">
      <w:pPr>
        <w:pStyle w:val="BodyText"/>
      </w:pPr>
      <w:r>
        <w:t>The table below provides a summary of the costs that were identified in consultation with stakeholders and quantified as part of the CBA</w:t>
      </w:r>
      <w:r w:rsidR="001A440E" w:rsidRPr="0089087F">
        <w:t>:</w:t>
      </w:r>
    </w:p>
    <w:p w14:paraId="62635E0C" w14:textId="77777777" w:rsidR="001A440E" w:rsidRPr="00F81C59" w:rsidRDefault="001A440E" w:rsidP="001A440E">
      <w:pPr>
        <w:pStyle w:val="Caption"/>
        <w:spacing w:after="0"/>
        <w:rPr>
          <w:sz w:val="13"/>
        </w:rPr>
      </w:pPr>
      <w:r>
        <w:t xml:space="preserve">Table D.1: Categories of costs arising from changes in regulation </w:t>
      </w:r>
    </w:p>
    <w:tbl>
      <w:tblPr>
        <w:tblStyle w:val="TableGrid"/>
        <w:tblW w:w="5000" w:type="pct"/>
        <w:tblLook w:val="0420" w:firstRow="1" w:lastRow="0" w:firstColumn="0" w:lastColumn="0" w:noHBand="0" w:noVBand="1"/>
      </w:tblPr>
      <w:tblGrid>
        <w:gridCol w:w="1789"/>
        <w:gridCol w:w="2160"/>
        <w:gridCol w:w="2331"/>
        <w:gridCol w:w="2508"/>
      </w:tblGrid>
      <w:tr w:rsidR="001A440E" w:rsidRPr="001A440E" w14:paraId="1FA0BBAC" w14:textId="77777777" w:rsidTr="001A440E">
        <w:trPr>
          <w:cnfStyle w:val="100000000000" w:firstRow="1" w:lastRow="0" w:firstColumn="0" w:lastColumn="0" w:oddVBand="0" w:evenVBand="0" w:oddHBand="0" w:evenHBand="0" w:firstRowFirstColumn="0" w:firstRowLastColumn="0" w:lastRowFirstColumn="0" w:lastRowLastColumn="0"/>
          <w:tblHeader/>
        </w:trPr>
        <w:tc>
          <w:tcPr>
            <w:tcW w:w="1018" w:type="pct"/>
            <w:shd w:val="clear" w:color="auto" w:fill="002060"/>
          </w:tcPr>
          <w:p w14:paraId="191BEA53" w14:textId="77777777" w:rsidR="001A440E" w:rsidRPr="001A440E" w:rsidRDefault="001A440E" w:rsidP="001A440E">
            <w:pPr>
              <w:pStyle w:val="TableHeading"/>
              <w:rPr>
                <w:sz w:val="16"/>
                <w:szCs w:val="16"/>
              </w:rPr>
            </w:pPr>
          </w:p>
        </w:tc>
        <w:tc>
          <w:tcPr>
            <w:tcW w:w="1229" w:type="pct"/>
            <w:shd w:val="clear" w:color="auto" w:fill="002060"/>
          </w:tcPr>
          <w:p w14:paraId="5EF91E35" w14:textId="77777777" w:rsidR="001A440E" w:rsidRPr="001A440E" w:rsidRDefault="001A440E" w:rsidP="001A440E">
            <w:pPr>
              <w:pStyle w:val="TableHeading"/>
              <w:rPr>
                <w:sz w:val="16"/>
                <w:szCs w:val="16"/>
              </w:rPr>
            </w:pPr>
            <w:r w:rsidRPr="001A440E">
              <w:rPr>
                <w:sz w:val="16"/>
                <w:szCs w:val="16"/>
              </w:rPr>
              <w:t>Service providers</w:t>
            </w:r>
          </w:p>
        </w:tc>
        <w:tc>
          <w:tcPr>
            <w:tcW w:w="1326" w:type="pct"/>
            <w:shd w:val="clear" w:color="auto" w:fill="002060"/>
          </w:tcPr>
          <w:p w14:paraId="1608CFF7" w14:textId="77777777" w:rsidR="001A440E" w:rsidRPr="001A440E" w:rsidRDefault="001A440E" w:rsidP="001A440E">
            <w:pPr>
              <w:pStyle w:val="TableHeading"/>
              <w:rPr>
                <w:sz w:val="16"/>
                <w:szCs w:val="16"/>
              </w:rPr>
            </w:pPr>
            <w:r w:rsidRPr="001A440E">
              <w:rPr>
                <w:sz w:val="16"/>
                <w:szCs w:val="16"/>
              </w:rPr>
              <w:t>Shippers</w:t>
            </w:r>
          </w:p>
        </w:tc>
        <w:tc>
          <w:tcPr>
            <w:tcW w:w="1427" w:type="pct"/>
            <w:shd w:val="clear" w:color="auto" w:fill="002060"/>
          </w:tcPr>
          <w:p w14:paraId="6B1F021B" w14:textId="77777777" w:rsidR="001A440E" w:rsidRPr="001A440E" w:rsidRDefault="001A440E" w:rsidP="001A440E">
            <w:pPr>
              <w:pStyle w:val="TableHeading"/>
              <w:rPr>
                <w:sz w:val="16"/>
                <w:szCs w:val="16"/>
              </w:rPr>
            </w:pPr>
            <w:r w:rsidRPr="001A440E">
              <w:rPr>
                <w:sz w:val="16"/>
                <w:szCs w:val="16"/>
              </w:rPr>
              <w:t>Regulators</w:t>
            </w:r>
            <w:r w:rsidRPr="001A440E">
              <w:rPr>
                <w:sz w:val="16"/>
                <w:szCs w:val="16"/>
                <w:vertAlign w:val="superscript"/>
              </w:rPr>
              <w:t>a</w:t>
            </w:r>
          </w:p>
        </w:tc>
      </w:tr>
      <w:tr w:rsidR="001A440E" w:rsidRPr="001A440E" w14:paraId="1CB9636E" w14:textId="77777777" w:rsidTr="001A440E">
        <w:tc>
          <w:tcPr>
            <w:tcW w:w="1018" w:type="pct"/>
          </w:tcPr>
          <w:p w14:paraId="744C84AE" w14:textId="77777777" w:rsidR="001A440E" w:rsidRPr="001A440E" w:rsidRDefault="001A440E" w:rsidP="001A440E">
            <w:pPr>
              <w:pStyle w:val="TableBodyText"/>
              <w:rPr>
                <w:b/>
                <w:szCs w:val="18"/>
              </w:rPr>
            </w:pPr>
            <w:r w:rsidRPr="001A440E">
              <w:rPr>
                <w:b/>
                <w:szCs w:val="18"/>
              </w:rPr>
              <w:t>Implementation costs</w:t>
            </w:r>
          </w:p>
        </w:tc>
        <w:tc>
          <w:tcPr>
            <w:tcW w:w="2555" w:type="pct"/>
            <w:gridSpan w:val="2"/>
          </w:tcPr>
          <w:p w14:paraId="368B0730" w14:textId="77777777" w:rsidR="001A440E" w:rsidRPr="001A440E" w:rsidRDefault="001A440E" w:rsidP="001A440E">
            <w:pPr>
              <w:pStyle w:val="TableBodyText"/>
              <w:rPr>
                <w:szCs w:val="18"/>
              </w:rPr>
            </w:pPr>
            <w:r w:rsidRPr="001A440E">
              <w:rPr>
                <w:szCs w:val="18"/>
              </w:rPr>
              <w:t>Upfront administrative (staff and IT) costs and external consultancy costs for adapting to new forms of regulation</w:t>
            </w:r>
          </w:p>
        </w:tc>
        <w:tc>
          <w:tcPr>
            <w:tcW w:w="1427" w:type="pct"/>
          </w:tcPr>
          <w:p w14:paraId="0E9F9F92" w14:textId="77777777" w:rsidR="001A440E" w:rsidRPr="001A440E" w:rsidRDefault="001A440E" w:rsidP="001A440E">
            <w:pPr>
              <w:pStyle w:val="TableBodyText"/>
              <w:rPr>
                <w:szCs w:val="18"/>
              </w:rPr>
            </w:pPr>
            <w:r w:rsidRPr="001A440E">
              <w:rPr>
                <w:szCs w:val="18"/>
              </w:rPr>
              <w:t>Staff effort to make form of regulation and other decisions</w:t>
            </w:r>
            <w:r w:rsidRPr="001A440E">
              <w:rPr>
                <w:szCs w:val="18"/>
                <w:vertAlign w:val="superscript"/>
              </w:rPr>
              <w:t>b</w:t>
            </w:r>
          </w:p>
        </w:tc>
      </w:tr>
      <w:tr w:rsidR="001A440E" w:rsidRPr="001A440E" w14:paraId="08727856" w14:textId="77777777" w:rsidTr="001A440E">
        <w:trPr>
          <w:cnfStyle w:val="000000010000" w:firstRow="0" w:lastRow="0" w:firstColumn="0" w:lastColumn="0" w:oddVBand="0" w:evenVBand="0" w:oddHBand="0" w:evenHBand="1" w:firstRowFirstColumn="0" w:firstRowLastColumn="0" w:lastRowFirstColumn="0" w:lastRowLastColumn="0"/>
        </w:trPr>
        <w:tc>
          <w:tcPr>
            <w:tcW w:w="1018" w:type="pct"/>
          </w:tcPr>
          <w:p w14:paraId="0F284011" w14:textId="77777777" w:rsidR="001A440E" w:rsidRPr="001A440E" w:rsidRDefault="001A440E" w:rsidP="001A440E">
            <w:pPr>
              <w:pStyle w:val="TableBodyText"/>
              <w:rPr>
                <w:b/>
                <w:szCs w:val="18"/>
              </w:rPr>
            </w:pPr>
            <w:r w:rsidRPr="001A440E">
              <w:rPr>
                <w:b/>
                <w:szCs w:val="18"/>
              </w:rPr>
              <w:t>Access costs</w:t>
            </w:r>
          </w:p>
        </w:tc>
        <w:tc>
          <w:tcPr>
            <w:tcW w:w="1229" w:type="pct"/>
          </w:tcPr>
          <w:p w14:paraId="162E7C22" w14:textId="77777777" w:rsidR="001A440E" w:rsidRPr="001A440E" w:rsidRDefault="001A440E" w:rsidP="001A440E">
            <w:pPr>
              <w:pStyle w:val="TableBodyText"/>
              <w:rPr>
                <w:szCs w:val="18"/>
              </w:rPr>
            </w:pPr>
            <w:r w:rsidRPr="001A440E">
              <w:rPr>
                <w:szCs w:val="18"/>
              </w:rPr>
              <w:t xml:space="preserve">Ongoing administrative (staff and IT) costs to prepare access under </w:t>
            </w:r>
            <w:r w:rsidR="00531979">
              <w:rPr>
                <w:szCs w:val="18"/>
              </w:rPr>
              <w:t>stronger</w:t>
            </w:r>
            <w:r w:rsidRPr="001A440E">
              <w:rPr>
                <w:szCs w:val="18"/>
              </w:rPr>
              <w:t xml:space="preserve"> form of regulation</w:t>
            </w:r>
          </w:p>
        </w:tc>
        <w:tc>
          <w:tcPr>
            <w:tcW w:w="1326" w:type="pct"/>
          </w:tcPr>
          <w:p w14:paraId="105CE16C" w14:textId="77777777" w:rsidR="001A440E" w:rsidRPr="001A440E" w:rsidRDefault="001A440E" w:rsidP="001A440E">
            <w:pPr>
              <w:pStyle w:val="TableBodyText"/>
              <w:rPr>
                <w:szCs w:val="18"/>
              </w:rPr>
            </w:pPr>
            <w:r w:rsidRPr="001A440E">
              <w:rPr>
                <w:szCs w:val="18"/>
              </w:rPr>
              <w:t>Possible fall in administrative (staff) costs to request access</w:t>
            </w:r>
            <w:r w:rsidR="00D2661F">
              <w:rPr>
                <w:szCs w:val="18"/>
              </w:rPr>
              <w:t xml:space="preserve"> (accounted for in the simplification of regulatory framework)</w:t>
            </w:r>
          </w:p>
        </w:tc>
        <w:tc>
          <w:tcPr>
            <w:tcW w:w="1427" w:type="pct"/>
          </w:tcPr>
          <w:p w14:paraId="5640A122" w14:textId="77777777" w:rsidR="001A440E" w:rsidRPr="001A440E" w:rsidRDefault="001A440E" w:rsidP="001A440E">
            <w:pPr>
              <w:pStyle w:val="TableBodyText"/>
              <w:rPr>
                <w:szCs w:val="18"/>
              </w:rPr>
            </w:pPr>
            <w:r w:rsidRPr="001A440E">
              <w:rPr>
                <w:szCs w:val="18"/>
              </w:rPr>
              <w:t>Ongoing administrative (staff and IT) costs to support access arrangements</w:t>
            </w:r>
          </w:p>
        </w:tc>
      </w:tr>
      <w:tr w:rsidR="001A440E" w:rsidRPr="001A440E" w14:paraId="3E0483C5" w14:textId="77777777" w:rsidTr="001A440E">
        <w:tc>
          <w:tcPr>
            <w:tcW w:w="1018" w:type="pct"/>
          </w:tcPr>
          <w:p w14:paraId="2A7F2CB2" w14:textId="77777777" w:rsidR="001A440E" w:rsidRPr="001A440E" w:rsidRDefault="001A440E" w:rsidP="001A440E">
            <w:pPr>
              <w:pStyle w:val="TableBodyText"/>
              <w:rPr>
                <w:b/>
                <w:szCs w:val="18"/>
              </w:rPr>
            </w:pPr>
            <w:r w:rsidRPr="001A440E">
              <w:rPr>
                <w:b/>
                <w:szCs w:val="18"/>
              </w:rPr>
              <w:t>Information disclosure</w:t>
            </w:r>
            <w:r w:rsidR="00A8431E">
              <w:rPr>
                <w:b/>
                <w:szCs w:val="18"/>
              </w:rPr>
              <w:t xml:space="preserve"> for service providers and monitoring and referral functions for regulators</w:t>
            </w:r>
          </w:p>
        </w:tc>
        <w:tc>
          <w:tcPr>
            <w:tcW w:w="1229" w:type="pct"/>
          </w:tcPr>
          <w:p w14:paraId="6BE27E01" w14:textId="77777777" w:rsidR="001A440E" w:rsidRPr="001A440E" w:rsidRDefault="001A440E" w:rsidP="001A440E">
            <w:pPr>
              <w:pStyle w:val="TableBodyText"/>
              <w:rPr>
                <w:szCs w:val="18"/>
              </w:rPr>
            </w:pPr>
            <w:r w:rsidRPr="001A440E">
              <w:rPr>
                <w:szCs w:val="18"/>
              </w:rPr>
              <w:t>Ongoing administrative (staff and IT) costs to prepare additional reporting requirements</w:t>
            </w:r>
          </w:p>
        </w:tc>
        <w:tc>
          <w:tcPr>
            <w:tcW w:w="1326" w:type="pct"/>
          </w:tcPr>
          <w:p w14:paraId="6B08E84B" w14:textId="77777777" w:rsidR="001A440E" w:rsidRPr="001A440E" w:rsidRDefault="001A440E" w:rsidP="001A440E">
            <w:pPr>
              <w:pStyle w:val="TableBodyText"/>
              <w:rPr>
                <w:szCs w:val="18"/>
              </w:rPr>
            </w:pPr>
            <w:r w:rsidRPr="001A440E">
              <w:rPr>
                <w:szCs w:val="18"/>
              </w:rPr>
              <w:t>Not applicable</w:t>
            </w:r>
          </w:p>
        </w:tc>
        <w:tc>
          <w:tcPr>
            <w:tcW w:w="1427" w:type="pct"/>
          </w:tcPr>
          <w:p w14:paraId="4FC46FDE" w14:textId="77777777" w:rsidR="001A440E" w:rsidRPr="001A440E" w:rsidRDefault="001A440E" w:rsidP="001A440E">
            <w:pPr>
              <w:pStyle w:val="TableBodyText"/>
              <w:rPr>
                <w:szCs w:val="18"/>
              </w:rPr>
            </w:pPr>
            <w:r w:rsidRPr="001A440E">
              <w:rPr>
                <w:szCs w:val="18"/>
              </w:rPr>
              <w:t>Ongoing administrative (staff and IT) costs to support additional monitoring requirements</w:t>
            </w:r>
          </w:p>
        </w:tc>
      </w:tr>
      <w:tr w:rsidR="001A440E" w:rsidRPr="001A440E" w14:paraId="030B86CA" w14:textId="77777777" w:rsidTr="001A440E">
        <w:trPr>
          <w:cnfStyle w:val="000000010000" w:firstRow="0" w:lastRow="0" w:firstColumn="0" w:lastColumn="0" w:oddVBand="0" w:evenVBand="0" w:oddHBand="0" w:evenHBand="1" w:firstRowFirstColumn="0" w:firstRowLastColumn="0" w:lastRowFirstColumn="0" w:lastRowLastColumn="0"/>
        </w:trPr>
        <w:tc>
          <w:tcPr>
            <w:tcW w:w="1018" w:type="pct"/>
          </w:tcPr>
          <w:p w14:paraId="4E3FFA87" w14:textId="77777777" w:rsidR="001A440E" w:rsidRPr="001A440E" w:rsidRDefault="001A440E" w:rsidP="001A440E">
            <w:pPr>
              <w:pStyle w:val="TableBodyText"/>
              <w:rPr>
                <w:b/>
                <w:szCs w:val="18"/>
              </w:rPr>
            </w:pPr>
            <w:r>
              <w:rPr>
                <w:b/>
                <w:szCs w:val="18"/>
              </w:rPr>
              <w:t xml:space="preserve">Arbitration </w:t>
            </w:r>
          </w:p>
        </w:tc>
        <w:tc>
          <w:tcPr>
            <w:tcW w:w="2555" w:type="pct"/>
            <w:gridSpan w:val="2"/>
          </w:tcPr>
          <w:p w14:paraId="077ADE58" w14:textId="77777777" w:rsidR="001A440E" w:rsidRPr="001A440E" w:rsidRDefault="001A440E" w:rsidP="001A440E">
            <w:pPr>
              <w:pStyle w:val="TableBodyText"/>
              <w:rPr>
                <w:szCs w:val="18"/>
              </w:rPr>
            </w:pPr>
            <w:r w:rsidRPr="0089087F">
              <w:t>Internal staff costs and external consultancy and legal costs to undertake the arbitration process</w:t>
            </w:r>
          </w:p>
        </w:tc>
        <w:tc>
          <w:tcPr>
            <w:tcW w:w="1427" w:type="pct"/>
          </w:tcPr>
          <w:p w14:paraId="0FB08C85" w14:textId="77777777" w:rsidR="001A440E" w:rsidRPr="001A440E" w:rsidRDefault="001A440E" w:rsidP="001A440E">
            <w:pPr>
              <w:pStyle w:val="TableBodyText"/>
              <w:rPr>
                <w:szCs w:val="18"/>
              </w:rPr>
            </w:pPr>
            <w:r w:rsidRPr="0089087F">
              <w:t>Staff effort to resolve disputes*</w:t>
            </w:r>
          </w:p>
        </w:tc>
      </w:tr>
    </w:tbl>
    <w:p w14:paraId="6C3E96E5" w14:textId="77777777" w:rsidR="001A440E" w:rsidRPr="001A440E" w:rsidRDefault="001A440E" w:rsidP="001A440E">
      <w:pPr>
        <w:pStyle w:val="BodyText"/>
        <w:spacing w:before="0" w:after="0"/>
        <w:rPr>
          <w:sz w:val="16"/>
          <w:szCs w:val="16"/>
        </w:rPr>
      </w:pPr>
      <w:r w:rsidRPr="001A440E">
        <w:rPr>
          <w:sz w:val="16"/>
          <w:szCs w:val="16"/>
        </w:rPr>
        <w:t>Notes:</w:t>
      </w:r>
      <w:r w:rsidRPr="001A440E">
        <w:rPr>
          <w:sz w:val="16"/>
          <w:szCs w:val="16"/>
        </w:rPr>
        <w:br/>
        <w:t xml:space="preserve">a. This category refers to bodies including the AER, ERA WA, dispute resolution bodies and the decision-maker for when to regulate, greenfield </w:t>
      </w:r>
      <w:r w:rsidR="00CE3569">
        <w:rPr>
          <w:sz w:val="16"/>
          <w:szCs w:val="16"/>
        </w:rPr>
        <w:t>exemption</w:t>
      </w:r>
      <w:r w:rsidR="00CE3569" w:rsidRPr="001A440E">
        <w:rPr>
          <w:sz w:val="16"/>
          <w:szCs w:val="16"/>
        </w:rPr>
        <w:t xml:space="preserve"> </w:t>
      </w:r>
      <w:r w:rsidRPr="001A440E">
        <w:rPr>
          <w:sz w:val="16"/>
          <w:szCs w:val="16"/>
        </w:rPr>
        <w:t>and form of regulation decisions.</w:t>
      </w:r>
    </w:p>
    <w:p w14:paraId="382FD325" w14:textId="77777777" w:rsidR="001A440E" w:rsidRPr="0089087F" w:rsidRDefault="001A440E" w:rsidP="001A440E">
      <w:pPr>
        <w:pStyle w:val="BodyText"/>
        <w:spacing w:before="0" w:after="0"/>
      </w:pPr>
      <w:r w:rsidRPr="001A440E">
        <w:rPr>
          <w:sz w:val="16"/>
          <w:szCs w:val="16"/>
        </w:rPr>
        <w:t>b. Implementation costs for regulators (including other dispute resolution bodies) may not all be incurred immediately as service providers and shippers may not make applications in the first year of the new regulations. However, given the uncertainty around when these applications would occur, they have been grouped in implementation costs as they are on</w:t>
      </w:r>
      <w:r w:rsidR="00805BAE">
        <w:rPr>
          <w:sz w:val="16"/>
          <w:szCs w:val="16"/>
        </w:rPr>
        <w:t>e</w:t>
      </w:r>
      <w:r w:rsidRPr="001A440E">
        <w:rPr>
          <w:sz w:val="16"/>
          <w:szCs w:val="16"/>
        </w:rPr>
        <w:t>-off costs resulting from the regulatory</w:t>
      </w:r>
      <w:r w:rsidRPr="001A440E">
        <w:rPr>
          <w:spacing w:val="-7"/>
          <w:sz w:val="16"/>
          <w:szCs w:val="16"/>
        </w:rPr>
        <w:t xml:space="preserve"> </w:t>
      </w:r>
      <w:r w:rsidRPr="001A440E">
        <w:rPr>
          <w:sz w:val="16"/>
          <w:szCs w:val="16"/>
        </w:rPr>
        <w:t>change.</w:t>
      </w:r>
      <w:r>
        <w:rPr>
          <w:sz w:val="16"/>
          <w:szCs w:val="16"/>
        </w:rPr>
        <w:t xml:space="preserve"> </w:t>
      </w:r>
    </w:p>
    <w:p w14:paraId="1DC3F7E7" w14:textId="77777777" w:rsidR="001A440E" w:rsidRPr="0089087F" w:rsidRDefault="001A440E" w:rsidP="001A440E">
      <w:pPr>
        <w:pStyle w:val="BodyText"/>
      </w:pPr>
      <w:r w:rsidRPr="0089087F">
        <w:t>The</w:t>
      </w:r>
      <w:r w:rsidR="00817830">
        <w:t>se</w:t>
      </w:r>
      <w:r w:rsidRPr="0089087F">
        <w:t xml:space="preserve"> costs have been </w:t>
      </w:r>
      <w:r w:rsidR="00135B0E">
        <w:t xml:space="preserve">quantified </w:t>
      </w:r>
      <w:r w:rsidRPr="0089087F">
        <w:t xml:space="preserve">based on the </w:t>
      </w:r>
      <w:r w:rsidR="00817830">
        <w:t xml:space="preserve">feedback </w:t>
      </w:r>
      <w:r w:rsidRPr="0089087F">
        <w:t xml:space="preserve">provided by stakeholders - either through written submissions or through their engagement with PwC. The values provided by the stakeholders were used at an aggregate level and where necessary adjusted to costs per </w:t>
      </w:r>
      <w:r w:rsidR="00556A5F">
        <w:t>business</w:t>
      </w:r>
      <w:r w:rsidRPr="0089087F">
        <w:t xml:space="preserve"> to ensure a consistent comparison across all reported stakeholders. Due to the commercial sensitivity of some information, the costs described in this section are at a high level.</w:t>
      </w:r>
    </w:p>
    <w:p w14:paraId="020A1B02" w14:textId="77777777" w:rsidR="001A440E" w:rsidRDefault="001A440E" w:rsidP="001A440E">
      <w:pPr>
        <w:pStyle w:val="AppendixHeading3"/>
      </w:pPr>
      <w:r>
        <w:t>Service provider costs</w:t>
      </w:r>
    </w:p>
    <w:p w14:paraId="58BAD725" w14:textId="77777777" w:rsidR="001A440E" w:rsidRPr="00F81C59" w:rsidRDefault="001A440E" w:rsidP="001A440E">
      <w:pPr>
        <w:pStyle w:val="BodyText"/>
      </w:pPr>
      <w:r w:rsidRPr="00F81C59">
        <w:t xml:space="preserve">The quantified increase in costs for service providers arises from moving to a </w:t>
      </w:r>
      <w:r w:rsidR="00531979">
        <w:t>stronger</w:t>
      </w:r>
      <w:r w:rsidRPr="00F81C59">
        <w:t xml:space="preserve"> form of regulation. This is estimated across two categories:</w:t>
      </w:r>
    </w:p>
    <w:p w14:paraId="12DC81DC" w14:textId="77777777" w:rsidR="001A440E" w:rsidRPr="00F81C59" w:rsidRDefault="001A440E" w:rsidP="000A3668">
      <w:pPr>
        <w:pStyle w:val="ListNumber"/>
        <w:numPr>
          <w:ilvl w:val="0"/>
          <w:numId w:val="86"/>
        </w:numPr>
      </w:pPr>
      <w:r w:rsidRPr="00F81C59">
        <w:t xml:space="preserve">Pipelines currently </w:t>
      </w:r>
      <w:r w:rsidR="00EF1851">
        <w:t xml:space="preserve">subject to </w:t>
      </w:r>
      <w:r w:rsidRPr="00F81C59">
        <w:t xml:space="preserve">light regulation or Part 23 </w:t>
      </w:r>
      <w:r w:rsidR="009B58DA">
        <w:t>moving</w:t>
      </w:r>
      <w:r w:rsidRPr="00F81C59">
        <w:t xml:space="preserve"> to the </w:t>
      </w:r>
      <w:r w:rsidR="00531979">
        <w:t>stronger</w:t>
      </w:r>
      <w:r w:rsidRPr="00F81C59">
        <w:t xml:space="preserve"> form</w:t>
      </w:r>
      <w:r w:rsidRPr="001A440E">
        <w:rPr>
          <w:spacing w:val="-34"/>
        </w:rPr>
        <w:t xml:space="preserve"> </w:t>
      </w:r>
      <w:r w:rsidRPr="00F81C59">
        <w:t>of regulation.</w:t>
      </w:r>
    </w:p>
    <w:p w14:paraId="306E901E" w14:textId="77777777" w:rsidR="001A440E" w:rsidRPr="00F81C59" w:rsidRDefault="001A440E" w:rsidP="001A440E">
      <w:pPr>
        <w:pStyle w:val="ListNumber"/>
      </w:pPr>
      <w:r w:rsidRPr="00F81C59">
        <w:t xml:space="preserve">Pipelines currently exempt from regulation moving to the new </w:t>
      </w:r>
      <w:r w:rsidR="00531979">
        <w:t>lighter</w:t>
      </w:r>
      <w:r w:rsidRPr="00F81C59">
        <w:t xml:space="preserve"> form of regulation.</w:t>
      </w:r>
    </w:p>
    <w:p w14:paraId="1C9B9569" w14:textId="77777777" w:rsidR="001A440E" w:rsidRPr="00F81C59" w:rsidRDefault="001A440E" w:rsidP="001A440E">
      <w:pPr>
        <w:pStyle w:val="BodyText"/>
      </w:pPr>
      <w:r w:rsidRPr="00F81C59">
        <w:lastRenderedPageBreak/>
        <w:t xml:space="preserve">The quantified costs for service providers fall broadly </w:t>
      </w:r>
      <w:r w:rsidR="005D6A01">
        <w:t>into</w:t>
      </w:r>
      <w:r w:rsidRPr="00F81C59">
        <w:t xml:space="preserve"> four categories:</w:t>
      </w:r>
    </w:p>
    <w:p w14:paraId="17BF8DB3" w14:textId="77777777" w:rsidR="001A440E" w:rsidRPr="006E0B00" w:rsidRDefault="001A440E" w:rsidP="000A3668">
      <w:pPr>
        <w:pStyle w:val="ListNumber"/>
        <w:numPr>
          <w:ilvl w:val="0"/>
          <w:numId w:val="85"/>
        </w:numPr>
      </w:pPr>
      <w:r w:rsidRPr="00EC1319">
        <w:rPr>
          <w:b/>
          <w:bCs/>
        </w:rPr>
        <w:t>Implementation costs</w:t>
      </w:r>
      <w:r w:rsidR="0009113E" w:rsidRPr="006E0B00">
        <w:t>:</w:t>
      </w:r>
      <w:r w:rsidRPr="006E0B00">
        <w:t xml:space="preserve"> </w:t>
      </w:r>
      <w:r w:rsidR="0009113E" w:rsidRPr="006E0B00">
        <w:t>T</w:t>
      </w:r>
      <w:r w:rsidRPr="006E0B00">
        <w:t>he</w:t>
      </w:r>
      <w:r w:rsidR="0009113E" w:rsidRPr="006E0B00">
        <w:t xml:space="preserve">se costs include </w:t>
      </w:r>
      <w:r w:rsidR="006E0B00" w:rsidRPr="006E0B00">
        <w:rPr>
          <w:rFonts w:asciiTheme="majorHAnsi" w:hAnsiTheme="majorHAnsi" w:cstheme="majorHAnsi"/>
        </w:rPr>
        <w:t>the IT and administrative costs associated with moving to a new form of regulation and setting up any additional systems that may be required (includes costs of obtaining compliance, legal and financial advice).</w:t>
      </w:r>
      <w:r w:rsidRPr="006E0B00">
        <w:t xml:space="preserve"> These costs </w:t>
      </w:r>
      <w:r w:rsidR="006E0B00">
        <w:t>are assumed to arise</w:t>
      </w:r>
      <w:r w:rsidRPr="006E0B00">
        <w:t xml:space="preserve"> in the </w:t>
      </w:r>
      <w:r w:rsidR="00857981" w:rsidRPr="006E0B00">
        <w:t>first</w:t>
      </w:r>
      <w:r w:rsidR="00857981">
        <w:rPr>
          <w:spacing w:val="-38"/>
        </w:rPr>
        <w:t xml:space="preserve"> </w:t>
      </w:r>
      <w:r w:rsidRPr="006E0B00">
        <w:t xml:space="preserve">year of analysis </w:t>
      </w:r>
      <w:r w:rsidR="006E0B00">
        <w:t>only</w:t>
      </w:r>
      <w:r w:rsidRPr="006E0B00">
        <w:t>. The upfront implementation costs are</w:t>
      </w:r>
      <w:r w:rsidR="00EC1319">
        <w:t xml:space="preserve"> assumed to be</w:t>
      </w:r>
      <w:r w:rsidRPr="006E0B00">
        <w:t xml:space="preserve"> $0.57 million per service provider moving to the </w:t>
      </w:r>
      <w:r w:rsidR="00531979">
        <w:t>stronger</w:t>
      </w:r>
      <w:r w:rsidRPr="006E0B00">
        <w:t xml:space="preserve"> form of regulation, and $0.24 million for the </w:t>
      </w:r>
      <w:r w:rsidR="00531979">
        <w:t>lighter</w:t>
      </w:r>
      <w:r w:rsidRPr="006E0B00">
        <w:t xml:space="preserve"> form of regulation.</w:t>
      </w:r>
    </w:p>
    <w:p w14:paraId="2AABDA7B" w14:textId="77777777" w:rsidR="001A440E" w:rsidRPr="00F81C59" w:rsidRDefault="001A440E" w:rsidP="001A440E">
      <w:pPr>
        <w:pStyle w:val="ListNumber"/>
      </w:pPr>
      <w:r w:rsidRPr="00EC1319">
        <w:rPr>
          <w:b/>
          <w:bCs/>
        </w:rPr>
        <w:t>Access costs</w:t>
      </w:r>
      <w:r w:rsidR="00D757E6">
        <w:t xml:space="preserve">: </w:t>
      </w:r>
      <w:r w:rsidR="00FD2FFD">
        <w:t xml:space="preserve">These </w:t>
      </w:r>
      <w:r w:rsidR="008C676B">
        <w:t xml:space="preserve">costs </w:t>
      </w:r>
      <w:r w:rsidR="00FD2FFD">
        <w:t xml:space="preserve">include the </w:t>
      </w:r>
      <w:r w:rsidRPr="00F81C59">
        <w:t xml:space="preserve">ongoing costs associated with providing access to third party shippers. Access costs are predominantly driven by the increase in costs for pipelines that move to </w:t>
      </w:r>
      <w:r w:rsidR="00531979">
        <w:t>stronger</w:t>
      </w:r>
      <w:r w:rsidRPr="00F81C59">
        <w:t xml:space="preserve"> form of regulation and </w:t>
      </w:r>
      <w:r w:rsidR="008C676B">
        <w:t xml:space="preserve">the </w:t>
      </w:r>
      <w:r w:rsidRPr="00F81C59">
        <w:t xml:space="preserve">requirement to prepare an access arrangement. For pipelines shifting to the </w:t>
      </w:r>
      <w:r w:rsidR="00531979">
        <w:t>lighter</w:t>
      </w:r>
      <w:r w:rsidRPr="00F81C59">
        <w:t xml:space="preserve"> form of regulation, the increase in costs comes from preparing access offers and complying</w:t>
      </w:r>
      <w:r w:rsidRPr="00F81C59">
        <w:rPr>
          <w:spacing w:val="-27"/>
        </w:rPr>
        <w:t xml:space="preserve"> </w:t>
      </w:r>
      <w:r w:rsidRPr="00F81C59">
        <w:t xml:space="preserve">with other access related provisions. In addition, the estimates take into account the increase in costs under </w:t>
      </w:r>
      <w:r w:rsidR="00EB44DA">
        <w:t>O</w:t>
      </w:r>
      <w:r w:rsidRPr="00F81C59">
        <w:t>ption 4 where new investments do not receive a greenfield exemption. The access cost</w:t>
      </w:r>
      <w:r w:rsidR="00FB61FA">
        <w:t xml:space="preserve"> estimate assumes</w:t>
      </w:r>
      <w:r w:rsidRPr="00F81C59">
        <w:t xml:space="preserve"> $2.7 million per access arrangement (every 5 years) </w:t>
      </w:r>
      <w:r w:rsidR="00845137">
        <w:t xml:space="preserve">for those pipelines that become subject to the </w:t>
      </w:r>
      <w:r w:rsidR="00531979">
        <w:t>stronger</w:t>
      </w:r>
      <w:r w:rsidR="00845137">
        <w:t xml:space="preserve"> form of regulation, </w:t>
      </w:r>
      <w:r w:rsidRPr="00F81C59">
        <w:t>and $0.04 million per access request</w:t>
      </w:r>
      <w:r w:rsidR="00845137">
        <w:t xml:space="preserve"> for those pipelines that are subject to the </w:t>
      </w:r>
      <w:r w:rsidR="00531979">
        <w:t>lighter</w:t>
      </w:r>
      <w:r w:rsidR="00845137">
        <w:t xml:space="preserve"> form of regulation</w:t>
      </w:r>
      <w:r w:rsidRPr="00F81C59">
        <w:t>.</w:t>
      </w:r>
    </w:p>
    <w:p w14:paraId="1DE95AFB" w14:textId="5590D44E" w:rsidR="001A440E" w:rsidRPr="00F81C59" w:rsidRDefault="001A440E" w:rsidP="001A440E">
      <w:pPr>
        <w:pStyle w:val="ListNumber"/>
      </w:pPr>
      <w:r w:rsidRPr="00EC1319">
        <w:rPr>
          <w:b/>
          <w:bCs/>
        </w:rPr>
        <w:t>Information disclosure and reporting costs</w:t>
      </w:r>
      <w:r w:rsidR="00DC6880">
        <w:t xml:space="preserve">: These costs include the </w:t>
      </w:r>
      <w:r w:rsidRPr="00F81C59">
        <w:t>ongoing management, administrative</w:t>
      </w:r>
      <w:r w:rsidR="00DC6880">
        <w:t xml:space="preserve"> and </w:t>
      </w:r>
      <w:r w:rsidRPr="00F81C59">
        <w:t xml:space="preserve">IT costs </w:t>
      </w:r>
      <w:r w:rsidR="00DC6880">
        <w:t xml:space="preserve">that are associated with having to comply with the </w:t>
      </w:r>
      <w:r w:rsidRPr="00F81C59">
        <w:t xml:space="preserve">reporting requirements under each </w:t>
      </w:r>
      <w:r w:rsidR="00DC6880">
        <w:t>reform option</w:t>
      </w:r>
      <w:r w:rsidRPr="00F81C59">
        <w:t xml:space="preserve">. These costs are estimated separately for pipelines moving to </w:t>
      </w:r>
      <w:r w:rsidR="00531979">
        <w:t>stronger</w:t>
      </w:r>
      <w:r w:rsidRPr="00F81C59">
        <w:t xml:space="preserve"> or </w:t>
      </w:r>
      <w:r w:rsidR="00531979">
        <w:t>lighter</w:t>
      </w:r>
      <w:r w:rsidRPr="00F81C59">
        <w:t xml:space="preserve"> forms of regulation.</w:t>
      </w:r>
      <w:r w:rsidR="004031E8">
        <w:rPr>
          <w:rFonts w:ascii="ZWAdobeF" w:hAnsi="ZWAdobeF" w:cs="ZWAdobeF"/>
          <w:sz w:val="2"/>
          <w:szCs w:val="2"/>
        </w:rPr>
        <w:t>321F</w:t>
      </w:r>
      <w:r>
        <w:rPr>
          <w:rStyle w:val="FootnoteReference"/>
        </w:rPr>
        <w:footnoteReference w:id="323"/>
      </w:r>
      <w:r w:rsidRPr="00F81C59">
        <w:t xml:space="preserve"> The</w:t>
      </w:r>
      <w:r w:rsidR="00FB61FA">
        <w:t xml:space="preserve"> information disclosure and reporting</w:t>
      </w:r>
      <w:r w:rsidRPr="00F81C59">
        <w:t xml:space="preserve"> </w:t>
      </w:r>
      <w:r w:rsidR="00EA3019">
        <w:t>cost estimate assume</w:t>
      </w:r>
      <w:r w:rsidR="00FB61FA">
        <w:t>s</w:t>
      </w:r>
      <w:r w:rsidR="00EA3019">
        <w:t xml:space="preserve"> </w:t>
      </w:r>
      <w:r w:rsidRPr="00F81C59">
        <w:t>$0.16</w:t>
      </w:r>
      <w:r w:rsidR="00FB61FA">
        <w:t> </w:t>
      </w:r>
      <w:r w:rsidRPr="00F81C59">
        <w:t xml:space="preserve">million per service provider moving to the </w:t>
      </w:r>
      <w:r w:rsidR="00531979">
        <w:t>stronger</w:t>
      </w:r>
      <w:r w:rsidRPr="00F81C59">
        <w:t xml:space="preserve"> form of regulation, and $0.10 million </w:t>
      </w:r>
      <w:r w:rsidR="00FB61FA">
        <w:t xml:space="preserve">per service provider that is subject to </w:t>
      </w:r>
      <w:r w:rsidRPr="00F81C59">
        <w:t xml:space="preserve">the </w:t>
      </w:r>
      <w:r w:rsidR="00531979">
        <w:t>lighter</w:t>
      </w:r>
      <w:r w:rsidRPr="00F81C59">
        <w:t xml:space="preserve"> form of</w:t>
      </w:r>
      <w:r w:rsidRPr="00F81C59">
        <w:rPr>
          <w:spacing w:val="-10"/>
        </w:rPr>
        <w:t xml:space="preserve"> </w:t>
      </w:r>
      <w:r w:rsidRPr="00F81C59">
        <w:t>regulation.</w:t>
      </w:r>
    </w:p>
    <w:p w14:paraId="1C540ECD" w14:textId="77777777" w:rsidR="001A440E" w:rsidRPr="00F81C59" w:rsidRDefault="00F25B5F" w:rsidP="001A440E">
      <w:pPr>
        <w:pStyle w:val="ListNumber"/>
      </w:pPr>
      <w:r w:rsidRPr="00EC1319">
        <w:rPr>
          <w:b/>
          <w:bCs/>
        </w:rPr>
        <w:t xml:space="preserve">Dispute resolution </w:t>
      </w:r>
      <w:r w:rsidR="001A440E" w:rsidRPr="00EC1319">
        <w:rPr>
          <w:b/>
          <w:bCs/>
        </w:rPr>
        <w:t>process</w:t>
      </w:r>
      <w:r w:rsidRPr="00EC1319">
        <w:rPr>
          <w:b/>
          <w:bCs/>
        </w:rPr>
        <w:t>:</w:t>
      </w:r>
      <w:r>
        <w:t xml:space="preserve"> </w:t>
      </w:r>
      <w:r w:rsidR="00603607">
        <w:t>Under Scenario 1 – High Impact, more disputes are assumed to proceed to arbitration</w:t>
      </w:r>
      <w:r w:rsidR="00D722BD">
        <w:t>, which will impose costs on those service providers that are a party to the dispute</w:t>
      </w:r>
      <w:r w:rsidR="00603607">
        <w:t xml:space="preserve">. </w:t>
      </w:r>
      <w:r w:rsidR="001A440E" w:rsidRPr="00F81C59">
        <w:t xml:space="preserve">The costs </w:t>
      </w:r>
      <w:r w:rsidR="00865632">
        <w:t xml:space="preserve">for </w:t>
      </w:r>
      <w:r w:rsidR="00D722BD">
        <w:t xml:space="preserve">these </w:t>
      </w:r>
      <w:r w:rsidR="00865632">
        <w:t xml:space="preserve">service providers </w:t>
      </w:r>
      <w:r w:rsidR="001A440E" w:rsidRPr="00F81C59">
        <w:t xml:space="preserve">are </w:t>
      </w:r>
      <w:r w:rsidR="00D722BD">
        <w:t xml:space="preserve">assumed to be </w:t>
      </w:r>
      <w:r w:rsidR="001A440E" w:rsidRPr="00F81C59">
        <w:t>$1.65 million per dispute.</w:t>
      </w:r>
    </w:p>
    <w:p w14:paraId="5FC88A1D" w14:textId="173C3132" w:rsidR="001A440E" w:rsidRPr="00F81C59" w:rsidRDefault="0075305C" w:rsidP="001A440E">
      <w:pPr>
        <w:pStyle w:val="BodyText"/>
        <w:spacing w:before="120"/>
      </w:pPr>
      <w:hyperlink w:anchor="_bookmark9" w:history="1">
        <w:r w:rsidR="001A440E" w:rsidRPr="001A440E">
          <w:rPr>
            <w:rStyle w:val="Hyperlink"/>
            <w:u w:val="none"/>
          </w:rPr>
          <w:t>The</w:t>
        </w:r>
      </w:hyperlink>
      <w:r w:rsidR="001A440E" w:rsidRPr="001A440E">
        <w:rPr>
          <w:rStyle w:val="Hyperlink"/>
          <w:u w:val="none"/>
        </w:rPr>
        <w:t xml:space="preserve"> table below </w:t>
      </w:r>
      <w:r w:rsidR="001A440E" w:rsidRPr="00F81C59">
        <w:t xml:space="preserve">provides a break-down of upfront and ongoing costs for service providers under </w:t>
      </w:r>
      <w:r w:rsidR="005E0D40">
        <w:t xml:space="preserve">Scenario 1 – High Impact and Scenario 2 – Low Impact. </w:t>
      </w:r>
    </w:p>
    <w:p w14:paraId="2B676ADB" w14:textId="77777777" w:rsidR="001A440E" w:rsidRPr="00F81C59" w:rsidRDefault="001A440E" w:rsidP="001A440E">
      <w:pPr>
        <w:pStyle w:val="Caption"/>
        <w:spacing w:after="0"/>
        <w:rPr>
          <w:sz w:val="13"/>
        </w:rPr>
      </w:pPr>
      <w:bookmarkStart w:id="270" w:name="_bookmark9"/>
      <w:bookmarkEnd w:id="270"/>
      <w:r>
        <w:lastRenderedPageBreak/>
        <w:t>Table D.1: Costs for service providers by option (20 year NPV $m, 2020 dollars)</w:t>
      </w:r>
    </w:p>
    <w:tbl>
      <w:tblPr>
        <w:tblStyle w:val="TableGrid"/>
        <w:tblW w:w="5000" w:type="pct"/>
        <w:tblLook w:val="0420" w:firstRow="1" w:lastRow="0" w:firstColumn="0" w:lastColumn="0" w:noHBand="0" w:noVBand="1"/>
      </w:tblPr>
      <w:tblGrid>
        <w:gridCol w:w="1387"/>
        <w:gridCol w:w="1346"/>
        <w:gridCol w:w="1577"/>
        <w:gridCol w:w="1424"/>
        <w:gridCol w:w="1534"/>
        <w:gridCol w:w="1520"/>
      </w:tblGrid>
      <w:tr w:rsidR="001A440E" w:rsidRPr="00F81C59" w14:paraId="52D25E49" w14:textId="77777777" w:rsidTr="001A440E">
        <w:trPr>
          <w:cnfStyle w:val="100000000000" w:firstRow="1" w:lastRow="0" w:firstColumn="0" w:lastColumn="0" w:oddVBand="0" w:evenVBand="0" w:oddHBand="0" w:evenHBand="0" w:firstRowFirstColumn="0" w:firstRowLastColumn="0" w:lastRowFirstColumn="0" w:lastRowLastColumn="0"/>
          <w:tblHeader/>
        </w:trPr>
        <w:tc>
          <w:tcPr>
            <w:tcW w:w="789" w:type="pct"/>
            <w:tcBorders>
              <w:bottom w:val="single" w:sz="4" w:space="0" w:color="auto"/>
            </w:tcBorders>
            <w:shd w:val="clear" w:color="auto" w:fill="002060"/>
            <w:vAlign w:val="bottom"/>
          </w:tcPr>
          <w:p w14:paraId="397B11C0" w14:textId="77777777" w:rsidR="001A440E" w:rsidRPr="00F81C59" w:rsidRDefault="001A440E" w:rsidP="005E0D40">
            <w:pPr>
              <w:pStyle w:val="TableHeading"/>
              <w:keepNext/>
              <w:spacing w:beforeLines="20" w:before="48" w:afterLines="20" w:after="48"/>
            </w:pPr>
            <w:r w:rsidRPr="00F81C59">
              <w:t>Options</w:t>
            </w:r>
          </w:p>
        </w:tc>
        <w:tc>
          <w:tcPr>
            <w:tcW w:w="766" w:type="pct"/>
            <w:tcBorders>
              <w:bottom w:val="single" w:sz="4" w:space="0" w:color="auto"/>
            </w:tcBorders>
            <w:shd w:val="clear" w:color="auto" w:fill="002060"/>
            <w:vAlign w:val="bottom"/>
          </w:tcPr>
          <w:p w14:paraId="4164C373" w14:textId="77777777" w:rsidR="001A440E" w:rsidRPr="00F81C59" w:rsidRDefault="001A440E" w:rsidP="008A1613">
            <w:pPr>
              <w:pStyle w:val="TableHeading"/>
              <w:keepNext/>
              <w:spacing w:beforeLines="20" w:before="48" w:afterLines="20" w:after="48"/>
              <w:jc w:val="center"/>
            </w:pPr>
            <w:r w:rsidRPr="00F81C59">
              <w:t>Total</w:t>
            </w:r>
          </w:p>
        </w:tc>
        <w:tc>
          <w:tcPr>
            <w:tcW w:w="897" w:type="pct"/>
            <w:tcBorders>
              <w:bottom w:val="single" w:sz="4" w:space="0" w:color="auto"/>
            </w:tcBorders>
            <w:shd w:val="clear" w:color="auto" w:fill="002060"/>
            <w:vAlign w:val="bottom"/>
          </w:tcPr>
          <w:p w14:paraId="51AADE4E" w14:textId="77777777" w:rsidR="001A440E" w:rsidRPr="00F81C59" w:rsidRDefault="001A440E" w:rsidP="008A1613">
            <w:pPr>
              <w:pStyle w:val="TableHeading"/>
              <w:keepNext/>
              <w:spacing w:beforeLines="20" w:before="48" w:afterLines="20" w:after="48"/>
              <w:jc w:val="center"/>
            </w:pPr>
            <w:r w:rsidRPr="00F81C59">
              <w:t>Implementation costs</w:t>
            </w:r>
            <w:r>
              <w:t xml:space="preserve"> </w:t>
            </w:r>
            <w:r w:rsidRPr="00F81C59">
              <w:t>(upfront)</w:t>
            </w:r>
          </w:p>
        </w:tc>
        <w:tc>
          <w:tcPr>
            <w:tcW w:w="810" w:type="pct"/>
            <w:tcBorders>
              <w:bottom w:val="single" w:sz="4" w:space="0" w:color="auto"/>
            </w:tcBorders>
            <w:shd w:val="clear" w:color="auto" w:fill="002060"/>
            <w:vAlign w:val="bottom"/>
          </w:tcPr>
          <w:p w14:paraId="231F33C6" w14:textId="77777777" w:rsidR="001A440E" w:rsidRPr="00F81C59" w:rsidRDefault="001A440E" w:rsidP="008A1613">
            <w:pPr>
              <w:pStyle w:val="TableHeading"/>
              <w:keepNext/>
              <w:spacing w:beforeLines="20" w:before="48" w:afterLines="20" w:after="48"/>
              <w:jc w:val="center"/>
            </w:pPr>
            <w:r w:rsidRPr="00F81C59">
              <w:t>Access costs</w:t>
            </w:r>
            <w:r>
              <w:t xml:space="preserve"> </w:t>
            </w:r>
            <w:r w:rsidRPr="00F81C59">
              <w:t>(ongoing)</w:t>
            </w:r>
          </w:p>
        </w:tc>
        <w:tc>
          <w:tcPr>
            <w:tcW w:w="873" w:type="pct"/>
            <w:tcBorders>
              <w:bottom w:val="single" w:sz="4" w:space="0" w:color="auto"/>
            </w:tcBorders>
            <w:shd w:val="clear" w:color="auto" w:fill="002060"/>
            <w:vAlign w:val="bottom"/>
          </w:tcPr>
          <w:p w14:paraId="7F11F9CF" w14:textId="77777777" w:rsidR="001A440E" w:rsidRPr="00F81C59" w:rsidRDefault="001A440E" w:rsidP="008A1613">
            <w:pPr>
              <w:pStyle w:val="TableHeading"/>
              <w:keepNext/>
              <w:spacing w:beforeLines="20" w:before="48" w:afterLines="20" w:after="48"/>
              <w:jc w:val="center"/>
            </w:pPr>
            <w:r w:rsidRPr="00F81C59">
              <w:t>Reporting costs</w:t>
            </w:r>
            <w:r>
              <w:t xml:space="preserve"> </w:t>
            </w:r>
            <w:r w:rsidRPr="00F81C59">
              <w:t>(ongoing)</w:t>
            </w:r>
          </w:p>
        </w:tc>
        <w:tc>
          <w:tcPr>
            <w:tcW w:w="865" w:type="pct"/>
            <w:tcBorders>
              <w:bottom w:val="single" w:sz="4" w:space="0" w:color="auto"/>
            </w:tcBorders>
            <w:shd w:val="clear" w:color="auto" w:fill="002060"/>
            <w:vAlign w:val="bottom"/>
          </w:tcPr>
          <w:p w14:paraId="6FA973F5" w14:textId="77777777" w:rsidR="001A440E" w:rsidRPr="00F81C59" w:rsidRDefault="001A440E" w:rsidP="008A1613">
            <w:pPr>
              <w:pStyle w:val="TableHeading"/>
              <w:keepNext/>
              <w:spacing w:beforeLines="20" w:before="48" w:afterLines="20" w:after="48"/>
              <w:jc w:val="center"/>
            </w:pPr>
            <w:r w:rsidRPr="00F81C59">
              <w:t>Arbitration costs</w:t>
            </w:r>
            <w:r>
              <w:t xml:space="preserve"> </w:t>
            </w:r>
            <w:r w:rsidRPr="00F81C59">
              <w:t>(ongoing)</w:t>
            </w:r>
          </w:p>
        </w:tc>
      </w:tr>
      <w:tr w:rsidR="001A440E" w:rsidRPr="001A440E" w14:paraId="75A86FEF" w14:textId="77777777" w:rsidTr="001A440E">
        <w:tc>
          <w:tcPr>
            <w:tcW w:w="5000" w:type="pct"/>
            <w:gridSpan w:val="6"/>
            <w:shd w:val="clear" w:color="auto" w:fill="65697F" w:themeFill="background2" w:themeFillShade="80"/>
          </w:tcPr>
          <w:p w14:paraId="6B780017" w14:textId="77777777" w:rsidR="001A440E" w:rsidRPr="001A440E" w:rsidRDefault="001A440E" w:rsidP="005E0D40">
            <w:pPr>
              <w:pStyle w:val="TableBodyText"/>
              <w:keepNext/>
              <w:spacing w:beforeLines="20" w:before="48" w:afterLines="20" w:after="48"/>
              <w:jc w:val="center"/>
              <w:rPr>
                <w:b/>
                <w:bCs/>
                <w:color w:val="FFFFFF" w:themeColor="background1"/>
              </w:rPr>
            </w:pPr>
            <w:r w:rsidRPr="001A440E">
              <w:rPr>
                <w:b/>
                <w:bCs/>
                <w:color w:val="FFFFFF" w:themeColor="background1"/>
              </w:rPr>
              <w:t>Scenario 1 - High Impact</w:t>
            </w:r>
          </w:p>
        </w:tc>
      </w:tr>
      <w:tr w:rsidR="001A440E" w:rsidRPr="00F81C59" w14:paraId="2FDD52BC" w14:textId="77777777" w:rsidTr="001A440E">
        <w:trPr>
          <w:cnfStyle w:val="000000010000" w:firstRow="0" w:lastRow="0" w:firstColumn="0" w:lastColumn="0" w:oddVBand="0" w:evenVBand="0" w:oddHBand="0" w:evenHBand="1" w:firstRowFirstColumn="0" w:firstRowLastColumn="0" w:lastRowFirstColumn="0" w:lastRowLastColumn="0"/>
        </w:trPr>
        <w:tc>
          <w:tcPr>
            <w:tcW w:w="789" w:type="pct"/>
          </w:tcPr>
          <w:p w14:paraId="59DB0E25" w14:textId="77777777" w:rsidR="001A440E" w:rsidRPr="00F81C59" w:rsidRDefault="001A440E" w:rsidP="005E0D40">
            <w:pPr>
              <w:pStyle w:val="TableBodyText"/>
              <w:keepNext/>
              <w:spacing w:beforeLines="20" w:before="48" w:afterLines="20" w:after="48"/>
            </w:pPr>
            <w:r w:rsidRPr="00F81C59">
              <w:t>Option 2</w:t>
            </w:r>
          </w:p>
        </w:tc>
        <w:tc>
          <w:tcPr>
            <w:tcW w:w="766" w:type="pct"/>
          </w:tcPr>
          <w:p w14:paraId="43BA980E" w14:textId="77777777" w:rsidR="001A440E" w:rsidRPr="00F81C59" w:rsidRDefault="001A440E" w:rsidP="008A1613">
            <w:pPr>
              <w:pStyle w:val="TableBodyText"/>
              <w:keepNext/>
              <w:spacing w:beforeLines="20" w:before="48" w:afterLines="20" w:after="48"/>
              <w:jc w:val="center"/>
            </w:pPr>
            <w:r w:rsidRPr="00F81C59">
              <w:t>$82.2</w:t>
            </w:r>
          </w:p>
        </w:tc>
        <w:tc>
          <w:tcPr>
            <w:tcW w:w="897" w:type="pct"/>
          </w:tcPr>
          <w:p w14:paraId="6868192A" w14:textId="77777777" w:rsidR="001A440E" w:rsidRPr="00F81C59" w:rsidRDefault="001A440E" w:rsidP="008A1613">
            <w:pPr>
              <w:pStyle w:val="TableBodyText"/>
              <w:keepNext/>
              <w:spacing w:beforeLines="20" w:before="48" w:afterLines="20" w:after="48"/>
              <w:jc w:val="center"/>
            </w:pPr>
            <w:r w:rsidRPr="00F81C59">
              <w:t>$6.6</w:t>
            </w:r>
          </w:p>
        </w:tc>
        <w:tc>
          <w:tcPr>
            <w:tcW w:w="810" w:type="pct"/>
          </w:tcPr>
          <w:p w14:paraId="7C9A566B" w14:textId="77777777" w:rsidR="001A440E" w:rsidRPr="00F81C59" w:rsidRDefault="001A440E" w:rsidP="008A1613">
            <w:pPr>
              <w:pStyle w:val="TableBodyText"/>
              <w:keepNext/>
              <w:spacing w:beforeLines="20" w:before="48" w:afterLines="20" w:after="48"/>
              <w:jc w:val="center"/>
            </w:pPr>
            <w:r w:rsidRPr="00F81C59">
              <w:t>$53.4</w:t>
            </w:r>
          </w:p>
        </w:tc>
        <w:tc>
          <w:tcPr>
            <w:tcW w:w="873" w:type="pct"/>
          </w:tcPr>
          <w:p w14:paraId="47F231DE" w14:textId="77777777" w:rsidR="001A440E" w:rsidRPr="00F81C59" w:rsidRDefault="001A440E" w:rsidP="008A1613">
            <w:pPr>
              <w:pStyle w:val="TableBodyText"/>
              <w:keepNext/>
              <w:spacing w:beforeLines="20" w:before="48" w:afterLines="20" w:after="48"/>
              <w:jc w:val="center"/>
            </w:pPr>
            <w:r w:rsidRPr="00F81C59">
              <w:t>$12.8</w:t>
            </w:r>
          </w:p>
        </w:tc>
        <w:tc>
          <w:tcPr>
            <w:tcW w:w="865" w:type="pct"/>
          </w:tcPr>
          <w:p w14:paraId="316FFA2D" w14:textId="77777777" w:rsidR="001A440E" w:rsidRPr="00F81C59" w:rsidRDefault="001A440E" w:rsidP="008A1613">
            <w:pPr>
              <w:pStyle w:val="TableBodyText"/>
              <w:keepNext/>
              <w:spacing w:beforeLines="20" w:before="48" w:afterLines="20" w:after="48"/>
              <w:jc w:val="center"/>
            </w:pPr>
            <w:r w:rsidRPr="00F81C59">
              <w:t>$9.4</w:t>
            </w:r>
          </w:p>
        </w:tc>
      </w:tr>
      <w:tr w:rsidR="001A440E" w:rsidRPr="00F81C59" w14:paraId="79411A31" w14:textId="77777777" w:rsidTr="001A440E">
        <w:tc>
          <w:tcPr>
            <w:tcW w:w="789" w:type="pct"/>
          </w:tcPr>
          <w:p w14:paraId="58BBCD96" w14:textId="77777777" w:rsidR="001A440E" w:rsidRPr="00F81C59" w:rsidRDefault="00C32CBC" w:rsidP="005E0D40">
            <w:pPr>
              <w:pStyle w:val="TableBodyText"/>
              <w:keepNext/>
              <w:spacing w:beforeLines="20" w:before="48" w:afterLines="20" w:after="48"/>
            </w:pPr>
            <w:r>
              <w:t>Option 3A</w:t>
            </w:r>
          </w:p>
        </w:tc>
        <w:tc>
          <w:tcPr>
            <w:tcW w:w="766" w:type="pct"/>
          </w:tcPr>
          <w:p w14:paraId="37CAE4C9" w14:textId="77777777" w:rsidR="001A440E" w:rsidRPr="00F81C59" w:rsidRDefault="001A440E" w:rsidP="008A1613">
            <w:pPr>
              <w:pStyle w:val="TableBodyText"/>
              <w:keepNext/>
              <w:spacing w:beforeLines="20" w:before="48" w:afterLines="20" w:after="48"/>
              <w:jc w:val="center"/>
            </w:pPr>
            <w:r w:rsidRPr="00F81C59">
              <w:t>$97.1</w:t>
            </w:r>
          </w:p>
        </w:tc>
        <w:tc>
          <w:tcPr>
            <w:tcW w:w="897" w:type="pct"/>
          </w:tcPr>
          <w:p w14:paraId="7DB7BF11" w14:textId="77777777" w:rsidR="001A440E" w:rsidRPr="00F81C59" w:rsidRDefault="001A440E" w:rsidP="008A1613">
            <w:pPr>
              <w:pStyle w:val="TableBodyText"/>
              <w:keepNext/>
              <w:spacing w:beforeLines="20" w:before="48" w:afterLines="20" w:after="48"/>
              <w:jc w:val="center"/>
            </w:pPr>
            <w:r w:rsidRPr="00F81C59">
              <w:t>$6.6</w:t>
            </w:r>
          </w:p>
        </w:tc>
        <w:tc>
          <w:tcPr>
            <w:tcW w:w="810" w:type="pct"/>
          </w:tcPr>
          <w:p w14:paraId="0D29FD65" w14:textId="77777777" w:rsidR="001A440E" w:rsidRPr="00F81C59" w:rsidRDefault="001A440E" w:rsidP="008A1613">
            <w:pPr>
              <w:pStyle w:val="TableBodyText"/>
              <w:keepNext/>
              <w:spacing w:beforeLines="20" w:before="48" w:afterLines="20" w:after="48"/>
              <w:jc w:val="center"/>
            </w:pPr>
            <w:r w:rsidRPr="00F81C59">
              <w:t>$57.8</w:t>
            </w:r>
          </w:p>
        </w:tc>
        <w:tc>
          <w:tcPr>
            <w:tcW w:w="873" w:type="pct"/>
          </w:tcPr>
          <w:p w14:paraId="1EEAB5E1" w14:textId="77777777" w:rsidR="001A440E" w:rsidRPr="00F81C59" w:rsidRDefault="001A440E" w:rsidP="008A1613">
            <w:pPr>
              <w:pStyle w:val="TableBodyText"/>
              <w:keepNext/>
              <w:spacing w:beforeLines="20" w:before="48" w:afterLines="20" w:after="48"/>
              <w:jc w:val="center"/>
            </w:pPr>
            <w:r w:rsidRPr="00F81C59">
              <w:t>$23.3</w:t>
            </w:r>
          </w:p>
        </w:tc>
        <w:tc>
          <w:tcPr>
            <w:tcW w:w="865" w:type="pct"/>
          </w:tcPr>
          <w:p w14:paraId="2D503655" w14:textId="77777777" w:rsidR="001A440E" w:rsidRPr="00F81C59" w:rsidRDefault="001A440E" w:rsidP="008A1613">
            <w:pPr>
              <w:pStyle w:val="TableBodyText"/>
              <w:keepNext/>
              <w:spacing w:beforeLines="20" w:before="48" w:afterLines="20" w:after="48"/>
              <w:jc w:val="center"/>
            </w:pPr>
            <w:r w:rsidRPr="00F81C59">
              <w:t>$9.4</w:t>
            </w:r>
          </w:p>
        </w:tc>
      </w:tr>
      <w:tr w:rsidR="001A440E" w:rsidRPr="00F81C59" w14:paraId="73E129CB" w14:textId="77777777" w:rsidTr="001A440E">
        <w:trPr>
          <w:cnfStyle w:val="000000010000" w:firstRow="0" w:lastRow="0" w:firstColumn="0" w:lastColumn="0" w:oddVBand="0" w:evenVBand="0" w:oddHBand="0" w:evenHBand="1" w:firstRowFirstColumn="0" w:firstRowLastColumn="0" w:lastRowFirstColumn="0" w:lastRowLastColumn="0"/>
        </w:trPr>
        <w:tc>
          <w:tcPr>
            <w:tcW w:w="789" w:type="pct"/>
            <w:tcBorders>
              <w:bottom w:val="single" w:sz="4" w:space="0" w:color="auto"/>
            </w:tcBorders>
          </w:tcPr>
          <w:p w14:paraId="5196B64C" w14:textId="77777777" w:rsidR="001A440E" w:rsidRPr="00F81C59" w:rsidRDefault="00C32CBC" w:rsidP="005E0D40">
            <w:pPr>
              <w:pStyle w:val="TableBodyText"/>
              <w:keepNext/>
              <w:spacing w:beforeLines="20" w:before="48" w:afterLines="20" w:after="48"/>
            </w:pPr>
            <w:r>
              <w:t>Option 3B</w:t>
            </w:r>
          </w:p>
        </w:tc>
        <w:tc>
          <w:tcPr>
            <w:tcW w:w="766" w:type="pct"/>
            <w:tcBorders>
              <w:bottom w:val="single" w:sz="4" w:space="0" w:color="auto"/>
            </w:tcBorders>
          </w:tcPr>
          <w:p w14:paraId="1DDC5C0D" w14:textId="77777777" w:rsidR="001A440E" w:rsidRPr="00F81C59" w:rsidRDefault="001A440E" w:rsidP="008A1613">
            <w:pPr>
              <w:pStyle w:val="TableBodyText"/>
              <w:keepNext/>
              <w:spacing w:beforeLines="20" w:before="48" w:afterLines="20" w:after="48"/>
              <w:jc w:val="center"/>
            </w:pPr>
            <w:r w:rsidRPr="00F81C59">
              <w:t>$102.7</w:t>
            </w:r>
          </w:p>
        </w:tc>
        <w:tc>
          <w:tcPr>
            <w:tcW w:w="897" w:type="pct"/>
            <w:tcBorders>
              <w:bottom w:val="single" w:sz="4" w:space="0" w:color="auto"/>
            </w:tcBorders>
          </w:tcPr>
          <w:p w14:paraId="29C41B6B" w14:textId="77777777" w:rsidR="001A440E" w:rsidRPr="00F81C59" w:rsidRDefault="001A440E" w:rsidP="008A1613">
            <w:pPr>
              <w:pStyle w:val="TableBodyText"/>
              <w:keepNext/>
              <w:spacing w:beforeLines="20" w:before="48" w:afterLines="20" w:after="48"/>
              <w:jc w:val="center"/>
            </w:pPr>
            <w:r w:rsidRPr="00F81C59">
              <w:t>$7.3</w:t>
            </w:r>
          </w:p>
        </w:tc>
        <w:tc>
          <w:tcPr>
            <w:tcW w:w="810" w:type="pct"/>
            <w:tcBorders>
              <w:bottom w:val="single" w:sz="4" w:space="0" w:color="auto"/>
            </w:tcBorders>
          </w:tcPr>
          <w:p w14:paraId="635C904A" w14:textId="77777777" w:rsidR="001A440E" w:rsidRPr="00F81C59" w:rsidRDefault="001A440E" w:rsidP="008A1613">
            <w:pPr>
              <w:pStyle w:val="TableBodyText"/>
              <w:keepNext/>
              <w:spacing w:beforeLines="20" w:before="48" w:afterLines="20" w:after="48"/>
              <w:jc w:val="center"/>
            </w:pPr>
            <w:r w:rsidRPr="00F81C59">
              <w:t>$59.3</w:t>
            </w:r>
          </w:p>
        </w:tc>
        <w:tc>
          <w:tcPr>
            <w:tcW w:w="873" w:type="pct"/>
            <w:tcBorders>
              <w:bottom w:val="single" w:sz="4" w:space="0" w:color="auto"/>
            </w:tcBorders>
          </w:tcPr>
          <w:p w14:paraId="71185E77" w14:textId="77777777" w:rsidR="001A440E" w:rsidRPr="00F81C59" w:rsidRDefault="001A440E" w:rsidP="008A1613">
            <w:pPr>
              <w:pStyle w:val="TableBodyText"/>
              <w:keepNext/>
              <w:spacing w:beforeLines="20" w:before="48" w:afterLines="20" w:after="48"/>
              <w:jc w:val="center"/>
            </w:pPr>
            <w:r w:rsidRPr="00F81C59">
              <w:t>$26.8</w:t>
            </w:r>
          </w:p>
        </w:tc>
        <w:tc>
          <w:tcPr>
            <w:tcW w:w="865" w:type="pct"/>
            <w:tcBorders>
              <w:bottom w:val="single" w:sz="4" w:space="0" w:color="auto"/>
            </w:tcBorders>
          </w:tcPr>
          <w:p w14:paraId="4EECF789" w14:textId="77777777" w:rsidR="001A440E" w:rsidRPr="00F81C59" w:rsidRDefault="001A440E" w:rsidP="008A1613">
            <w:pPr>
              <w:pStyle w:val="TableBodyText"/>
              <w:keepNext/>
              <w:spacing w:beforeLines="20" w:before="48" w:afterLines="20" w:after="48"/>
              <w:jc w:val="center"/>
            </w:pPr>
            <w:r w:rsidRPr="00F81C59">
              <w:t>$9.4</w:t>
            </w:r>
          </w:p>
        </w:tc>
      </w:tr>
      <w:tr w:rsidR="001A440E" w:rsidRPr="00F81C59" w14:paraId="48CF127B" w14:textId="77777777" w:rsidTr="001A440E">
        <w:tc>
          <w:tcPr>
            <w:tcW w:w="789" w:type="pct"/>
          </w:tcPr>
          <w:p w14:paraId="200D4796" w14:textId="77777777" w:rsidR="001A440E" w:rsidRPr="00F81C59" w:rsidRDefault="001A440E" w:rsidP="005E0D40">
            <w:pPr>
              <w:pStyle w:val="TableBodyText"/>
              <w:keepNext/>
              <w:spacing w:beforeLines="20" w:before="48" w:afterLines="20" w:after="48"/>
            </w:pPr>
            <w:r w:rsidRPr="00F81C59">
              <w:t>Option 4</w:t>
            </w:r>
          </w:p>
        </w:tc>
        <w:tc>
          <w:tcPr>
            <w:tcW w:w="766" w:type="pct"/>
          </w:tcPr>
          <w:p w14:paraId="387FFC44" w14:textId="77777777" w:rsidR="001A440E" w:rsidRPr="00F81C59" w:rsidRDefault="001A440E" w:rsidP="008A1613">
            <w:pPr>
              <w:pStyle w:val="TableBodyText"/>
              <w:keepNext/>
              <w:spacing w:beforeLines="20" w:before="48" w:afterLines="20" w:after="48"/>
              <w:jc w:val="center"/>
            </w:pPr>
            <w:r w:rsidRPr="00F81C59">
              <w:t>$105.3</w:t>
            </w:r>
          </w:p>
        </w:tc>
        <w:tc>
          <w:tcPr>
            <w:tcW w:w="897" w:type="pct"/>
          </w:tcPr>
          <w:p w14:paraId="20FD8E14" w14:textId="77777777" w:rsidR="001A440E" w:rsidRPr="00F81C59" w:rsidRDefault="001A440E" w:rsidP="008A1613">
            <w:pPr>
              <w:pStyle w:val="TableBodyText"/>
              <w:keepNext/>
              <w:spacing w:beforeLines="20" w:before="48" w:afterLines="20" w:after="48"/>
              <w:jc w:val="center"/>
            </w:pPr>
            <w:r w:rsidRPr="00F81C59">
              <w:t>$7.3</w:t>
            </w:r>
          </w:p>
        </w:tc>
        <w:tc>
          <w:tcPr>
            <w:tcW w:w="810" w:type="pct"/>
          </w:tcPr>
          <w:p w14:paraId="3A4052C8" w14:textId="77777777" w:rsidR="001A440E" w:rsidRPr="00F81C59" w:rsidRDefault="001A440E" w:rsidP="008A1613">
            <w:pPr>
              <w:pStyle w:val="TableBodyText"/>
              <w:keepNext/>
              <w:spacing w:beforeLines="20" w:before="48" w:afterLines="20" w:after="48"/>
              <w:jc w:val="center"/>
            </w:pPr>
            <w:r w:rsidRPr="00F81C59">
              <w:t>$60.0</w:t>
            </w:r>
          </w:p>
        </w:tc>
        <w:tc>
          <w:tcPr>
            <w:tcW w:w="873" w:type="pct"/>
          </w:tcPr>
          <w:p w14:paraId="50B4A15D" w14:textId="77777777" w:rsidR="001A440E" w:rsidRPr="00F81C59" w:rsidRDefault="001A440E" w:rsidP="008A1613">
            <w:pPr>
              <w:pStyle w:val="TableBodyText"/>
              <w:keepNext/>
              <w:spacing w:beforeLines="20" w:before="48" w:afterLines="20" w:after="48"/>
              <w:jc w:val="center"/>
            </w:pPr>
            <w:r w:rsidRPr="00F81C59">
              <w:t>$28.6</w:t>
            </w:r>
          </w:p>
        </w:tc>
        <w:tc>
          <w:tcPr>
            <w:tcW w:w="865" w:type="pct"/>
          </w:tcPr>
          <w:p w14:paraId="3C9F5D67" w14:textId="77777777" w:rsidR="001A440E" w:rsidRPr="00F81C59" w:rsidRDefault="001A440E" w:rsidP="008A1613">
            <w:pPr>
              <w:pStyle w:val="TableBodyText"/>
              <w:keepNext/>
              <w:spacing w:beforeLines="20" w:before="48" w:afterLines="20" w:after="48"/>
              <w:jc w:val="center"/>
            </w:pPr>
            <w:r w:rsidRPr="00F81C59">
              <w:t>$9.4</w:t>
            </w:r>
          </w:p>
        </w:tc>
      </w:tr>
      <w:tr w:rsidR="001A440E" w:rsidRPr="001A440E" w14:paraId="14F5DA5E" w14:textId="77777777" w:rsidTr="001A440E">
        <w:trPr>
          <w:cnfStyle w:val="000000010000" w:firstRow="0" w:lastRow="0" w:firstColumn="0" w:lastColumn="0" w:oddVBand="0" w:evenVBand="0" w:oddHBand="0" w:evenHBand="1" w:firstRowFirstColumn="0" w:firstRowLastColumn="0" w:lastRowFirstColumn="0" w:lastRowLastColumn="0"/>
        </w:trPr>
        <w:tc>
          <w:tcPr>
            <w:tcW w:w="5000" w:type="pct"/>
            <w:gridSpan w:val="6"/>
            <w:shd w:val="clear" w:color="auto" w:fill="65697F" w:themeFill="background2" w:themeFillShade="80"/>
          </w:tcPr>
          <w:p w14:paraId="4B04DF43" w14:textId="77777777" w:rsidR="001A440E" w:rsidRPr="001A440E" w:rsidRDefault="001A440E" w:rsidP="008A1613">
            <w:pPr>
              <w:pStyle w:val="TableBodyText"/>
              <w:keepNext/>
              <w:spacing w:beforeLines="20" w:before="48" w:afterLines="20" w:after="48"/>
              <w:jc w:val="center"/>
              <w:rPr>
                <w:color w:val="FFFFFF" w:themeColor="background1"/>
              </w:rPr>
            </w:pPr>
            <w:r w:rsidRPr="001A440E">
              <w:rPr>
                <w:color w:val="FFFFFF" w:themeColor="background1"/>
              </w:rPr>
              <w:t>Scenario 2 - Low Impact</w:t>
            </w:r>
          </w:p>
        </w:tc>
      </w:tr>
      <w:tr w:rsidR="001A440E" w:rsidRPr="00F81C59" w14:paraId="45FAD454" w14:textId="77777777" w:rsidTr="001A440E">
        <w:tc>
          <w:tcPr>
            <w:tcW w:w="789" w:type="pct"/>
          </w:tcPr>
          <w:p w14:paraId="36C71780" w14:textId="77777777" w:rsidR="001A440E" w:rsidRPr="00F81C59" w:rsidRDefault="001A440E" w:rsidP="005E0D40">
            <w:pPr>
              <w:pStyle w:val="TableBodyText"/>
              <w:keepNext/>
              <w:spacing w:beforeLines="20" w:before="48" w:afterLines="20" w:after="48"/>
            </w:pPr>
            <w:r w:rsidRPr="00F81C59">
              <w:t>Option 2</w:t>
            </w:r>
          </w:p>
        </w:tc>
        <w:tc>
          <w:tcPr>
            <w:tcW w:w="766" w:type="pct"/>
          </w:tcPr>
          <w:p w14:paraId="0EDD4AB1" w14:textId="77777777" w:rsidR="001A440E" w:rsidRPr="00F81C59" w:rsidRDefault="001A440E" w:rsidP="008A1613">
            <w:pPr>
              <w:pStyle w:val="TableBodyText"/>
              <w:keepNext/>
              <w:spacing w:beforeLines="20" w:before="48" w:afterLines="20" w:after="48"/>
              <w:jc w:val="center"/>
            </w:pPr>
            <w:r w:rsidRPr="00F81C59">
              <w:t>$39.9</w:t>
            </w:r>
          </w:p>
        </w:tc>
        <w:tc>
          <w:tcPr>
            <w:tcW w:w="897" w:type="pct"/>
          </w:tcPr>
          <w:p w14:paraId="5A871CD3" w14:textId="77777777" w:rsidR="001A440E" w:rsidRPr="00F81C59" w:rsidRDefault="001A440E" w:rsidP="008A1613">
            <w:pPr>
              <w:pStyle w:val="TableBodyText"/>
              <w:keepNext/>
              <w:spacing w:beforeLines="20" w:before="48" w:afterLines="20" w:after="48"/>
              <w:jc w:val="center"/>
            </w:pPr>
            <w:r w:rsidRPr="00F81C59">
              <w:t>$3.6</w:t>
            </w:r>
          </w:p>
        </w:tc>
        <w:tc>
          <w:tcPr>
            <w:tcW w:w="810" w:type="pct"/>
          </w:tcPr>
          <w:p w14:paraId="0C69B128" w14:textId="77777777" w:rsidR="001A440E" w:rsidRPr="00F81C59" w:rsidRDefault="001A440E" w:rsidP="008A1613">
            <w:pPr>
              <w:pStyle w:val="TableBodyText"/>
              <w:keepNext/>
              <w:spacing w:beforeLines="20" w:before="48" w:afterLines="20" w:after="48"/>
              <w:jc w:val="center"/>
            </w:pPr>
            <w:r w:rsidRPr="00F81C59">
              <w:t>$29.5</w:t>
            </w:r>
          </w:p>
        </w:tc>
        <w:tc>
          <w:tcPr>
            <w:tcW w:w="873" w:type="pct"/>
          </w:tcPr>
          <w:p w14:paraId="4DBE1197" w14:textId="77777777" w:rsidR="001A440E" w:rsidRPr="00F81C59" w:rsidRDefault="001A440E" w:rsidP="008A1613">
            <w:pPr>
              <w:pStyle w:val="TableBodyText"/>
              <w:keepNext/>
              <w:spacing w:beforeLines="20" w:before="48" w:afterLines="20" w:after="48"/>
              <w:jc w:val="center"/>
            </w:pPr>
            <w:r w:rsidRPr="00F81C59">
              <w:t>$6.7</w:t>
            </w:r>
          </w:p>
        </w:tc>
        <w:tc>
          <w:tcPr>
            <w:tcW w:w="865" w:type="pct"/>
          </w:tcPr>
          <w:p w14:paraId="0FB5A154" w14:textId="77777777" w:rsidR="001A440E" w:rsidRPr="00F81C59" w:rsidRDefault="001A440E" w:rsidP="008A1613">
            <w:pPr>
              <w:pStyle w:val="TableBodyText"/>
              <w:keepNext/>
              <w:spacing w:beforeLines="20" w:before="48" w:afterLines="20" w:after="48"/>
              <w:jc w:val="center"/>
            </w:pPr>
            <w:r w:rsidRPr="00F81C59">
              <w:t>$ -</w:t>
            </w:r>
          </w:p>
        </w:tc>
      </w:tr>
      <w:tr w:rsidR="001A440E" w:rsidRPr="00F81C59" w14:paraId="58D11E8E" w14:textId="77777777" w:rsidTr="001A440E">
        <w:trPr>
          <w:cnfStyle w:val="000000010000" w:firstRow="0" w:lastRow="0" w:firstColumn="0" w:lastColumn="0" w:oddVBand="0" w:evenVBand="0" w:oddHBand="0" w:evenHBand="1" w:firstRowFirstColumn="0" w:firstRowLastColumn="0" w:lastRowFirstColumn="0" w:lastRowLastColumn="0"/>
        </w:trPr>
        <w:tc>
          <w:tcPr>
            <w:tcW w:w="789" w:type="pct"/>
          </w:tcPr>
          <w:p w14:paraId="42B078ED" w14:textId="77777777" w:rsidR="001A440E" w:rsidRPr="00F81C59" w:rsidRDefault="00C32CBC" w:rsidP="005E0D40">
            <w:pPr>
              <w:pStyle w:val="TableBodyText"/>
              <w:keepNext/>
              <w:spacing w:beforeLines="20" w:before="48" w:afterLines="20" w:after="48"/>
            </w:pPr>
            <w:r>
              <w:t>Option 3A</w:t>
            </w:r>
          </w:p>
        </w:tc>
        <w:tc>
          <w:tcPr>
            <w:tcW w:w="766" w:type="pct"/>
          </w:tcPr>
          <w:p w14:paraId="071BF0D8" w14:textId="77777777" w:rsidR="001A440E" w:rsidRPr="00F81C59" w:rsidRDefault="001A440E" w:rsidP="008A1613">
            <w:pPr>
              <w:pStyle w:val="TableBodyText"/>
              <w:keepNext/>
              <w:spacing w:beforeLines="20" w:before="48" w:afterLines="20" w:after="48"/>
              <w:jc w:val="center"/>
            </w:pPr>
            <w:r w:rsidRPr="00F81C59">
              <w:t>$48.1</w:t>
            </w:r>
          </w:p>
        </w:tc>
        <w:tc>
          <w:tcPr>
            <w:tcW w:w="897" w:type="pct"/>
          </w:tcPr>
          <w:p w14:paraId="55F352A7" w14:textId="77777777" w:rsidR="001A440E" w:rsidRPr="00F81C59" w:rsidRDefault="001A440E" w:rsidP="008A1613">
            <w:pPr>
              <w:pStyle w:val="TableBodyText"/>
              <w:keepNext/>
              <w:spacing w:beforeLines="20" w:before="48" w:afterLines="20" w:after="48"/>
              <w:jc w:val="center"/>
            </w:pPr>
            <w:r w:rsidRPr="00F81C59">
              <w:t>$3.6</w:t>
            </w:r>
          </w:p>
        </w:tc>
        <w:tc>
          <w:tcPr>
            <w:tcW w:w="810" w:type="pct"/>
          </w:tcPr>
          <w:p w14:paraId="72B6B5BE" w14:textId="77777777" w:rsidR="001A440E" w:rsidRPr="00F81C59" w:rsidRDefault="001A440E" w:rsidP="008A1613">
            <w:pPr>
              <w:pStyle w:val="TableBodyText"/>
              <w:keepNext/>
              <w:spacing w:beforeLines="20" w:before="48" w:afterLines="20" w:after="48"/>
              <w:jc w:val="center"/>
            </w:pPr>
            <w:r w:rsidRPr="00F81C59">
              <w:t>$32.0</w:t>
            </w:r>
          </w:p>
        </w:tc>
        <w:tc>
          <w:tcPr>
            <w:tcW w:w="873" w:type="pct"/>
          </w:tcPr>
          <w:p w14:paraId="66673B7F" w14:textId="77777777" w:rsidR="001A440E" w:rsidRPr="00F81C59" w:rsidRDefault="001A440E" w:rsidP="008A1613">
            <w:pPr>
              <w:pStyle w:val="TableBodyText"/>
              <w:keepNext/>
              <w:spacing w:beforeLines="20" w:before="48" w:afterLines="20" w:after="48"/>
              <w:jc w:val="center"/>
            </w:pPr>
            <w:r w:rsidRPr="00F81C59">
              <w:t>$12.6</w:t>
            </w:r>
          </w:p>
        </w:tc>
        <w:tc>
          <w:tcPr>
            <w:tcW w:w="865" w:type="pct"/>
          </w:tcPr>
          <w:p w14:paraId="2162728C" w14:textId="77777777" w:rsidR="001A440E" w:rsidRPr="00F81C59" w:rsidRDefault="001A440E" w:rsidP="008A1613">
            <w:pPr>
              <w:pStyle w:val="TableBodyText"/>
              <w:keepNext/>
              <w:spacing w:beforeLines="20" w:before="48" w:afterLines="20" w:after="48"/>
              <w:jc w:val="center"/>
            </w:pPr>
            <w:r w:rsidRPr="00F81C59">
              <w:t>$ -</w:t>
            </w:r>
          </w:p>
        </w:tc>
      </w:tr>
      <w:tr w:rsidR="001A440E" w:rsidRPr="00F81C59" w14:paraId="70AEC713" w14:textId="77777777" w:rsidTr="001A440E">
        <w:tc>
          <w:tcPr>
            <w:tcW w:w="789" w:type="pct"/>
          </w:tcPr>
          <w:p w14:paraId="698E022E" w14:textId="77777777" w:rsidR="001A440E" w:rsidRPr="00F81C59" w:rsidRDefault="00C32CBC" w:rsidP="005E0D40">
            <w:pPr>
              <w:pStyle w:val="TableBodyText"/>
              <w:keepNext/>
              <w:spacing w:beforeLines="20" w:before="48" w:afterLines="20" w:after="48"/>
            </w:pPr>
            <w:r>
              <w:t>Option 3B</w:t>
            </w:r>
          </w:p>
        </w:tc>
        <w:tc>
          <w:tcPr>
            <w:tcW w:w="766" w:type="pct"/>
          </w:tcPr>
          <w:p w14:paraId="07F67B53" w14:textId="77777777" w:rsidR="001A440E" w:rsidRPr="00F81C59" w:rsidRDefault="001A440E" w:rsidP="008A1613">
            <w:pPr>
              <w:pStyle w:val="TableBodyText"/>
              <w:keepNext/>
              <w:spacing w:beforeLines="20" w:before="48" w:afterLines="20" w:after="48"/>
              <w:jc w:val="center"/>
            </w:pPr>
            <w:r w:rsidRPr="00F81C59">
              <w:t>$51.9</w:t>
            </w:r>
          </w:p>
        </w:tc>
        <w:tc>
          <w:tcPr>
            <w:tcW w:w="897" w:type="pct"/>
          </w:tcPr>
          <w:p w14:paraId="15E5E61D" w14:textId="77777777" w:rsidR="001A440E" w:rsidRPr="00F81C59" w:rsidRDefault="001A440E" w:rsidP="008A1613">
            <w:pPr>
              <w:pStyle w:val="TableBodyText"/>
              <w:keepNext/>
              <w:spacing w:beforeLines="20" w:before="48" w:afterLines="20" w:after="48"/>
              <w:jc w:val="center"/>
            </w:pPr>
            <w:r w:rsidRPr="00F81C59">
              <w:t>$4.1</w:t>
            </w:r>
          </w:p>
        </w:tc>
        <w:tc>
          <w:tcPr>
            <w:tcW w:w="810" w:type="pct"/>
          </w:tcPr>
          <w:p w14:paraId="2FB99A89" w14:textId="77777777" w:rsidR="001A440E" w:rsidRPr="00F81C59" w:rsidRDefault="001A440E" w:rsidP="008A1613">
            <w:pPr>
              <w:pStyle w:val="TableBodyText"/>
              <w:keepNext/>
              <w:spacing w:beforeLines="20" w:before="48" w:afterLines="20" w:after="48"/>
              <w:jc w:val="center"/>
            </w:pPr>
            <w:r w:rsidRPr="00F81C59">
              <w:t>$32.9</w:t>
            </w:r>
          </w:p>
        </w:tc>
        <w:tc>
          <w:tcPr>
            <w:tcW w:w="873" w:type="pct"/>
          </w:tcPr>
          <w:p w14:paraId="7E6A55DA" w14:textId="77777777" w:rsidR="001A440E" w:rsidRPr="00F81C59" w:rsidRDefault="001A440E" w:rsidP="008A1613">
            <w:pPr>
              <w:pStyle w:val="TableBodyText"/>
              <w:keepNext/>
              <w:spacing w:beforeLines="20" w:before="48" w:afterLines="20" w:after="48"/>
              <w:jc w:val="center"/>
            </w:pPr>
            <w:r w:rsidRPr="00F81C59">
              <w:t>$14.9</w:t>
            </w:r>
          </w:p>
        </w:tc>
        <w:tc>
          <w:tcPr>
            <w:tcW w:w="865" w:type="pct"/>
          </w:tcPr>
          <w:p w14:paraId="506C9577" w14:textId="77777777" w:rsidR="001A440E" w:rsidRPr="00F81C59" w:rsidRDefault="001A440E" w:rsidP="008A1613">
            <w:pPr>
              <w:pStyle w:val="TableBodyText"/>
              <w:keepNext/>
              <w:spacing w:beforeLines="20" w:before="48" w:afterLines="20" w:after="48"/>
              <w:jc w:val="center"/>
            </w:pPr>
            <w:r w:rsidRPr="00F81C59">
              <w:t>$ -</w:t>
            </w:r>
          </w:p>
        </w:tc>
      </w:tr>
      <w:tr w:rsidR="001A440E" w:rsidRPr="00F81C59" w14:paraId="5D93FB29" w14:textId="77777777" w:rsidTr="001A440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789" w:type="pct"/>
          </w:tcPr>
          <w:p w14:paraId="7C1823BA" w14:textId="77777777" w:rsidR="001A440E" w:rsidRPr="00F81C59" w:rsidRDefault="001A440E" w:rsidP="005E0D40">
            <w:pPr>
              <w:pStyle w:val="TableBodyText"/>
              <w:keepNext/>
              <w:spacing w:beforeLines="20" w:before="48" w:afterLines="20" w:after="48"/>
            </w:pPr>
            <w:r w:rsidRPr="00F81C59">
              <w:t>Option 4</w:t>
            </w:r>
          </w:p>
        </w:tc>
        <w:tc>
          <w:tcPr>
            <w:tcW w:w="766" w:type="pct"/>
          </w:tcPr>
          <w:p w14:paraId="451F9247" w14:textId="77777777" w:rsidR="001A440E" w:rsidRPr="00F81C59" w:rsidRDefault="001A440E" w:rsidP="008A1613">
            <w:pPr>
              <w:pStyle w:val="TableBodyText"/>
              <w:keepNext/>
              <w:spacing w:beforeLines="20" w:before="48" w:afterLines="20" w:after="48"/>
              <w:jc w:val="center"/>
            </w:pPr>
            <w:r w:rsidRPr="00F81C59">
              <w:t>$54.4</w:t>
            </w:r>
          </w:p>
        </w:tc>
        <w:tc>
          <w:tcPr>
            <w:tcW w:w="897" w:type="pct"/>
          </w:tcPr>
          <w:p w14:paraId="673B836F" w14:textId="77777777" w:rsidR="001A440E" w:rsidRPr="00F81C59" w:rsidRDefault="001A440E" w:rsidP="008A1613">
            <w:pPr>
              <w:pStyle w:val="TableBodyText"/>
              <w:keepNext/>
              <w:spacing w:beforeLines="20" w:before="48" w:afterLines="20" w:after="48"/>
              <w:jc w:val="center"/>
            </w:pPr>
            <w:r w:rsidRPr="00F81C59">
              <w:t>$4.1</w:t>
            </w:r>
          </w:p>
        </w:tc>
        <w:tc>
          <w:tcPr>
            <w:tcW w:w="810" w:type="pct"/>
          </w:tcPr>
          <w:p w14:paraId="712E2AC3" w14:textId="77777777" w:rsidR="001A440E" w:rsidRPr="00F81C59" w:rsidRDefault="001A440E" w:rsidP="008A1613">
            <w:pPr>
              <w:pStyle w:val="TableBodyText"/>
              <w:keepNext/>
              <w:spacing w:beforeLines="20" w:before="48" w:afterLines="20" w:after="48"/>
              <w:jc w:val="center"/>
            </w:pPr>
            <w:r w:rsidRPr="00F81C59">
              <w:t>$33.7</w:t>
            </w:r>
          </w:p>
        </w:tc>
        <w:tc>
          <w:tcPr>
            <w:tcW w:w="873" w:type="pct"/>
          </w:tcPr>
          <w:p w14:paraId="132B7B32" w14:textId="77777777" w:rsidR="001A440E" w:rsidRPr="00F81C59" w:rsidRDefault="001A440E" w:rsidP="008A1613">
            <w:pPr>
              <w:pStyle w:val="TableBodyText"/>
              <w:keepNext/>
              <w:spacing w:beforeLines="20" w:before="48" w:afterLines="20" w:after="48"/>
              <w:jc w:val="center"/>
            </w:pPr>
            <w:r w:rsidRPr="00F81C59">
              <w:t>$16.7</w:t>
            </w:r>
          </w:p>
        </w:tc>
        <w:tc>
          <w:tcPr>
            <w:tcW w:w="865" w:type="pct"/>
          </w:tcPr>
          <w:p w14:paraId="0621E67D" w14:textId="77777777" w:rsidR="001A440E" w:rsidRPr="00F81C59" w:rsidRDefault="001A440E" w:rsidP="008A1613">
            <w:pPr>
              <w:pStyle w:val="TableBodyText"/>
              <w:keepNext/>
              <w:spacing w:beforeLines="20" w:before="48" w:afterLines="20" w:after="48"/>
              <w:jc w:val="center"/>
            </w:pPr>
            <w:r w:rsidRPr="00F81C59">
              <w:t>$ -</w:t>
            </w:r>
          </w:p>
        </w:tc>
      </w:tr>
    </w:tbl>
    <w:p w14:paraId="1117451D" w14:textId="77777777" w:rsidR="001A440E" w:rsidRPr="001A440E" w:rsidRDefault="001A440E" w:rsidP="001A440E">
      <w:pPr>
        <w:pStyle w:val="BodyText"/>
        <w:spacing w:before="0" w:after="0"/>
      </w:pPr>
      <w:r w:rsidRPr="001A440E">
        <w:rPr>
          <w:sz w:val="16"/>
        </w:rPr>
        <w:t>Source: PwC analysis</w:t>
      </w:r>
    </w:p>
    <w:p w14:paraId="44C32E9E" w14:textId="77777777" w:rsidR="001A440E" w:rsidRPr="001A440E" w:rsidRDefault="001A440E" w:rsidP="001A440E">
      <w:pPr>
        <w:pStyle w:val="BodyText"/>
        <w:spacing w:before="0" w:after="0"/>
        <w:rPr>
          <w:sz w:val="16"/>
        </w:rPr>
      </w:pPr>
      <w:r w:rsidRPr="001A440E">
        <w:rPr>
          <w:sz w:val="16"/>
        </w:rPr>
        <w:t>Notes: NPV calculated for a 20-year period with a 7</w:t>
      </w:r>
      <w:r w:rsidR="005E0D40">
        <w:rPr>
          <w:sz w:val="16"/>
        </w:rPr>
        <w:t>%</w:t>
      </w:r>
      <w:r w:rsidRPr="001A440E">
        <w:rPr>
          <w:sz w:val="16"/>
        </w:rPr>
        <w:t xml:space="preserve"> discount rate. </w:t>
      </w:r>
    </w:p>
    <w:p w14:paraId="0EE04F60" w14:textId="77777777" w:rsidR="001A440E" w:rsidRPr="00F81C59" w:rsidRDefault="001A440E" w:rsidP="001A440E">
      <w:pPr>
        <w:pStyle w:val="AppendixHeading3"/>
      </w:pPr>
      <w:r w:rsidRPr="00F81C59">
        <w:t>Shipper</w:t>
      </w:r>
      <w:r>
        <w:t xml:space="preserve"> costs</w:t>
      </w:r>
    </w:p>
    <w:p w14:paraId="4E51BF89" w14:textId="77777777" w:rsidR="001A440E" w:rsidRPr="00F81C59" w:rsidRDefault="001A440E" w:rsidP="001A440E">
      <w:pPr>
        <w:pStyle w:val="BodyText"/>
      </w:pPr>
      <w:r w:rsidRPr="00F81C59">
        <w:t xml:space="preserve">There are two </w:t>
      </w:r>
      <w:r w:rsidR="005D6A01">
        <w:t xml:space="preserve">categories </w:t>
      </w:r>
      <w:r w:rsidRPr="00F81C59">
        <w:t xml:space="preserve">of costs that shippers may incur as a result of the </w:t>
      </w:r>
      <w:r w:rsidR="005D6A01">
        <w:t>reform options</w:t>
      </w:r>
      <w:r w:rsidRPr="00F81C59">
        <w:t>:</w:t>
      </w:r>
    </w:p>
    <w:p w14:paraId="312DC44F" w14:textId="62FE349D" w:rsidR="00AF2443" w:rsidRDefault="003A7F11" w:rsidP="000A3668">
      <w:pPr>
        <w:pStyle w:val="ListNumber"/>
        <w:numPr>
          <w:ilvl w:val="0"/>
          <w:numId w:val="84"/>
        </w:numPr>
      </w:pPr>
      <w:r w:rsidRPr="0076062F">
        <w:rPr>
          <w:b/>
          <w:bCs/>
        </w:rPr>
        <w:t>Implementation costs:</w:t>
      </w:r>
      <w:r>
        <w:t xml:space="preserve"> These costs include the </w:t>
      </w:r>
      <w:r w:rsidR="001A440E" w:rsidRPr="00F81C59">
        <w:t xml:space="preserve">upfront implementation costs </w:t>
      </w:r>
      <w:r w:rsidR="0079304D">
        <w:t xml:space="preserve">that shippers incur </w:t>
      </w:r>
      <w:r w:rsidR="0076062F">
        <w:t xml:space="preserve">may incur </w:t>
      </w:r>
      <w:r w:rsidR="0079304D">
        <w:t>understanding the changes to the regulatory framework and participating in stakeholder engagement processes</w:t>
      </w:r>
      <w:r w:rsidR="001A440E" w:rsidRPr="00F81C59">
        <w:t xml:space="preserve">. The </w:t>
      </w:r>
      <w:r w:rsidR="002639D6">
        <w:t xml:space="preserve">cost estimate </w:t>
      </w:r>
      <w:r w:rsidR="0088121E">
        <w:t xml:space="preserve">assumes </w:t>
      </w:r>
      <w:r w:rsidR="001A440E" w:rsidRPr="00F81C59">
        <w:t>the average shipper implementation costs with an average number of shippers that would be impacted by the move of at</w:t>
      </w:r>
      <w:r w:rsidR="001A440E" w:rsidRPr="001A440E">
        <w:rPr>
          <w:spacing w:val="-31"/>
        </w:rPr>
        <w:t xml:space="preserve"> </w:t>
      </w:r>
      <w:r w:rsidR="001A440E" w:rsidRPr="00F81C59">
        <w:t xml:space="preserve">least one pipeline that they operate on, into the </w:t>
      </w:r>
      <w:r w:rsidR="00531979">
        <w:t>stronger</w:t>
      </w:r>
      <w:r w:rsidR="001A440E" w:rsidRPr="00F81C59">
        <w:t xml:space="preserve"> form of regulation.</w:t>
      </w:r>
      <w:r w:rsidR="004031E8">
        <w:rPr>
          <w:rFonts w:ascii="ZWAdobeF" w:hAnsi="ZWAdobeF" w:cs="ZWAdobeF"/>
          <w:sz w:val="2"/>
          <w:szCs w:val="2"/>
        </w:rPr>
        <w:t>322F</w:t>
      </w:r>
      <w:r w:rsidR="001A440E">
        <w:rPr>
          <w:rStyle w:val="FootnoteReference"/>
        </w:rPr>
        <w:footnoteReference w:id="324"/>
      </w:r>
      <w:r w:rsidR="001A440E" w:rsidRPr="00F81C59">
        <w:t xml:space="preserve"> The upfront implementation costs are </w:t>
      </w:r>
      <w:r w:rsidR="0088121E">
        <w:t xml:space="preserve">assumed to be </w:t>
      </w:r>
      <w:r w:rsidR="001A440E" w:rsidRPr="00F81C59">
        <w:t xml:space="preserve">$0.08 million for each shipper on a pipeline that moves to the </w:t>
      </w:r>
      <w:r w:rsidR="00531979">
        <w:t>stronger</w:t>
      </w:r>
      <w:r w:rsidR="001A440E" w:rsidRPr="00F81C59">
        <w:t xml:space="preserve"> form of</w:t>
      </w:r>
      <w:r w:rsidR="001A440E" w:rsidRPr="001A440E">
        <w:rPr>
          <w:spacing w:val="-2"/>
        </w:rPr>
        <w:t xml:space="preserve"> </w:t>
      </w:r>
      <w:r w:rsidR="001A440E" w:rsidRPr="00F81C59">
        <w:t>regulation.</w:t>
      </w:r>
      <w:r w:rsidR="004031E8">
        <w:rPr>
          <w:rFonts w:ascii="ZWAdobeF" w:hAnsi="ZWAdobeF" w:cs="ZWAdobeF"/>
          <w:sz w:val="2"/>
          <w:szCs w:val="2"/>
        </w:rPr>
        <w:t>323F</w:t>
      </w:r>
      <w:r w:rsidR="001A440E">
        <w:rPr>
          <w:rStyle w:val="FootnoteReference"/>
        </w:rPr>
        <w:footnoteReference w:id="325"/>
      </w:r>
    </w:p>
    <w:p w14:paraId="43D0E6DC" w14:textId="77777777" w:rsidR="00865632" w:rsidRPr="00F81C59" w:rsidRDefault="008D31A1" w:rsidP="000A3668">
      <w:pPr>
        <w:pStyle w:val="ListNumber"/>
        <w:numPr>
          <w:ilvl w:val="0"/>
          <w:numId w:val="84"/>
        </w:numPr>
      </w:pPr>
      <w:r w:rsidRPr="0076062F">
        <w:rPr>
          <w:b/>
          <w:bCs/>
        </w:rPr>
        <w:t>Dispute resolution costs:</w:t>
      </w:r>
      <w:r>
        <w:t xml:space="preserve"> </w:t>
      </w:r>
      <w:r w:rsidR="00865632">
        <w:t>Under Scenario 1 – High Impact, more disputes are assumed to proceed to arbitration</w:t>
      </w:r>
      <w:r w:rsidR="00D722BD">
        <w:t>, which will impose costs on those shippers that are a party to the dispute</w:t>
      </w:r>
      <w:r w:rsidR="00865632">
        <w:t xml:space="preserve">. </w:t>
      </w:r>
      <w:r w:rsidR="00865632" w:rsidRPr="00F81C59">
        <w:t xml:space="preserve">The costs </w:t>
      </w:r>
      <w:r w:rsidR="00865632">
        <w:t xml:space="preserve">for those shippers that partake in the arbitration </w:t>
      </w:r>
      <w:r w:rsidR="00865632" w:rsidRPr="00F81C59">
        <w:t xml:space="preserve">are </w:t>
      </w:r>
      <w:r w:rsidR="00AF2443">
        <w:t>assumed to be</w:t>
      </w:r>
      <w:r w:rsidR="00865632" w:rsidRPr="00F81C59">
        <w:t xml:space="preserve"> $</w:t>
      </w:r>
      <w:r w:rsidR="00865632">
        <w:t>0</w:t>
      </w:r>
      <w:r w:rsidR="00865632" w:rsidRPr="00F81C59">
        <w:t>.</w:t>
      </w:r>
      <w:r w:rsidR="00865632">
        <w:t>86</w:t>
      </w:r>
      <w:r w:rsidR="00865632" w:rsidRPr="00F81C59">
        <w:t xml:space="preserve"> million per dispute.</w:t>
      </w:r>
    </w:p>
    <w:p w14:paraId="40356FCC" w14:textId="7B380A2D" w:rsidR="001A440E" w:rsidRPr="00F81C59" w:rsidRDefault="0075305C" w:rsidP="001A440E">
      <w:pPr>
        <w:pStyle w:val="BodyText"/>
      </w:pPr>
      <w:hyperlink w:anchor="_bookmark10" w:history="1">
        <w:r w:rsidR="001A440E" w:rsidRPr="001A440E">
          <w:rPr>
            <w:rStyle w:val="Hyperlink"/>
            <w:u w:val="none"/>
          </w:rPr>
          <w:t>The</w:t>
        </w:r>
      </w:hyperlink>
      <w:r w:rsidR="001A440E" w:rsidRPr="001A440E">
        <w:rPr>
          <w:rStyle w:val="Hyperlink"/>
          <w:u w:val="none"/>
        </w:rPr>
        <w:t xml:space="preserve"> table below</w:t>
      </w:r>
      <w:r w:rsidR="001A440E" w:rsidRPr="009E68B8">
        <w:rPr>
          <w:rStyle w:val="Hyperlink"/>
          <w:u w:val="none"/>
        </w:rPr>
        <w:t xml:space="preserve"> </w:t>
      </w:r>
      <w:r w:rsidR="001A440E" w:rsidRPr="00F81C59">
        <w:t xml:space="preserve">summarises these costs. Since the number of pipelines shifting to </w:t>
      </w:r>
      <w:r w:rsidR="00531979">
        <w:t>stronger</w:t>
      </w:r>
      <w:r w:rsidR="001A440E" w:rsidRPr="00F81C59">
        <w:t xml:space="preserve"> form of</w:t>
      </w:r>
      <w:r w:rsidR="001A440E" w:rsidRPr="00F81C59">
        <w:rPr>
          <w:spacing w:val="-32"/>
        </w:rPr>
        <w:t xml:space="preserve"> </w:t>
      </w:r>
      <w:r w:rsidR="001A440E" w:rsidRPr="00F81C59">
        <w:t>regulation and the number of arbitrations assumed are the same under each scenario, these costs are the same under each of the options.</w:t>
      </w:r>
    </w:p>
    <w:p w14:paraId="5D0EB1D6" w14:textId="77777777" w:rsidR="001A440E" w:rsidRPr="00F81C59" w:rsidRDefault="001A440E" w:rsidP="001A440E">
      <w:pPr>
        <w:pStyle w:val="Caption"/>
        <w:spacing w:after="0"/>
        <w:rPr>
          <w:sz w:val="13"/>
        </w:rPr>
      </w:pPr>
      <w:bookmarkStart w:id="271" w:name="_bookmark10"/>
      <w:bookmarkEnd w:id="271"/>
      <w:r>
        <w:lastRenderedPageBreak/>
        <w:t>Table D.</w:t>
      </w:r>
      <w:r w:rsidR="001C55A2">
        <w:t>2</w:t>
      </w:r>
      <w:r>
        <w:t>: Costs for shippers by option (20 year NPV $m, 2020 dollars)</w:t>
      </w:r>
    </w:p>
    <w:tbl>
      <w:tblPr>
        <w:tblStyle w:val="TableGrid"/>
        <w:tblW w:w="5000" w:type="pct"/>
        <w:tblLook w:val="0420" w:firstRow="1" w:lastRow="0" w:firstColumn="0" w:lastColumn="0" w:noHBand="0" w:noVBand="1"/>
      </w:tblPr>
      <w:tblGrid>
        <w:gridCol w:w="1599"/>
        <w:gridCol w:w="1167"/>
        <w:gridCol w:w="1837"/>
        <w:gridCol w:w="1287"/>
        <w:gridCol w:w="1443"/>
        <w:gridCol w:w="1455"/>
      </w:tblGrid>
      <w:tr w:rsidR="001A440E" w:rsidRPr="00F81C59" w14:paraId="1DDB9ECC" w14:textId="77777777" w:rsidTr="001A440E">
        <w:trPr>
          <w:cnfStyle w:val="100000000000" w:firstRow="1" w:lastRow="0" w:firstColumn="0" w:lastColumn="0" w:oddVBand="0" w:evenVBand="0" w:oddHBand="0" w:evenHBand="0" w:firstRowFirstColumn="0" w:firstRowLastColumn="0" w:lastRowFirstColumn="0" w:lastRowLastColumn="0"/>
          <w:tblHeader/>
        </w:trPr>
        <w:tc>
          <w:tcPr>
            <w:tcW w:w="910" w:type="pct"/>
            <w:tcBorders>
              <w:bottom w:val="single" w:sz="4" w:space="0" w:color="auto"/>
            </w:tcBorders>
            <w:shd w:val="clear" w:color="auto" w:fill="002060"/>
            <w:vAlign w:val="bottom"/>
          </w:tcPr>
          <w:p w14:paraId="17C93896" w14:textId="77777777" w:rsidR="001A440E" w:rsidRPr="00F81C59" w:rsidRDefault="001A440E" w:rsidP="008A1613">
            <w:pPr>
              <w:pStyle w:val="TableHeading"/>
              <w:keepNext/>
            </w:pPr>
            <w:r w:rsidRPr="00F81C59">
              <w:t>Options</w:t>
            </w:r>
          </w:p>
        </w:tc>
        <w:tc>
          <w:tcPr>
            <w:tcW w:w="664" w:type="pct"/>
            <w:tcBorders>
              <w:bottom w:val="single" w:sz="4" w:space="0" w:color="auto"/>
            </w:tcBorders>
            <w:shd w:val="clear" w:color="auto" w:fill="002060"/>
            <w:vAlign w:val="bottom"/>
          </w:tcPr>
          <w:p w14:paraId="1D8C7DCE" w14:textId="77777777" w:rsidR="001A440E" w:rsidRPr="00F81C59" w:rsidRDefault="001A440E" w:rsidP="008A1613">
            <w:pPr>
              <w:pStyle w:val="TableHeading"/>
              <w:keepNext/>
              <w:jc w:val="center"/>
            </w:pPr>
            <w:r w:rsidRPr="00F81C59">
              <w:t>Total</w:t>
            </w:r>
          </w:p>
        </w:tc>
        <w:tc>
          <w:tcPr>
            <w:tcW w:w="1045" w:type="pct"/>
            <w:tcBorders>
              <w:bottom w:val="single" w:sz="4" w:space="0" w:color="auto"/>
            </w:tcBorders>
            <w:shd w:val="clear" w:color="auto" w:fill="002060"/>
            <w:vAlign w:val="bottom"/>
          </w:tcPr>
          <w:p w14:paraId="31C2FADD" w14:textId="77777777" w:rsidR="001A440E" w:rsidRPr="00F81C59" w:rsidRDefault="001A440E" w:rsidP="008A1613">
            <w:pPr>
              <w:pStyle w:val="TableHeading"/>
              <w:keepNext/>
              <w:jc w:val="center"/>
            </w:pPr>
            <w:r w:rsidRPr="00F81C59">
              <w:t>Implementation costs</w:t>
            </w:r>
            <w:r>
              <w:t xml:space="preserve"> </w:t>
            </w:r>
            <w:r w:rsidRPr="00F81C59">
              <w:t>(upfront)</w:t>
            </w:r>
          </w:p>
        </w:tc>
        <w:tc>
          <w:tcPr>
            <w:tcW w:w="732" w:type="pct"/>
            <w:tcBorders>
              <w:bottom w:val="single" w:sz="4" w:space="0" w:color="auto"/>
            </w:tcBorders>
            <w:shd w:val="clear" w:color="auto" w:fill="002060"/>
            <w:vAlign w:val="bottom"/>
          </w:tcPr>
          <w:p w14:paraId="201EBE83" w14:textId="77777777" w:rsidR="001A440E" w:rsidRPr="00F81C59" w:rsidRDefault="001A440E" w:rsidP="008A1613">
            <w:pPr>
              <w:pStyle w:val="TableHeading"/>
              <w:keepNext/>
              <w:jc w:val="center"/>
            </w:pPr>
            <w:r w:rsidRPr="00F81C59">
              <w:t>Access costs</w:t>
            </w:r>
            <w:r>
              <w:t xml:space="preserve"> </w:t>
            </w:r>
            <w:r w:rsidRPr="00F81C59">
              <w:t>(ongoing)</w:t>
            </w:r>
          </w:p>
        </w:tc>
        <w:tc>
          <w:tcPr>
            <w:tcW w:w="821" w:type="pct"/>
            <w:tcBorders>
              <w:bottom w:val="single" w:sz="4" w:space="0" w:color="auto"/>
            </w:tcBorders>
            <w:shd w:val="clear" w:color="auto" w:fill="002060"/>
            <w:vAlign w:val="bottom"/>
          </w:tcPr>
          <w:p w14:paraId="567F7357" w14:textId="77777777" w:rsidR="001A440E" w:rsidRPr="00F81C59" w:rsidRDefault="001A440E" w:rsidP="008A1613">
            <w:pPr>
              <w:pStyle w:val="TableHeading"/>
              <w:keepNext/>
              <w:jc w:val="center"/>
            </w:pPr>
            <w:r w:rsidRPr="00F81C59">
              <w:t>Reporting costs</w:t>
            </w:r>
            <w:r>
              <w:t xml:space="preserve"> </w:t>
            </w:r>
            <w:r w:rsidRPr="00F81C59">
              <w:t>(ongoing)</w:t>
            </w:r>
          </w:p>
        </w:tc>
        <w:tc>
          <w:tcPr>
            <w:tcW w:w="828" w:type="pct"/>
            <w:tcBorders>
              <w:bottom w:val="single" w:sz="4" w:space="0" w:color="auto"/>
            </w:tcBorders>
            <w:shd w:val="clear" w:color="auto" w:fill="002060"/>
            <w:vAlign w:val="bottom"/>
          </w:tcPr>
          <w:p w14:paraId="7278C2F1" w14:textId="77777777" w:rsidR="001A440E" w:rsidRPr="00F81C59" w:rsidRDefault="001A440E" w:rsidP="008A1613">
            <w:pPr>
              <w:pStyle w:val="TableHeading"/>
              <w:keepNext/>
              <w:jc w:val="center"/>
            </w:pPr>
            <w:r w:rsidRPr="00F81C59">
              <w:t>Arbitration costs</w:t>
            </w:r>
            <w:r>
              <w:t xml:space="preserve"> </w:t>
            </w:r>
            <w:r w:rsidRPr="00F81C59">
              <w:t>(ongoing)</w:t>
            </w:r>
          </w:p>
        </w:tc>
      </w:tr>
      <w:tr w:rsidR="001A440E" w:rsidRPr="001A440E" w14:paraId="6224F200" w14:textId="77777777" w:rsidTr="001A440E">
        <w:tc>
          <w:tcPr>
            <w:tcW w:w="5000" w:type="pct"/>
            <w:gridSpan w:val="6"/>
            <w:shd w:val="clear" w:color="auto" w:fill="65697F" w:themeFill="background2" w:themeFillShade="80"/>
          </w:tcPr>
          <w:p w14:paraId="0D67CCB5" w14:textId="77777777" w:rsidR="001A440E" w:rsidRPr="001A440E" w:rsidRDefault="001A440E" w:rsidP="008A1613">
            <w:pPr>
              <w:pStyle w:val="TableBodyText"/>
              <w:keepNext/>
              <w:jc w:val="center"/>
              <w:rPr>
                <w:b/>
                <w:bCs/>
                <w:color w:val="FFFFFF" w:themeColor="background1"/>
              </w:rPr>
            </w:pPr>
            <w:r w:rsidRPr="001A440E">
              <w:rPr>
                <w:b/>
                <w:bCs/>
                <w:color w:val="FFFFFF" w:themeColor="background1"/>
              </w:rPr>
              <w:t>Scenario 1 - High Impact</w:t>
            </w:r>
          </w:p>
        </w:tc>
      </w:tr>
      <w:tr w:rsidR="001A440E" w:rsidRPr="00F81C59" w14:paraId="368F0067" w14:textId="77777777" w:rsidTr="001A440E">
        <w:trPr>
          <w:cnfStyle w:val="000000010000" w:firstRow="0" w:lastRow="0" w:firstColumn="0" w:lastColumn="0" w:oddVBand="0" w:evenVBand="0" w:oddHBand="0" w:evenHBand="1" w:firstRowFirstColumn="0" w:firstRowLastColumn="0" w:lastRowFirstColumn="0" w:lastRowLastColumn="0"/>
        </w:trPr>
        <w:tc>
          <w:tcPr>
            <w:tcW w:w="910" w:type="pct"/>
          </w:tcPr>
          <w:p w14:paraId="3E64D752" w14:textId="77777777" w:rsidR="001A440E" w:rsidRPr="00F81C59" w:rsidRDefault="001A440E" w:rsidP="008A1613">
            <w:pPr>
              <w:pStyle w:val="TableBodyText"/>
              <w:keepNext/>
            </w:pPr>
            <w:r w:rsidRPr="00F81C59">
              <w:t>Option 2</w:t>
            </w:r>
          </w:p>
        </w:tc>
        <w:tc>
          <w:tcPr>
            <w:tcW w:w="664" w:type="pct"/>
          </w:tcPr>
          <w:p w14:paraId="3DA53F27" w14:textId="77777777" w:rsidR="001A440E" w:rsidRPr="00F81C59" w:rsidRDefault="001A440E" w:rsidP="008A1613">
            <w:pPr>
              <w:pStyle w:val="TableBodyText"/>
              <w:keepNext/>
              <w:jc w:val="center"/>
            </w:pPr>
            <w:r w:rsidRPr="00F81C59">
              <w:t>$8.6</w:t>
            </w:r>
          </w:p>
        </w:tc>
        <w:tc>
          <w:tcPr>
            <w:tcW w:w="1045" w:type="pct"/>
          </w:tcPr>
          <w:p w14:paraId="07749742" w14:textId="77777777" w:rsidR="001A440E" w:rsidRPr="00F81C59" w:rsidRDefault="001A440E" w:rsidP="008A1613">
            <w:pPr>
              <w:pStyle w:val="TableBodyText"/>
              <w:keepNext/>
              <w:jc w:val="center"/>
            </w:pPr>
            <w:r w:rsidRPr="00F81C59">
              <w:t>$3.8</w:t>
            </w:r>
          </w:p>
        </w:tc>
        <w:tc>
          <w:tcPr>
            <w:tcW w:w="732" w:type="pct"/>
          </w:tcPr>
          <w:p w14:paraId="1EDB7B85" w14:textId="77777777" w:rsidR="001A440E" w:rsidRPr="00F81C59" w:rsidRDefault="001A440E" w:rsidP="008A1613">
            <w:pPr>
              <w:pStyle w:val="TableBodyText"/>
              <w:keepNext/>
            </w:pPr>
            <w:r w:rsidRPr="00F81C59">
              <w:t>$ -</w:t>
            </w:r>
          </w:p>
        </w:tc>
        <w:tc>
          <w:tcPr>
            <w:tcW w:w="821" w:type="pct"/>
          </w:tcPr>
          <w:p w14:paraId="651E6E29" w14:textId="77777777" w:rsidR="001A440E" w:rsidRPr="00F81C59" w:rsidRDefault="001A440E" w:rsidP="008A1613">
            <w:pPr>
              <w:pStyle w:val="TableBodyText"/>
              <w:keepNext/>
            </w:pPr>
            <w:r w:rsidRPr="00F81C59">
              <w:t>$ -</w:t>
            </w:r>
          </w:p>
        </w:tc>
        <w:tc>
          <w:tcPr>
            <w:tcW w:w="828" w:type="pct"/>
          </w:tcPr>
          <w:p w14:paraId="5B751AB9" w14:textId="77777777" w:rsidR="001A440E" w:rsidRPr="00F81C59" w:rsidRDefault="001A440E" w:rsidP="008A1613">
            <w:pPr>
              <w:pStyle w:val="TableBodyText"/>
              <w:keepNext/>
            </w:pPr>
            <w:r w:rsidRPr="00F81C59">
              <w:t>$4.9</w:t>
            </w:r>
          </w:p>
        </w:tc>
      </w:tr>
      <w:tr w:rsidR="001A440E" w:rsidRPr="00F81C59" w14:paraId="3A6E6A29" w14:textId="77777777" w:rsidTr="001A440E">
        <w:tc>
          <w:tcPr>
            <w:tcW w:w="910" w:type="pct"/>
          </w:tcPr>
          <w:p w14:paraId="270F370D" w14:textId="77777777" w:rsidR="001A440E" w:rsidRPr="00F81C59" w:rsidRDefault="00C32CBC" w:rsidP="008A1613">
            <w:pPr>
              <w:pStyle w:val="TableBodyText"/>
              <w:keepNext/>
            </w:pPr>
            <w:r>
              <w:t>Option 3A</w:t>
            </w:r>
          </w:p>
        </w:tc>
        <w:tc>
          <w:tcPr>
            <w:tcW w:w="664" w:type="pct"/>
          </w:tcPr>
          <w:p w14:paraId="0DBFBA14" w14:textId="77777777" w:rsidR="001A440E" w:rsidRPr="00F81C59" w:rsidRDefault="001A440E" w:rsidP="008A1613">
            <w:pPr>
              <w:pStyle w:val="TableBodyText"/>
              <w:keepNext/>
              <w:jc w:val="center"/>
            </w:pPr>
            <w:r w:rsidRPr="00F81C59">
              <w:t>$8.6</w:t>
            </w:r>
          </w:p>
        </w:tc>
        <w:tc>
          <w:tcPr>
            <w:tcW w:w="1045" w:type="pct"/>
          </w:tcPr>
          <w:p w14:paraId="0F524844" w14:textId="77777777" w:rsidR="001A440E" w:rsidRPr="00F81C59" w:rsidRDefault="001A440E" w:rsidP="008A1613">
            <w:pPr>
              <w:pStyle w:val="TableBodyText"/>
              <w:keepNext/>
              <w:jc w:val="center"/>
            </w:pPr>
            <w:r w:rsidRPr="00F81C59">
              <w:t>$3.8</w:t>
            </w:r>
          </w:p>
        </w:tc>
        <w:tc>
          <w:tcPr>
            <w:tcW w:w="732" w:type="pct"/>
          </w:tcPr>
          <w:p w14:paraId="62AB189D" w14:textId="77777777" w:rsidR="001A440E" w:rsidRPr="00F81C59" w:rsidRDefault="001A440E" w:rsidP="008A1613">
            <w:pPr>
              <w:pStyle w:val="TableBodyText"/>
              <w:keepNext/>
            </w:pPr>
            <w:r w:rsidRPr="00F81C59">
              <w:t>$ -</w:t>
            </w:r>
          </w:p>
        </w:tc>
        <w:tc>
          <w:tcPr>
            <w:tcW w:w="821" w:type="pct"/>
          </w:tcPr>
          <w:p w14:paraId="58DC3CEA" w14:textId="77777777" w:rsidR="001A440E" w:rsidRPr="00F81C59" w:rsidRDefault="001A440E" w:rsidP="008A1613">
            <w:pPr>
              <w:pStyle w:val="TableBodyText"/>
              <w:keepNext/>
            </w:pPr>
            <w:r w:rsidRPr="00F81C59">
              <w:t>$ -</w:t>
            </w:r>
          </w:p>
        </w:tc>
        <w:tc>
          <w:tcPr>
            <w:tcW w:w="828" w:type="pct"/>
          </w:tcPr>
          <w:p w14:paraId="1419BCD8" w14:textId="77777777" w:rsidR="001A440E" w:rsidRPr="00F81C59" w:rsidRDefault="001A440E" w:rsidP="008A1613">
            <w:pPr>
              <w:pStyle w:val="TableBodyText"/>
              <w:keepNext/>
            </w:pPr>
            <w:r w:rsidRPr="00F81C59">
              <w:t>$4.9</w:t>
            </w:r>
          </w:p>
        </w:tc>
      </w:tr>
      <w:tr w:rsidR="001A440E" w:rsidRPr="00F81C59" w14:paraId="39F6AAB9" w14:textId="77777777" w:rsidTr="001A440E">
        <w:trPr>
          <w:cnfStyle w:val="000000010000" w:firstRow="0" w:lastRow="0" w:firstColumn="0" w:lastColumn="0" w:oddVBand="0" w:evenVBand="0" w:oddHBand="0" w:evenHBand="1" w:firstRowFirstColumn="0" w:firstRowLastColumn="0" w:lastRowFirstColumn="0" w:lastRowLastColumn="0"/>
        </w:trPr>
        <w:tc>
          <w:tcPr>
            <w:tcW w:w="910" w:type="pct"/>
            <w:tcBorders>
              <w:bottom w:val="single" w:sz="4" w:space="0" w:color="auto"/>
            </w:tcBorders>
          </w:tcPr>
          <w:p w14:paraId="38EB6982" w14:textId="77777777" w:rsidR="001A440E" w:rsidRPr="00F81C59" w:rsidRDefault="00C32CBC" w:rsidP="008A1613">
            <w:pPr>
              <w:pStyle w:val="TableBodyText"/>
              <w:keepNext/>
            </w:pPr>
            <w:r>
              <w:t>Option 3B</w:t>
            </w:r>
          </w:p>
        </w:tc>
        <w:tc>
          <w:tcPr>
            <w:tcW w:w="664" w:type="pct"/>
            <w:tcBorders>
              <w:bottom w:val="single" w:sz="4" w:space="0" w:color="auto"/>
            </w:tcBorders>
          </w:tcPr>
          <w:p w14:paraId="3A3B660F" w14:textId="77777777" w:rsidR="001A440E" w:rsidRPr="00F81C59" w:rsidRDefault="001A440E" w:rsidP="008A1613">
            <w:pPr>
              <w:pStyle w:val="TableBodyText"/>
              <w:keepNext/>
              <w:jc w:val="center"/>
            </w:pPr>
            <w:r w:rsidRPr="00F81C59">
              <w:t>$8.6</w:t>
            </w:r>
          </w:p>
        </w:tc>
        <w:tc>
          <w:tcPr>
            <w:tcW w:w="1045" w:type="pct"/>
            <w:tcBorders>
              <w:bottom w:val="single" w:sz="4" w:space="0" w:color="auto"/>
            </w:tcBorders>
          </w:tcPr>
          <w:p w14:paraId="13C73261" w14:textId="77777777" w:rsidR="001A440E" w:rsidRPr="00F81C59" w:rsidRDefault="001A440E" w:rsidP="008A1613">
            <w:pPr>
              <w:pStyle w:val="TableBodyText"/>
              <w:keepNext/>
              <w:jc w:val="center"/>
            </w:pPr>
            <w:r w:rsidRPr="00F81C59">
              <w:t>$3.8</w:t>
            </w:r>
          </w:p>
        </w:tc>
        <w:tc>
          <w:tcPr>
            <w:tcW w:w="732" w:type="pct"/>
            <w:tcBorders>
              <w:bottom w:val="single" w:sz="4" w:space="0" w:color="auto"/>
            </w:tcBorders>
          </w:tcPr>
          <w:p w14:paraId="5BE4806A" w14:textId="77777777" w:rsidR="001A440E" w:rsidRPr="00F81C59" w:rsidRDefault="001A440E" w:rsidP="008A1613">
            <w:pPr>
              <w:pStyle w:val="TableBodyText"/>
              <w:keepNext/>
            </w:pPr>
            <w:r w:rsidRPr="00F81C59">
              <w:t>$ -</w:t>
            </w:r>
          </w:p>
        </w:tc>
        <w:tc>
          <w:tcPr>
            <w:tcW w:w="821" w:type="pct"/>
            <w:tcBorders>
              <w:bottom w:val="single" w:sz="4" w:space="0" w:color="auto"/>
            </w:tcBorders>
          </w:tcPr>
          <w:p w14:paraId="681F3FCB" w14:textId="77777777" w:rsidR="001A440E" w:rsidRPr="00F81C59" w:rsidRDefault="001A440E" w:rsidP="008A1613">
            <w:pPr>
              <w:pStyle w:val="TableBodyText"/>
              <w:keepNext/>
            </w:pPr>
            <w:r w:rsidRPr="00F81C59">
              <w:t>$ -</w:t>
            </w:r>
          </w:p>
        </w:tc>
        <w:tc>
          <w:tcPr>
            <w:tcW w:w="828" w:type="pct"/>
            <w:tcBorders>
              <w:bottom w:val="single" w:sz="4" w:space="0" w:color="auto"/>
            </w:tcBorders>
          </w:tcPr>
          <w:p w14:paraId="11DF2E0F" w14:textId="77777777" w:rsidR="001A440E" w:rsidRPr="00F81C59" w:rsidRDefault="001A440E" w:rsidP="008A1613">
            <w:pPr>
              <w:pStyle w:val="TableBodyText"/>
              <w:keepNext/>
            </w:pPr>
            <w:r w:rsidRPr="00F81C59">
              <w:t>$4.9</w:t>
            </w:r>
          </w:p>
        </w:tc>
      </w:tr>
      <w:tr w:rsidR="001A440E" w:rsidRPr="00F81C59" w14:paraId="2E456214" w14:textId="77777777" w:rsidTr="001A440E">
        <w:tc>
          <w:tcPr>
            <w:tcW w:w="910" w:type="pct"/>
          </w:tcPr>
          <w:p w14:paraId="47005AAA" w14:textId="77777777" w:rsidR="001A440E" w:rsidRPr="00F81C59" w:rsidRDefault="001A440E" w:rsidP="008A1613">
            <w:pPr>
              <w:pStyle w:val="TableBodyText"/>
              <w:keepNext/>
            </w:pPr>
            <w:r w:rsidRPr="00F81C59">
              <w:t>Option 4</w:t>
            </w:r>
          </w:p>
        </w:tc>
        <w:tc>
          <w:tcPr>
            <w:tcW w:w="664" w:type="pct"/>
          </w:tcPr>
          <w:p w14:paraId="73A31554" w14:textId="77777777" w:rsidR="001A440E" w:rsidRPr="00F81C59" w:rsidRDefault="001A440E" w:rsidP="008A1613">
            <w:pPr>
              <w:pStyle w:val="TableBodyText"/>
              <w:keepNext/>
              <w:jc w:val="center"/>
            </w:pPr>
            <w:r w:rsidRPr="00F81C59">
              <w:t>$8.6</w:t>
            </w:r>
          </w:p>
        </w:tc>
        <w:tc>
          <w:tcPr>
            <w:tcW w:w="1045" w:type="pct"/>
          </w:tcPr>
          <w:p w14:paraId="52763518" w14:textId="77777777" w:rsidR="001A440E" w:rsidRPr="00F81C59" w:rsidRDefault="001A440E" w:rsidP="008A1613">
            <w:pPr>
              <w:pStyle w:val="TableBodyText"/>
              <w:keepNext/>
              <w:jc w:val="center"/>
            </w:pPr>
            <w:r w:rsidRPr="00F81C59">
              <w:t>$3.8</w:t>
            </w:r>
          </w:p>
        </w:tc>
        <w:tc>
          <w:tcPr>
            <w:tcW w:w="732" w:type="pct"/>
          </w:tcPr>
          <w:p w14:paraId="1BDFC40B" w14:textId="77777777" w:rsidR="001A440E" w:rsidRPr="00F81C59" w:rsidRDefault="001A440E" w:rsidP="008A1613">
            <w:pPr>
              <w:pStyle w:val="TableBodyText"/>
              <w:keepNext/>
            </w:pPr>
            <w:r w:rsidRPr="00F81C59">
              <w:t>$ -</w:t>
            </w:r>
          </w:p>
        </w:tc>
        <w:tc>
          <w:tcPr>
            <w:tcW w:w="821" w:type="pct"/>
          </w:tcPr>
          <w:p w14:paraId="7270AA2B" w14:textId="77777777" w:rsidR="001A440E" w:rsidRPr="00F81C59" w:rsidRDefault="001A440E" w:rsidP="008A1613">
            <w:pPr>
              <w:pStyle w:val="TableBodyText"/>
              <w:keepNext/>
            </w:pPr>
            <w:r w:rsidRPr="00F81C59">
              <w:t>$ -</w:t>
            </w:r>
          </w:p>
        </w:tc>
        <w:tc>
          <w:tcPr>
            <w:tcW w:w="828" w:type="pct"/>
          </w:tcPr>
          <w:p w14:paraId="673D1B18" w14:textId="77777777" w:rsidR="001A440E" w:rsidRPr="00F81C59" w:rsidRDefault="001A440E" w:rsidP="008A1613">
            <w:pPr>
              <w:pStyle w:val="TableBodyText"/>
              <w:keepNext/>
            </w:pPr>
            <w:r w:rsidRPr="00F81C59">
              <w:t>$4.9</w:t>
            </w:r>
          </w:p>
        </w:tc>
      </w:tr>
      <w:tr w:rsidR="001A440E" w:rsidRPr="001A440E" w14:paraId="73AC1DB2" w14:textId="77777777" w:rsidTr="001A440E">
        <w:trPr>
          <w:cnfStyle w:val="000000010000" w:firstRow="0" w:lastRow="0" w:firstColumn="0" w:lastColumn="0" w:oddVBand="0" w:evenVBand="0" w:oddHBand="0" w:evenHBand="1" w:firstRowFirstColumn="0" w:firstRowLastColumn="0" w:lastRowFirstColumn="0" w:lastRowLastColumn="0"/>
        </w:trPr>
        <w:tc>
          <w:tcPr>
            <w:tcW w:w="5000" w:type="pct"/>
            <w:gridSpan w:val="6"/>
            <w:shd w:val="clear" w:color="auto" w:fill="65697F" w:themeFill="background2" w:themeFillShade="80"/>
          </w:tcPr>
          <w:p w14:paraId="36D0647F" w14:textId="77777777" w:rsidR="001A440E" w:rsidRPr="001A440E" w:rsidRDefault="001A440E" w:rsidP="008A1613">
            <w:pPr>
              <w:pStyle w:val="TableBodyText"/>
              <w:keepNext/>
              <w:jc w:val="center"/>
              <w:rPr>
                <w:b/>
                <w:bCs/>
                <w:color w:val="FFFFFF" w:themeColor="background1"/>
              </w:rPr>
            </w:pPr>
            <w:r w:rsidRPr="001A440E">
              <w:rPr>
                <w:b/>
                <w:bCs/>
                <w:color w:val="FFFFFF" w:themeColor="background1"/>
              </w:rPr>
              <w:t>Scenario 2 - Low Impact</w:t>
            </w:r>
          </w:p>
        </w:tc>
      </w:tr>
      <w:tr w:rsidR="001A440E" w:rsidRPr="00F81C59" w14:paraId="13AE6BB8" w14:textId="77777777" w:rsidTr="001A440E">
        <w:tc>
          <w:tcPr>
            <w:tcW w:w="910" w:type="pct"/>
          </w:tcPr>
          <w:p w14:paraId="2CFC3365" w14:textId="77777777" w:rsidR="001A440E" w:rsidRPr="00F81C59" w:rsidRDefault="001A440E" w:rsidP="008A1613">
            <w:pPr>
              <w:pStyle w:val="TableBodyText"/>
              <w:keepNext/>
            </w:pPr>
            <w:r w:rsidRPr="00F81C59">
              <w:t>Option 2</w:t>
            </w:r>
          </w:p>
        </w:tc>
        <w:tc>
          <w:tcPr>
            <w:tcW w:w="664" w:type="pct"/>
          </w:tcPr>
          <w:p w14:paraId="624C7BBC" w14:textId="77777777" w:rsidR="001A440E" w:rsidRPr="00F81C59" w:rsidRDefault="001A440E" w:rsidP="008A1613">
            <w:pPr>
              <w:pStyle w:val="TableBodyText"/>
              <w:keepNext/>
              <w:jc w:val="center"/>
            </w:pPr>
            <w:r w:rsidRPr="00F81C59">
              <w:t>$2.1</w:t>
            </w:r>
          </w:p>
        </w:tc>
        <w:tc>
          <w:tcPr>
            <w:tcW w:w="1045" w:type="pct"/>
          </w:tcPr>
          <w:p w14:paraId="2B33D788" w14:textId="77777777" w:rsidR="001A440E" w:rsidRPr="00F81C59" w:rsidRDefault="001A440E" w:rsidP="008A1613">
            <w:pPr>
              <w:pStyle w:val="TableBodyText"/>
              <w:keepNext/>
              <w:jc w:val="center"/>
            </w:pPr>
            <w:r w:rsidRPr="00F81C59">
              <w:t>$2.1</w:t>
            </w:r>
          </w:p>
        </w:tc>
        <w:tc>
          <w:tcPr>
            <w:tcW w:w="732" w:type="pct"/>
          </w:tcPr>
          <w:p w14:paraId="7EE03606" w14:textId="77777777" w:rsidR="001A440E" w:rsidRPr="00F81C59" w:rsidRDefault="001A440E" w:rsidP="008A1613">
            <w:pPr>
              <w:pStyle w:val="TableBodyText"/>
              <w:keepNext/>
            </w:pPr>
            <w:r w:rsidRPr="00F81C59">
              <w:t>$ -</w:t>
            </w:r>
          </w:p>
        </w:tc>
        <w:tc>
          <w:tcPr>
            <w:tcW w:w="821" w:type="pct"/>
          </w:tcPr>
          <w:p w14:paraId="7A85782A" w14:textId="77777777" w:rsidR="001A440E" w:rsidRPr="00F81C59" w:rsidRDefault="001A440E" w:rsidP="008A1613">
            <w:pPr>
              <w:pStyle w:val="TableBodyText"/>
              <w:keepNext/>
            </w:pPr>
            <w:r w:rsidRPr="00F81C59">
              <w:t>$ -</w:t>
            </w:r>
          </w:p>
        </w:tc>
        <w:tc>
          <w:tcPr>
            <w:tcW w:w="828" w:type="pct"/>
          </w:tcPr>
          <w:p w14:paraId="6D5FEA5A" w14:textId="77777777" w:rsidR="001A440E" w:rsidRPr="00F81C59" w:rsidRDefault="001A440E" w:rsidP="008A1613">
            <w:pPr>
              <w:pStyle w:val="TableBodyText"/>
              <w:keepNext/>
            </w:pPr>
            <w:r w:rsidRPr="00F81C59">
              <w:t>$ -</w:t>
            </w:r>
          </w:p>
        </w:tc>
      </w:tr>
      <w:tr w:rsidR="001A440E" w:rsidRPr="00F81C59" w14:paraId="3579EF4C" w14:textId="77777777" w:rsidTr="001A440E">
        <w:trPr>
          <w:cnfStyle w:val="000000010000" w:firstRow="0" w:lastRow="0" w:firstColumn="0" w:lastColumn="0" w:oddVBand="0" w:evenVBand="0" w:oddHBand="0" w:evenHBand="1" w:firstRowFirstColumn="0" w:firstRowLastColumn="0" w:lastRowFirstColumn="0" w:lastRowLastColumn="0"/>
        </w:trPr>
        <w:tc>
          <w:tcPr>
            <w:tcW w:w="910" w:type="pct"/>
          </w:tcPr>
          <w:p w14:paraId="25673069" w14:textId="77777777" w:rsidR="001A440E" w:rsidRPr="00F81C59" w:rsidRDefault="00C32CBC" w:rsidP="008A1613">
            <w:pPr>
              <w:pStyle w:val="TableBodyText"/>
              <w:keepNext/>
            </w:pPr>
            <w:r>
              <w:t>Option 3A</w:t>
            </w:r>
          </w:p>
        </w:tc>
        <w:tc>
          <w:tcPr>
            <w:tcW w:w="664" w:type="pct"/>
          </w:tcPr>
          <w:p w14:paraId="02B8F953" w14:textId="77777777" w:rsidR="001A440E" w:rsidRPr="00F81C59" w:rsidRDefault="001A440E" w:rsidP="008A1613">
            <w:pPr>
              <w:pStyle w:val="TableBodyText"/>
              <w:keepNext/>
              <w:jc w:val="center"/>
            </w:pPr>
            <w:r w:rsidRPr="00F81C59">
              <w:t>$2.1</w:t>
            </w:r>
          </w:p>
        </w:tc>
        <w:tc>
          <w:tcPr>
            <w:tcW w:w="1045" w:type="pct"/>
          </w:tcPr>
          <w:p w14:paraId="0D419C14" w14:textId="77777777" w:rsidR="001A440E" w:rsidRPr="00F81C59" w:rsidRDefault="001A440E" w:rsidP="008A1613">
            <w:pPr>
              <w:pStyle w:val="TableBodyText"/>
              <w:keepNext/>
              <w:jc w:val="center"/>
            </w:pPr>
            <w:r w:rsidRPr="00F81C59">
              <w:t>$2.1</w:t>
            </w:r>
          </w:p>
        </w:tc>
        <w:tc>
          <w:tcPr>
            <w:tcW w:w="732" w:type="pct"/>
          </w:tcPr>
          <w:p w14:paraId="290D6437" w14:textId="77777777" w:rsidR="001A440E" w:rsidRPr="00F81C59" w:rsidRDefault="001A440E" w:rsidP="008A1613">
            <w:pPr>
              <w:pStyle w:val="TableBodyText"/>
              <w:keepNext/>
            </w:pPr>
            <w:r w:rsidRPr="00F81C59">
              <w:t>$ -</w:t>
            </w:r>
          </w:p>
        </w:tc>
        <w:tc>
          <w:tcPr>
            <w:tcW w:w="821" w:type="pct"/>
          </w:tcPr>
          <w:p w14:paraId="01CA5E41" w14:textId="77777777" w:rsidR="001A440E" w:rsidRPr="00F81C59" w:rsidRDefault="001A440E" w:rsidP="008A1613">
            <w:pPr>
              <w:pStyle w:val="TableBodyText"/>
              <w:keepNext/>
            </w:pPr>
            <w:r w:rsidRPr="00F81C59">
              <w:t>$ -</w:t>
            </w:r>
          </w:p>
        </w:tc>
        <w:tc>
          <w:tcPr>
            <w:tcW w:w="828" w:type="pct"/>
          </w:tcPr>
          <w:p w14:paraId="4B8E8465" w14:textId="77777777" w:rsidR="001A440E" w:rsidRPr="00F81C59" w:rsidRDefault="001A440E" w:rsidP="008A1613">
            <w:pPr>
              <w:pStyle w:val="TableBodyText"/>
              <w:keepNext/>
            </w:pPr>
            <w:r w:rsidRPr="00F81C59">
              <w:t>$ -</w:t>
            </w:r>
          </w:p>
        </w:tc>
      </w:tr>
      <w:tr w:rsidR="001A440E" w:rsidRPr="00F81C59" w14:paraId="30004AAC" w14:textId="77777777" w:rsidTr="001A440E">
        <w:tc>
          <w:tcPr>
            <w:tcW w:w="910" w:type="pct"/>
          </w:tcPr>
          <w:p w14:paraId="21DE0C2E" w14:textId="77777777" w:rsidR="001A440E" w:rsidRPr="00F81C59" w:rsidRDefault="00C32CBC" w:rsidP="008A1613">
            <w:pPr>
              <w:pStyle w:val="TableBodyText"/>
              <w:keepNext/>
            </w:pPr>
            <w:r>
              <w:t>Option 3B</w:t>
            </w:r>
          </w:p>
        </w:tc>
        <w:tc>
          <w:tcPr>
            <w:tcW w:w="664" w:type="pct"/>
          </w:tcPr>
          <w:p w14:paraId="5E8604D2" w14:textId="77777777" w:rsidR="001A440E" w:rsidRPr="00F81C59" w:rsidRDefault="001A440E" w:rsidP="008A1613">
            <w:pPr>
              <w:pStyle w:val="TableBodyText"/>
              <w:keepNext/>
              <w:jc w:val="center"/>
            </w:pPr>
            <w:r w:rsidRPr="00F81C59">
              <w:t>$2.1</w:t>
            </w:r>
          </w:p>
        </w:tc>
        <w:tc>
          <w:tcPr>
            <w:tcW w:w="1045" w:type="pct"/>
          </w:tcPr>
          <w:p w14:paraId="5673CA66" w14:textId="77777777" w:rsidR="001A440E" w:rsidRPr="00F81C59" w:rsidRDefault="001A440E" w:rsidP="008A1613">
            <w:pPr>
              <w:pStyle w:val="TableBodyText"/>
              <w:keepNext/>
              <w:jc w:val="center"/>
            </w:pPr>
            <w:r w:rsidRPr="00F81C59">
              <w:t>$2.1</w:t>
            </w:r>
          </w:p>
        </w:tc>
        <w:tc>
          <w:tcPr>
            <w:tcW w:w="732" w:type="pct"/>
          </w:tcPr>
          <w:p w14:paraId="33288A4A" w14:textId="77777777" w:rsidR="001A440E" w:rsidRPr="00F81C59" w:rsidRDefault="001A440E" w:rsidP="008A1613">
            <w:pPr>
              <w:pStyle w:val="TableBodyText"/>
              <w:keepNext/>
            </w:pPr>
            <w:r w:rsidRPr="00F81C59">
              <w:t>$ -</w:t>
            </w:r>
          </w:p>
        </w:tc>
        <w:tc>
          <w:tcPr>
            <w:tcW w:w="821" w:type="pct"/>
          </w:tcPr>
          <w:p w14:paraId="354E0D8E" w14:textId="77777777" w:rsidR="001A440E" w:rsidRPr="00F81C59" w:rsidRDefault="001A440E" w:rsidP="008A1613">
            <w:pPr>
              <w:pStyle w:val="TableBodyText"/>
              <w:keepNext/>
            </w:pPr>
            <w:r w:rsidRPr="00F81C59">
              <w:t>$ -</w:t>
            </w:r>
          </w:p>
        </w:tc>
        <w:tc>
          <w:tcPr>
            <w:tcW w:w="828" w:type="pct"/>
          </w:tcPr>
          <w:p w14:paraId="0E6ABDCE" w14:textId="77777777" w:rsidR="001A440E" w:rsidRPr="00F81C59" w:rsidRDefault="001A440E" w:rsidP="008A1613">
            <w:pPr>
              <w:pStyle w:val="TableBodyText"/>
              <w:keepNext/>
            </w:pPr>
            <w:r w:rsidRPr="00F81C59">
              <w:t>$ -</w:t>
            </w:r>
          </w:p>
        </w:tc>
      </w:tr>
      <w:tr w:rsidR="001A440E" w:rsidRPr="00F81C59" w14:paraId="6FD03434" w14:textId="77777777" w:rsidTr="001A440E">
        <w:trPr>
          <w:cnfStyle w:val="000000010000" w:firstRow="0" w:lastRow="0" w:firstColumn="0" w:lastColumn="0" w:oddVBand="0" w:evenVBand="0" w:oddHBand="0" w:evenHBand="1" w:firstRowFirstColumn="0" w:firstRowLastColumn="0" w:lastRowFirstColumn="0" w:lastRowLastColumn="0"/>
        </w:trPr>
        <w:tc>
          <w:tcPr>
            <w:tcW w:w="910" w:type="pct"/>
          </w:tcPr>
          <w:p w14:paraId="163D833A" w14:textId="77777777" w:rsidR="001A440E" w:rsidRPr="00F81C59" w:rsidRDefault="001A440E" w:rsidP="001A440E">
            <w:pPr>
              <w:pStyle w:val="TableBodyText"/>
            </w:pPr>
            <w:r w:rsidRPr="00F81C59">
              <w:t>Option 4</w:t>
            </w:r>
          </w:p>
        </w:tc>
        <w:tc>
          <w:tcPr>
            <w:tcW w:w="664" w:type="pct"/>
          </w:tcPr>
          <w:p w14:paraId="50DFFA46" w14:textId="77777777" w:rsidR="001A440E" w:rsidRPr="00F81C59" w:rsidRDefault="001A440E" w:rsidP="008A1613">
            <w:pPr>
              <w:pStyle w:val="TableBodyText"/>
              <w:jc w:val="center"/>
            </w:pPr>
            <w:r w:rsidRPr="00F81C59">
              <w:t>$2.1</w:t>
            </w:r>
          </w:p>
        </w:tc>
        <w:tc>
          <w:tcPr>
            <w:tcW w:w="1045" w:type="pct"/>
          </w:tcPr>
          <w:p w14:paraId="3B911DBB" w14:textId="77777777" w:rsidR="001A440E" w:rsidRPr="00F81C59" w:rsidRDefault="001A440E" w:rsidP="008A1613">
            <w:pPr>
              <w:pStyle w:val="TableBodyText"/>
              <w:jc w:val="center"/>
            </w:pPr>
            <w:r w:rsidRPr="00F81C59">
              <w:t>$2.1</w:t>
            </w:r>
          </w:p>
        </w:tc>
        <w:tc>
          <w:tcPr>
            <w:tcW w:w="732" w:type="pct"/>
          </w:tcPr>
          <w:p w14:paraId="492E61A7" w14:textId="77777777" w:rsidR="001A440E" w:rsidRPr="00F81C59" w:rsidRDefault="001A440E" w:rsidP="001A440E">
            <w:pPr>
              <w:pStyle w:val="TableBodyText"/>
            </w:pPr>
            <w:r w:rsidRPr="00F81C59">
              <w:t>$ -</w:t>
            </w:r>
          </w:p>
        </w:tc>
        <w:tc>
          <w:tcPr>
            <w:tcW w:w="821" w:type="pct"/>
          </w:tcPr>
          <w:p w14:paraId="136531E4" w14:textId="77777777" w:rsidR="001A440E" w:rsidRPr="00F81C59" w:rsidRDefault="001A440E" w:rsidP="001A440E">
            <w:pPr>
              <w:pStyle w:val="TableBodyText"/>
            </w:pPr>
            <w:r w:rsidRPr="00F81C59">
              <w:t>$ -</w:t>
            </w:r>
          </w:p>
        </w:tc>
        <w:tc>
          <w:tcPr>
            <w:tcW w:w="828" w:type="pct"/>
          </w:tcPr>
          <w:p w14:paraId="2C37B2B9" w14:textId="77777777" w:rsidR="001A440E" w:rsidRPr="00F81C59" w:rsidRDefault="001A440E" w:rsidP="001A440E">
            <w:pPr>
              <w:pStyle w:val="TableBodyText"/>
            </w:pPr>
            <w:r w:rsidRPr="00F81C59">
              <w:t>$ -</w:t>
            </w:r>
          </w:p>
        </w:tc>
      </w:tr>
    </w:tbl>
    <w:p w14:paraId="216F964B" w14:textId="77777777" w:rsidR="001A440E" w:rsidRPr="001A440E" w:rsidRDefault="001A440E" w:rsidP="001A440E">
      <w:pPr>
        <w:pStyle w:val="BodyText"/>
        <w:spacing w:before="0" w:after="0"/>
      </w:pPr>
      <w:r w:rsidRPr="001A440E">
        <w:rPr>
          <w:sz w:val="16"/>
        </w:rPr>
        <w:t>Source: PwC analysis</w:t>
      </w:r>
    </w:p>
    <w:p w14:paraId="50E58832" w14:textId="77777777" w:rsidR="001A440E" w:rsidRPr="001A440E" w:rsidRDefault="001A440E" w:rsidP="001A440E">
      <w:pPr>
        <w:pStyle w:val="BodyText"/>
        <w:spacing w:before="0" w:after="0"/>
        <w:rPr>
          <w:sz w:val="16"/>
        </w:rPr>
      </w:pPr>
      <w:r w:rsidRPr="001A440E">
        <w:rPr>
          <w:sz w:val="16"/>
        </w:rPr>
        <w:t>Notes: NPV calculated for a 20-year period with a 7</w:t>
      </w:r>
      <w:r w:rsidR="008A1613">
        <w:rPr>
          <w:sz w:val="16"/>
        </w:rPr>
        <w:t>%</w:t>
      </w:r>
      <w:r w:rsidRPr="001A440E">
        <w:rPr>
          <w:sz w:val="16"/>
        </w:rPr>
        <w:t xml:space="preserve"> discount rate. </w:t>
      </w:r>
    </w:p>
    <w:p w14:paraId="10A6D4E9" w14:textId="77777777" w:rsidR="001A440E" w:rsidRPr="00F81C59" w:rsidRDefault="001A440E" w:rsidP="001A440E">
      <w:pPr>
        <w:pStyle w:val="AppendixHeading3"/>
      </w:pPr>
      <w:r w:rsidRPr="00F81C59">
        <w:t>Regulator</w:t>
      </w:r>
      <w:r w:rsidR="009E68B8">
        <w:t xml:space="preserve"> costs</w:t>
      </w:r>
    </w:p>
    <w:p w14:paraId="6B42B3F3" w14:textId="151AD7F0" w:rsidR="009354B7" w:rsidRPr="00F81C59" w:rsidRDefault="009354B7" w:rsidP="009354B7">
      <w:pPr>
        <w:pStyle w:val="BodyText"/>
      </w:pPr>
      <w:r w:rsidRPr="00F81C59">
        <w:t xml:space="preserve">There are </w:t>
      </w:r>
      <w:r>
        <w:t xml:space="preserve">four </w:t>
      </w:r>
      <w:r w:rsidR="005D6A01">
        <w:t xml:space="preserve">categories of </w:t>
      </w:r>
      <w:r w:rsidRPr="00F81C59">
        <w:t xml:space="preserve">costs that </w:t>
      </w:r>
      <w:r w:rsidR="00413B80">
        <w:t>economic regulators (the AER and ERA), the dispute resolution bodies under the alternative forms of regulation</w:t>
      </w:r>
      <w:r w:rsidR="004031E8">
        <w:rPr>
          <w:rFonts w:ascii="ZWAdobeF" w:hAnsi="ZWAdobeF" w:cs="ZWAdobeF"/>
          <w:sz w:val="2"/>
          <w:szCs w:val="2"/>
        </w:rPr>
        <w:t>324F</w:t>
      </w:r>
      <w:r w:rsidR="00413B80">
        <w:rPr>
          <w:rStyle w:val="FootnoteReference"/>
        </w:rPr>
        <w:footnoteReference w:id="326"/>
      </w:r>
      <w:r w:rsidR="00413B80">
        <w:t xml:space="preserve"> and the decision-maker responsible for determining when and how a pipelines should be regulated </w:t>
      </w:r>
      <w:r w:rsidR="008E2333">
        <w:t xml:space="preserve">(jointly referred to here as ‘regulators’) </w:t>
      </w:r>
      <w:r w:rsidRPr="00F81C59">
        <w:t xml:space="preserve">may incur as a result of the </w:t>
      </w:r>
      <w:r w:rsidR="005D6A01">
        <w:t>reform options</w:t>
      </w:r>
      <w:r w:rsidRPr="00F81C59">
        <w:t>:</w:t>
      </w:r>
      <w:r w:rsidR="002E7C71" w:rsidRPr="002E7C71">
        <w:rPr>
          <w:rStyle w:val="FootnoteReference"/>
        </w:rPr>
        <w:t xml:space="preserve"> </w:t>
      </w:r>
      <w:r w:rsidR="004031E8">
        <w:rPr>
          <w:rFonts w:ascii="ZWAdobeF" w:hAnsi="ZWAdobeF" w:cs="ZWAdobeF"/>
          <w:sz w:val="2"/>
          <w:szCs w:val="2"/>
        </w:rPr>
        <w:t>325F</w:t>
      </w:r>
      <w:r w:rsidR="002E7C71">
        <w:rPr>
          <w:rStyle w:val="FootnoteReference"/>
        </w:rPr>
        <w:footnoteReference w:id="327"/>
      </w:r>
    </w:p>
    <w:p w14:paraId="78FE7227" w14:textId="41DADB65" w:rsidR="001A440E" w:rsidRPr="00F81C59" w:rsidRDefault="005D6A01" w:rsidP="000A3668">
      <w:pPr>
        <w:pStyle w:val="ListNumber"/>
        <w:numPr>
          <w:ilvl w:val="0"/>
          <w:numId w:val="88"/>
        </w:numPr>
      </w:pPr>
      <w:r w:rsidRPr="009E68B8">
        <w:rPr>
          <w:b/>
          <w:bCs/>
        </w:rPr>
        <w:t>Implementation costs:</w:t>
      </w:r>
      <w:r>
        <w:t xml:space="preserve"> </w:t>
      </w:r>
      <w:r w:rsidR="001A440E" w:rsidRPr="00F81C59">
        <w:t xml:space="preserve">The reform to the various tests used to determine when third party access should be required, the availability of greenfield </w:t>
      </w:r>
      <w:r w:rsidR="00CE3569">
        <w:t>exemptions</w:t>
      </w:r>
      <w:r w:rsidR="001A440E" w:rsidRPr="00F81C59">
        <w:t xml:space="preserve">, the form of regulation to apply to a pipeline and information disclosure exemptions is expected to result in some additional costs for the </w:t>
      </w:r>
      <w:r w:rsidR="00A70C00">
        <w:t>decision-maker</w:t>
      </w:r>
      <w:r w:rsidR="001A440E" w:rsidRPr="00F81C59">
        <w:t xml:space="preserve"> when assessing applications. The main implementation cost considered is the additional costs of the staff required for the </w:t>
      </w:r>
      <w:r w:rsidR="00A70C00">
        <w:t>decision-maker</w:t>
      </w:r>
      <w:r w:rsidR="001A440E" w:rsidRPr="00F81C59">
        <w:t xml:space="preserve"> to evaluate applications resulting from regulatory change.</w:t>
      </w:r>
      <w:r w:rsidR="004031E8">
        <w:rPr>
          <w:rFonts w:ascii="ZWAdobeF" w:hAnsi="ZWAdobeF" w:cs="ZWAdobeF"/>
          <w:sz w:val="2"/>
          <w:szCs w:val="2"/>
        </w:rPr>
        <w:t>326F</w:t>
      </w:r>
      <w:r w:rsidR="001A440E">
        <w:rPr>
          <w:rStyle w:val="FootnoteReference"/>
        </w:rPr>
        <w:footnoteReference w:id="328"/>
      </w:r>
      <w:r w:rsidR="001A440E" w:rsidRPr="00F81C59">
        <w:t xml:space="preserve"> For simplicity the analysis assumes this to be a one-off cost in Year 1 as it is uncertain when new applications would be submitted. The upfront costs are estimated to be approximately $0.46 million per application considered by the </w:t>
      </w:r>
      <w:r w:rsidR="00A70C00">
        <w:t>decision-maker</w:t>
      </w:r>
      <w:r w:rsidR="001A440E" w:rsidRPr="00F81C59">
        <w:t>.</w:t>
      </w:r>
    </w:p>
    <w:p w14:paraId="546E2C31" w14:textId="77777777" w:rsidR="002E7C71" w:rsidRPr="00F81C59" w:rsidRDefault="002E7C71" w:rsidP="002E7C71">
      <w:pPr>
        <w:pStyle w:val="ListNumber"/>
      </w:pPr>
      <w:r w:rsidRPr="009E68B8">
        <w:rPr>
          <w:b/>
          <w:bCs/>
        </w:rPr>
        <w:t>Access costs</w:t>
      </w:r>
      <w:r>
        <w:t>:</w:t>
      </w:r>
      <w:r w:rsidRPr="002E7C71">
        <w:t xml:space="preserve"> </w:t>
      </w:r>
      <w:r w:rsidR="004E3B23">
        <w:t xml:space="preserve">These costs include the incremental costs that the relevant regulator </w:t>
      </w:r>
      <w:r w:rsidR="00461CEB">
        <w:t>would</w:t>
      </w:r>
      <w:r w:rsidR="004E3B23">
        <w:t xml:space="preserve"> incur reviewing the </w:t>
      </w:r>
      <w:r w:rsidRPr="00F81C59">
        <w:t xml:space="preserve">access arrangements </w:t>
      </w:r>
      <w:r w:rsidR="004E3B23">
        <w:t xml:space="preserve">for the additional </w:t>
      </w:r>
      <w:r w:rsidRPr="00F81C59">
        <w:t xml:space="preserve">pipelines </w:t>
      </w:r>
      <w:r w:rsidR="004E3B23">
        <w:t xml:space="preserve">that could become subject to the </w:t>
      </w:r>
      <w:r w:rsidR="00531979">
        <w:t>stronger</w:t>
      </w:r>
      <w:r w:rsidRPr="00F81C59">
        <w:t xml:space="preserve"> form of regulation. These costs are </w:t>
      </w:r>
      <w:r w:rsidR="00461CEB">
        <w:t>assumed</w:t>
      </w:r>
      <w:r w:rsidRPr="00F81C59">
        <w:t xml:space="preserve"> to be $1.47 million per </w:t>
      </w:r>
      <w:r>
        <w:t>access arrangement review</w:t>
      </w:r>
      <w:r w:rsidRPr="00F81C59">
        <w:t>.</w:t>
      </w:r>
    </w:p>
    <w:p w14:paraId="21A22E8B" w14:textId="77777777" w:rsidR="001A440E" w:rsidRPr="00F81C59" w:rsidRDefault="002E7C71" w:rsidP="002E7C71">
      <w:pPr>
        <w:pStyle w:val="ListNumber"/>
      </w:pPr>
      <w:r w:rsidRPr="009E68B8">
        <w:rPr>
          <w:b/>
          <w:bCs/>
        </w:rPr>
        <w:t>Monitoring and referral functions:</w:t>
      </w:r>
      <w:r>
        <w:t xml:space="preserve"> </w:t>
      </w:r>
      <w:r w:rsidR="00A56CFB">
        <w:t xml:space="preserve">These costs include the additional resources that the relevant regulators will require </w:t>
      </w:r>
      <w:r w:rsidR="004E3B23">
        <w:t xml:space="preserve">on an ongoing basis </w:t>
      </w:r>
      <w:r w:rsidR="00A56CFB">
        <w:t xml:space="preserve">to undertake the new </w:t>
      </w:r>
      <w:r w:rsidR="00A56CFB">
        <w:lastRenderedPageBreak/>
        <w:t xml:space="preserve">monitoring and referral </w:t>
      </w:r>
      <w:r w:rsidR="00CC7CE1">
        <w:t xml:space="preserve">functions under options </w:t>
      </w:r>
      <w:r w:rsidR="00C11E19">
        <w:t xml:space="preserve">3A, 3B and </w:t>
      </w:r>
      <w:r w:rsidR="00CC7CE1">
        <w:t>4</w:t>
      </w:r>
      <w:r w:rsidR="001A440E" w:rsidRPr="00F81C59">
        <w:t>.</w:t>
      </w:r>
      <w:r w:rsidR="00D5212F">
        <w:t xml:space="preserve"> These costs are assumed to range from $0.016</w:t>
      </w:r>
      <w:r w:rsidR="003C2389">
        <w:t xml:space="preserve"> </w:t>
      </w:r>
      <w:r w:rsidR="00FA4B0D">
        <w:t xml:space="preserve">m to $0.033 m per pipeline. </w:t>
      </w:r>
    </w:p>
    <w:p w14:paraId="65E03CB2" w14:textId="77777777" w:rsidR="001A440E" w:rsidRPr="00F81C59" w:rsidRDefault="002E7C71" w:rsidP="00BD70C8">
      <w:pPr>
        <w:pStyle w:val="ListNumber"/>
      </w:pPr>
      <w:r w:rsidRPr="009E68B8">
        <w:rPr>
          <w:b/>
          <w:bCs/>
        </w:rPr>
        <w:t>Dispute resolution costs:</w:t>
      </w:r>
      <w:r>
        <w:t xml:space="preserve"> </w:t>
      </w:r>
      <w:r w:rsidR="00A66572">
        <w:t xml:space="preserve">Under Scenario 1 – High Impact, more disputes are assumed to proceed to arbitration, which will give rise to additional costs for the dispute resolution bodies (which </w:t>
      </w:r>
      <w:r w:rsidR="00BD70C8">
        <w:t xml:space="preserve">are expected to </w:t>
      </w:r>
      <w:r w:rsidR="00A66572">
        <w:t xml:space="preserve">be passed on to the </w:t>
      </w:r>
      <w:r w:rsidR="00BD70C8">
        <w:t>disputing parties)</w:t>
      </w:r>
      <w:r w:rsidR="00A66572">
        <w:t xml:space="preserve">. </w:t>
      </w:r>
      <w:r w:rsidR="00A66572" w:rsidRPr="00F81C59">
        <w:t xml:space="preserve">The costs </w:t>
      </w:r>
      <w:r w:rsidR="00A66572">
        <w:t xml:space="preserve">for </w:t>
      </w:r>
      <w:r w:rsidR="00BD70C8">
        <w:t xml:space="preserve">the dispute resolution body are </w:t>
      </w:r>
      <w:r w:rsidR="00A66572">
        <w:t>assumed to be</w:t>
      </w:r>
      <w:r w:rsidR="00A66572" w:rsidRPr="00F81C59">
        <w:t xml:space="preserve"> $</w:t>
      </w:r>
      <w:r w:rsidR="00A66572">
        <w:t>0</w:t>
      </w:r>
      <w:r w:rsidR="00A66572" w:rsidRPr="00F81C59">
        <w:t>.</w:t>
      </w:r>
      <w:r w:rsidR="00BD70C8">
        <w:t>42</w:t>
      </w:r>
      <w:r w:rsidR="00A66572" w:rsidRPr="00F81C59">
        <w:t xml:space="preserve"> million per dispute.</w:t>
      </w:r>
    </w:p>
    <w:p w14:paraId="66856D53" w14:textId="2FEB5756" w:rsidR="001A440E" w:rsidRPr="00F81C59" w:rsidRDefault="0075305C" w:rsidP="001A440E">
      <w:pPr>
        <w:pStyle w:val="BodyText"/>
      </w:pPr>
      <w:hyperlink w:anchor="_bookmark11" w:history="1">
        <w:r w:rsidR="001A440E" w:rsidRPr="001A440E">
          <w:rPr>
            <w:rStyle w:val="Hyperlink"/>
            <w:u w:val="none"/>
          </w:rPr>
          <w:t>The</w:t>
        </w:r>
      </w:hyperlink>
      <w:r w:rsidR="001A440E" w:rsidRPr="001A440E">
        <w:rPr>
          <w:rStyle w:val="Hyperlink"/>
          <w:u w:val="none"/>
        </w:rPr>
        <w:t xml:space="preserve"> table below </w:t>
      </w:r>
      <w:r w:rsidR="001A440E" w:rsidRPr="00F81C59">
        <w:t xml:space="preserve">summarises these costs. Since the number of pipelines shifting to the </w:t>
      </w:r>
      <w:r w:rsidR="00531979">
        <w:t>stronger</w:t>
      </w:r>
      <w:r w:rsidR="001A440E" w:rsidRPr="00F81C59">
        <w:t xml:space="preserve"> form of regulation and the number of arbitrations assumed are the same under each scenario, </w:t>
      </w:r>
      <w:r w:rsidR="003C2389">
        <w:t>the implementation costs</w:t>
      </w:r>
      <w:r w:rsidR="001A440E" w:rsidRPr="00F81C59">
        <w:t xml:space="preserve">, </w:t>
      </w:r>
      <w:r w:rsidR="003C2389">
        <w:t xml:space="preserve">access arrangement review </w:t>
      </w:r>
      <w:r w:rsidR="001A440E" w:rsidRPr="00F81C59">
        <w:t xml:space="preserve">costs and </w:t>
      </w:r>
      <w:r w:rsidR="003C2389">
        <w:t xml:space="preserve">dispute resolution </w:t>
      </w:r>
      <w:r w:rsidR="001A440E" w:rsidRPr="00F81C59">
        <w:t xml:space="preserve">costs are the same under each option. The difference in total costs for regulators </w:t>
      </w:r>
      <w:r w:rsidR="00811AAF">
        <w:t>stem f</w:t>
      </w:r>
      <w:r w:rsidR="001A440E" w:rsidRPr="00F81C59">
        <w:t xml:space="preserve">rom the </w:t>
      </w:r>
      <w:r w:rsidR="00811AAF">
        <w:t xml:space="preserve">costs associated with the </w:t>
      </w:r>
      <w:r w:rsidR="001A440E" w:rsidRPr="00F81C59">
        <w:t xml:space="preserve">monitoring </w:t>
      </w:r>
      <w:r w:rsidR="00811AAF">
        <w:t>and referral functions</w:t>
      </w:r>
      <w:r w:rsidR="001A440E" w:rsidRPr="00F81C59">
        <w:t xml:space="preserve">, which would not be incurred under Option 2. These costs differ under options </w:t>
      </w:r>
      <w:r w:rsidR="00811AAF">
        <w:t xml:space="preserve">3A, 3B and </w:t>
      </w:r>
      <w:r w:rsidR="001A440E" w:rsidRPr="00F81C59">
        <w:t>4</w:t>
      </w:r>
      <w:r w:rsidR="00811AAF">
        <w:t xml:space="preserve">, </w:t>
      </w:r>
      <w:r w:rsidR="001A440E" w:rsidRPr="00F81C59">
        <w:t xml:space="preserve">because they are based on the number of pipelines shifting to the </w:t>
      </w:r>
      <w:r w:rsidR="00531979">
        <w:t>lighter</w:t>
      </w:r>
      <w:r w:rsidR="001A440E" w:rsidRPr="00F81C59">
        <w:t xml:space="preserve"> form of regulation.</w:t>
      </w:r>
    </w:p>
    <w:p w14:paraId="27C0023D" w14:textId="77777777" w:rsidR="001A440E" w:rsidRPr="00F81C59" w:rsidRDefault="001A440E" w:rsidP="001A440E">
      <w:pPr>
        <w:pStyle w:val="Caption"/>
        <w:spacing w:after="0"/>
        <w:rPr>
          <w:sz w:val="13"/>
        </w:rPr>
      </w:pPr>
      <w:r>
        <w:t>Table D.</w:t>
      </w:r>
      <w:r w:rsidR="001C55A2">
        <w:t>3</w:t>
      </w:r>
      <w:r>
        <w:t>: Costs for regulators by option (20 year NPV $m, 2020 dollars)</w:t>
      </w:r>
    </w:p>
    <w:tbl>
      <w:tblPr>
        <w:tblStyle w:val="TableGrid"/>
        <w:tblW w:w="5000" w:type="pct"/>
        <w:tblLook w:val="0420" w:firstRow="1" w:lastRow="0" w:firstColumn="0" w:lastColumn="0" w:noHBand="0" w:noVBand="1"/>
      </w:tblPr>
      <w:tblGrid>
        <w:gridCol w:w="1562"/>
        <w:gridCol w:w="1343"/>
        <w:gridCol w:w="1775"/>
        <w:gridCol w:w="1271"/>
        <w:gridCol w:w="1380"/>
        <w:gridCol w:w="1457"/>
      </w:tblGrid>
      <w:tr w:rsidR="001A440E" w:rsidRPr="000E114B" w14:paraId="4542DB2D" w14:textId="77777777" w:rsidTr="001A440E">
        <w:trPr>
          <w:cnfStyle w:val="100000000000" w:firstRow="1" w:lastRow="0" w:firstColumn="0" w:lastColumn="0" w:oddVBand="0" w:evenVBand="0" w:oddHBand="0" w:evenHBand="0" w:firstRowFirstColumn="0" w:firstRowLastColumn="0" w:lastRowFirstColumn="0" w:lastRowLastColumn="0"/>
          <w:tblHeader/>
        </w:trPr>
        <w:tc>
          <w:tcPr>
            <w:tcW w:w="889" w:type="pct"/>
            <w:tcBorders>
              <w:bottom w:val="single" w:sz="4" w:space="0" w:color="auto"/>
            </w:tcBorders>
            <w:shd w:val="clear" w:color="auto" w:fill="002060"/>
            <w:vAlign w:val="bottom"/>
          </w:tcPr>
          <w:p w14:paraId="0C22A605" w14:textId="77777777" w:rsidR="001A440E" w:rsidRPr="000E114B" w:rsidRDefault="001A440E" w:rsidP="001A440E">
            <w:pPr>
              <w:pStyle w:val="TableHeading"/>
              <w:keepNext/>
            </w:pPr>
            <w:r w:rsidRPr="000E114B">
              <w:t>Options</w:t>
            </w:r>
          </w:p>
        </w:tc>
        <w:tc>
          <w:tcPr>
            <w:tcW w:w="764" w:type="pct"/>
            <w:tcBorders>
              <w:bottom w:val="single" w:sz="4" w:space="0" w:color="auto"/>
            </w:tcBorders>
            <w:shd w:val="clear" w:color="auto" w:fill="002060"/>
            <w:vAlign w:val="bottom"/>
          </w:tcPr>
          <w:p w14:paraId="2847C8B6" w14:textId="77777777" w:rsidR="001A440E" w:rsidRPr="000E114B" w:rsidRDefault="001A440E" w:rsidP="00E43BE2">
            <w:pPr>
              <w:pStyle w:val="TableHeading"/>
              <w:keepNext/>
              <w:jc w:val="center"/>
            </w:pPr>
            <w:r w:rsidRPr="000E114B">
              <w:t>Total</w:t>
            </w:r>
          </w:p>
        </w:tc>
        <w:tc>
          <w:tcPr>
            <w:tcW w:w="1010" w:type="pct"/>
            <w:tcBorders>
              <w:bottom w:val="single" w:sz="4" w:space="0" w:color="auto"/>
            </w:tcBorders>
            <w:shd w:val="clear" w:color="auto" w:fill="002060"/>
            <w:vAlign w:val="bottom"/>
          </w:tcPr>
          <w:p w14:paraId="64EBBF1D" w14:textId="77777777" w:rsidR="001A440E" w:rsidRPr="000E114B" w:rsidRDefault="001A440E" w:rsidP="00E43BE2">
            <w:pPr>
              <w:pStyle w:val="TableHeading"/>
              <w:keepNext/>
              <w:jc w:val="center"/>
            </w:pPr>
            <w:r w:rsidRPr="000E114B">
              <w:t xml:space="preserve">Implementation </w:t>
            </w:r>
            <w:r w:rsidR="00E43BE2">
              <w:t xml:space="preserve">costs </w:t>
            </w:r>
            <w:r w:rsidRPr="000E114B">
              <w:t>(upfront)</w:t>
            </w:r>
          </w:p>
        </w:tc>
        <w:tc>
          <w:tcPr>
            <w:tcW w:w="723" w:type="pct"/>
            <w:tcBorders>
              <w:bottom w:val="single" w:sz="4" w:space="0" w:color="auto"/>
            </w:tcBorders>
            <w:shd w:val="clear" w:color="auto" w:fill="002060"/>
            <w:vAlign w:val="bottom"/>
          </w:tcPr>
          <w:p w14:paraId="430FA2F0" w14:textId="77777777" w:rsidR="001A440E" w:rsidRPr="000E114B" w:rsidRDefault="001A440E" w:rsidP="00E43BE2">
            <w:pPr>
              <w:pStyle w:val="TableHeading"/>
              <w:keepNext/>
              <w:jc w:val="center"/>
            </w:pPr>
            <w:r w:rsidRPr="000E114B">
              <w:t>Access arrangement review costs</w:t>
            </w:r>
            <w:r w:rsidR="00E43BE2">
              <w:t xml:space="preserve"> </w:t>
            </w:r>
            <w:r w:rsidRPr="000E114B">
              <w:t>(ongoing)</w:t>
            </w:r>
          </w:p>
        </w:tc>
        <w:tc>
          <w:tcPr>
            <w:tcW w:w="785" w:type="pct"/>
            <w:tcBorders>
              <w:bottom w:val="single" w:sz="4" w:space="0" w:color="auto"/>
            </w:tcBorders>
            <w:shd w:val="clear" w:color="auto" w:fill="002060"/>
            <w:vAlign w:val="bottom"/>
          </w:tcPr>
          <w:p w14:paraId="49EA9E23" w14:textId="77777777" w:rsidR="001A440E" w:rsidRPr="000E114B" w:rsidRDefault="00E43BE2" w:rsidP="00E43BE2">
            <w:pPr>
              <w:pStyle w:val="TableHeading"/>
              <w:keepNext/>
              <w:jc w:val="center"/>
            </w:pPr>
            <w:r>
              <w:t>M</w:t>
            </w:r>
            <w:r w:rsidR="001A440E" w:rsidRPr="000E114B">
              <w:t>onitoring and referral costs</w:t>
            </w:r>
            <w:r w:rsidR="001A440E">
              <w:t xml:space="preserve"> </w:t>
            </w:r>
            <w:r w:rsidR="001A440E" w:rsidRPr="000E114B">
              <w:t>(ongoing)</w:t>
            </w:r>
          </w:p>
        </w:tc>
        <w:tc>
          <w:tcPr>
            <w:tcW w:w="829" w:type="pct"/>
            <w:tcBorders>
              <w:bottom w:val="single" w:sz="4" w:space="0" w:color="auto"/>
            </w:tcBorders>
            <w:shd w:val="clear" w:color="auto" w:fill="002060"/>
            <w:vAlign w:val="bottom"/>
          </w:tcPr>
          <w:p w14:paraId="48C19375" w14:textId="77777777" w:rsidR="001A440E" w:rsidRPr="000E114B" w:rsidRDefault="001A440E" w:rsidP="00E43BE2">
            <w:pPr>
              <w:pStyle w:val="TableHeading"/>
              <w:keepNext/>
              <w:jc w:val="center"/>
            </w:pPr>
            <w:r w:rsidRPr="000E114B">
              <w:t>Arbitration costs</w:t>
            </w:r>
            <w:r>
              <w:t xml:space="preserve"> </w:t>
            </w:r>
            <w:r w:rsidRPr="000E114B">
              <w:t>(ongoing)</w:t>
            </w:r>
          </w:p>
        </w:tc>
      </w:tr>
      <w:tr w:rsidR="001A440E" w:rsidRPr="001A440E" w14:paraId="7C090CF1" w14:textId="77777777" w:rsidTr="001A440E">
        <w:tc>
          <w:tcPr>
            <w:tcW w:w="5000" w:type="pct"/>
            <w:gridSpan w:val="6"/>
            <w:shd w:val="clear" w:color="auto" w:fill="65697F" w:themeFill="background2" w:themeFillShade="80"/>
          </w:tcPr>
          <w:p w14:paraId="30DF27DD" w14:textId="77777777" w:rsidR="001A440E" w:rsidRPr="001A440E" w:rsidRDefault="001A440E" w:rsidP="001A440E">
            <w:pPr>
              <w:pStyle w:val="TableBodyText"/>
              <w:keepNext/>
              <w:jc w:val="center"/>
              <w:rPr>
                <w:b/>
                <w:bCs/>
                <w:color w:val="FFFFFF" w:themeColor="background1"/>
              </w:rPr>
            </w:pPr>
            <w:r w:rsidRPr="001A440E">
              <w:rPr>
                <w:b/>
                <w:bCs/>
                <w:color w:val="FFFFFF" w:themeColor="background1"/>
              </w:rPr>
              <w:t>Scenario 1 - High Impact</w:t>
            </w:r>
          </w:p>
        </w:tc>
      </w:tr>
      <w:tr w:rsidR="001A440E" w:rsidRPr="000E114B" w14:paraId="43B7B1DB" w14:textId="77777777" w:rsidTr="001A440E">
        <w:trPr>
          <w:cnfStyle w:val="000000010000" w:firstRow="0" w:lastRow="0" w:firstColumn="0" w:lastColumn="0" w:oddVBand="0" w:evenVBand="0" w:oddHBand="0" w:evenHBand="1" w:firstRowFirstColumn="0" w:firstRowLastColumn="0" w:lastRowFirstColumn="0" w:lastRowLastColumn="0"/>
        </w:trPr>
        <w:tc>
          <w:tcPr>
            <w:tcW w:w="889" w:type="pct"/>
          </w:tcPr>
          <w:p w14:paraId="02427A95" w14:textId="77777777" w:rsidR="001A440E" w:rsidRPr="000E114B" w:rsidRDefault="001A440E" w:rsidP="001A440E">
            <w:pPr>
              <w:pStyle w:val="TableBodyText"/>
              <w:keepNext/>
            </w:pPr>
            <w:r w:rsidRPr="000E114B">
              <w:t>Option 2</w:t>
            </w:r>
          </w:p>
        </w:tc>
        <w:tc>
          <w:tcPr>
            <w:tcW w:w="764" w:type="pct"/>
          </w:tcPr>
          <w:p w14:paraId="4B655183" w14:textId="77777777" w:rsidR="001A440E" w:rsidRPr="000E114B" w:rsidRDefault="001A440E" w:rsidP="00E43BE2">
            <w:pPr>
              <w:pStyle w:val="TableBodyText"/>
              <w:keepNext/>
              <w:jc w:val="center"/>
            </w:pPr>
            <w:r w:rsidRPr="000E114B">
              <w:t>$37.6</w:t>
            </w:r>
          </w:p>
        </w:tc>
        <w:tc>
          <w:tcPr>
            <w:tcW w:w="1010" w:type="pct"/>
          </w:tcPr>
          <w:p w14:paraId="08F4EEF4" w14:textId="77777777" w:rsidR="001A440E" w:rsidRPr="000E114B" w:rsidRDefault="001A440E" w:rsidP="00E43BE2">
            <w:pPr>
              <w:pStyle w:val="TableBodyText"/>
              <w:keepNext/>
              <w:jc w:val="center"/>
            </w:pPr>
            <w:r w:rsidRPr="000E114B">
              <w:t>$3.7</w:t>
            </w:r>
          </w:p>
        </w:tc>
        <w:tc>
          <w:tcPr>
            <w:tcW w:w="723" w:type="pct"/>
          </w:tcPr>
          <w:p w14:paraId="377FC163" w14:textId="77777777" w:rsidR="001A440E" w:rsidRPr="000E114B" w:rsidRDefault="001A440E" w:rsidP="00E43BE2">
            <w:pPr>
              <w:pStyle w:val="TableBodyText"/>
              <w:keepNext/>
              <w:jc w:val="center"/>
            </w:pPr>
            <w:r w:rsidRPr="000E114B">
              <w:t>$31.6</w:t>
            </w:r>
          </w:p>
        </w:tc>
        <w:tc>
          <w:tcPr>
            <w:tcW w:w="785" w:type="pct"/>
          </w:tcPr>
          <w:p w14:paraId="3B2AB607" w14:textId="77777777" w:rsidR="001A440E" w:rsidRPr="000E114B" w:rsidRDefault="001A440E" w:rsidP="00E43BE2">
            <w:pPr>
              <w:pStyle w:val="TableBodyText"/>
              <w:keepNext/>
              <w:jc w:val="center"/>
            </w:pPr>
            <w:r w:rsidRPr="000E114B">
              <w:t>$ -</w:t>
            </w:r>
          </w:p>
        </w:tc>
        <w:tc>
          <w:tcPr>
            <w:tcW w:w="829" w:type="pct"/>
          </w:tcPr>
          <w:p w14:paraId="7095F3D2" w14:textId="77777777" w:rsidR="001A440E" w:rsidRPr="000E114B" w:rsidRDefault="001A440E" w:rsidP="00E43BE2">
            <w:pPr>
              <w:pStyle w:val="TableBodyText"/>
              <w:keepNext/>
              <w:jc w:val="center"/>
            </w:pPr>
            <w:r w:rsidRPr="000E114B">
              <w:t>$2.4</w:t>
            </w:r>
          </w:p>
        </w:tc>
      </w:tr>
      <w:tr w:rsidR="001A440E" w:rsidRPr="000E114B" w14:paraId="270A94E5" w14:textId="77777777" w:rsidTr="001A440E">
        <w:tc>
          <w:tcPr>
            <w:tcW w:w="889" w:type="pct"/>
          </w:tcPr>
          <w:p w14:paraId="792EEE0E" w14:textId="77777777" w:rsidR="001A440E" w:rsidRPr="000E114B" w:rsidRDefault="00C32CBC" w:rsidP="001A440E">
            <w:pPr>
              <w:pStyle w:val="TableBodyText"/>
              <w:keepNext/>
            </w:pPr>
            <w:r>
              <w:t>Option 3A</w:t>
            </w:r>
          </w:p>
        </w:tc>
        <w:tc>
          <w:tcPr>
            <w:tcW w:w="764" w:type="pct"/>
          </w:tcPr>
          <w:p w14:paraId="186F8494" w14:textId="77777777" w:rsidR="001A440E" w:rsidRPr="000E114B" w:rsidRDefault="001A440E" w:rsidP="00E43BE2">
            <w:pPr>
              <w:pStyle w:val="TableBodyText"/>
              <w:keepNext/>
              <w:jc w:val="center"/>
            </w:pPr>
            <w:r w:rsidRPr="000E114B">
              <w:t>$57.7</w:t>
            </w:r>
          </w:p>
        </w:tc>
        <w:tc>
          <w:tcPr>
            <w:tcW w:w="1010" w:type="pct"/>
          </w:tcPr>
          <w:p w14:paraId="093DCE0D" w14:textId="77777777" w:rsidR="001A440E" w:rsidRPr="000E114B" w:rsidRDefault="001A440E" w:rsidP="00E43BE2">
            <w:pPr>
              <w:pStyle w:val="TableBodyText"/>
              <w:keepNext/>
              <w:jc w:val="center"/>
            </w:pPr>
            <w:r w:rsidRPr="000E114B">
              <w:t>$2.8</w:t>
            </w:r>
          </w:p>
        </w:tc>
        <w:tc>
          <w:tcPr>
            <w:tcW w:w="723" w:type="pct"/>
          </w:tcPr>
          <w:p w14:paraId="2316899D" w14:textId="77777777" w:rsidR="001A440E" w:rsidRPr="000E114B" w:rsidRDefault="001A440E" w:rsidP="00E43BE2">
            <w:pPr>
              <w:pStyle w:val="TableBodyText"/>
              <w:keepNext/>
              <w:jc w:val="center"/>
            </w:pPr>
            <w:r w:rsidRPr="000E114B">
              <w:t>$31.6</w:t>
            </w:r>
          </w:p>
        </w:tc>
        <w:tc>
          <w:tcPr>
            <w:tcW w:w="785" w:type="pct"/>
          </w:tcPr>
          <w:p w14:paraId="32AA0B0D" w14:textId="77777777" w:rsidR="001A440E" w:rsidRPr="000E114B" w:rsidRDefault="001A440E" w:rsidP="00E43BE2">
            <w:pPr>
              <w:pStyle w:val="TableBodyText"/>
              <w:keepNext/>
              <w:jc w:val="center"/>
            </w:pPr>
            <w:r w:rsidRPr="000E114B">
              <w:t>$20.9</w:t>
            </w:r>
          </w:p>
        </w:tc>
        <w:tc>
          <w:tcPr>
            <w:tcW w:w="829" w:type="pct"/>
          </w:tcPr>
          <w:p w14:paraId="4076C259" w14:textId="77777777" w:rsidR="001A440E" w:rsidRPr="000E114B" w:rsidRDefault="001A440E" w:rsidP="00E43BE2">
            <w:pPr>
              <w:pStyle w:val="TableBodyText"/>
              <w:keepNext/>
              <w:jc w:val="center"/>
            </w:pPr>
            <w:r w:rsidRPr="000E114B">
              <w:t>$2.4</w:t>
            </w:r>
          </w:p>
        </w:tc>
      </w:tr>
      <w:tr w:rsidR="001A440E" w:rsidRPr="000E114B" w14:paraId="34F5A099" w14:textId="77777777" w:rsidTr="001A440E">
        <w:trPr>
          <w:cnfStyle w:val="000000010000" w:firstRow="0" w:lastRow="0" w:firstColumn="0" w:lastColumn="0" w:oddVBand="0" w:evenVBand="0" w:oddHBand="0" w:evenHBand="1" w:firstRowFirstColumn="0" w:firstRowLastColumn="0" w:lastRowFirstColumn="0" w:lastRowLastColumn="0"/>
        </w:trPr>
        <w:tc>
          <w:tcPr>
            <w:tcW w:w="889" w:type="pct"/>
            <w:tcBorders>
              <w:bottom w:val="single" w:sz="4" w:space="0" w:color="auto"/>
            </w:tcBorders>
          </w:tcPr>
          <w:p w14:paraId="5BFED062" w14:textId="77777777" w:rsidR="001A440E" w:rsidRPr="000E114B" w:rsidRDefault="00C32CBC" w:rsidP="001A440E">
            <w:pPr>
              <w:pStyle w:val="TableBodyText"/>
              <w:keepNext/>
            </w:pPr>
            <w:r>
              <w:t>Option 3B</w:t>
            </w:r>
          </w:p>
        </w:tc>
        <w:tc>
          <w:tcPr>
            <w:tcW w:w="764" w:type="pct"/>
            <w:tcBorders>
              <w:bottom w:val="single" w:sz="4" w:space="0" w:color="auto"/>
            </w:tcBorders>
          </w:tcPr>
          <w:p w14:paraId="598D2C79" w14:textId="77777777" w:rsidR="001A440E" w:rsidRPr="000E114B" w:rsidRDefault="001A440E" w:rsidP="00E43BE2">
            <w:pPr>
              <w:pStyle w:val="TableBodyText"/>
              <w:keepNext/>
              <w:jc w:val="center"/>
            </w:pPr>
            <w:r w:rsidRPr="000E114B">
              <w:t>$56.9</w:t>
            </w:r>
          </w:p>
        </w:tc>
        <w:tc>
          <w:tcPr>
            <w:tcW w:w="1010" w:type="pct"/>
            <w:tcBorders>
              <w:bottom w:val="single" w:sz="4" w:space="0" w:color="auto"/>
            </w:tcBorders>
          </w:tcPr>
          <w:p w14:paraId="17EFF4E0" w14:textId="77777777" w:rsidR="001A440E" w:rsidRPr="000E114B" w:rsidRDefault="001A440E" w:rsidP="00E43BE2">
            <w:pPr>
              <w:pStyle w:val="TableBodyText"/>
              <w:keepNext/>
              <w:jc w:val="center"/>
            </w:pPr>
            <w:r w:rsidRPr="000E114B">
              <w:t>$1.9</w:t>
            </w:r>
          </w:p>
        </w:tc>
        <w:tc>
          <w:tcPr>
            <w:tcW w:w="723" w:type="pct"/>
            <w:tcBorders>
              <w:bottom w:val="single" w:sz="4" w:space="0" w:color="auto"/>
            </w:tcBorders>
          </w:tcPr>
          <w:p w14:paraId="6B9203D3" w14:textId="77777777" w:rsidR="001A440E" w:rsidRPr="000E114B" w:rsidRDefault="001A440E" w:rsidP="00E43BE2">
            <w:pPr>
              <w:pStyle w:val="TableBodyText"/>
              <w:keepNext/>
              <w:jc w:val="center"/>
            </w:pPr>
            <w:r w:rsidRPr="000E114B">
              <w:t>$31.6</w:t>
            </w:r>
          </w:p>
        </w:tc>
        <w:tc>
          <w:tcPr>
            <w:tcW w:w="785" w:type="pct"/>
            <w:tcBorders>
              <w:bottom w:val="single" w:sz="4" w:space="0" w:color="auto"/>
            </w:tcBorders>
          </w:tcPr>
          <w:p w14:paraId="5BA9964F" w14:textId="77777777" w:rsidR="001A440E" w:rsidRPr="000E114B" w:rsidRDefault="001A440E" w:rsidP="00E43BE2">
            <w:pPr>
              <w:pStyle w:val="TableBodyText"/>
              <w:keepNext/>
              <w:jc w:val="center"/>
            </w:pPr>
            <w:r w:rsidRPr="000E114B">
              <w:t>$21.0</w:t>
            </w:r>
          </w:p>
        </w:tc>
        <w:tc>
          <w:tcPr>
            <w:tcW w:w="829" w:type="pct"/>
            <w:tcBorders>
              <w:bottom w:val="single" w:sz="4" w:space="0" w:color="auto"/>
            </w:tcBorders>
          </w:tcPr>
          <w:p w14:paraId="13F83AD4" w14:textId="77777777" w:rsidR="001A440E" w:rsidRPr="000E114B" w:rsidRDefault="001A440E" w:rsidP="00E43BE2">
            <w:pPr>
              <w:pStyle w:val="TableBodyText"/>
              <w:keepNext/>
              <w:jc w:val="center"/>
            </w:pPr>
            <w:r w:rsidRPr="000E114B">
              <w:t>$2.4</w:t>
            </w:r>
          </w:p>
        </w:tc>
      </w:tr>
      <w:tr w:rsidR="001A440E" w:rsidRPr="000E114B" w14:paraId="63E1B00E" w14:textId="77777777" w:rsidTr="001A440E">
        <w:tc>
          <w:tcPr>
            <w:tcW w:w="889" w:type="pct"/>
          </w:tcPr>
          <w:p w14:paraId="4E1ECF4B" w14:textId="77777777" w:rsidR="001A440E" w:rsidRPr="000E114B" w:rsidRDefault="001A440E" w:rsidP="001A440E">
            <w:pPr>
              <w:pStyle w:val="TableBodyText"/>
              <w:keepNext/>
            </w:pPr>
            <w:r w:rsidRPr="000E114B">
              <w:t>Option 4</w:t>
            </w:r>
          </w:p>
        </w:tc>
        <w:tc>
          <w:tcPr>
            <w:tcW w:w="764" w:type="pct"/>
          </w:tcPr>
          <w:p w14:paraId="0F03558D" w14:textId="77777777" w:rsidR="001A440E" w:rsidRPr="000E114B" w:rsidRDefault="001A440E" w:rsidP="00E43BE2">
            <w:pPr>
              <w:pStyle w:val="TableBodyText"/>
              <w:keepNext/>
              <w:jc w:val="center"/>
            </w:pPr>
            <w:r w:rsidRPr="000E114B">
              <w:t>$57.3</w:t>
            </w:r>
          </w:p>
        </w:tc>
        <w:tc>
          <w:tcPr>
            <w:tcW w:w="1010" w:type="pct"/>
          </w:tcPr>
          <w:p w14:paraId="0DF5CBE1" w14:textId="77777777" w:rsidR="001A440E" w:rsidRPr="000E114B" w:rsidRDefault="001A440E" w:rsidP="00E43BE2">
            <w:pPr>
              <w:pStyle w:val="TableBodyText"/>
              <w:keepNext/>
              <w:jc w:val="center"/>
            </w:pPr>
            <w:r w:rsidRPr="000E114B">
              <w:t>$1.7</w:t>
            </w:r>
          </w:p>
        </w:tc>
        <w:tc>
          <w:tcPr>
            <w:tcW w:w="723" w:type="pct"/>
          </w:tcPr>
          <w:p w14:paraId="299B3F6C" w14:textId="77777777" w:rsidR="001A440E" w:rsidRPr="000E114B" w:rsidRDefault="001A440E" w:rsidP="00E43BE2">
            <w:pPr>
              <w:pStyle w:val="TableBodyText"/>
              <w:keepNext/>
              <w:jc w:val="center"/>
            </w:pPr>
            <w:r w:rsidRPr="000E114B">
              <w:t>$31.6</w:t>
            </w:r>
          </w:p>
        </w:tc>
        <w:tc>
          <w:tcPr>
            <w:tcW w:w="785" w:type="pct"/>
          </w:tcPr>
          <w:p w14:paraId="43DCCD0E" w14:textId="77777777" w:rsidR="001A440E" w:rsidRPr="000E114B" w:rsidRDefault="001A440E" w:rsidP="00E43BE2">
            <w:pPr>
              <w:pStyle w:val="TableBodyText"/>
              <w:keepNext/>
              <w:jc w:val="center"/>
            </w:pPr>
            <w:r w:rsidRPr="000E114B">
              <w:t>$21.6</w:t>
            </w:r>
          </w:p>
        </w:tc>
        <w:tc>
          <w:tcPr>
            <w:tcW w:w="829" w:type="pct"/>
          </w:tcPr>
          <w:p w14:paraId="08B35C1E" w14:textId="77777777" w:rsidR="001A440E" w:rsidRPr="000E114B" w:rsidRDefault="001A440E" w:rsidP="00E43BE2">
            <w:pPr>
              <w:pStyle w:val="TableBodyText"/>
              <w:keepNext/>
              <w:jc w:val="center"/>
            </w:pPr>
            <w:r w:rsidRPr="000E114B">
              <w:t>$2.4</w:t>
            </w:r>
          </w:p>
        </w:tc>
      </w:tr>
      <w:tr w:rsidR="001A440E" w:rsidRPr="000E114B" w14:paraId="06706473" w14:textId="77777777" w:rsidTr="001A440E">
        <w:trPr>
          <w:cnfStyle w:val="000000010000" w:firstRow="0" w:lastRow="0" w:firstColumn="0" w:lastColumn="0" w:oddVBand="0" w:evenVBand="0" w:oddHBand="0" w:evenHBand="1" w:firstRowFirstColumn="0" w:firstRowLastColumn="0" w:lastRowFirstColumn="0" w:lastRowLastColumn="0"/>
        </w:trPr>
        <w:tc>
          <w:tcPr>
            <w:tcW w:w="5000" w:type="pct"/>
            <w:gridSpan w:val="6"/>
            <w:shd w:val="clear" w:color="auto" w:fill="65697F" w:themeFill="background2" w:themeFillShade="80"/>
          </w:tcPr>
          <w:p w14:paraId="642BFC06" w14:textId="77777777" w:rsidR="001A440E" w:rsidRPr="001A440E" w:rsidRDefault="001A440E" w:rsidP="001A440E">
            <w:pPr>
              <w:pStyle w:val="TableBodyText"/>
              <w:keepNext/>
              <w:jc w:val="center"/>
              <w:rPr>
                <w:b/>
                <w:bCs/>
              </w:rPr>
            </w:pPr>
            <w:r w:rsidRPr="001A440E">
              <w:rPr>
                <w:b/>
                <w:bCs/>
                <w:color w:val="FFFFFF" w:themeColor="background1"/>
              </w:rPr>
              <w:t>Scenario 2 - Low Impact</w:t>
            </w:r>
          </w:p>
        </w:tc>
      </w:tr>
      <w:tr w:rsidR="001A440E" w:rsidRPr="000E114B" w14:paraId="6E1229D2" w14:textId="77777777" w:rsidTr="001A440E">
        <w:tc>
          <w:tcPr>
            <w:tcW w:w="889" w:type="pct"/>
          </w:tcPr>
          <w:p w14:paraId="20CA4355" w14:textId="77777777" w:rsidR="001A440E" w:rsidRPr="000E114B" w:rsidRDefault="001A440E" w:rsidP="001A440E">
            <w:pPr>
              <w:pStyle w:val="TableBodyText"/>
              <w:keepNext/>
            </w:pPr>
            <w:r w:rsidRPr="000E114B">
              <w:t>Option 2</w:t>
            </w:r>
          </w:p>
        </w:tc>
        <w:tc>
          <w:tcPr>
            <w:tcW w:w="764" w:type="pct"/>
          </w:tcPr>
          <w:p w14:paraId="0A85C629" w14:textId="77777777" w:rsidR="001A440E" w:rsidRPr="000E114B" w:rsidRDefault="001A440E" w:rsidP="00E43BE2">
            <w:pPr>
              <w:pStyle w:val="TableBodyText"/>
              <w:keepNext/>
              <w:jc w:val="center"/>
            </w:pPr>
            <w:r w:rsidRPr="000E114B">
              <w:t>$20.0</w:t>
            </w:r>
          </w:p>
        </w:tc>
        <w:tc>
          <w:tcPr>
            <w:tcW w:w="1010" w:type="pct"/>
          </w:tcPr>
          <w:p w14:paraId="490FC1CD" w14:textId="77777777" w:rsidR="001A440E" w:rsidRPr="000E114B" w:rsidRDefault="001A440E" w:rsidP="00E43BE2">
            <w:pPr>
              <w:pStyle w:val="TableBodyText"/>
              <w:keepNext/>
              <w:jc w:val="center"/>
            </w:pPr>
            <w:r w:rsidRPr="000E114B">
              <w:t>$2.4</w:t>
            </w:r>
          </w:p>
        </w:tc>
        <w:tc>
          <w:tcPr>
            <w:tcW w:w="723" w:type="pct"/>
          </w:tcPr>
          <w:p w14:paraId="7C8AA412" w14:textId="77777777" w:rsidR="001A440E" w:rsidRPr="000E114B" w:rsidRDefault="001A440E" w:rsidP="00E43BE2">
            <w:pPr>
              <w:pStyle w:val="TableBodyText"/>
              <w:keepNext/>
              <w:jc w:val="center"/>
            </w:pPr>
            <w:r w:rsidRPr="000E114B">
              <w:t>$17.6</w:t>
            </w:r>
          </w:p>
        </w:tc>
        <w:tc>
          <w:tcPr>
            <w:tcW w:w="785" w:type="pct"/>
          </w:tcPr>
          <w:p w14:paraId="6DC53521" w14:textId="77777777" w:rsidR="001A440E" w:rsidRPr="000E114B" w:rsidRDefault="001A440E" w:rsidP="00E43BE2">
            <w:pPr>
              <w:pStyle w:val="TableBodyText"/>
              <w:keepNext/>
              <w:jc w:val="center"/>
            </w:pPr>
            <w:r w:rsidRPr="000E114B">
              <w:t>$ -</w:t>
            </w:r>
          </w:p>
        </w:tc>
        <w:tc>
          <w:tcPr>
            <w:tcW w:w="829" w:type="pct"/>
          </w:tcPr>
          <w:p w14:paraId="41943716" w14:textId="77777777" w:rsidR="001A440E" w:rsidRPr="000E114B" w:rsidRDefault="001A440E" w:rsidP="00E43BE2">
            <w:pPr>
              <w:pStyle w:val="TableBodyText"/>
              <w:keepNext/>
              <w:jc w:val="center"/>
            </w:pPr>
            <w:r w:rsidRPr="000E114B">
              <w:t>$ -</w:t>
            </w:r>
          </w:p>
        </w:tc>
      </w:tr>
      <w:tr w:rsidR="001A440E" w:rsidRPr="000E114B" w14:paraId="47CCCEF2" w14:textId="77777777" w:rsidTr="001A440E">
        <w:trPr>
          <w:cnfStyle w:val="000000010000" w:firstRow="0" w:lastRow="0" w:firstColumn="0" w:lastColumn="0" w:oddVBand="0" w:evenVBand="0" w:oddHBand="0" w:evenHBand="1" w:firstRowFirstColumn="0" w:firstRowLastColumn="0" w:lastRowFirstColumn="0" w:lastRowLastColumn="0"/>
        </w:trPr>
        <w:tc>
          <w:tcPr>
            <w:tcW w:w="889" w:type="pct"/>
          </w:tcPr>
          <w:p w14:paraId="49DB4D88" w14:textId="77777777" w:rsidR="001A440E" w:rsidRPr="000E114B" w:rsidRDefault="00C32CBC" w:rsidP="001A440E">
            <w:pPr>
              <w:pStyle w:val="TableBodyText"/>
              <w:keepNext/>
            </w:pPr>
            <w:r>
              <w:t>Option 3A</w:t>
            </w:r>
          </w:p>
        </w:tc>
        <w:tc>
          <w:tcPr>
            <w:tcW w:w="764" w:type="pct"/>
          </w:tcPr>
          <w:p w14:paraId="7D3A3823" w14:textId="77777777" w:rsidR="001A440E" w:rsidRPr="000E114B" w:rsidRDefault="001A440E" w:rsidP="00E43BE2">
            <w:pPr>
              <w:pStyle w:val="TableBodyText"/>
              <w:keepNext/>
              <w:jc w:val="center"/>
            </w:pPr>
            <w:r w:rsidRPr="000E114B">
              <w:t>$40.6</w:t>
            </w:r>
          </w:p>
        </w:tc>
        <w:tc>
          <w:tcPr>
            <w:tcW w:w="1010" w:type="pct"/>
          </w:tcPr>
          <w:p w14:paraId="3D889FD6" w14:textId="77777777" w:rsidR="001A440E" w:rsidRPr="000E114B" w:rsidRDefault="001A440E" w:rsidP="00E43BE2">
            <w:pPr>
              <w:pStyle w:val="TableBodyText"/>
              <w:keepNext/>
              <w:jc w:val="center"/>
            </w:pPr>
            <w:r w:rsidRPr="000E114B">
              <w:t>$1.9</w:t>
            </w:r>
          </w:p>
        </w:tc>
        <w:tc>
          <w:tcPr>
            <w:tcW w:w="723" w:type="pct"/>
          </w:tcPr>
          <w:p w14:paraId="3D6897CE" w14:textId="77777777" w:rsidR="001A440E" w:rsidRPr="000E114B" w:rsidRDefault="001A440E" w:rsidP="00E43BE2">
            <w:pPr>
              <w:pStyle w:val="TableBodyText"/>
              <w:keepNext/>
              <w:jc w:val="center"/>
            </w:pPr>
            <w:r w:rsidRPr="000E114B">
              <w:t>$17.6</w:t>
            </w:r>
          </w:p>
        </w:tc>
        <w:tc>
          <w:tcPr>
            <w:tcW w:w="785" w:type="pct"/>
          </w:tcPr>
          <w:p w14:paraId="7094831D" w14:textId="77777777" w:rsidR="001A440E" w:rsidRPr="000E114B" w:rsidRDefault="001A440E" w:rsidP="00E43BE2">
            <w:pPr>
              <w:pStyle w:val="TableBodyText"/>
              <w:keepNext/>
              <w:jc w:val="center"/>
            </w:pPr>
            <w:r w:rsidRPr="000E114B">
              <w:t>$21.1</w:t>
            </w:r>
          </w:p>
        </w:tc>
        <w:tc>
          <w:tcPr>
            <w:tcW w:w="829" w:type="pct"/>
          </w:tcPr>
          <w:p w14:paraId="0C76E21B" w14:textId="77777777" w:rsidR="001A440E" w:rsidRPr="000E114B" w:rsidRDefault="001A440E" w:rsidP="00E43BE2">
            <w:pPr>
              <w:pStyle w:val="TableBodyText"/>
              <w:keepNext/>
              <w:jc w:val="center"/>
            </w:pPr>
            <w:r w:rsidRPr="000E114B">
              <w:t>$ -</w:t>
            </w:r>
          </w:p>
        </w:tc>
      </w:tr>
      <w:tr w:rsidR="001A440E" w:rsidRPr="000E114B" w14:paraId="574AC874" w14:textId="77777777" w:rsidTr="001A440E">
        <w:tc>
          <w:tcPr>
            <w:tcW w:w="889" w:type="pct"/>
          </w:tcPr>
          <w:p w14:paraId="172BE90B" w14:textId="77777777" w:rsidR="001A440E" w:rsidRPr="000E114B" w:rsidRDefault="00C32CBC" w:rsidP="001A440E">
            <w:pPr>
              <w:pStyle w:val="TableBodyText"/>
              <w:keepNext/>
            </w:pPr>
            <w:r>
              <w:t>Option 3B</w:t>
            </w:r>
          </w:p>
        </w:tc>
        <w:tc>
          <w:tcPr>
            <w:tcW w:w="764" w:type="pct"/>
          </w:tcPr>
          <w:p w14:paraId="0A97F748" w14:textId="77777777" w:rsidR="001A440E" w:rsidRPr="000E114B" w:rsidRDefault="001A440E" w:rsidP="00E43BE2">
            <w:pPr>
              <w:pStyle w:val="TableBodyText"/>
              <w:keepNext/>
              <w:jc w:val="center"/>
            </w:pPr>
            <w:r w:rsidRPr="000E114B">
              <w:t>$40.0</w:t>
            </w:r>
          </w:p>
        </w:tc>
        <w:tc>
          <w:tcPr>
            <w:tcW w:w="1010" w:type="pct"/>
          </w:tcPr>
          <w:p w14:paraId="02F6460C" w14:textId="77777777" w:rsidR="001A440E" w:rsidRPr="000E114B" w:rsidRDefault="001A440E" w:rsidP="00E43BE2">
            <w:pPr>
              <w:pStyle w:val="TableBodyText"/>
              <w:keepNext/>
              <w:jc w:val="center"/>
            </w:pPr>
            <w:r w:rsidRPr="000E114B">
              <w:t>$1.3</w:t>
            </w:r>
          </w:p>
        </w:tc>
        <w:tc>
          <w:tcPr>
            <w:tcW w:w="723" w:type="pct"/>
          </w:tcPr>
          <w:p w14:paraId="3CE9F960" w14:textId="77777777" w:rsidR="001A440E" w:rsidRPr="000E114B" w:rsidRDefault="001A440E" w:rsidP="00E43BE2">
            <w:pPr>
              <w:pStyle w:val="TableBodyText"/>
              <w:keepNext/>
              <w:jc w:val="center"/>
            </w:pPr>
            <w:r w:rsidRPr="000E114B">
              <w:t>$17.6</w:t>
            </w:r>
          </w:p>
        </w:tc>
        <w:tc>
          <w:tcPr>
            <w:tcW w:w="785" w:type="pct"/>
          </w:tcPr>
          <w:p w14:paraId="7710A87F" w14:textId="77777777" w:rsidR="001A440E" w:rsidRPr="000E114B" w:rsidRDefault="001A440E" w:rsidP="00E43BE2">
            <w:pPr>
              <w:pStyle w:val="TableBodyText"/>
              <w:keepNext/>
              <w:jc w:val="center"/>
            </w:pPr>
            <w:r w:rsidRPr="000E114B">
              <w:t>$21.1</w:t>
            </w:r>
          </w:p>
        </w:tc>
        <w:tc>
          <w:tcPr>
            <w:tcW w:w="829" w:type="pct"/>
          </w:tcPr>
          <w:p w14:paraId="551D1210" w14:textId="77777777" w:rsidR="001A440E" w:rsidRPr="000E114B" w:rsidRDefault="001A440E" w:rsidP="00E43BE2">
            <w:pPr>
              <w:pStyle w:val="TableBodyText"/>
              <w:keepNext/>
              <w:jc w:val="center"/>
            </w:pPr>
            <w:r w:rsidRPr="000E114B">
              <w:t>$ -</w:t>
            </w:r>
          </w:p>
        </w:tc>
      </w:tr>
      <w:tr w:rsidR="001A440E" w:rsidRPr="000E114B" w14:paraId="7F7349DA" w14:textId="77777777" w:rsidTr="001A440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889" w:type="pct"/>
          </w:tcPr>
          <w:p w14:paraId="6AF8DF68" w14:textId="77777777" w:rsidR="001A440E" w:rsidRPr="000E114B" w:rsidRDefault="001A440E" w:rsidP="001A440E">
            <w:pPr>
              <w:pStyle w:val="TableBodyText"/>
              <w:keepNext/>
            </w:pPr>
            <w:r w:rsidRPr="000E114B">
              <w:t>Option 4</w:t>
            </w:r>
          </w:p>
        </w:tc>
        <w:tc>
          <w:tcPr>
            <w:tcW w:w="764" w:type="pct"/>
          </w:tcPr>
          <w:p w14:paraId="689F8DBE" w14:textId="77777777" w:rsidR="001A440E" w:rsidRPr="000E114B" w:rsidRDefault="001A440E" w:rsidP="00E43BE2">
            <w:pPr>
              <w:pStyle w:val="TableBodyText"/>
              <w:keepNext/>
              <w:jc w:val="center"/>
            </w:pPr>
            <w:r w:rsidRPr="000E114B">
              <w:t>$40.3</w:t>
            </w:r>
          </w:p>
        </w:tc>
        <w:tc>
          <w:tcPr>
            <w:tcW w:w="1010" w:type="pct"/>
          </w:tcPr>
          <w:p w14:paraId="4C0DA0B1" w14:textId="77777777" w:rsidR="001A440E" w:rsidRPr="000E114B" w:rsidRDefault="001A440E" w:rsidP="00E43BE2">
            <w:pPr>
              <w:pStyle w:val="TableBodyText"/>
              <w:keepNext/>
              <w:jc w:val="center"/>
            </w:pPr>
            <w:r w:rsidRPr="000E114B">
              <w:t>$1.1</w:t>
            </w:r>
          </w:p>
        </w:tc>
        <w:tc>
          <w:tcPr>
            <w:tcW w:w="723" w:type="pct"/>
          </w:tcPr>
          <w:p w14:paraId="41DA8B01" w14:textId="77777777" w:rsidR="001A440E" w:rsidRPr="000E114B" w:rsidRDefault="001A440E" w:rsidP="00E43BE2">
            <w:pPr>
              <w:pStyle w:val="TableBodyText"/>
              <w:keepNext/>
              <w:jc w:val="center"/>
            </w:pPr>
            <w:r w:rsidRPr="000E114B">
              <w:t>$17.6</w:t>
            </w:r>
          </w:p>
        </w:tc>
        <w:tc>
          <w:tcPr>
            <w:tcW w:w="785" w:type="pct"/>
          </w:tcPr>
          <w:p w14:paraId="781383FF" w14:textId="77777777" w:rsidR="001A440E" w:rsidRPr="000E114B" w:rsidRDefault="001A440E" w:rsidP="00E43BE2">
            <w:pPr>
              <w:pStyle w:val="TableBodyText"/>
              <w:keepNext/>
              <w:jc w:val="center"/>
            </w:pPr>
            <w:r w:rsidRPr="000E114B">
              <w:t>$21.6</w:t>
            </w:r>
          </w:p>
        </w:tc>
        <w:tc>
          <w:tcPr>
            <w:tcW w:w="829" w:type="pct"/>
          </w:tcPr>
          <w:p w14:paraId="1FBBB74A" w14:textId="77777777" w:rsidR="001A440E" w:rsidRPr="000E114B" w:rsidRDefault="001A440E" w:rsidP="00E43BE2">
            <w:pPr>
              <w:pStyle w:val="TableBodyText"/>
              <w:keepNext/>
              <w:jc w:val="center"/>
            </w:pPr>
            <w:r w:rsidRPr="000E114B">
              <w:t>$ -</w:t>
            </w:r>
          </w:p>
        </w:tc>
      </w:tr>
    </w:tbl>
    <w:p w14:paraId="04E52457" w14:textId="77777777" w:rsidR="001A440E" w:rsidRPr="001A440E" w:rsidRDefault="001A440E" w:rsidP="001A440E">
      <w:pPr>
        <w:pStyle w:val="BodyText"/>
        <w:spacing w:before="0" w:after="0"/>
      </w:pPr>
      <w:r w:rsidRPr="001A440E">
        <w:rPr>
          <w:sz w:val="16"/>
        </w:rPr>
        <w:t>Source: PwC analysis</w:t>
      </w:r>
    </w:p>
    <w:p w14:paraId="65AFBFB2" w14:textId="77777777" w:rsidR="001A440E" w:rsidRPr="001A440E" w:rsidRDefault="001A440E" w:rsidP="001A440E">
      <w:pPr>
        <w:pStyle w:val="BodyText"/>
        <w:spacing w:before="0" w:after="0"/>
        <w:rPr>
          <w:sz w:val="16"/>
        </w:rPr>
      </w:pPr>
      <w:r w:rsidRPr="001A440E">
        <w:rPr>
          <w:sz w:val="16"/>
        </w:rPr>
        <w:t>Notes: NPV calculated for a 20-year period with a 7</w:t>
      </w:r>
      <w:r w:rsidR="006E2714">
        <w:rPr>
          <w:sz w:val="16"/>
        </w:rPr>
        <w:t>%</w:t>
      </w:r>
      <w:r w:rsidRPr="001A440E">
        <w:rPr>
          <w:sz w:val="16"/>
        </w:rPr>
        <w:t xml:space="preserve"> discount rate. </w:t>
      </w:r>
    </w:p>
    <w:p w14:paraId="225A024E" w14:textId="77777777" w:rsidR="001A440E" w:rsidRDefault="001A440E" w:rsidP="001A440E">
      <w:pPr>
        <w:pStyle w:val="AppendixHeading2"/>
      </w:pPr>
      <w:r>
        <w:t>Quantified benefits</w:t>
      </w:r>
    </w:p>
    <w:p w14:paraId="721740BA" w14:textId="0A499408" w:rsidR="006919E8" w:rsidRDefault="00135B0E" w:rsidP="001A440E">
      <w:pPr>
        <w:pStyle w:val="BodyText"/>
      </w:pPr>
      <w:r>
        <w:t xml:space="preserve">As noted in section </w:t>
      </w:r>
      <w:r>
        <w:fldChar w:fldCharType="begin" w:fldLock="1"/>
      </w:r>
      <w:r>
        <w:instrText xml:space="preserve"> REF _Ref50203375 \r \h </w:instrText>
      </w:r>
      <w:r>
        <w:fldChar w:fldCharType="separate"/>
      </w:r>
      <w:r w:rsidR="00036405">
        <w:t>9.2.2</w:t>
      </w:r>
      <w:r>
        <w:fldChar w:fldCharType="end"/>
      </w:r>
      <w:r w:rsidR="006919E8">
        <w:t xml:space="preserve">, only one of the benefits associated with the reform options has been able to be quantified. That is the productivity benefits associated with lower transportation costs arising as a result of more pipelines becoming subject to the </w:t>
      </w:r>
      <w:r w:rsidR="00531979">
        <w:t>stronger</w:t>
      </w:r>
      <w:r w:rsidR="006919E8">
        <w:t xml:space="preserve"> form of regulation. </w:t>
      </w:r>
    </w:p>
    <w:p w14:paraId="011B09F9" w14:textId="77777777" w:rsidR="001A440E" w:rsidRDefault="000347BC" w:rsidP="001A440E">
      <w:pPr>
        <w:pStyle w:val="BodyText"/>
      </w:pPr>
      <w:r>
        <w:t xml:space="preserve">The movement of more pipelines into full regulation </w:t>
      </w:r>
      <w:r w:rsidR="001A440E" w:rsidRPr="002C057D">
        <w:t xml:space="preserve">will mean that some service providers’ services will become ‘reference services’ and the prices subject to regulatory approval </w:t>
      </w:r>
      <w:r>
        <w:t>by the relevant regulator</w:t>
      </w:r>
      <w:r w:rsidR="001A440E" w:rsidRPr="002C057D">
        <w:t>. As commercial rates of return are generally higher than</w:t>
      </w:r>
      <w:r w:rsidR="001A440E">
        <w:t xml:space="preserve"> </w:t>
      </w:r>
      <w:r w:rsidR="001A440E" w:rsidRPr="00810ACA">
        <w:t xml:space="preserve">the average regulatory rate of return, this would </w:t>
      </w:r>
      <w:r w:rsidR="00D929F5">
        <w:t>result in</w:t>
      </w:r>
      <w:r w:rsidR="001A440E" w:rsidRPr="00810ACA">
        <w:t xml:space="preserve"> a reduction in the revenues earned by service providers that move into the </w:t>
      </w:r>
      <w:r w:rsidR="00531979">
        <w:t>stronger</w:t>
      </w:r>
      <w:r w:rsidR="001A440E" w:rsidRPr="00810ACA">
        <w:t xml:space="preserve"> form of regulation from the provision of reference services. This would</w:t>
      </w:r>
      <w:r w:rsidR="002D4DA2">
        <w:t>,</w:t>
      </w:r>
      <w:r w:rsidR="001A440E" w:rsidRPr="00810ACA">
        <w:t xml:space="preserve"> in turn</w:t>
      </w:r>
      <w:r w:rsidR="002D4DA2">
        <w:t>,</w:t>
      </w:r>
      <w:r w:rsidR="001A440E" w:rsidRPr="00810ACA">
        <w:t xml:space="preserve"> flow through to a </w:t>
      </w:r>
      <w:r w:rsidR="002D4DA2">
        <w:t xml:space="preserve">reduction </w:t>
      </w:r>
      <w:r w:rsidR="001A440E" w:rsidRPr="00810ACA">
        <w:t xml:space="preserve">in prices for shippers, and lower input costs for </w:t>
      </w:r>
      <w:r w:rsidR="00D06D59">
        <w:t>end-</w:t>
      </w:r>
      <w:r w:rsidR="001A440E" w:rsidRPr="00810ACA">
        <w:t>users</w:t>
      </w:r>
      <w:r w:rsidR="00D06D59">
        <w:t xml:space="preserve"> of gas</w:t>
      </w:r>
      <w:r w:rsidR="001A440E" w:rsidRPr="00810ACA">
        <w:t>.</w:t>
      </w:r>
    </w:p>
    <w:p w14:paraId="055A463D" w14:textId="77777777" w:rsidR="00A967EC" w:rsidRPr="00810ACA" w:rsidRDefault="00136124" w:rsidP="001A440E">
      <w:pPr>
        <w:pStyle w:val="BodyText"/>
      </w:pPr>
      <w:r>
        <w:lastRenderedPageBreak/>
        <w:t xml:space="preserve">To quantify the benefits, it was necessary to </w:t>
      </w:r>
      <w:r w:rsidRPr="00810ACA">
        <w:t xml:space="preserve">calculate the reduction in revenue that service providers may experience if their pipelines </w:t>
      </w:r>
      <w:r>
        <w:t xml:space="preserve">become </w:t>
      </w:r>
      <w:r w:rsidRPr="00810ACA">
        <w:t xml:space="preserve">subject to a </w:t>
      </w:r>
      <w:r w:rsidR="009D5D8D">
        <w:t xml:space="preserve">stronger </w:t>
      </w:r>
      <w:r w:rsidRPr="00810ACA">
        <w:t>form of regulation:</w:t>
      </w:r>
      <w:r>
        <w:t xml:space="preserve"> </w:t>
      </w:r>
      <w:r w:rsidR="00A967EC">
        <w:t xml:space="preserve">The way in which this </w:t>
      </w:r>
      <w:r>
        <w:t xml:space="preserve">was done is </w:t>
      </w:r>
      <w:r w:rsidR="003B4540">
        <w:t xml:space="preserve">outlined below. </w:t>
      </w:r>
    </w:p>
    <w:p w14:paraId="73454F26" w14:textId="77777777" w:rsidR="001A440E" w:rsidRPr="00A967EC" w:rsidRDefault="001A440E" w:rsidP="00A967EC">
      <w:pPr>
        <w:pStyle w:val="AppendixHeading3"/>
        <w:rPr>
          <w:sz w:val="24"/>
          <w:szCs w:val="24"/>
        </w:rPr>
      </w:pPr>
      <w:r w:rsidRPr="00A967EC">
        <w:rPr>
          <w:sz w:val="24"/>
          <w:szCs w:val="24"/>
        </w:rPr>
        <w:t>Calculating the effect of regulation on pipeline</w:t>
      </w:r>
      <w:r w:rsidRPr="00A967EC">
        <w:rPr>
          <w:spacing w:val="5"/>
          <w:sz w:val="24"/>
          <w:szCs w:val="24"/>
        </w:rPr>
        <w:t xml:space="preserve"> </w:t>
      </w:r>
      <w:r w:rsidRPr="00A967EC">
        <w:rPr>
          <w:sz w:val="24"/>
          <w:szCs w:val="24"/>
        </w:rPr>
        <w:t>revenue</w:t>
      </w:r>
    </w:p>
    <w:p w14:paraId="44FA6AF6" w14:textId="77777777" w:rsidR="001A440E" w:rsidRPr="00810ACA" w:rsidRDefault="00987B80" w:rsidP="00413B80">
      <w:pPr>
        <w:pStyle w:val="Heading6"/>
      </w:pPr>
      <w:r>
        <w:t xml:space="preserve">1. </w:t>
      </w:r>
      <w:r w:rsidR="001A440E" w:rsidRPr="00810ACA">
        <w:t>Identify pipeline revenues by analysing return on</w:t>
      </w:r>
      <w:r w:rsidR="001A440E" w:rsidRPr="001A440E">
        <w:rPr>
          <w:spacing w:val="-1"/>
        </w:rPr>
        <w:t xml:space="preserve"> </w:t>
      </w:r>
      <w:r w:rsidR="001A440E" w:rsidRPr="00810ACA">
        <w:t>capital</w:t>
      </w:r>
    </w:p>
    <w:p w14:paraId="55E62739" w14:textId="77777777" w:rsidR="00987B80" w:rsidRDefault="001A440E" w:rsidP="001A440E">
      <w:pPr>
        <w:pStyle w:val="BodyText"/>
      </w:pPr>
      <w:r w:rsidRPr="00810ACA">
        <w:t xml:space="preserve">To analyse how revenues might change if a pipeline was to move from Part 23 </w:t>
      </w:r>
      <w:r w:rsidR="00136124">
        <w:t>or</w:t>
      </w:r>
      <w:r w:rsidRPr="00810ACA">
        <w:t xml:space="preserve"> light regulation to </w:t>
      </w:r>
      <w:r w:rsidR="00136124">
        <w:t xml:space="preserve">the new </w:t>
      </w:r>
      <w:r w:rsidR="00531979">
        <w:t>stronger</w:t>
      </w:r>
      <w:r w:rsidRPr="00810ACA">
        <w:t xml:space="preserve"> form of regulation</w:t>
      </w:r>
      <w:r>
        <w:t>,</w:t>
      </w:r>
      <w:r w:rsidRPr="00810ACA">
        <w:t xml:space="preserve"> </w:t>
      </w:r>
      <w:r w:rsidR="00987B80">
        <w:t xml:space="preserve">consideration has to be given to </w:t>
      </w:r>
      <w:r w:rsidRPr="00810ACA">
        <w:t>the proportion of revenue that might be affected by a change in the rate of return</w:t>
      </w:r>
      <w:r w:rsidR="000A3498">
        <w:t>: the return on capital</w:t>
      </w:r>
      <w:r w:rsidRPr="00810ACA">
        <w:t xml:space="preserve">. The return on capital is the portion of the revenue received by fully regulated service providers through </w:t>
      </w:r>
      <w:r w:rsidR="009F0C30">
        <w:t xml:space="preserve">the provision of reference services </w:t>
      </w:r>
      <w:r w:rsidRPr="00810ACA">
        <w:t>that is affected by the rate of return</w:t>
      </w:r>
      <w:r w:rsidR="009F0C30">
        <w:t xml:space="preserve"> approved by the relevant regulator</w:t>
      </w:r>
      <w:r w:rsidR="00B92D8E">
        <w:t xml:space="preserve"> (see Figure D.1)</w:t>
      </w:r>
      <w:r w:rsidRPr="00810ACA">
        <w:t xml:space="preserve">. </w:t>
      </w:r>
    </w:p>
    <w:p w14:paraId="797B96F6" w14:textId="77777777" w:rsidR="001A440E" w:rsidRPr="00987B80" w:rsidRDefault="00987B80" w:rsidP="00987B80">
      <w:pPr>
        <w:pStyle w:val="Caption"/>
        <w:spacing w:after="0"/>
        <w:rPr>
          <w:lang w:eastAsia="en-US"/>
        </w:rPr>
      </w:pPr>
      <w:r w:rsidRPr="00987B80">
        <w:t xml:space="preserve">Figure D.1: </w:t>
      </w:r>
      <w:r w:rsidR="00B92D8E">
        <w:t xml:space="preserve">How the revenue requirement for </w:t>
      </w:r>
      <w:r w:rsidRPr="00987B80">
        <w:t xml:space="preserve">gas transportation service </w:t>
      </w:r>
      <w:r w:rsidR="00B92D8E">
        <w:t xml:space="preserve">providers is calculated </w:t>
      </w:r>
      <w:r w:rsidRPr="00987B80">
        <w:t xml:space="preserve">and relationship </w:t>
      </w:r>
      <w:r w:rsidR="00B92D8E">
        <w:t xml:space="preserve">between the </w:t>
      </w:r>
      <w:r w:rsidRPr="00987B80">
        <w:t xml:space="preserve">return on capital and </w:t>
      </w:r>
      <w:r w:rsidR="00B92D8E">
        <w:t>the rate of return</w:t>
      </w:r>
    </w:p>
    <w:p w14:paraId="155B52BB" w14:textId="77777777" w:rsidR="00987B80" w:rsidRDefault="00987B80" w:rsidP="00EE6D30">
      <w:pPr>
        <w:pStyle w:val="BodyText"/>
        <w:rPr>
          <w:lang w:eastAsia="en-US"/>
        </w:rPr>
      </w:pPr>
      <w:r>
        <w:rPr>
          <w:noProof/>
        </w:rPr>
        <mc:AlternateContent>
          <mc:Choice Requires="wpg">
            <w:drawing>
              <wp:inline distT="0" distB="0" distL="0" distR="0" wp14:anchorId="14A6A056" wp14:editId="5761C687">
                <wp:extent cx="2854519" cy="2488758"/>
                <wp:effectExtent l="0" t="0" r="22225" b="6985"/>
                <wp:docPr id="60" name="Group 60" descr="P580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519" cy="2488758"/>
                          <a:chOff x="1021" y="657"/>
                          <a:chExt cx="4127" cy="3524"/>
                        </a:xfrm>
                      </wpg:grpSpPr>
                      <wps:wsp>
                        <wps:cNvPr id="61" name="Rectangle 18"/>
                        <wps:cNvSpPr>
                          <a:spLocks noChangeArrowheads="1"/>
                        </wps:cNvSpPr>
                        <wps:spPr bwMode="auto">
                          <a:xfrm>
                            <a:off x="1025" y="662"/>
                            <a:ext cx="4117" cy="3514"/>
                          </a:xfrm>
                          <a:prstGeom prst="rect">
                            <a:avLst/>
                          </a:prstGeom>
                          <a:noFill/>
                          <a:ln w="6274">
                            <a:solidFill>
                              <a:srgbClr val="43434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9"/>
                        <wps:cNvSpPr>
                          <a:spLocks noChangeArrowheads="1"/>
                        </wps:cNvSpPr>
                        <wps:spPr bwMode="auto">
                          <a:xfrm>
                            <a:off x="4273" y="849"/>
                            <a:ext cx="356" cy="3159"/>
                          </a:xfrm>
                          <a:prstGeom prst="rect">
                            <a:avLst/>
                          </a:prstGeom>
                          <a:noFill/>
                          <a:ln w="6275">
                            <a:solidFill>
                              <a:srgbClr val="7C7C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20"/>
                        <wps:cNvSpPr>
                          <a:spLocks noChangeArrowheads="1"/>
                        </wps:cNvSpPr>
                        <wps:spPr bwMode="auto">
                          <a:xfrm>
                            <a:off x="4140" y="775"/>
                            <a:ext cx="237" cy="3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21"/>
                        <wps:cNvSpPr>
                          <a:spLocks noChangeArrowheads="1"/>
                        </wps:cNvSpPr>
                        <wps:spPr bwMode="auto">
                          <a:xfrm>
                            <a:off x="1677" y="898"/>
                            <a:ext cx="376" cy="1501"/>
                          </a:xfrm>
                          <a:prstGeom prst="rect">
                            <a:avLst/>
                          </a:prstGeom>
                          <a:noFill/>
                          <a:ln w="6275">
                            <a:solidFill>
                              <a:srgbClr val="7C7C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2"/>
                        <wps:cNvSpPr>
                          <a:spLocks/>
                        </wps:cNvSpPr>
                        <wps:spPr bwMode="auto">
                          <a:xfrm>
                            <a:off x="1988" y="874"/>
                            <a:ext cx="139" cy="1570"/>
                          </a:xfrm>
                          <a:custGeom>
                            <a:avLst/>
                            <a:gdLst>
                              <a:gd name="T0" fmla="+- 0 2127 1988"/>
                              <a:gd name="T1" fmla="*/ T0 w 139"/>
                              <a:gd name="T2" fmla="+- 0 874 874"/>
                              <a:gd name="T3" fmla="*/ 874 h 1570"/>
                              <a:gd name="T4" fmla="+- 0 1988 1988"/>
                              <a:gd name="T5" fmla="*/ T4 w 139"/>
                              <a:gd name="T6" fmla="+- 0 874 874"/>
                              <a:gd name="T7" fmla="*/ 874 h 1570"/>
                              <a:gd name="T8" fmla="+- 0 1988 1988"/>
                              <a:gd name="T9" fmla="*/ T8 w 139"/>
                              <a:gd name="T10" fmla="+- 0 1595 874"/>
                              <a:gd name="T11" fmla="*/ 1595 h 1570"/>
                              <a:gd name="T12" fmla="+- 0 1988 1988"/>
                              <a:gd name="T13" fmla="*/ T12 w 139"/>
                              <a:gd name="T14" fmla="+- 0 2444 874"/>
                              <a:gd name="T15" fmla="*/ 2444 h 1570"/>
                              <a:gd name="T16" fmla="+- 0 2127 1988"/>
                              <a:gd name="T17" fmla="*/ T16 w 139"/>
                              <a:gd name="T18" fmla="+- 0 2444 874"/>
                              <a:gd name="T19" fmla="*/ 2444 h 1570"/>
                              <a:gd name="T20" fmla="+- 0 2127 1988"/>
                              <a:gd name="T21" fmla="*/ T20 w 139"/>
                              <a:gd name="T22" fmla="+- 0 1595 874"/>
                              <a:gd name="T23" fmla="*/ 1595 h 1570"/>
                              <a:gd name="T24" fmla="+- 0 2127 1988"/>
                              <a:gd name="T25" fmla="*/ T24 w 139"/>
                              <a:gd name="T26" fmla="+- 0 874 874"/>
                              <a:gd name="T27" fmla="*/ 874 h 1570"/>
                            </a:gdLst>
                            <a:ahLst/>
                            <a:cxnLst>
                              <a:cxn ang="0">
                                <a:pos x="T1" y="T3"/>
                              </a:cxn>
                              <a:cxn ang="0">
                                <a:pos x="T5" y="T7"/>
                              </a:cxn>
                              <a:cxn ang="0">
                                <a:pos x="T9" y="T11"/>
                              </a:cxn>
                              <a:cxn ang="0">
                                <a:pos x="T13" y="T15"/>
                              </a:cxn>
                              <a:cxn ang="0">
                                <a:pos x="T17" y="T19"/>
                              </a:cxn>
                              <a:cxn ang="0">
                                <a:pos x="T21" y="T23"/>
                              </a:cxn>
                              <a:cxn ang="0">
                                <a:pos x="T25" y="T27"/>
                              </a:cxn>
                            </a:cxnLst>
                            <a:rect l="0" t="0" r="r" b="b"/>
                            <a:pathLst>
                              <a:path w="139" h="1570">
                                <a:moveTo>
                                  <a:pt x="139" y="0"/>
                                </a:moveTo>
                                <a:lnTo>
                                  <a:pt x="0" y="0"/>
                                </a:lnTo>
                                <a:lnTo>
                                  <a:pt x="0" y="721"/>
                                </a:lnTo>
                                <a:lnTo>
                                  <a:pt x="0" y="1570"/>
                                </a:lnTo>
                                <a:lnTo>
                                  <a:pt x="139" y="1570"/>
                                </a:lnTo>
                                <a:lnTo>
                                  <a:pt x="139" y="721"/>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Rectangle 23"/>
                        <wps:cNvSpPr>
                          <a:spLocks noChangeArrowheads="1"/>
                        </wps:cNvSpPr>
                        <wps:spPr bwMode="auto">
                          <a:xfrm>
                            <a:off x="2047" y="844"/>
                            <a:ext cx="2261" cy="751"/>
                          </a:xfrm>
                          <a:prstGeom prst="rect">
                            <a:avLst/>
                          </a:prstGeom>
                          <a:solidFill>
                            <a:srgbClr val="D049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24"/>
                        <wps:cNvSpPr>
                          <a:spLocks noChangeArrowheads="1"/>
                        </wps:cNvSpPr>
                        <wps:spPr bwMode="auto">
                          <a:xfrm>
                            <a:off x="2047" y="1644"/>
                            <a:ext cx="2261" cy="751"/>
                          </a:xfrm>
                          <a:prstGeom prst="rect">
                            <a:avLst/>
                          </a:prstGeom>
                          <a:solidFill>
                            <a:srgbClr val="D939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AutoShape 25"/>
                        <wps:cNvSpPr>
                          <a:spLocks/>
                        </wps:cNvSpPr>
                        <wps:spPr bwMode="auto">
                          <a:xfrm>
                            <a:off x="2047" y="2443"/>
                            <a:ext cx="2261" cy="1560"/>
                          </a:xfrm>
                          <a:custGeom>
                            <a:avLst/>
                            <a:gdLst>
                              <a:gd name="T0" fmla="+- 0 4308 2048"/>
                              <a:gd name="T1" fmla="*/ T0 w 2261"/>
                              <a:gd name="T2" fmla="+- 0 3510 2444"/>
                              <a:gd name="T3" fmla="*/ 3510 h 1560"/>
                              <a:gd name="T4" fmla="+- 0 2048 2048"/>
                              <a:gd name="T5" fmla="*/ T4 w 2261"/>
                              <a:gd name="T6" fmla="+- 0 3510 2444"/>
                              <a:gd name="T7" fmla="*/ 3510 h 1560"/>
                              <a:gd name="T8" fmla="+- 0 2048 2048"/>
                              <a:gd name="T9" fmla="*/ T8 w 2261"/>
                              <a:gd name="T10" fmla="+- 0 4003 2444"/>
                              <a:gd name="T11" fmla="*/ 4003 h 1560"/>
                              <a:gd name="T12" fmla="+- 0 4308 2048"/>
                              <a:gd name="T13" fmla="*/ T12 w 2261"/>
                              <a:gd name="T14" fmla="+- 0 4003 2444"/>
                              <a:gd name="T15" fmla="*/ 4003 h 1560"/>
                              <a:gd name="T16" fmla="+- 0 4308 2048"/>
                              <a:gd name="T17" fmla="*/ T16 w 2261"/>
                              <a:gd name="T18" fmla="+- 0 3510 2444"/>
                              <a:gd name="T19" fmla="*/ 3510 h 1560"/>
                              <a:gd name="T20" fmla="+- 0 4308 2048"/>
                              <a:gd name="T21" fmla="*/ T20 w 2261"/>
                              <a:gd name="T22" fmla="+- 0 2977 2444"/>
                              <a:gd name="T23" fmla="*/ 2977 h 1560"/>
                              <a:gd name="T24" fmla="+- 0 2048 2048"/>
                              <a:gd name="T25" fmla="*/ T24 w 2261"/>
                              <a:gd name="T26" fmla="+- 0 2977 2444"/>
                              <a:gd name="T27" fmla="*/ 2977 h 1560"/>
                              <a:gd name="T28" fmla="+- 0 2048 2048"/>
                              <a:gd name="T29" fmla="*/ T28 w 2261"/>
                              <a:gd name="T30" fmla="+- 0 3460 2444"/>
                              <a:gd name="T31" fmla="*/ 3460 h 1560"/>
                              <a:gd name="T32" fmla="+- 0 4308 2048"/>
                              <a:gd name="T33" fmla="*/ T32 w 2261"/>
                              <a:gd name="T34" fmla="+- 0 3460 2444"/>
                              <a:gd name="T35" fmla="*/ 3460 h 1560"/>
                              <a:gd name="T36" fmla="+- 0 4308 2048"/>
                              <a:gd name="T37" fmla="*/ T36 w 2261"/>
                              <a:gd name="T38" fmla="+- 0 2977 2444"/>
                              <a:gd name="T39" fmla="*/ 2977 h 1560"/>
                              <a:gd name="T40" fmla="+- 0 4308 2048"/>
                              <a:gd name="T41" fmla="*/ T40 w 2261"/>
                              <a:gd name="T42" fmla="+- 0 2444 2444"/>
                              <a:gd name="T43" fmla="*/ 2444 h 1560"/>
                              <a:gd name="T44" fmla="+- 0 2048 2048"/>
                              <a:gd name="T45" fmla="*/ T44 w 2261"/>
                              <a:gd name="T46" fmla="+- 0 2444 2444"/>
                              <a:gd name="T47" fmla="*/ 2444 h 1560"/>
                              <a:gd name="T48" fmla="+- 0 2048 2048"/>
                              <a:gd name="T49" fmla="*/ T48 w 2261"/>
                              <a:gd name="T50" fmla="+- 0 2927 2444"/>
                              <a:gd name="T51" fmla="*/ 2927 h 1560"/>
                              <a:gd name="T52" fmla="+- 0 4308 2048"/>
                              <a:gd name="T53" fmla="*/ T52 w 2261"/>
                              <a:gd name="T54" fmla="+- 0 2927 2444"/>
                              <a:gd name="T55" fmla="*/ 2927 h 1560"/>
                              <a:gd name="T56" fmla="+- 0 4308 2048"/>
                              <a:gd name="T57" fmla="*/ T56 w 2261"/>
                              <a:gd name="T58" fmla="+- 0 2444 2444"/>
                              <a:gd name="T59" fmla="*/ 2444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61" h="1560">
                                <a:moveTo>
                                  <a:pt x="2260" y="1066"/>
                                </a:moveTo>
                                <a:lnTo>
                                  <a:pt x="0" y="1066"/>
                                </a:lnTo>
                                <a:lnTo>
                                  <a:pt x="0" y="1559"/>
                                </a:lnTo>
                                <a:lnTo>
                                  <a:pt x="2260" y="1559"/>
                                </a:lnTo>
                                <a:lnTo>
                                  <a:pt x="2260" y="1066"/>
                                </a:lnTo>
                                <a:close/>
                                <a:moveTo>
                                  <a:pt x="2260" y="533"/>
                                </a:moveTo>
                                <a:lnTo>
                                  <a:pt x="0" y="533"/>
                                </a:lnTo>
                                <a:lnTo>
                                  <a:pt x="0" y="1016"/>
                                </a:lnTo>
                                <a:lnTo>
                                  <a:pt x="2260" y="1016"/>
                                </a:lnTo>
                                <a:lnTo>
                                  <a:pt x="2260" y="533"/>
                                </a:lnTo>
                                <a:close/>
                                <a:moveTo>
                                  <a:pt x="2260" y="0"/>
                                </a:moveTo>
                                <a:lnTo>
                                  <a:pt x="0" y="0"/>
                                </a:lnTo>
                                <a:lnTo>
                                  <a:pt x="0" y="483"/>
                                </a:lnTo>
                                <a:lnTo>
                                  <a:pt x="2260" y="483"/>
                                </a:lnTo>
                                <a:lnTo>
                                  <a:pt x="2260" y="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Text Box 26"/>
                        <wps:cNvSpPr txBox="1">
                          <a:spLocks noChangeArrowheads="1"/>
                        </wps:cNvSpPr>
                        <wps:spPr bwMode="auto">
                          <a:xfrm>
                            <a:off x="2166" y="1078"/>
                            <a:ext cx="2002"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7552F" w14:textId="77777777" w:rsidR="00F323B2" w:rsidRDefault="00F323B2" w:rsidP="00987B80">
                              <w:pPr>
                                <w:spacing w:line="163" w:lineRule="exact"/>
                                <w:rPr>
                                  <w:sz w:val="15"/>
                                </w:rPr>
                              </w:pPr>
                              <w:r>
                                <w:rPr>
                                  <w:color w:val="FFFFFF"/>
                                  <w:sz w:val="15"/>
                                </w:rPr>
                                <w:t>Return on capital</w:t>
                              </w:r>
                            </w:p>
                            <w:p w14:paraId="517BEC93" w14:textId="77777777" w:rsidR="00F323B2" w:rsidRDefault="00F323B2" w:rsidP="00987B80">
                              <w:pPr>
                                <w:spacing w:line="135" w:lineRule="exact"/>
                                <w:rPr>
                                  <w:sz w:val="12"/>
                                </w:rPr>
                              </w:pPr>
                              <w:r>
                                <w:rPr>
                                  <w:color w:val="FFFFFF"/>
                                  <w:sz w:val="12"/>
                                </w:rPr>
                                <w:t>(forecast</w:t>
                              </w:r>
                              <w:r>
                                <w:rPr>
                                  <w:color w:val="FFFFFF"/>
                                  <w:spacing w:val="-17"/>
                                  <w:sz w:val="12"/>
                                </w:rPr>
                                <w:t xml:space="preserve"> </w:t>
                              </w:r>
                              <w:r>
                                <w:rPr>
                                  <w:color w:val="FFFFFF"/>
                                  <w:sz w:val="12"/>
                                </w:rPr>
                                <w:t>capital</w:t>
                              </w:r>
                              <w:r>
                                <w:rPr>
                                  <w:color w:val="FFFFFF"/>
                                  <w:spacing w:val="-8"/>
                                  <w:sz w:val="12"/>
                                </w:rPr>
                                <w:t xml:space="preserve"> </w:t>
                              </w:r>
                              <w:r>
                                <w:rPr>
                                  <w:color w:val="FFFFFF"/>
                                  <w:sz w:val="12"/>
                                </w:rPr>
                                <w:t>base</w:t>
                              </w:r>
                              <w:r>
                                <w:rPr>
                                  <w:color w:val="FFFFFF"/>
                                  <w:spacing w:val="-20"/>
                                  <w:sz w:val="12"/>
                                </w:rPr>
                                <w:t xml:space="preserve"> </w:t>
                              </w:r>
                              <w:r>
                                <w:rPr>
                                  <w:color w:val="FFFFFF"/>
                                  <w:sz w:val="12"/>
                                </w:rPr>
                                <w:t>x</w:t>
                              </w:r>
                              <w:r>
                                <w:rPr>
                                  <w:color w:val="FFFFFF"/>
                                  <w:spacing w:val="-12"/>
                                  <w:sz w:val="12"/>
                                </w:rPr>
                                <w:t xml:space="preserve"> </w:t>
                              </w:r>
                              <w:r>
                                <w:rPr>
                                  <w:color w:val="FFFFFF"/>
                                  <w:spacing w:val="2"/>
                                  <w:sz w:val="12"/>
                                </w:rPr>
                                <w:t xml:space="preserve">rate of </w:t>
                              </w:r>
                              <w:r>
                                <w:rPr>
                                  <w:color w:val="FFFFFF"/>
                                  <w:sz w:val="12"/>
                                </w:rPr>
                                <w:t>return)</w:t>
                              </w:r>
                            </w:p>
                          </w:txbxContent>
                        </wps:txbx>
                        <wps:bodyPr rot="0" vert="horz" wrap="square" lIns="0" tIns="0" rIns="0" bIns="0" anchor="t" anchorCtr="0" upright="1">
                          <a:noAutofit/>
                        </wps:bodyPr>
                      </wps:wsp>
                      <wps:wsp>
                        <wps:cNvPr id="198" name="Text Box 27"/>
                        <wps:cNvSpPr txBox="1">
                          <a:spLocks noChangeArrowheads="1"/>
                        </wps:cNvSpPr>
                        <wps:spPr bwMode="auto">
                          <a:xfrm>
                            <a:off x="1114" y="1506"/>
                            <a:ext cx="46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030E" w14:textId="77777777" w:rsidR="00F323B2" w:rsidRDefault="00F323B2" w:rsidP="00987B80">
                              <w:pPr>
                                <w:spacing w:line="247" w:lineRule="auto"/>
                                <w:ind w:right="-19"/>
                                <w:rPr>
                                  <w:sz w:val="15"/>
                                </w:rPr>
                              </w:pPr>
                              <w:r>
                                <w:rPr>
                                  <w:sz w:val="15"/>
                                </w:rPr>
                                <w:t>Capital costs</w:t>
                              </w:r>
                            </w:p>
                          </w:txbxContent>
                        </wps:txbx>
                        <wps:bodyPr rot="0" vert="horz" wrap="square" lIns="0" tIns="0" rIns="0" bIns="0" anchor="t" anchorCtr="0" upright="1">
                          <a:noAutofit/>
                        </wps:bodyPr>
                      </wps:wsp>
                      <wps:wsp>
                        <wps:cNvPr id="199" name="Text Box 28"/>
                        <wps:cNvSpPr txBox="1">
                          <a:spLocks noChangeArrowheads="1"/>
                        </wps:cNvSpPr>
                        <wps:spPr bwMode="auto">
                          <a:xfrm>
                            <a:off x="2166" y="1807"/>
                            <a:ext cx="198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07357" w14:textId="77777777" w:rsidR="00F323B2" w:rsidRDefault="00F323B2" w:rsidP="00987B80">
                              <w:pPr>
                                <w:spacing w:line="235" w:lineRule="auto"/>
                                <w:ind w:right="15"/>
                                <w:rPr>
                                  <w:sz w:val="12"/>
                                </w:rPr>
                              </w:pPr>
                              <w:r>
                                <w:rPr>
                                  <w:color w:val="FFFFFF"/>
                                  <w:spacing w:val="-3"/>
                                  <w:sz w:val="15"/>
                                </w:rPr>
                                <w:t xml:space="preserve">Regulatory depreciation </w:t>
                              </w:r>
                              <w:r>
                                <w:rPr>
                                  <w:color w:val="FFFFFF"/>
                                  <w:sz w:val="12"/>
                                </w:rPr>
                                <w:t>(depreciation</w:t>
                              </w:r>
                              <w:r>
                                <w:rPr>
                                  <w:color w:val="FFFFFF"/>
                                  <w:spacing w:val="-17"/>
                                  <w:sz w:val="12"/>
                                </w:rPr>
                                <w:t xml:space="preserve"> </w:t>
                              </w:r>
                              <w:r>
                                <w:rPr>
                                  <w:color w:val="FFFFFF"/>
                                  <w:sz w:val="12"/>
                                </w:rPr>
                                <w:t>net</w:t>
                              </w:r>
                              <w:r>
                                <w:rPr>
                                  <w:color w:val="FFFFFF"/>
                                  <w:spacing w:val="-21"/>
                                  <w:sz w:val="12"/>
                                </w:rPr>
                                <w:t xml:space="preserve"> </w:t>
                              </w:r>
                              <w:r>
                                <w:rPr>
                                  <w:color w:val="FFFFFF"/>
                                  <w:sz w:val="12"/>
                                </w:rPr>
                                <w:t>of</w:t>
                              </w:r>
                              <w:r>
                                <w:rPr>
                                  <w:color w:val="FFFFFF"/>
                                  <w:spacing w:val="-22"/>
                                  <w:sz w:val="12"/>
                                </w:rPr>
                                <w:t xml:space="preserve"> </w:t>
                              </w:r>
                              <w:r>
                                <w:rPr>
                                  <w:color w:val="FFFFFF"/>
                                  <w:sz w:val="12"/>
                                </w:rPr>
                                <w:t>indexation</w:t>
                              </w:r>
                              <w:r>
                                <w:rPr>
                                  <w:color w:val="FFFFFF"/>
                                  <w:spacing w:val="-16"/>
                                  <w:sz w:val="12"/>
                                </w:rPr>
                                <w:t xml:space="preserve"> </w:t>
                              </w:r>
                              <w:r>
                                <w:rPr>
                                  <w:color w:val="FFFFFF"/>
                                  <w:sz w:val="12"/>
                                </w:rPr>
                                <w:t>applied to capital</w:t>
                              </w:r>
                              <w:r>
                                <w:rPr>
                                  <w:color w:val="FFFFFF"/>
                                  <w:spacing w:val="-12"/>
                                  <w:sz w:val="12"/>
                                </w:rPr>
                                <w:t xml:space="preserve"> </w:t>
                              </w:r>
                              <w:r>
                                <w:rPr>
                                  <w:color w:val="FFFFFF"/>
                                  <w:sz w:val="12"/>
                                </w:rPr>
                                <w:t>base)</w:t>
                              </w:r>
                            </w:p>
                          </w:txbxContent>
                        </wps:txbx>
                        <wps:bodyPr rot="0" vert="horz" wrap="square" lIns="0" tIns="0" rIns="0" bIns="0" anchor="t" anchorCtr="0" upright="1">
                          <a:noAutofit/>
                        </wps:bodyPr>
                      </wps:wsp>
                      <wps:wsp>
                        <wps:cNvPr id="200" name="Text Box 29"/>
                        <wps:cNvSpPr txBox="1">
                          <a:spLocks noChangeArrowheads="1"/>
                        </wps:cNvSpPr>
                        <wps:spPr bwMode="auto">
                          <a:xfrm>
                            <a:off x="4697" y="2179"/>
                            <a:ext cx="34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30EC7" w14:textId="77777777" w:rsidR="00F323B2" w:rsidRDefault="00F323B2" w:rsidP="00987B80">
                              <w:pPr>
                                <w:spacing w:line="166" w:lineRule="exact"/>
                                <w:rPr>
                                  <w:sz w:val="15"/>
                                </w:rPr>
                              </w:pPr>
                              <w:r>
                                <w:rPr>
                                  <w:sz w:val="15"/>
                                </w:rPr>
                                <w:t>Total</w:t>
                              </w:r>
                            </w:p>
                          </w:txbxContent>
                        </wps:txbx>
                        <wps:bodyPr rot="0" vert="horz" wrap="square" lIns="0" tIns="0" rIns="0" bIns="0" anchor="t" anchorCtr="0" upright="1">
                          <a:noAutofit/>
                        </wps:bodyPr>
                      </wps:wsp>
                      <wps:wsp>
                        <wps:cNvPr id="201" name="Text Box 30"/>
                        <wps:cNvSpPr txBox="1">
                          <a:spLocks noChangeArrowheads="1"/>
                        </wps:cNvSpPr>
                        <wps:spPr bwMode="auto">
                          <a:xfrm>
                            <a:off x="2166" y="2613"/>
                            <a:ext cx="1862"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F316" w14:textId="77777777" w:rsidR="00F323B2" w:rsidRDefault="00F323B2" w:rsidP="00987B80">
                              <w:pPr>
                                <w:spacing w:line="166" w:lineRule="exact"/>
                                <w:rPr>
                                  <w:sz w:val="12"/>
                                </w:rPr>
                              </w:pPr>
                              <w:r>
                                <w:rPr>
                                  <w:color w:val="FFFFFF"/>
                                  <w:spacing w:val="-3"/>
                                  <w:sz w:val="15"/>
                                </w:rPr>
                                <w:t xml:space="preserve">Operating </w:t>
                              </w:r>
                              <w:r>
                                <w:rPr>
                                  <w:color w:val="FFFFFF"/>
                                  <w:spacing w:val="-4"/>
                                  <w:sz w:val="15"/>
                                </w:rPr>
                                <w:t xml:space="preserve">expenditure </w:t>
                              </w:r>
                              <w:r>
                                <w:rPr>
                                  <w:color w:val="FFFFFF"/>
                                  <w:sz w:val="12"/>
                                </w:rPr>
                                <w:t>(opex)</w:t>
                              </w:r>
                            </w:p>
                            <w:p w14:paraId="62504352" w14:textId="77777777" w:rsidR="00F323B2" w:rsidRDefault="00F323B2" w:rsidP="00987B80">
                              <w:pPr>
                                <w:rPr>
                                  <w:sz w:val="16"/>
                                </w:rPr>
                              </w:pPr>
                            </w:p>
                            <w:p w14:paraId="3C3380B3" w14:textId="77777777" w:rsidR="00F323B2" w:rsidRDefault="00F323B2" w:rsidP="00987B80">
                              <w:pPr>
                                <w:spacing w:before="112" w:line="170" w:lineRule="exact"/>
                                <w:rPr>
                                  <w:sz w:val="15"/>
                                </w:rPr>
                              </w:pPr>
                              <w:r>
                                <w:rPr>
                                  <w:color w:val="FFFFFF"/>
                                  <w:sz w:val="15"/>
                                </w:rPr>
                                <w:t>Incentive mechanisms</w:t>
                              </w:r>
                            </w:p>
                            <w:p w14:paraId="1EDD19B0" w14:textId="77777777" w:rsidR="00F323B2" w:rsidRDefault="00F323B2" w:rsidP="00987B80">
                              <w:pPr>
                                <w:spacing w:line="135" w:lineRule="exact"/>
                                <w:rPr>
                                  <w:sz w:val="12"/>
                                </w:rPr>
                              </w:pPr>
                              <w:r>
                                <w:rPr>
                                  <w:color w:val="FFFFFF"/>
                                  <w:sz w:val="12"/>
                                </w:rPr>
                                <w:t>(increment or decrement)</w:t>
                              </w:r>
                            </w:p>
                            <w:p w14:paraId="232F336E" w14:textId="77777777" w:rsidR="00F323B2" w:rsidRDefault="00F323B2" w:rsidP="00987B80">
                              <w:pPr>
                                <w:rPr>
                                  <w:sz w:val="12"/>
                                </w:rPr>
                              </w:pPr>
                            </w:p>
                            <w:p w14:paraId="64D4C92B" w14:textId="77777777" w:rsidR="00F323B2" w:rsidRDefault="00F323B2" w:rsidP="00987B80">
                              <w:pPr>
                                <w:spacing w:before="102" w:line="230" w:lineRule="auto"/>
                                <w:rPr>
                                  <w:sz w:val="12"/>
                                </w:rPr>
                              </w:pPr>
                              <w:r>
                                <w:rPr>
                                  <w:color w:val="FFFFFF"/>
                                  <w:sz w:val="15"/>
                                </w:rPr>
                                <w:t xml:space="preserve">Corporate income tax </w:t>
                              </w:r>
                              <w:r>
                                <w:rPr>
                                  <w:color w:val="FFFFFF"/>
                                  <w:sz w:val="12"/>
                                </w:rPr>
                                <w:t>(net of value of imputation credits)</w:t>
                              </w:r>
                            </w:p>
                          </w:txbxContent>
                        </wps:txbx>
                        <wps:bodyPr rot="0" vert="horz" wrap="square" lIns="0" tIns="0" rIns="0" bIns="0" anchor="t" anchorCtr="0" upright="1">
                          <a:noAutofit/>
                        </wps:bodyPr>
                      </wps:wsp>
                    </wpg:wgp>
                  </a:graphicData>
                </a:graphic>
              </wp:inline>
            </w:drawing>
          </mc:Choice>
          <mc:Fallback>
            <w:pict>
              <v:group w14:anchorId="14A6A056" id="Group 60" o:spid="_x0000_s1028" alt="P5807#y1" style="width:224.75pt;height:195.95pt;mso-position-horizontal-relative:char;mso-position-vertical-relative:line" coordorigin="1021,657" coordsize="412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">
                <v:rect id="Rectangle 18" o:spid="_x0000_s1029" style="position:absolute;left:1025;top:662;width:4117;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UAcQA&#10;AADbAAAADwAAAGRycy9kb3ducmV2LnhtbESPQWvCQBSE7wX/w/IEb3WTgqLRVUQoWurFVIjHR/aZ&#10;DWbfhuyqaX+9Wyj0OMzMN8xy3dtG3KnztWMF6TgBQVw6XXOl4PT1/joD4QOyxsYxKfgmD+vV4GWJ&#10;mXYPPtI9D5WIEPYZKjAhtJmUvjRk0Y9dSxy9i+sshii7SuoOHxFuG/mWJFNpsea4YLClraHymt+s&#10;gsm+mM+vu/RQ5WeDn8ef4mPWFEqNhv1mASJQH/7Df+29VjBN4fd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0FAHEAAAA2wAAAA8AAAAAAAAAAAAAAAAAmAIAAGRycy9k&#10;b3ducmV2LnhtbFBLBQYAAAAABAAEAPUAAACJAwAAAAA=&#10;" filled="f" strokecolor="#434343" strokeweight=".17428mm"/>
                <v:rect id="Rectangle 19" o:spid="_x0000_s1030" style="position:absolute;left:4273;top:849;width:356;height:3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t08UA&#10;AADbAAAADwAAAGRycy9kb3ducmV2LnhtbESPQWvCQBSE7wX/w/KE3pqNOQRJXcUqYkGoaHvp7TX7&#10;3MRm34bsNkn/fVcQehxm5htmsRptI3rqfO1YwSxJQRCXTtdsFHy8757mIHxA1tg4JgW/5GG1nDws&#10;sNBu4BP152BEhLAvUEEVQltI6cuKLPrEtcTRu7jOYoiyM1J3OES4bWSWprm0WHNcqLClTUXl9/nH&#10;Kthk9Vt+7ffeHD7NcXjZzr8uh1Kpx+m4fgYRaAz/4Xv7VSvIM7h9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a3TxQAAANsAAAAPAAAAAAAAAAAAAAAAAJgCAABkcnMv&#10;ZG93bnJldi54bWxQSwUGAAAAAAQABAD1AAAAigMAAAAA&#10;" filled="f" strokecolor="#7c7c7c" strokeweight=".17431mm"/>
                <v:rect id="Rectangle 20" o:spid="_x0000_s1031" style="position:absolute;left:4140;top:775;width:237;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rect id="Rectangle 21" o:spid="_x0000_s1032" style="position:absolute;left:1677;top:898;width:376;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sN8QA&#10;AADcAAAADwAAAGRycy9kb3ducmV2LnhtbERPS2vCQBC+F/oflil4q5vmIDa6ilpKBaHFx8XbmB03&#10;0exsyK5J/PfdQsHbfHzPmc57W4mWGl86VvA2TEAQ506XbBQc9p+vYxA+IGusHJOCO3mYz56fpphp&#10;1/GW2l0wIoawz1BBEUKdSenzgiz6oauJI3d2jcUQYWOkbrCL4baSaZKMpMWSY0OBNa0Kyq+7m1Ww&#10;Ssvv0aX98mZzND/d8mN8Om9ypQYv/WICIlAfHuJ/91rH+e8p/D0TL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3bDfEAAAA3AAAAA8AAAAAAAAAAAAAAAAAmAIAAGRycy9k&#10;b3ducmV2LnhtbFBLBQYAAAAABAAEAPUAAACJAwAAAAA=&#10;" filled="f" strokecolor="#7c7c7c" strokeweight=".17431mm"/>
                <v:shape id="Freeform 22" o:spid="_x0000_s1033" style="position:absolute;left:1988;top:874;width:139;height:1570;visibility:visible;mso-wrap-style:square;v-text-anchor:top" coordsize="139,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g+cMA&#10;AADcAAAADwAAAGRycy9kb3ducmV2LnhtbERPTWvCQBC9C/6HZYReRDdtodXoKjbQ0oMXU0WPQ3bM&#10;BrOzIbua9N93hYK3ebzPWa57W4sbtb5yrOB5moAgLpyuuFSw//mczED4gKyxdkwKfsnDejUcLDHV&#10;ruMd3fJQihjCPkUFJoQmldIXhiz6qWuII3d2rcUQYVtK3WIXw20tX5LkTVqsODYYbCgzVFzyq1VA&#10;x/csjK+n/JB1H+zMfHYef22Vehr1mwWIQH14iP/d3zrOn7/C/Z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cg+cMAAADcAAAADwAAAAAAAAAAAAAAAACYAgAAZHJzL2Rv&#10;d25yZXYueG1sUEsFBgAAAAAEAAQA9QAAAIgDAAAAAA==&#10;" path="m139,l,,,721r,849l139,1570r,-849l139,xe" stroked="f">
                  <v:path arrowok="t" o:connecttype="custom" o:connectlocs="139,874;0,874;0,1595;0,2444;139,2444;139,1595;139,874" o:connectangles="0,0,0,0,0,0,0"/>
                </v:shape>
                <v:rect id="Rectangle 23" o:spid="_x0000_s1034" style="position:absolute;left:2047;top:844;width:2261;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qcsIA&#10;AADcAAAADwAAAGRycy9kb3ducmV2LnhtbERP32vCMBB+H+x/CDfwZWjqkGGrUcrYQN9m3fD1aM62&#10;W3MJSdT635vBwLf7+H7ecj2YXpzJh86ygukkA0FcW91xo+Br/zGegwgRWWNvmRRcKcB69fiwxELb&#10;C+/oXMVGpBAOBSpoY3SFlKFuyWCYWEecuKP1BmOCvpHa4yWFm16+ZNmrNNhxamjR0VtL9W91Mgre&#10;d7l3Dqcu/37eHjY/1eesPJVKjZ6GcgEi0hDv4n/3Rqf5+Qz+nk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pywgAAANwAAAAPAAAAAAAAAAAAAAAAAJgCAABkcnMvZG93&#10;bnJldi54bWxQSwUGAAAAAAQABAD1AAAAhwMAAAAA&#10;" fillcolor="#d04901" stroked="f"/>
                <v:rect id="Rectangle 24" o:spid="_x0000_s1035" style="position:absolute;left:2047;top:1644;width:2261;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OPsMA&#10;AADcAAAADwAAAGRycy9kb3ducmV2LnhtbERPTWvCQBC9F/oflhG81Y2CElM3QVqFHISitT0P2Wk2&#10;mJ0N2a2J/vpuodDbPN7nbIrRtuJKvW8cK5jPEhDEldMN1wrO7/unFIQPyBpbx6TgRh6K/PFhg5l2&#10;Ax/pegq1iCHsM1RgQugyKX1lyKKfuY44cl+utxgi7GupexxiuG3lIklW0mLDscFgRy+Gqsvp2yo4&#10;DO29bBbla2oGfhvTz93x47ZTajoZt88gAo3hX/znLnWcv17C7zPx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fOPsMAAADcAAAADwAAAAAAAAAAAAAAAACYAgAAZHJzL2Rv&#10;d25yZXYueG1sUEsFBgAAAAAEAAQA9QAAAIgDAAAAAA==&#10;" fillcolor="#d93953" stroked="f"/>
                <v:shape id="AutoShape 25" o:spid="_x0000_s1036" style="position:absolute;left:2047;top:2443;width:2261;height:1560;visibility:visible;mso-wrap-style:square;v-text-anchor:top" coordsize="2261,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rccEA&#10;AADcAAAADwAAAGRycy9kb3ducmV2LnhtbERPS2vCQBC+F/wPywi91Y0iVqOrhKCl9ubrPmbHJJid&#10;DdnVRH99Vyj0Nh/fcxarzlTiTo0rLSsYDiIQxJnVJecKjofNxxSE88gaK8uk4EEOVsve2wJjbVve&#10;0X3vcxFC2MWooPC+jqV0WUEG3cDWxIG72MagD7DJpW6wDeGmkqMomkiDJYeGAmtKC8qu+5tR8LlN&#10;0nXa0di1o5/n6ev8fCTuoNR7v0vmIDx1/l/85/7WYf5sAq9nw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Ca3HBAAAA3AAAAA8AAAAAAAAAAAAAAAAAmAIAAGRycy9kb3du&#10;cmV2LnhtbFBLBQYAAAAABAAEAPUAAACGAwAAAAA=&#10;" path="m2260,1066l,1066r,493l2260,1559r,-493xm2260,533l,533r,483l2260,1016r,-483xm2260,l,,,483r2260,l2260,xe" fillcolor="#666" stroked="f">
                  <v:path arrowok="t" o:connecttype="custom" o:connectlocs="2260,3510;0,3510;0,4003;2260,4003;2260,3510;2260,2977;0,2977;0,3460;2260,3460;2260,2977;2260,2444;0,2444;0,2927;2260,2927;2260,2444" o:connectangles="0,0,0,0,0,0,0,0,0,0,0,0,0,0,0"/>
                </v:shape>
                <v:shape id="Text Box 26" o:spid="_x0000_s1037" type="#_x0000_t202" style="position:absolute;left:2166;top:1078;width:200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14:paraId="7FA7552F" w14:textId="77777777" w:rsidR="00F323B2" w:rsidRDefault="00F323B2" w:rsidP="00987B80">
                        <w:pPr>
                          <w:spacing w:line="163" w:lineRule="exact"/>
                          <w:rPr>
                            <w:sz w:val="15"/>
                          </w:rPr>
                        </w:pPr>
                        <w:r>
                          <w:rPr>
                            <w:color w:val="FFFFFF"/>
                            <w:sz w:val="15"/>
                          </w:rPr>
                          <w:t>Return on capital</w:t>
                        </w:r>
                      </w:p>
                      <w:p w14:paraId="517BEC93" w14:textId="77777777" w:rsidR="00F323B2" w:rsidRDefault="00F323B2" w:rsidP="00987B80">
                        <w:pPr>
                          <w:spacing w:line="135" w:lineRule="exact"/>
                          <w:rPr>
                            <w:sz w:val="12"/>
                          </w:rPr>
                        </w:pPr>
                        <w:r>
                          <w:rPr>
                            <w:color w:val="FFFFFF"/>
                            <w:sz w:val="12"/>
                          </w:rPr>
                          <w:t>(forecast</w:t>
                        </w:r>
                        <w:r>
                          <w:rPr>
                            <w:color w:val="FFFFFF"/>
                            <w:spacing w:val="-17"/>
                            <w:sz w:val="12"/>
                          </w:rPr>
                          <w:t xml:space="preserve"> </w:t>
                        </w:r>
                        <w:r>
                          <w:rPr>
                            <w:color w:val="FFFFFF"/>
                            <w:sz w:val="12"/>
                          </w:rPr>
                          <w:t>capital</w:t>
                        </w:r>
                        <w:r>
                          <w:rPr>
                            <w:color w:val="FFFFFF"/>
                            <w:spacing w:val="-8"/>
                            <w:sz w:val="12"/>
                          </w:rPr>
                          <w:t xml:space="preserve"> </w:t>
                        </w:r>
                        <w:r>
                          <w:rPr>
                            <w:color w:val="FFFFFF"/>
                            <w:sz w:val="12"/>
                          </w:rPr>
                          <w:t>base</w:t>
                        </w:r>
                        <w:r>
                          <w:rPr>
                            <w:color w:val="FFFFFF"/>
                            <w:spacing w:val="-20"/>
                            <w:sz w:val="12"/>
                          </w:rPr>
                          <w:t xml:space="preserve"> </w:t>
                        </w:r>
                        <w:r>
                          <w:rPr>
                            <w:color w:val="FFFFFF"/>
                            <w:sz w:val="12"/>
                          </w:rPr>
                          <w:t>x</w:t>
                        </w:r>
                        <w:r>
                          <w:rPr>
                            <w:color w:val="FFFFFF"/>
                            <w:spacing w:val="-12"/>
                            <w:sz w:val="12"/>
                          </w:rPr>
                          <w:t xml:space="preserve"> </w:t>
                        </w:r>
                        <w:r>
                          <w:rPr>
                            <w:color w:val="FFFFFF"/>
                            <w:spacing w:val="2"/>
                            <w:sz w:val="12"/>
                          </w:rPr>
                          <w:t xml:space="preserve">rate of </w:t>
                        </w:r>
                        <w:r>
                          <w:rPr>
                            <w:color w:val="FFFFFF"/>
                            <w:sz w:val="12"/>
                          </w:rPr>
                          <w:t>return)</w:t>
                        </w:r>
                      </w:p>
                    </w:txbxContent>
                  </v:textbox>
                </v:shape>
                <v:shape id="Text Box 27" o:spid="_x0000_s1038" type="#_x0000_t202" style="position:absolute;left:1114;top:1506;width:46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14:paraId="32A7030E" w14:textId="77777777" w:rsidR="00F323B2" w:rsidRDefault="00F323B2" w:rsidP="00987B80">
                        <w:pPr>
                          <w:spacing w:line="247" w:lineRule="auto"/>
                          <w:ind w:right="-19"/>
                          <w:rPr>
                            <w:sz w:val="15"/>
                          </w:rPr>
                        </w:pPr>
                        <w:r>
                          <w:rPr>
                            <w:sz w:val="15"/>
                          </w:rPr>
                          <w:t>Capital costs</w:t>
                        </w:r>
                      </w:p>
                    </w:txbxContent>
                  </v:textbox>
                </v:shape>
                <v:shape id="Text Box 28" o:spid="_x0000_s1039" type="#_x0000_t202" style="position:absolute;left:2166;top:1807;width:1988;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14:paraId="74C07357" w14:textId="77777777" w:rsidR="00F323B2" w:rsidRDefault="00F323B2" w:rsidP="00987B80">
                        <w:pPr>
                          <w:spacing w:line="235" w:lineRule="auto"/>
                          <w:ind w:right="15"/>
                          <w:rPr>
                            <w:sz w:val="12"/>
                          </w:rPr>
                        </w:pPr>
                        <w:r>
                          <w:rPr>
                            <w:color w:val="FFFFFF"/>
                            <w:spacing w:val="-3"/>
                            <w:sz w:val="15"/>
                          </w:rPr>
                          <w:t xml:space="preserve">Regulatory depreciation </w:t>
                        </w:r>
                        <w:r>
                          <w:rPr>
                            <w:color w:val="FFFFFF"/>
                            <w:sz w:val="12"/>
                          </w:rPr>
                          <w:t>(depreciation</w:t>
                        </w:r>
                        <w:r>
                          <w:rPr>
                            <w:color w:val="FFFFFF"/>
                            <w:spacing w:val="-17"/>
                            <w:sz w:val="12"/>
                          </w:rPr>
                          <w:t xml:space="preserve"> </w:t>
                        </w:r>
                        <w:r>
                          <w:rPr>
                            <w:color w:val="FFFFFF"/>
                            <w:sz w:val="12"/>
                          </w:rPr>
                          <w:t>net</w:t>
                        </w:r>
                        <w:r>
                          <w:rPr>
                            <w:color w:val="FFFFFF"/>
                            <w:spacing w:val="-21"/>
                            <w:sz w:val="12"/>
                          </w:rPr>
                          <w:t xml:space="preserve"> </w:t>
                        </w:r>
                        <w:r>
                          <w:rPr>
                            <w:color w:val="FFFFFF"/>
                            <w:sz w:val="12"/>
                          </w:rPr>
                          <w:t>of</w:t>
                        </w:r>
                        <w:r>
                          <w:rPr>
                            <w:color w:val="FFFFFF"/>
                            <w:spacing w:val="-22"/>
                            <w:sz w:val="12"/>
                          </w:rPr>
                          <w:t xml:space="preserve"> </w:t>
                        </w:r>
                        <w:r>
                          <w:rPr>
                            <w:color w:val="FFFFFF"/>
                            <w:sz w:val="12"/>
                          </w:rPr>
                          <w:t>indexation</w:t>
                        </w:r>
                        <w:r>
                          <w:rPr>
                            <w:color w:val="FFFFFF"/>
                            <w:spacing w:val="-16"/>
                            <w:sz w:val="12"/>
                          </w:rPr>
                          <w:t xml:space="preserve"> </w:t>
                        </w:r>
                        <w:r>
                          <w:rPr>
                            <w:color w:val="FFFFFF"/>
                            <w:sz w:val="12"/>
                          </w:rPr>
                          <w:t>applied to capital</w:t>
                        </w:r>
                        <w:r>
                          <w:rPr>
                            <w:color w:val="FFFFFF"/>
                            <w:spacing w:val="-12"/>
                            <w:sz w:val="12"/>
                          </w:rPr>
                          <w:t xml:space="preserve"> </w:t>
                        </w:r>
                        <w:r>
                          <w:rPr>
                            <w:color w:val="FFFFFF"/>
                            <w:sz w:val="12"/>
                          </w:rPr>
                          <w:t>base)</w:t>
                        </w:r>
                      </w:p>
                    </w:txbxContent>
                  </v:textbox>
                </v:shape>
                <v:shape id="Text Box 29" o:spid="_x0000_s1040" type="#_x0000_t202" style="position:absolute;left:4697;top:2179;width:34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14:paraId="5A830EC7" w14:textId="77777777" w:rsidR="00F323B2" w:rsidRDefault="00F323B2" w:rsidP="00987B80">
                        <w:pPr>
                          <w:spacing w:line="166" w:lineRule="exact"/>
                          <w:rPr>
                            <w:sz w:val="15"/>
                          </w:rPr>
                        </w:pPr>
                        <w:r>
                          <w:rPr>
                            <w:sz w:val="15"/>
                          </w:rPr>
                          <w:t>Total</w:t>
                        </w:r>
                      </w:p>
                    </w:txbxContent>
                  </v:textbox>
                </v:shape>
                <v:shape id="Text Box 30" o:spid="_x0000_s1041" type="#_x0000_t202" style="position:absolute;left:2166;top:2613;width:1862;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14:paraId="14CEF316" w14:textId="77777777" w:rsidR="00F323B2" w:rsidRDefault="00F323B2" w:rsidP="00987B80">
                        <w:pPr>
                          <w:spacing w:line="166" w:lineRule="exact"/>
                          <w:rPr>
                            <w:sz w:val="12"/>
                          </w:rPr>
                        </w:pPr>
                        <w:r>
                          <w:rPr>
                            <w:color w:val="FFFFFF"/>
                            <w:spacing w:val="-3"/>
                            <w:sz w:val="15"/>
                          </w:rPr>
                          <w:t xml:space="preserve">Operating </w:t>
                        </w:r>
                        <w:r>
                          <w:rPr>
                            <w:color w:val="FFFFFF"/>
                            <w:spacing w:val="-4"/>
                            <w:sz w:val="15"/>
                          </w:rPr>
                          <w:t xml:space="preserve">expenditure </w:t>
                        </w:r>
                        <w:r>
                          <w:rPr>
                            <w:color w:val="FFFFFF"/>
                            <w:sz w:val="12"/>
                          </w:rPr>
                          <w:t>(opex)</w:t>
                        </w:r>
                      </w:p>
                      <w:p w14:paraId="62504352" w14:textId="77777777" w:rsidR="00F323B2" w:rsidRDefault="00F323B2" w:rsidP="00987B80">
                        <w:pPr>
                          <w:rPr>
                            <w:sz w:val="16"/>
                          </w:rPr>
                        </w:pPr>
                      </w:p>
                      <w:p w14:paraId="3C3380B3" w14:textId="77777777" w:rsidR="00F323B2" w:rsidRDefault="00F323B2" w:rsidP="00987B80">
                        <w:pPr>
                          <w:spacing w:before="112" w:line="170" w:lineRule="exact"/>
                          <w:rPr>
                            <w:sz w:val="15"/>
                          </w:rPr>
                        </w:pPr>
                        <w:r>
                          <w:rPr>
                            <w:color w:val="FFFFFF"/>
                            <w:sz w:val="15"/>
                          </w:rPr>
                          <w:t>Incentive mechanisms</w:t>
                        </w:r>
                      </w:p>
                      <w:p w14:paraId="1EDD19B0" w14:textId="77777777" w:rsidR="00F323B2" w:rsidRDefault="00F323B2" w:rsidP="00987B80">
                        <w:pPr>
                          <w:spacing w:line="135" w:lineRule="exact"/>
                          <w:rPr>
                            <w:sz w:val="12"/>
                          </w:rPr>
                        </w:pPr>
                        <w:r>
                          <w:rPr>
                            <w:color w:val="FFFFFF"/>
                            <w:sz w:val="12"/>
                          </w:rPr>
                          <w:t>(increment or decrement)</w:t>
                        </w:r>
                      </w:p>
                      <w:p w14:paraId="232F336E" w14:textId="77777777" w:rsidR="00F323B2" w:rsidRDefault="00F323B2" w:rsidP="00987B80">
                        <w:pPr>
                          <w:rPr>
                            <w:sz w:val="12"/>
                          </w:rPr>
                        </w:pPr>
                      </w:p>
                      <w:p w14:paraId="64D4C92B" w14:textId="77777777" w:rsidR="00F323B2" w:rsidRDefault="00F323B2" w:rsidP="00987B80">
                        <w:pPr>
                          <w:spacing w:before="102" w:line="230" w:lineRule="auto"/>
                          <w:rPr>
                            <w:sz w:val="12"/>
                          </w:rPr>
                        </w:pPr>
                        <w:r>
                          <w:rPr>
                            <w:color w:val="FFFFFF"/>
                            <w:sz w:val="15"/>
                          </w:rPr>
                          <w:t xml:space="preserve">Corporate income tax </w:t>
                        </w:r>
                        <w:r>
                          <w:rPr>
                            <w:color w:val="FFFFFF"/>
                            <w:sz w:val="12"/>
                          </w:rPr>
                          <w:t>(net of value of imputation credits)</w:t>
                        </w:r>
                      </w:p>
                    </w:txbxContent>
                  </v:textbox>
                </v:shape>
                <w10:anchorlock/>
              </v:group>
            </w:pict>
          </mc:Fallback>
        </mc:AlternateContent>
      </w:r>
    </w:p>
    <w:p w14:paraId="6B81910B" w14:textId="43C0BD90" w:rsidR="00987B80" w:rsidRDefault="00987B80" w:rsidP="00987B80">
      <w:pPr>
        <w:pStyle w:val="BodyText"/>
        <w:spacing w:before="0" w:after="0"/>
        <w:rPr>
          <w:color w:val="7C7C7C"/>
          <w:w w:val="95"/>
          <w:sz w:val="16"/>
          <w:szCs w:val="16"/>
          <w:u w:val="single" w:color="7C7C7C"/>
        </w:rPr>
      </w:pPr>
      <w:r w:rsidRPr="00987B80">
        <w:rPr>
          <w:sz w:val="16"/>
          <w:szCs w:val="16"/>
          <w:lang w:eastAsia="en-US"/>
        </w:rPr>
        <w:t xml:space="preserve">Source: </w:t>
      </w:r>
      <w:r w:rsidRPr="00987B80">
        <w:rPr>
          <w:sz w:val="16"/>
          <w:szCs w:val="16"/>
        </w:rPr>
        <w:t>AER, WACC – Overview of our framework the economics and related law,</w:t>
      </w:r>
      <w:hyperlink r:id="rId88">
        <w:r w:rsidRPr="00987B80">
          <w:rPr>
            <w:color w:val="7C7C7C"/>
            <w:sz w:val="16"/>
            <w:szCs w:val="16"/>
            <w:u w:val="single" w:color="7C7C7C"/>
          </w:rPr>
          <w:t xml:space="preserve"> </w:t>
        </w:r>
        <w:r w:rsidRPr="00987B80">
          <w:rPr>
            <w:color w:val="7C7C7C"/>
            <w:w w:val="95"/>
            <w:sz w:val="16"/>
            <w:szCs w:val="16"/>
            <w:u w:val="single" w:color="7C7C7C"/>
          </w:rPr>
          <w:t>https://www.aer.gov.au/system/files/AER%20information%20session%20two%20-%20Overview%20of%20WACC%20-%206%20December%202017.pdf</w:t>
        </w:r>
      </w:hyperlink>
    </w:p>
    <w:p w14:paraId="64A64D47" w14:textId="77777777" w:rsidR="00987B80" w:rsidRDefault="00987B80" w:rsidP="00987B80">
      <w:pPr>
        <w:pStyle w:val="BodyText"/>
        <w:spacing w:before="0" w:after="0"/>
        <w:rPr>
          <w:color w:val="7C7C7C"/>
          <w:w w:val="95"/>
          <w:sz w:val="16"/>
          <w:szCs w:val="16"/>
          <w:u w:val="single" w:color="7C7C7C"/>
        </w:rPr>
      </w:pPr>
    </w:p>
    <w:p w14:paraId="5AEF876A" w14:textId="041F76EE" w:rsidR="00B92D8E" w:rsidRPr="00810ACA" w:rsidRDefault="00B92D8E" w:rsidP="00B92D8E">
      <w:pPr>
        <w:pStyle w:val="BodyText"/>
      </w:pPr>
      <w:r w:rsidRPr="00810ACA">
        <w:t>Brattle</w:t>
      </w:r>
      <w:r w:rsidR="004031E8">
        <w:rPr>
          <w:rFonts w:ascii="ZWAdobeF" w:hAnsi="ZWAdobeF" w:cs="ZWAdobeF"/>
          <w:sz w:val="2"/>
          <w:szCs w:val="2"/>
        </w:rPr>
        <w:t>327F</w:t>
      </w:r>
      <w:r>
        <w:rPr>
          <w:rStyle w:val="FootnoteReference"/>
        </w:rPr>
        <w:footnoteReference w:id="329"/>
      </w:r>
      <w:r w:rsidRPr="00810ACA">
        <w:t xml:space="preserve"> ha</w:t>
      </w:r>
      <w:r>
        <w:t>s</w:t>
      </w:r>
      <w:r w:rsidRPr="00810ACA">
        <w:t xml:space="preserve"> analysed the return on capital </w:t>
      </w:r>
      <w:r w:rsidR="00E43D6E">
        <w:t xml:space="preserve">generated by </w:t>
      </w:r>
      <w:r w:rsidR="00774CDB">
        <w:t xml:space="preserve">11 </w:t>
      </w:r>
      <w:r w:rsidRPr="00810ACA">
        <w:t>Part 23 pipelines using information reported under that regulatory framework. Brattle</w:t>
      </w:r>
      <w:r>
        <w:t>’s</w:t>
      </w:r>
      <w:r w:rsidRPr="00810ACA">
        <w:t xml:space="preserve"> data forms the basis of this analysis.</w:t>
      </w:r>
    </w:p>
    <w:p w14:paraId="322AD98E" w14:textId="77777777" w:rsidR="00987B80" w:rsidRPr="00987B80" w:rsidRDefault="00EA5B86" w:rsidP="00EA5B86">
      <w:pPr>
        <w:pStyle w:val="Heading6"/>
      </w:pPr>
      <w:r>
        <w:t xml:space="preserve">2. </w:t>
      </w:r>
      <w:r w:rsidR="00987B80" w:rsidRPr="00987B80">
        <w:t>Scale the revenues to reflect the portion that would become reference services</w:t>
      </w:r>
    </w:p>
    <w:p w14:paraId="30E8F394" w14:textId="77777777" w:rsidR="00E43D6E" w:rsidRDefault="00E43D6E" w:rsidP="00EA5B86">
      <w:pPr>
        <w:pStyle w:val="BodyText"/>
        <w:rPr>
          <w:lang w:eastAsia="en-US"/>
        </w:rPr>
      </w:pPr>
      <w:r>
        <w:rPr>
          <w:lang w:eastAsia="en-US"/>
        </w:rPr>
        <w:t xml:space="preserve">Brattle’s </w:t>
      </w:r>
      <w:r w:rsidR="00C04570">
        <w:rPr>
          <w:lang w:eastAsia="en-US"/>
        </w:rPr>
        <w:t>analysis</w:t>
      </w:r>
      <w:r>
        <w:rPr>
          <w:lang w:eastAsia="en-US"/>
        </w:rPr>
        <w:t xml:space="preserve"> relates to the </w:t>
      </w:r>
      <w:r w:rsidR="00774CDB">
        <w:rPr>
          <w:lang w:eastAsia="en-US"/>
        </w:rPr>
        <w:t xml:space="preserve">total </w:t>
      </w:r>
      <w:r>
        <w:rPr>
          <w:lang w:eastAsia="en-US"/>
        </w:rPr>
        <w:t xml:space="preserve">return on capital </w:t>
      </w:r>
      <w:r w:rsidR="00774CDB">
        <w:rPr>
          <w:lang w:eastAsia="en-US"/>
        </w:rPr>
        <w:t xml:space="preserve">earned by the 11 pipelines from the provision of all </w:t>
      </w:r>
      <w:r w:rsidR="00C04570">
        <w:rPr>
          <w:lang w:eastAsia="en-US"/>
        </w:rPr>
        <w:t xml:space="preserve">pipeline </w:t>
      </w:r>
      <w:r w:rsidR="00774CDB">
        <w:rPr>
          <w:lang w:eastAsia="en-US"/>
        </w:rPr>
        <w:t xml:space="preserve">services. </w:t>
      </w:r>
      <w:r w:rsidR="00C04570">
        <w:rPr>
          <w:lang w:eastAsia="en-US"/>
        </w:rPr>
        <w:t xml:space="preserve">Not </w:t>
      </w:r>
      <w:r w:rsidR="00987B80" w:rsidRPr="00987B80">
        <w:rPr>
          <w:lang w:eastAsia="en-US"/>
        </w:rPr>
        <w:t xml:space="preserve">all gas transportation services </w:t>
      </w:r>
      <w:r w:rsidR="00774CDB">
        <w:rPr>
          <w:lang w:eastAsia="en-US"/>
        </w:rPr>
        <w:t xml:space="preserve">provided by </w:t>
      </w:r>
      <w:r w:rsidR="00987B80" w:rsidRPr="00987B80">
        <w:rPr>
          <w:lang w:eastAsia="en-US"/>
        </w:rPr>
        <w:t>a pipeline are</w:t>
      </w:r>
      <w:r w:rsidR="00C04570">
        <w:rPr>
          <w:lang w:eastAsia="en-US"/>
        </w:rPr>
        <w:t>, however, subject to</w:t>
      </w:r>
      <w:r w:rsidR="00987B80" w:rsidRPr="00987B80">
        <w:rPr>
          <w:lang w:eastAsia="en-US"/>
        </w:rPr>
        <w:t xml:space="preserve"> </w:t>
      </w:r>
      <w:r w:rsidR="00C04570">
        <w:rPr>
          <w:lang w:eastAsia="en-US"/>
        </w:rPr>
        <w:t>regulation. I</w:t>
      </w:r>
      <w:r w:rsidR="00774CDB">
        <w:rPr>
          <w:lang w:eastAsia="en-US"/>
        </w:rPr>
        <w:t xml:space="preserve">t has </w:t>
      </w:r>
      <w:r w:rsidR="00C04570">
        <w:rPr>
          <w:lang w:eastAsia="en-US"/>
        </w:rPr>
        <w:t>been necessary therefore to scale Brattle’s estimate down to reflect the return on capital that would be associated with the provision of reference services</w:t>
      </w:r>
      <w:r w:rsidR="001E4877">
        <w:rPr>
          <w:lang w:eastAsia="en-US"/>
        </w:rPr>
        <w:t xml:space="preserve"> (i.e. the services that are subject to regulation)</w:t>
      </w:r>
      <w:r w:rsidR="00C04570">
        <w:rPr>
          <w:lang w:eastAsia="en-US"/>
        </w:rPr>
        <w:t xml:space="preserve">. </w:t>
      </w:r>
    </w:p>
    <w:p w14:paraId="73D54A2E" w14:textId="462235A5" w:rsidR="00987B80" w:rsidRPr="00987B80" w:rsidRDefault="001E4877" w:rsidP="00EA5B86">
      <w:pPr>
        <w:pStyle w:val="BodyText"/>
        <w:rPr>
          <w:lang w:eastAsia="en-US"/>
        </w:rPr>
      </w:pPr>
      <w:r>
        <w:rPr>
          <w:lang w:eastAsia="en-US"/>
        </w:rPr>
        <w:lastRenderedPageBreak/>
        <w:t>As</w:t>
      </w:r>
      <w:r w:rsidR="00987B80" w:rsidRPr="00987B80">
        <w:rPr>
          <w:lang w:eastAsia="en-US"/>
        </w:rPr>
        <w:t xml:space="preserve"> firm forward</w:t>
      </w:r>
      <w:r w:rsidR="00987B80">
        <w:rPr>
          <w:lang w:eastAsia="en-US"/>
        </w:rPr>
        <w:t xml:space="preserve"> </w:t>
      </w:r>
      <w:r w:rsidR="00987B80" w:rsidRPr="00987B80">
        <w:rPr>
          <w:lang w:eastAsia="en-US"/>
        </w:rPr>
        <w:t xml:space="preserve">haul is the main </w:t>
      </w:r>
      <w:r w:rsidR="009C6459">
        <w:rPr>
          <w:lang w:eastAsia="en-US"/>
        </w:rPr>
        <w:t xml:space="preserve">reference service </w:t>
      </w:r>
      <w:r w:rsidR="00987B80" w:rsidRPr="00987B80">
        <w:rPr>
          <w:lang w:eastAsia="en-US"/>
        </w:rPr>
        <w:t xml:space="preserve">under the </w:t>
      </w:r>
      <w:r w:rsidR="00531979">
        <w:rPr>
          <w:lang w:eastAsia="en-US"/>
        </w:rPr>
        <w:t>stronger</w:t>
      </w:r>
      <w:r w:rsidR="00987B80" w:rsidRPr="00987B80">
        <w:rPr>
          <w:lang w:eastAsia="en-US"/>
        </w:rPr>
        <w:t xml:space="preserve"> form of regulation, </w:t>
      </w:r>
      <w:r w:rsidR="009C6459">
        <w:rPr>
          <w:lang w:eastAsia="en-US"/>
        </w:rPr>
        <w:t xml:space="preserve">the </w:t>
      </w:r>
      <w:r w:rsidR="00987B80" w:rsidRPr="00987B80">
        <w:rPr>
          <w:lang w:eastAsia="en-US"/>
        </w:rPr>
        <w:t xml:space="preserve">proportion </w:t>
      </w:r>
      <w:r w:rsidR="009C6459">
        <w:rPr>
          <w:lang w:eastAsia="en-US"/>
        </w:rPr>
        <w:t xml:space="preserve">of revenue derived from firm forward haul services </w:t>
      </w:r>
      <w:r>
        <w:rPr>
          <w:lang w:eastAsia="en-US"/>
        </w:rPr>
        <w:t xml:space="preserve">has been used to </w:t>
      </w:r>
      <w:r w:rsidR="00987B80" w:rsidRPr="00987B80">
        <w:rPr>
          <w:lang w:eastAsia="en-US"/>
        </w:rPr>
        <w:t xml:space="preserve">scale </w:t>
      </w:r>
      <w:r w:rsidR="009C6459">
        <w:rPr>
          <w:lang w:eastAsia="en-US"/>
        </w:rPr>
        <w:t>Brattle’s estimates down</w:t>
      </w:r>
      <w:r w:rsidR="00987B80" w:rsidRPr="00987B80">
        <w:rPr>
          <w:lang w:eastAsia="en-US"/>
        </w:rPr>
        <w:t>.</w:t>
      </w:r>
      <w:r w:rsidR="004031E8">
        <w:rPr>
          <w:rFonts w:ascii="ZWAdobeF" w:hAnsi="ZWAdobeF" w:cs="ZWAdobeF"/>
          <w:sz w:val="2"/>
          <w:szCs w:val="2"/>
          <w:lang w:eastAsia="en-US"/>
        </w:rPr>
        <w:t>328F</w:t>
      </w:r>
      <w:r w:rsidR="00EA5B86">
        <w:rPr>
          <w:rStyle w:val="FootnoteReference"/>
          <w:sz w:val="16"/>
          <w:szCs w:val="16"/>
          <w:lang w:eastAsia="en-US"/>
        </w:rPr>
        <w:footnoteReference w:id="330"/>
      </w:r>
    </w:p>
    <w:p w14:paraId="588BC99C" w14:textId="77777777" w:rsidR="00987B80" w:rsidRPr="00EA5B86" w:rsidRDefault="00987B80" w:rsidP="00EA5B86">
      <w:pPr>
        <w:pStyle w:val="Heading6"/>
      </w:pPr>
      <w:r w:rsidRPr="00EA5B86">
        <w:t>3.</w:t>
      </w:r>
      <w:r w:rsidR="00EA5B86">
        <w:t xml:space="preserve"> </w:t>
      </w:r>
      <w:r w:rsidRPr="00EA5B86">
        <w:t>Calculate the difference between the revenue received under a commercial rate of return and a regulated rate of return</w:t>
      </w:r>
    </w:p>
    <w:p w14:paraId="05C24C1A" w14:textId="77777777" w:rsidR="00330D9D" w:rsidRDefault="00987B80" w:rsidP="00330D9D">
      <w:pPr>
        <w:pStyle w:val="BodyText"/>
        <w:rPr>
          <w:lang w:eastAsia="en-US"/>
        </w:rPr>
      </w:pPr>
      <w:r w:rsidRPr="00987B80">
        <w:rPr>
          <w:lang w:eastAsia="en-US"/>
        </w:rPr>
        <w:t>Brattle</w:t>
      </w:r>
      <w:r w:rsidR="00021A19">
        <w:rPr>
          <w:lang w:eastAsia="en-US"/>
        </w:rPr>
        <w:t>’s analysis</w:t>
      </w:r>
      <w:r w:rsidRPr="00987B80">
        <w:rPr>
          <w:lang w:eastAsia="en-US"/>
        </w:rPr>
        <w:t xml:space="preserve"> shows that the implied rates of return </w:t>
      </w:r>
      <w:r w:rsidR="00021A19">
        <w:rPr>
          <w:lang w:eastAsia="en-US"/>
        </w:rPr>
        <w:t xml:space="preserve">for the sample of 11 </w:t>
      </w:r>
      <w:r w:rsidRPr="00987B80">
        <w:rPr>
          <w:lang w:eastAsia="en-US"/>
        </w:rPr>
        <w:t>pipelines subject to Part 23 (8</w:t>
      </w:r>
      <w:r w:rsidR="00EB27DA">
        <w:rPr>
          <w:lang w:eastAsia="en-US"/>
        </w:rPr>
        <w:t>%</w:t>
      </w:r>
      <w:r w:rsidRPr="00987B80">
        <w:rPr>
          <w:lang w:eastAsia="en-US"/>
        </w:rPr>
        <w:t>) are higher than the relevant average regulatory rate of return on capital (6.34</w:t>
      </w:r>
      <w:r w:rsidR="00EB27DA">
        <w:rPr>
          <w:lang w:eastAsia="en-US"/>
        </w:rPr>
        <w:t>%</w:t>
      </w:r>
      <w:r w:rsidRPr="00987B80">
        <w:rPr>
          <w:lang w:eastAsia="en-US"/>
        </w:rPr>
        <w:t xml:space="preserve">). </w:t>
      </w:r>
      <w:r w:rsidR="00330D9D">
        <w:rPr>
          <w:lang w:eastAsia="en-US"/>
        </w:rPr>
        <w:t xml:space="preserve">In dollar terms, PwC has estimated that this amounts to around </w:t>
      </w:r>
      <w:r w:rsidRPr="00987B80">
        <w:rPr>
          <w:lang w:eastAsia="en-US"/>
        </w:rPr>
        <w:t>$178 million</w:t>
      </w:r>
      <w:r w:rsidR="00330D9D">
        <w:rPr>
          <w:lang w:eastAsia="en-US"/>
        </w:rPr>
        <w:t xml:space="preserve"> in 2017</w:t>
      </w:r>
      <w:r w:rsidRPr="00987B80">
        <w:rPr>
          <w:lang w:eastAsia="en-US"/>
        </w:rPr>
        <w:t xml:space="preserve">. </w:t>
      </w:r>
    </w:p>
    <w:p w14:paraId="09EE408A" w14:textId="77777777" w:rsidR="00987B80" w:rsidRPr="00987B80" w:rsidRDefault="00987B80" w:rsidP="00330D9D">
      <w:pPr>
        <w:pStyle w:val="BodyText"/>
        <w:rPr>
          <w:lang w:eastAsia="en-US"/>
        </w:rPr>
      </w:pPr>
      <w:r w:rsidRPr="00987B80">
        <w:rPr>
          <w:lang w:eastAsia="en-US"/>
        </w:rPr>
        <w:t>Adjusting this for the proportion of total revenue that comes from reference services (using firm forward haul transportation services as a proxy) gives $153 million. That is, the revenue earned by service providers from the provision of reference services would be approximately 12</w:t>
      </w:r>
      <w:r w:rsidR="00711797">
        <w:rPr>
          <w:lang w:eastAsia="en-US"/>
        </w:rPr>
        <w:t>%</w:t>
      </w:r>
      <w:r w:rsidRPr="00987B80">
        <w:rPr>
          <w:lang w:eastAsia="en-US"/>
        </w:rPr>
        <w:t xml:space="preserve"> lower</w:t>
      </w:r>
      <w:r w:rsidR="001C55A2">
        <w:rPr>
          <w:lang w:eastAsia="en-US"/>
        </w:rPr>
        <w:t xml:space="preserve"> (see Table D.4 for more detail)</w:t>
      </w:r>
      <w:r w:rsidRPr="00987B80">
        <w:rPr>
          <w:lang w:eastAsia="en-US"/>
        </w:rPr>
        <w:t>.</w:t>
      </w:r>
    </w:p>
    <w:p w14:paraId="142E9F5D" w14:textId="77777777" w:rsidR="00EA5B86" w:rsidRPr="00EA5B86" w:rsidRDefault="00EA5B86" w:rsidP="00EA5B86">
      <w:pPr>
        <w:pStyle w:val="Caption"/>
        <w:spacing w:after="0"/>
        <w:rPr>
          <w:sz w:val="13"/>
        </w:rPr>
      </w:pPr>
      <w:r w:rsidRPr="00EA5B86">
        <w:t>Table D.</w:t>
      </w:r>
      <w:r w:rsidR="00650F43">
        <w:t>4</w:t>
      </w:r>
      <w:r w:rsidRPr="00EA5B86">
        <w:t>: Analysis of information disclosed for selected pipelines under Part 23 requirements ($m, 2018 dollars)</w:t>
      </w:r>
    </w:p>
    <w:tbl>
      <w:tblPr>
        <w:tblStyle w:val="TableGrid"/>
        <w:tblW w:w="5000" w:type="pct"/>
        <w:tblLook w:val="0420" w:firstRow="1" w:lastRow="0" w:firstColumn="0" w:lastColumn="0" w:noHBand="0" w:noVBand="1"/>
      </w:tblPr>
      <w:tblGrid>
        <w:gridCol w:w="2262"/>
        <w:gridCol w:w="5238"/>
        <w:gridCol w:w="1288"/>
      </w:tblGrid>
      <w:tr w:rsidR="00123859" w:rsidRPr="00D917E6" w14:paraId="3812C5FD" w14:textId="77777777" w:rsidTr="00EA5B86">
        <w:trPr>
          <w:cnfStyle w:val="100000000000" w:firstRow="1" w:lastRow="0" w:firstColumn="0" w:lastColumn="0" w:oddVBand="0" w:evenVBand="0" w:oddHBand="0" w:evenHBand="0" w:firstRowFirstColumn="0" w:firstRowLastColumn="0" w:lastRowFirstColumn="0" w:lastRowLastColumn="0"/>
          <w:tblHeader/>
        </w:trPr>
        <w:tc>
          <w:tcPr>
            <w:tcW w:w="1287" w:type="pct"/>
            <w:shd w:val="clear" w:color="auto" w:fill="002060"/>
          </w:tcPr>
          <w:p w14:paraId="5BA47339" w14:textId="77777777" w:rsidR="00EA5B86" w:rsidRPr="00D917E6" w:rsidRDefault="00EA5B86" w:rsidP="00AF72C3">
            <w:pPr>
              <w:pStyle w:val="TableHeading"/>
            </w:pPr>
            <w:r w:rsidRPr="00D917E6">
              <w:t>Category</w:t>
            </w:r>
          </w:p>
        </w:tc>
        <w:tc>
          <w:tcPr>
            <w:tcW w:w="2980" w:type="pct"/>
            <w:shd w:val="clear" w:color="auto" w:fill="002060"/>
          </w:tcPr>
          <w:p w14:paraId="4EE533A3" w14:textId="77777777" w:rsidR="00EA5B86" w:rsidRPr="00D917E6" w:rsidRDefault="00EA5B86" w:rsidP="00AF72C3">
            <w:pPr>
              <w:pStyle w:val="TableHeading"/>
            </w:pPr>
            <w:r w:rsidRPr="00D917E6">
              <w:t>Description</w:t>
            </w:r>
          </w:p>
        </w:tc>
        <w:tc>
          <w:tcPr>
            <w:tcW w:w="733" w:type="pct"/>
            <w:shd w:val="clear" w:color="auto" w:fill="002060"/>
          </w:tcPr>
          <w:p w14:paraId="49FADD90" w14:textId="77777777" w:rsidR="00EA5B86" w:rsidRPr="00D917E6" w:rsidRDefault="00EA5B86" w:rsidP="00AF72C3">
            <w:pPr>
              <w:pStyle w:val="TableHeading"/>
            </w:pPr>
            <w:r w:rsidRPr="00D917E6">
              <w:t>Value</w:t>
            </w:r>
          </w:p>
        </w:tc>
      </w:tr>
      <w:tr w:rsidR="00EA5B86" w:rsidRPr="00D917E6" w14:paraId="3013199A" w14:textId="77777777" w:rsidTr="00AF72C3">
        <w:tc>
          <w:tcPr>
            <w:tcW w:w="1287" w:type="pct"/>
          </w:tcPr>
          <w:p w14:paraId="43424B3C" w14:textId="77777777" w:rsidR="00EA5B86" w:rsidRPr="00D917E6" w:rsidRDefault="00EA5B86" w:rsidP="00AF72C3">
            <w:pPr>
              <w:pStyle w:val="TableBodyText"/>
            </w:pPr>
            <w:r w:rsidRPr="00D917E6">
              <w:t>Total return on capital in 2017 under pipeline rate of return (8.00% average)</w:t>
            </w:r>
          </w:p>
        </w:tc>
        <w:tc>
          <w:tcPr>
            <w:tcW w:w="2980" w:type="pct"/>
          </w:tcPr>
          <w:p w14:paraId="614D0BD8" w14:textId="77777777" w:rsidR="00EA5B86" w:rsidRPr="00D917E6" w:rsidRDefault="00EA5B86" w:rsidP="00B22FF9">
            <w:pPr>
              <w:pStyle w:val="TableBodyText"/>
              <w:ind w:left="442" w:hanging="357"/>
            </w:pPr>
            <w:r w:rsidRPr="00D917E6">
              <w:t>(A) Total annualised return on capital across 11 selected pipelines^ based on 2017 inferred rates of return (see Table 35 of Brattle</w:t>
            </w:r>
            <w:r w:rsidR="00A17AFE">
              <w:t>’s</w:t>
            </w:r>
            <w:r w:rsidRPr="00D917E6">
              <w:t xml:space="preserve"> report)</w:t>
            </w:r>
          </w:p>
        </w:tc>
        <w:tc>
          <w:tcPr>
            <w:tcW w:w="733" w:type="pct"/>
          </w:tcPr>
          <w:p w14:paraId="63CC4F82" w14:textId="77777777" w:rsidR="00EA5B86" w:rsidRPr="00D917E6" w:rsidRDefault="00EA5B86" w:rsidP="00AF72C3">
            <w:pPr>
              <w:pStyle w:val="TableBodyText"/>
            </w:pPr>
            <w:r w:rsidRPr="00D917E6">
              <w:t>$735m</w:t>
            </w:r>
          </w:p>
        </w:tc>
      </w:tr>
      <w:tr w:rsidR="004E2227" w:rsidRPr="00D917E6" w14:paraId="39C197EC" w14:textId="77777777" w:rsidTr="00AF72C3">
        <w:trPr>
          <w:cnfStyle w:val="000000010000" w:firstRow="0" w:lastRow="0" w:firstColumn="0" w:lastColumn="0" w:oddVBand="0" w:evenVBand="0" w:oddHBand="0" w:evenHBand="1" w:firstRowFirstColumn="0" w:firstRowLastColumn="0" w:lastRowFirstColumn="0" w:lastRowLastColumn="0"/>
        </w:trPr>
        <w:tc>
          <w:tcPr>
            <w:tcW w:w="1287" w:type="pct"/>
          </w:tcPr>
          <w:p w14:paraId="67C9E795" w14:textId="77777777" w:rsidR="00EA5B86" w:rsidRPr="00D917E6" w:rsidRDefault="00EA5B86" w:rsidP="00AF72C3">
            <w:pPr>
              <w:pStyle w:val="TableBodyText"/>
            </w:pPr>
            <w:r w:rsidRPr="00D917E6">
              <w:t>Total return on capital under the regulatory rate of return in 2017 (6.34%)</w:t>
            </w:r>
          </w:p>
        </w:tc>
        <w:tc>
          <w:tcPr>
            <w:tcW w:w="2980" w:type="pct"/>
          </w:tcPr>
          <w:p w14:paraId="47C639A3" w14:textId="77777777" w:rsidR="00EA5B86" w:rsidRPr="00D917E6" w:rsidRDefault="00EA5B86" w:rsidP="00B22FF9">
            <w:pPr>
              <w:pStyle w:val="TableBodyText"/>
              <w:ind w:left="442" w:hanging="357"/>
            </w:pPr>
            <w:r w:rsidRPr="00D917E6">
              <w:t>(B) Total annualised return on capital across 11 selected pipelines^ based on the average 2017 regulatory rate of return (see Table 36 of Brattle report)</w:t>
            </w:r>
          </w:p>
        </w:tc>
        <w:tc>
          <w:tcPr>
            <w:tcW w:w="733" w:type="pct"/>
          </w:tcPr>
          <w:p w14:paraId="1A9DFB62" w14:textId="77777777" w:rsidR="00EA5B86" w:rsidRPr="00D917E6" w:rsidRDefault="00EA5B86" w:rsidP="00AF72C3">
            <w:pPr>
              <w:pStyle w:val="TableBodyText"/>
            </w:pPr>
            <w:r w:rsidRPr="00D917E6">
              <w:t>$556m</w:t>
            </w:r>
          </w:p>
        </w:tc>
      </w:tr>
      <w:tr w:rsidR="00EA5B86" w:rsidRPr="00D917E6" w14:paraId="5AA43BCE" w14:textId="77777777" w:rsidTr="00AF72C3">
        <w:tc>
          <w:tcPr>
            <w:tcW w:w="1287" w:type="pct"/>
          </w:tcPr>
          <w:p w14:paraId="52EE10D9" w14:textId="77777777" w:rsidR="00EA5B86" w:rsidRPr="00D917E6" w:rsidRDefault="00EA5B86" w:rsidP="00AF72C3">
            <w:pPr>
              <w:pStyle w:val="TableBodyText"/>
            </w:pPr>
            <w:r w:rsidRPr="00D917E6">
              <w:t>Difference in return on capital</w:t>
            </w:r>
          </w:p>
        </w:tc>
        <w:tc>
          <w:tcPr>
            <w:tcW w:w="2980" w:type="pct"/>
          </w:tcPr>
          <w:p w14:paraId="1209460D" w14:textId="77777777" w:rsidR="00EA5B86" w:rsidRPr="00D917E6" w:rsidRDefault="00EA5B86" w:rsidP="00AF72C3">
            <w:pPr>
              <w:pStyle w:val="TableBodyText"/>
            </w:pPr>
            <w:r w:rsidRPr="00D917E6">
              <w:t>(C) (A – B)</w:t>
            </w:r>
          </w:p>
        </w:tc>
        <w:tc>
          <w:tcPr>
            <w:tcW w:w="733" w:type="pct"/>
          </w:tcPr>
          <w:p w14:paraId="08D125CF" w14:textId="77777777" w:rsidR="00EA5B86" w:rsidRPr="00D917E6" w:rsidRDefault="00EA5B86" w:rsidP="00AF72C3">
            <w:pPr>
              <w:pStyle w:val="TableBodyText"/>
            </w:pPr>
            <w:r w:rsidRPr="00D917E6">
              <w:t>$178m</w:t>
            </w:r>
          </w:p>
        </w:tc>
      </w:tr>
      <w:tr w:rsidR="004E2227" w:rsidRPr="00D917E6" w14:paraId="354A8762" w14:textId="77777777" w:rsidTr="00AF72C3">
        <w:trPr>
          <w:cnfStyle w:val="000000010000" w:firstRow="0" w:lastRow="0" w:firstColumn="0" w:lastColumn="0" w:oddVBand="0" w:evenVBand="0" w:oddHBand="0" w:evenHBand="1" w:firstRowFirstColumn="0" w:firstRowLastColumn="0" w:lastRowFirstColumn="0" w:lastRowLastColumn="0"/>
        </w:trPr>
        <w:tc>
          <w:tcPr>
            <w:tcW w:w="1287" w:type="pct"/>
          </w:tcPr>
          <w:p w14:paraId="69974438" w14:textId="77777777" w:rsidR="00EA5B86" w:rsidRPr="00D917E6" w:rsidRDefault="00EA5B86" w:rsidP="00AF72C3">
            <w:pPr>
              <w:pStyle w:val="TableBodyText"/>
            </w:pPr>
            <w:r w:rsidRPr="00D917E6">
              <w:t>Decrease in annual revenue for pipelines</w:t>
            </w:r>
          </w:p>
        </w:tc>
        <w:tc>
          <w:tcPr>
            <w:tcW w:w="2980" w:type="pct"/>
          </w:tcPr>
          <w:p w14:paraId="6B21183E" w14:textId="77777777" w:rsidR="00EA5B86" w:rsidRPr="00D917E6" w:rsidRDefault="00EA5B86" w:rsidP="00B22FF9">
            <w:pPr>
              <w:pStyle w:val="TableBodyText"/>
              <w:ind w:left="442" w:hanging="357"/>
            </w:pPr>
            <w:r w:rsidRPr="00D917E6">
              <w:t>(D) (C) x the proportion of the total revenue that comes from reference services (using the firm forward haul transportation services as a proxy)</w:t>
            </w:r>
          </w:p>
        </w:tc>
        <w:tc>
          <w:tcPr>
            <w:tcW w:w="733" w:type="pct"/>
          </w:tcPr>
          <w:p w14:paraId="6FAC050C" w14:textId="77777777" w:rsidR="00EA5B86" w:rsidRPr="00D917E6" w:rsidRDefault="00EA5B86" w:rsidP="00AF72C3">
            <w:pPr>
              <w:pStyle w:val="TableBodyText"/>
            </w:pPr>
            <w:r w:rsidRPr="00D917E6">
              <w:t>$153m</w:t>
            </w:r>
          </w:p>
        </w:tc>
      </w:tr>
      <w:tr w:rsidR="00EA5B86" w:rsidRPr="00D917E6" w14:paraId="7AF72C3D" w14:textId="77777777" w:rsidTr="00AF72C3">
        <w:tc>
          <w:tcPr>
            <w:tcW w:w="1287" w:type="pct"/>
          </w:tcPr>
          <w:p w14:paraId="07389558" w14:textId="77777777" w:rsidR="00EA5B86" w:rsidRPr="00D917E6" w:rsidRDefault="00EA5B86" w:rsidP="00AF72C3">
            <w:pPr>
              <w:pStyle w:val="TableBodyText"/>
            </w:pPr>
            <w:r w:rsidRPr="00D917E6">
              <w:t>Total annual revenue for pipelines</w:t>
            </w:r>
          </w:p>
        </w:tc>
        <w:tc>
          <w:tcPr>
            <w:tcW w:w="2980" w:type="pct"/>
          </w:tcPr>
          <w:p w14:paraId="20C6032C" w14:textId="77777777" w:rsidR="00EA5B86" w:rsidRPr="00D917E6" w:rsidRDefault="00EA5B86" w:rsidP="00B22FF9">
            <w:pPr>
              <w:pStyle w:val="TableBodyText"/>
              <w:ind w:left="442" w:hanging="357"/>
            </w:pPr>
            <w:r w:rsidRPr="00D917E6">
              <w:t>(E) Total annualised revenue for 11 selected pipelines^ in 2018* (see Table 22 of Brattle</w:t>
            </w:r>
            <w:r w:rsidR="00A17AFE">
              <w:t>’s</w:t>
            </w:r>
            <w:r w:rsidRPr="00D917E6">
              <w:t xml:space="preserve"> report)</w:t>
            </w:r>
          </w:p>
        </w:tc>
        <w:tc>
          <w:tcPr>
            <w:tcW w:w="733" w:type="pct"/>
          </w:tcPr>
          <w:p w14:paraId="67747D48" w14:textId="77777777" w:rsidR="00EA5B86" w:rsidRPr="00D917E6" w:rsidRDefault="00EA5B86" w:rsidP="00AF72C3">
            <w:pPr>
              <w:pStyle w:val="TableBodyText"/>
            </w:pPr>
            <w:r w:rsidRPr="00D917E6">
              <w:t>$1,325m</w:t>
            </w:r>
          </w:p>
        </w:tc>
      </w:tr>
      <w:tr w:rsidR="004E2227" w:rsidRPr="00D917E6" w14:paraId="2BE89E84" w14:textId="77777777" w:rsidTr="00AF72C3">
        <w:trPr>
          <w:cnfStyle w:val="000000010000" w:firstRow="0" w:lastRow="0" w:firstColumn="0" w:lastColumn="0" w:oddVBand="0" w:evenVBand="0" w:oddHBand="0" w:evenHBand="1" w:firstRowFirstColumn="0" w:firstRowLastColumn="0" w:lastRowFirstColumn="0" w:lastRowLastColumn="0"/>
        </w:trPr>
        <w:tc>
          <w:tcPr>
            <w:tcW w:w="1287" w:type="pct"/>
          </w:tcPr>
          <w:p w14:paraId="77690E60" w14:textId="77777777" w:rsidR="00EA5B86" w:rsidRPr="00D917E6" w:rsidRDefault="00EA5B86" w:rsidP="00AF72C3">
            <w:pPr>
              <w:pStyle w:val="TableBodyText"/>
            </w:pPr>
            <w:r w:rsidRPr="00D917E6">
              <w:t>Difference in annual revenue under AER’s regulatory rate of return in 2017</w:t>
            </w:r>
          </w:p>
        </w:tc>
        <w:tc>
          <w:tcPr>
            <w:tcW w:w="2980" w:type="pct"/>
          </w:tcPr>
          <w:p w14:paraId="14598093" w14:textId="77777777" w:rsidR="00EA5B86" w:rsidRPr="00D917E6" w:rsidRDefault="00EA5B86" w:rsidP="00AF72C3">
            <w:pPr>
              <w:pStyle w:val="TableBodyText"/>
            </w:pPr>
            <w:r w:rsidRPr="00D917E6">
              <w:t>(F)</w:t>
            </w:r>
            <w:r w:rsidR="00062D09">
              <w:t xml:space="preserve"> =</w:t>
            </w:r>
            <w:r w:rsidRPr="00D917E6">
              <w:t xml:space="preserve"> (D / E)</w:t>
            </w:r>
          </w:p>
        </w:tc>
        <w:tc>
          <w:tcPr>
            <w:tcW w:w="733" w:type="pct"/>
          </w:tcPr>
          <w:p w14:paraId="48A63914" w14:textId="77777777" w:rsidR="00EA5B86" w:rsidRPr="00D917E6" w:rsidRDefault="00EA5B86" w:rsidP="00AF72C3">
            <w:pPr>
              <w:pStyle w:val="TableBodyText"/>
            </w:pPr>
            <w:r w:rsidRPr="00D917E6">
              <w:t>12%</w:t>
            </w:r>
          </w:p>
        </w:tc>
      </w:tr>
    </w:tbl>
    <w:p w14:paraId="1615F729" w14:textId="77777777" w:rsidR="00EA5B86" w:rsidRPr="00EA5B86" w:rsidRDefault="00EA5B86" w:rsidP="00EA5B86">
      <w:pPr>
        <w:pStyle w:val="BodyText"/>
        <w:spacing w:before="0" w:after="40"/>
      </w:pPr>
      <w:r w:rsidRPr="00EA5B86">
        <w:rPr>
          <w:sz w:val="16"/>
        </w:rPr>
        <w:t>Source: PwC analysis of Brattle, Financial Information Disclosed by Gas Pipelines in Australia Under Part 23 of the National Gas Rules (2019), Tables 21, 22, 35 and 36.</w:t>
      </w:r>
    </w:p>
    <w:p w14:paraId="63B7A520" w14:textId="77777777" w:rsidR="00EA5B86" w:rsidRPr="00EA5B86" w:rsidRDefault="00EA5B86" w:rsidP="00EA5B86">
      <w:pPr>
        <w:pStyle w:val="BodyText"/>
        <w:spacing w:before="0" w:after="40"/>
      </w:pPr>
      <w:r w:rsidRPr="00EA5B86">
        <w:rPr>
          <w:sz w:val="16"/>
        </w:rPr>
        <w:t>Note: Totals may not sum due to rounding. ^Three pipelines included in the Brattle analysis are excluded from this table as they are outliers or are already partially heavily regulated. *Revenue available for 2018 and is used to provide an approximate indicator of the proportional difference in revenue (see Table 22 of Brattle report).</w:t>
      </w:r>
    </w:p>
    <w:p w14:paraId="1746B689" w14:textId="2970C2B9" w:rsidR="00501737" w:rsidRDefault="00EA5B86" w:rsidP="00EA5B86">
      <w:pPr>
        <w:pStyle w:val="BodyText"/>
      </w:pPr>
      <w:r w:rsidRPr="00D917E6">
        <w:t xml:space="preserve">These findings are </w:t>
      </w:r>
      <w:r w:rsidR="00522F17">
        <w:t xml:space="preserve">broadly </w:t>
      </w:r>
      <w:r w:rsidRPr="00D917E6">
        <w:t xml:space="preserve">consistent with </w:t>
      </w:r>
      <w:r w:rsidR="00522F17">
        <w:t xml:space="preserve">the </w:t>
      </w:r>
      <w:r w:rsidRPr="00D917E6">
        <w:t xml:space="preserve">analysis </w:t>
      </w:r>
      <w:r w:rsidR="00522F17">
        <w:t xml:space="preserve">undertaken by JP Morgan for </w:t>
      </w:r>
      <w:r w:rsidR="00062D09">
        <w:t xml:space="preserve">Dr Vertigan’s </w:t>
      </w:r>
      <w:r w:rsidR="00972B27">
        <w:t xml:space="preserve">2016 </w:t>
      </w:r>
      <w:r w:rsidR="00062D09" w:rsidRPr="00972B27">
        <w:t>Examination</w:t>
      </w:r>
      <w:r w:rsidR="00062D09" w:rsidRPr="006B4639">
        <w:rPr>
          <w:i/>
          <w:iCs/>
        </w:rPr>
        <w:t xml:space="preserve"> </w:t>
      </w:r>
      <w:r w:rsidRPr="00D917E6">
        <w:t xml:space="preserve">and </w:t>
      </w:r>
      <w:r w:rsidR="00062D09">
        <w:t xml:space="preserve">the </w:t>
      </w:r>
      <w:r w:rsidR="000F4EF5">
        <w:t xml:space="preserve">findings of the </w:t>
      </w:r>
      <w:r w:rsidRPr="00D917E6">
        <w:t>ACCC</w:t>
      </w:r>
      <w:r w:rsidR="00062D09">
        <w:t>’s</w:t>
      </w:r>
      <w:r w:rsidRPr="00D917E6">
        <w:t xml:space="preserve"> </w:t>
      </w:r>
      <w:r w:rsidR="00062D09">
        <w:t xml:space="preserve">2016 </w:t>
      </w:r>
      <w:r w:rsidR="007438B4">
        <w:t xml:space="preserve">and 2017-2025 </w:t>
      </w:r>
      <w:r w:rsidR="004221FB">
        <w:t>Inquir</w:t>
      </w:r>
      <w:r w:rsidR="007438B4">
        <w:t>ies</w:t>
      </w:r>
      <w:r w:rsidR="00972B27">
        <w:t>.</w:t>
      </w:r>
      <w:r w:rsidR="004031E8">
        <w:rPr>
          <w:rFonts w:ascii="ZWAdobeF" w:hAnsi="ZWAdobeF" w:cs="ZWAdobeF"/>
          <w:sz w:val="2"/>
          <w:szCs w:val="2"/>
        </w:rPr>
        <w:t>329F</w:t>
      </w:r>
      <w:r>
        <w:rPr>
          <w:rStyle w:val="FootnoteReference"/>
        </w:rPr>
        <w:footnoteReference w:id="331"/>
      </w:r>
      <w:r w:rsidRPr="00D917E6">
        <w:t xml:space="preserve"> </w:t>
      </w:r>
      <w:r w:rsidR="00A3351C" w:rsidRPr="00D917E6">
        <w:t>JP Morgan</w:t>
      </w:r>
      <w:r w:rsidR="00A3351C">
        <w:t xml:space="preserve">, for example, </w:t>
      </w:r>
      <w:r w:rsidR="00A3351C" w:rsidRPr="00D917E6">
        <w:t xml:space="preserve">found that the total return </w:t>
      </w:r>
      <w:r w:rsidR="00A3351C">
        <w:t xml:space="preserve">earned by APA </w:t>
      </w:r>
      <w:r w:rsidR="00A3351C" w:rsidRPr="00D917E6">
        <w:t>was double that of the average regulated electricity network operator</w:t>
      </w:r>
      <w:r w:rsidR="00093247">
        <w:t xml:space="preserve"> and noted that</w:t>
      </w:r>
      <w:r w:rsidR="00B82526">
        <w:t xml:space="preserve"> </w:t>
      </w:r>
      <w:r w:rsidR="00A3351C" w:rsidRPr="00D917E6">
        <w:t xml:space="preserve">difference </w:t>
      </w:r>
      <w:r w:rsidR="00B82526">
        <w:t xml:space="preserve">was </w:t>
      </w:r>
      <w:r w:rsidR="00A3351C" w:rsidRPr="00D917E6">
        <w:t>not wholly explained by the business’s risk characteristics.</w:t>
      </w:r>
      <w:r w:rsidR="00A3351C">
        <w:t xml:space="preserve"> </w:t>
      </w:r>
      <w:r w:rsidR="00501737">
        <w:t>In 2016 t</w:t>
      </w:r>
      <w:r w:rsidR="00B77D3F">
        <w:t xml:space="preserve">he </w:t>
      </w:r>
      <w:r w:rsidR="00B77D3F" w:rsidRPr="00D917E6">
        <w:t>ACCC</w:t>
      </w:r>
      <w:r w:rsidR="00B77D3F">
        <w:t xml:space="preserve"> also found </w:t>
      </w:r>
      <w:r w:rsidR="00B77D3F" w:rsidRPr="00D917E6">
        <w:t xml:space="preserve">evidence </w:t>
      </w:r>
      <w:r w:rsidR="00B77D3F">
        <w:t xml:space="preserve">of </w:t>
      </w:r>
      <w:r w:rsidR="00B77D3F" w:rsidRPr="00D917E6">
        <w:t xml:space="preserve">a large number of </w:t>
      </w:r>
      <w:r w:rsidR="00B77D3F">
        <w:t xml:space="preserve">service providers </w:t>
      </w:r>
      <w:r w:rsidR="00B77D3F" w:rsidRPr="00D917E6">
        <w:t>engaging in monopoly pricing</w:t>
      </w:r>
      <w:r w:rsidR="00E47553">
        <w:t xml:space="preserve">, with </w:t>
      </w:r>
      <w:r w:rsidR="00286C11">
        <w:lastRenderedPageBreak/>
        <w:t xml:space="preserve">the </w:t>
      </w:r>
      <w:r w:rsidR="00E47553">
        <w:t xml:space="preserve">return </w:t>
      </w:r>
      <w:r w:rsidR="00286C11">
        <w:t xml:space="preserve">on equity </w:t>
      </w:r>
      <w:r w:rsidR="00E47553">
        <w:t>assumed for incremental investments</w:t>
      </w:r>
      <w:r w:rsidR="00286C11">
        <w:t xml:space="preserve"> in the majority of cases being significantly higher than the AER’s benchmark return on equity</w:t>
      </w:r>
      <w:r w:rsidR="00E47553">
        <w:t xml:space="preserve">. </w:t>
      </w:r>
      <w:r w:rsidR="00B77D3F">
        <w:t xml:space="preserve">More recently, the </w:t>
      </w:r>
      <w:r w:rsidRPr="00D917E6">
        <w:t>ACCC</w:t>
      </w:r>
      <w:r w:rsidR="007438B4">
        <w:t xml:space="preserve"> has</w:t>
      </w:r>
      <w:r w:rsidR="00E635E6">
        <w:t xml:space="preserve"> </w:t>
      </w:r>
      <w:r w:rsidR="00501737">
        <w:t xml:space="preserve">found that the rates of return used by Part 23 pipelines for the purposes of calculating their recovered capital asset values were substantially higher than the </w:t>
      </w:r>
      <w:r w:rsidR="00334CCF">
        <w:t xml:space="preserve">contemporaneous </w:t>
      </w:r>
      <w:r w:rsidR="00501737">
        <w:t>rates allowed by the regulator</w:t>
      </w:r>
      <w:r w:rsidR="004D1967">
        <w:t xml:space="preserve"> (see Figure D.2)</w:t>
      </w:r>
      <w:r w:rsidR="00501737">
        <w:t>.</w:t>
      </w:r>
    </w:p>
    <w:p w14:paraId="0ED56D8E" w14:textId="77777777" w:rsidR="00501737" w:rsidRDefault="000E5AE4" w:rsidP="00003A21">
      <w:pPr>
        <w:pStyle w:val="Caption"/>
        <w:spacing w:after="0"/>
      </w:pPr>
      <w:r>
        <w:t>Figure D.</w:t>
      </w:r>
      <w:r w:rsidR="004D1967">
        <w:t>2</w:t>
      </w:r>
      <w:r>
        <w:t>: Nominal vanilla WACC assumptions used by service providers versus regulated return</w:t>
      </w:r>
    </w:p>
    <w:p w14:paraId="2CD89483" w14:textId="77777777" w:rsidR="000E5AE4" w:rsidRDefault="00B6312E" w:rsidP="00003A21">
      <w:pPr>
        <w:pStyle w:val="BodyText"/>
        <w:spacing w:before="0" w:after="0"/>
        <w:rPr>
          <w:lang w:eastAsia="fr-CA"/>
        </w:rPr>
      </w:pPr>
      <w:r w:rsidRPr="00B6312E">
        <w:rPr>
          <w:noProof/>
        </w:rPr>
        <w:drawing>
          <wp:inline distT="0" distB="0" distL="0" distR="0" wp14:anchorId="5D0A073A" wp14:editId="64C42245">
            <wp:extent cx="5695950" cy="3573505"/>
            <wp:effectExtent l="0" t="0" r="0" b="8255"/>
            <wp:docPr id="35" name="Picture 35" descr="P58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5850#yIS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09878" cy="3582243"/>
                    </a:xfrm>
                    <a:prstGeom prst="rect">
                      <a:avLst/>
                    </a:prstGeom>
                    <a:noFill/>
                    <a:ln>
                      <a:noFill/>
                    </a:ln>
                  </pic:spPr>
                </pic:pic>
              </a:graphicData>
            </a:graphic>
          </wp:inline>
        </w:drawing>
      </w:r>
    </w:p>
    <w:p w14:paraId="0BC63AB6" w14:textId="77777777" w:rsidR="00B6312E" w:rsidRPr="00334CCF" w:rsidRDefault="00B6312E" w:rsidP="00334CCF">
      <w:pPr>
        <w:pStyle w:val="BodyText"/>
        <w:spacing w:before="0"/>
        <w:rPr>
          <w:sz w:val="16"/>
          <w:szCs w:val="16"/>
          <w:lang w:eastAsia="fr-CA"/>
        </w:rPr>
      </w:pPr>
      <w:r w:rsidRPr="00334CCF">
        <w:rPr>
          <w:sz w:val="16"/>
          <w:szCs w:val="16"/>
          <w:lang w:eastAsia="fr-CA"/>
        </w:rPr>
        <w:t>Source: ACCC, Gas Inquiry, July 2019 interim report, p. 151.</w:t>
      </w:r>
    </w:p>
    <w:p w14:paraId="4EC718C8" w14:textId="77777777" w:rsidR="00EA5B86" w:rsidRPr="00D917E6" w:rsidRDefault="00C5150A" w:rsidP="00EA5B86">
      <w:pPr>
        <w:pStyle w:val="BodyText"/>
      </w:pPr>
      <w:r>
        <w:t xml:space="preserve">It is worth noting that the </w:t>
      </w:r>
      <w:r w:rsidR="00EA5B86" w:rsidRPr="00D917E6">
        <w:t>12</w:t>
      </w:r>
      <w:r w:rsidR="00711797">
        <w:t>%</w:t>
      </w:r>
      <w:r w:rsidR="00EA5B86" w:rsidRPr="00D917E6">
        <w:t xml:space="preserve"> revenue premium calculated above only accounts for the decrease in the rates of return and does not include other cost reductions that may arise from greater scrutiny </w:t>
      </w:r>
      <w:r w:rsidR="00B57E7F">
        <w:t xml:space="preserve">by a regulator </w:t>
      </w:r>
      <w:r w:rsidR="00EA5B86" w:rsidRPr="00D917E6">
        <w:t xml:space="preserve">of </w:t>
      </w:r>
      <w:r w:rsidR="00B57E7F">
        <w:t xml:space="preserve">a </w:t>
      </w:r>
      <w:r w:rsidR="00EA5B86" w:rsidRPr="00D917E6">
        <w:t xml:space="preserve">service provider’s overall costs and asset values. </w:t>
      </w:r>
      <w:r>
        <w:t xml:space="preserve">The </w:t>
      </w:r>
      <w:r w:rsidR="00EA5B86" w:rsidRPr="00D917E6">
        <w:t>12</w:t>
      </w:r>
      <w:r w:rsidR="00711797">
        <w:t>%</w:t>
      </w:r>
      <w:r w:rsidR="00EA5B86" w:rsidRPr="00D917E6">
        <w:t xml:space="preserve"> </w:t>
      </w:r>
      <w:r>
        <w:t xml:space="preserve">may therefore be viewed as </w:t>
      </w:r>
      <w:r w:rsidR="00EA5B86" w:rsidRPr="00D917E6">
        <w:t xml:space="preserve">a conservative estimate of the magnitude of the decrease in prices that </w:t>
      </w:r>
      <w:r w:rsidR="00EA551A">
        <w:t>c</w:t>
      </w:r>
      <w:r w:rsidR="00EA5B86" w:rsidRPr="00D917E6">
        <w:t xml:space="preserve">ould be expected. If increased numbers of service providers’ pipelines were to be subject to </w:t>
      </w:r>
      <w:r w:rsidR="00531979">
        <w:t>stronger</w:t>
      </w:r>
      <w:r w:rsidR="00EA5B86" w:rsidRPr="00D917E6">
        <w:t xml:space="preserve"> form of regulation, the lower rates of return allowed by the AER would likely </w:t>
      </w:r>
      <w:r w:rsidR="00015B59">
        <w:t>result in a fall in</w:t>
      </w:r>
      <w:r w:rsidR="00EA5B86" w:rsidRPr="00D917E6">
        <w:t xml:space="preserve"> prices for reference services and benefit the </w:t>
      </w:r>
      <w:r w:rsidR="00015B59">
        <w:t xml:space="preserve">broader </w:t>
      </w:r>
      <w:r w:rsidR="00EA5B86" w:rsidRPr="00D917E6">
        <w:t>economy.</w:t>
      </w:r>
    </w:p>
    <w:p w14:paraId="470E8121" w14:textId="65EB0D7E" w:rsidR="00EA5B86" w:rsidRPr="001B0985" w:rsidRDefault="00EA5B86" w:rsidP="00EA5B86">
      <w:pPr>
        <w:pStyle w:val="BodyText"/>
      </w:pPr>
      <w:r w:rsidRPr="00D917E6">
        <w:t xml:space="preserve">The broader benefits relate to the indirect impact that </w:t>
      </w:r>
      <w:r w:rsidR="00CA1E74">
        <w:t xml:space="preserve">lower transportation charges would have on the </w:t>
      </w:r>
      <w:r w:rsidRPr="00D917E6">
        <w:t>competitiveness of energy intensive and trade- exposed sectors of the economy. Businesses like smelters, plastics, glass, paper, steel and chemical manufacturers are particularly energy intensive and larger users of gas.</w:t>
      </w:r>
      <w:r w:rsidR="004031E8">
        <w:rPr>
          <w:rFonts w:ascii="ZWAdobeF" w:hAnsi="ZWAdobeF" w:cs="ZWAdobeF"/>
          <w:sz w:val="2"/>
          <w:szCs w:val="2"/>
        </w:rPr>
        <w:t>330F</w:t>
      </w:r>
      <w:r>
        <w:rPr>
          <w:rStyle w:val="FootnoteReference"/>
        </w:rPr>
        <w:footnoteReference w:id="332"/>
      </w:r>
      <w:r w:rsidRPr="00D917E6">
        <w:t xml:space="preserve"> These sectors are also trade-</w:t>
      </w:r>
      <w:r w:rsidRPr="001B0985">
        <w:t>exposed where they either export from Australia and compete against foreigners globally or they produce locally but compete against imported products. To the extent that their input costs are lower, these businesses will be more competitive internationally and locally. These benefits could extend to including the impacts of downward pressure on prices due to increased threat of regulation that arises when monitoring is undertaken (although that effect is not explicitly factored in here, just the change to the regulated rate of return).</w:t>
      </w:r>
    </w:p>
    <w:p w14:paraId="127CABFA" w14:textId="77777777" w:rsidR="00EA5B86" w:rsidRPr="001B0985" w:rsidRDefault="00EA5B86" w:rsidP="00EA5B86">
      <w:pPr>
        <w:pStyle w:val="BodyText"/>
      </w:pPr>
      <w:r w:rsidRPr="001B0985">
        <w:lastRenderedPageBreak/>
        <w:t>It is important to note that increased shipper bargaining power leading to lower prices and a decrease in pipeline service operator revenue is an economic transfer; from producer surplus to consumer surplus. Due to the monopolistic nature of the market, there is also a net economic gain that may be captured from the reduction in the deadweight loss; this is seen in the improved competitiveness of downstream users of gas and is the focus of the benefit analysis.</w:t>
      </w:r>
    </w:p>
    <w:p w14:paraId="53DE5941" w14:textId="77777777" w:rsidR="00EA5B86" w:rsidRPr="001B0985" w:rsidRDefault="00EA5B86" w:rsidP="00EA5B86">
      <w:pPr>
        <w:pStyle w:val="AppendixHeading3"/>
      </w:pPr>
      <w:r w:rsidRPr="001B0985">
        <w:t>Generating net economy-wide benefits through CGE</w:t>
      </w:r>
      <w:r w:rsidRPr="001B0985">
        <w:rPr>
          <w:spacing w:val="-16"/>
        </w:rPr>
        <w:t xml:space="preserve"> </w:t>
      </w:r>
      <w:r w:rsidRPr="001B0985">
        <w:t>analysis</w:t>
      </w:r>
    </w:p>
    <w:p w14:paraId="1412FEBD" w14:textId="05719642" w:rsidR="003F437C" w:rsidRDefault="00EA5B86" w:rsidP="00EA5B86">
      <w:pPr>
        <w:pStyle w:val="BodyText"/>
      </w:pPr>
      <w:r w:rsidRPr="001B0985">
        <w:t xml:space="preserve">The approach </w:t>
      </w:r>
      <w:r w:rsidR="004241AA">
        <w:t xml:space="preserve">PwC has used to analyse </w:t>
      </w:r>
      <w:r w:rsidRPr="001B0985">
        <w:t xml:space="preserve">this benefit is to quantify the direct impact - changes in </w:t>
      </w:r>
      <w:r w:rsidR="00531259">
        <w:t xml:space="preserve">service providers’ </w:t>
      </w:r>
      <w:r w:rsidRPr="001B0985">
        <w:t>revenues after accounting for the increase</w:t>
      </w:r>
      <w:r w:rsidR="00AB4440">
        <w:t>d</w:t>
      </w:r>
      <w:r w:rsidRPr="001B0985">
        <w:t xml:space="preserve"> cost of regulation </w:t>
      </w:r>
      <w:r w:rsidR="00AB4440">
        <w:t xml:space="preserve">(for service providers, shippers and </w:t>
      </w:r>
      <w:r w:rsidRPr="001B0985">
        <w:t>regulators</w:t>
      </w:r>
      <w:r w:rsidR="00AB4440">
        <w:t>)</w:t>
      </w:r>
      <w:r w:rsidR="004031E8">
        <w:rPr>
          <w:rFonts w:ascii="ZWAdobeF" w:hAnsi="ZWAdobeF" w:cs="ZWAdobeF"/>
          <w:sz w:val="2"/>
          <w:szCs w:val="2"/>
        </w:rPr>
        <w:t>331F</w:t>
      </w:r>
      <w:r w:rsidR="0064068F">
        <w:rPr>
          <w:rStyle w:val="FootnoteReference"/>
        </w:rPr>
        <w:footnoteReference w:id="333"/>
      </w:r>
      <w:r w:rsidRPr="001B0985">
        <w:t xml:space="preserve"> - and then analyse this in an economy-wide model to simulate the flow on impact across the economy as lower gas transport costs improve the competitiveness of trade exposed energy intensive users. </w:t>
      </w:r>
    </w:p>
    <w:p w14:paraId="37C35042" w14:textId="77777777" w:rsidR="00EA5B86" w:rsidRPr="001B0985" w:rsidRDefault="00EA5B86" w:rsidP="00C3000C">
      <w:pPr>
        <w:pStyle w:val="BodyText"/>
        <w:rPr>
          <w:rFonts w:ascii="Symbol" w:hAnsi="Symbol"/>
        </w:rPr>
      </w:pPr>
      <w:r w:rsidRPr="001B0985">
        <w:t>The information to quantify the direct impact on revenues and the rates of return on capital has</w:t>
      </w:r>
      <w:r w:rsidRPr="001B0985">
        <w:rPr>
          <w:spacing w:val="-33"/>
        </w:rPr>
        <w:t xml:space="preserve"> </w:t>
      </w:r>
      <w:r w:rsidRPr="001B0985">
        <w:t>been informed by both consultations with stakeholders, regulators and desktop</w:t>
      </w:r>
      <w:r w:rsidRPr="001B0985">
        <w:rPr>
          <w:spacing w:val="-9"/>
        </w:rPr>
        <w:t xml:space="preserve"> </w:t>
      </w:r>
      <w:r w:rsidRPr="001B0985">
        <w:t>research.</w:t>
      </w:r>
    </w:p>
    <w:p w14:paraId="5AEAC546" w14:textId="77777777" w:rsidR="00EA5B86" w:rsidRPr="00EA5B86" w:rsidRDefault="00EA5B86" w:rsidP="00C3000C">
      <w:pPr>
        <w:pStyle w:val="BodyText"/>
        <w:rPr>
          <w:rFonts w:ascii="Symbol" w:hAnsi="Symbol"/>
        </w:rPr>
      </w:pPr>
      <w:r w:rsidRPr="001B0985">
        <w:t xml:space="preserve">The economy-wide model </w:t>
      </w:r>
      <w:r w:rsidR="00C3000C">
        <w:t xml:space="preserve">that PwC has </w:t>
      </w:r>
      <w:r w:rsidRPr="001B0985">
        <w:t>used is a computable general equilibrium (CGE) model. CGE models provide</w:t>
      </w:r>
      <w:r w:rsidRPr="00EA5B86">
        <w:rPr>
          <w:spacing w:val="-32"/>
        </w:rPr>
        <w:t xml:space="preserve"> </w:t>
      </w:r>
      <w:r w:rsidRPr="001B0985">
        <w:t xml:space="preserve">a robust, coherent framework for assessing the general equilibrium effects of shocks to the gas market, by accounting for the flow on effects to other industries, households and prices over time. </w:t>
      </w:r>
      <w:r w:rsidR="00C57DE8">
        <w:t xml:space="preserve">PwC has </w:t>
      </w:r>
      <w:r w:rsidRPr="001B0985">
        <w:t xml:space="preserve">used the Victoria University Regional Model (VURM), which is a multi-regional, dynamic CGE model that distinguishes up to eight Australian regions (six States and two Territories) and up to 144 commodities/industries. This CGE model framework is described in further detail </w:t>
      </w:r>
      <w:r w:rsidR="00A7636C">
        <w:t>in Box D.1</w:t>
      </w:r>
      <w:r>
        <w:t xml:space="preserve">. </w:t>
      </w:r>
    </w:p>
    <w:p w14:paraId="7B9EEB56" w14:textId="77777777" w:rsidR="00EA5B86" w:rsidRPr="001B0985" w:rsidRDefault="00EA5B86" w:rsidP="00C3000C">
      <w:pPr>
        <w:pStyle w:val="BodyText"/>
        <w:rPr>
          <w:rFonts w:ascii="Symbol" w:hAnsi="Symbol"/>
        </w:rPr>
      </w:pPr>
      <w:r w:rsidRPr="001B0985">
        <w:t xml:space="preserve">The economic impacts of the reforms </w:t>
      </w:r>
      <w:r w:rsidR="00C3000C">
        <w:t xml:space="preserve">have been </w:t>
      </w:r>
      <w:r w:rsidRPr="001B0985">
        <w:t xml:space="preserve">quantified by comparing a base case – that is projections under the status quo </w:t>
      </w:r>
      <w:r w:rsidR="00CE2728">
        <w:t xml:space="preserve">(Option 1) </w:t>
      </w:r>
      <w:r w:rsidRPr="001B0985">
        <w:t xml:space="preserve">– with </w:t>
      </w:r>
      <w:r w:rsidR="00CE2728">
        <w:t>the reform options</w:t>
      </w:r>
      <w:r w:rsidRPr="001B0985">
        <w:t xml:space="preserve">. The </w:t>
      </w:r>
      <w:r w:rsidR="00CE2728">
        <w:t xml:space="preserve">reform options </w:t>
      </w:r>
      <w:r w:rsidRPr="001B0985">
        <w:t>simulate the economy with ‘shocks’</w:t>
      </w:r>
      <w:r w:rsidRPr="001B0985">
        <w:rPr>
          <w:spacing w:val="-4"/>
        </w:rPr>
        <w:t xml:space="preserve"> </w:t>
      </w:r>
      <w:r w:rsidRPr="001B0985">
        <w:t>to</w:t>
      </w:r>
      <w:r w:rsidRPr="001B0985">
        <w:rPr>
          <w:spacing w:val="-3"/>
        </w:rPr>
        <w:t xml:space="preserve"> </w:t>
      </w:r>
      <w:r w:rsidRPr="001B0985">
        <w:t>the</w:t>
      </w:r>
      <w:r w:rsidRPr="001B0985">
        <w:rPr>
          <w:spacing w:val="-2"/>
        </w:rPr>
        <w:t xml:space="preserve"> </w:t>
      </w:r>
      <w:r w:rsidRPr="001B0985">
        <w:t>base</w:t>
      </w:r>
      <w:r w:rsidRPr="001B0985">
        <w:rPr>
          <w:spacing w:val="-3"/>
        </w:rPr>
        <w:t xml:space="preserve"> </w:t>
      </w:r>
      <w:r w:rsidRPr="001B0985">
        <w:t>case</w:t>
      </w:r>
      <w:r w:rsidRPr="001B0985">
        <w:rPr>
          <w:spacing w:val="-2"/>
        </w:rPr>
        <w:t xml:space="preserve"> </w:t>
      </w:r>
      <w:r w:rsidRPr="001B0985">
        <w:t>to</w:t>
      </w:r>
      <w:r w:rsidRPr="001B0985">
        <w:rPr>
          <w:spacing w:val="-3"/>
        </w:rPr>
        <w:t xml:space="preserve"> </w:t>
      </w:r>
      <w:r w:rsidRPr="001B0985">
        <w:t>represent</w:t>
      </w:r>
      <w:r w:rsidRPr="001B0985">
        <w:rPr>
          <w:spacing w:val="-3"/>
        </w:rPr>
        <w:t xml:space="preserve"> </w:t>
      </w:r>
      <w:r w:rsidRPr="001B0985">
        <w:t>the</w:t>
      </w:r>
      <w:r w:rsidRPr="001B0985">
        <w:rPr>
          <w:spacing w:val="-3"/>
        </w:rPr>
        <w:t xml:space="preserve"> </w:t>
      </w:r>
      <w:r w:rsidRPr="001B0985">
        <w:t>direct</w:t>
      </w:r>
      <w:r w:rsidRPr="001B0985">
        <w:rPr>
          <w:spacing w:val="-2"/>
        </w:rPr>
        <w:t xml:space="preserve"> </w:t>
      </w:r>
      <w:r w:rsidRPr="001B0985">
        <w:t>impacts</w:t>
      </w:r>
      <w:r w:rsidRPr="001B0985">
        <w:rPr>
          <w:spacing w:val="-2"/>
        </w:rPr>
        <w:t xml:space="preserve"> </w:t>
      </w:r>
      <w:r w:rsidRPr="001B0985">
        <w:t>of</w:t>
      </w:r>
      <w:r w:rsidRPr="001B0985">
        <w:rPr>
          <w:spacing w:val="-4"/>
        </w:rPr>
        <w:t xml:space="preserve"> </w:t>
      </w:r>
      <w:r w:rsidRPr="001B0985">
        <w:t>the</w:t>
      </w:r>
      <w:r w:rsidRPr="001B0985">
        <w:rPr>
          <w:spacing w:val="-3"/>
        </w:rPr>
        <w:t xml:space="preserve"> </w:t>
      </w:r>
      <w:r w:rsidRPr="001B0985">
        <w:t>reforms.</w:t>
      </w:r>
      <w:r w:rsidRPr="001B0985">
        <w:rPr>
          <w:spacing w:val="-2"/>
        </w:rPr>
        <w:t xml:space="preserve"> </w:t>
      </w:r>
      <w:r w:rsidRPr="001B0985">
        <w:t>That</w:t>
      </w:r>
      <w:r w:rsidRPr="001B0985">
        <w:rPr>
          <w:spacing w:val="-1"/>
        </w:rPr>
        <w:t xml:space="preserve"> </w:t>
      </w:r>
      <w:r w:rsidRPr="001B0985">
        <w:t>is,</w:t>
      </w:r>
      <w:r w:rsidRPr="001B0985">
        <w:rPr>
          <w:spacing w:val="-3"/>
        </w:rPr>
        <w:t xml:space="preserve"> </w:t>
      </w:r>
      <w:r w:rsidRPr="001B0985">
        <w:t>the</w:t>
      </w:r>
      <w:r w:rsidRPr="001B0985">
        <w:rPr>
          <w:spacing w:val="-4"/>
        </w:rPr>
        <w:t xml:space="preserve"> </w:t>
      </w:r>
      <w:r w:rsidRPr="001B0985">
        <w:t>study</w:t>
      </w:r>
      <w:r w:rsidRPr="001B0985">
        <w:rPr>
          <w:spacing w:val="1"/>
        </w:rPr>
        <w:t xml:space="preserve"> </w:t>
      </w:r>
      <w:r w:rsidRPr="001B0985">
        <w:t>does</w:t>
      </w:r>
      <w:r w:rsidRPr="001B0985">
        <w:rPr>
          <w:spacing w:val="-2"/>
        </w:rPr>
        <w:t xml:space="preserve"> </w:t>
      </w:r>
      <w:r w:rsidRPr="001B0985">
        <w:t>not</w:t>
      </w:r>
      <w:r w:rsidRPr="001B0985">
        <w:rPr>
          <w:spacing w:val="-4"/>
        </w:rPr>
        <w:t xml:space="preserve"> </w:t>
      </w:r>
      <w:r w:rsidRPr="001B0985">
        <w:t>aim</w:t>
      </w:r>
      <w:r w:rsidRPr="001B0985">
        <w:rPr>
          <w:spacing w:val="-1"/>
        </w:rPr>
        <w:t xml:space="preserve"> </w:t>
      </w:r>
      <w:r w:rsidRPr="001B0985">
        <w:t>to measure if the reforms are optimally designed or timed, but rather the benefits of the reforms relative to a continuation of the status</w:t>
      </w:r>
      <w:r w:rsidRPr="001B0985">
        <w:rPr>
          <w:spacing w:val="-2"/>
        </w:rPr>
        <w:t xml:space="preserve"> </w:t>
      </w:r>
      <w:r w:rsidRPr="001B0985">
        <w:t>quo.</w:t>
      </w:r>
    </w:p>
    <w:p w14:paraId="1AB74B70" w14:textId="77777777" w:rsidR="00EA5B86" w:rsidRPr="001B0985" w:rsidRDefault="00EA5B86" w:rsidP="00C3000C">
      <w:pPr>
        <w:pStyle w:val="BodyText"/>
        <w:rPr>
          <w:rFonts w:ascii="Symbol" w:hAnsi="Symbol"/>
        </w:rPr>
      </w:pPr>
      <w:r w:rsidRPr="001B0985">
        <w:t>The change in economic welfare estimated from the CGE modelling is based on household consumption as this is considered a proxy measure for standard of living; if household consumption increases, then consumers are better off as they are able to spend more on goods and</w:t>
      </w:r>
      <w:r w:rsidRPr="001B0985">
        <w:rPr>
          <w:spacing w:val="-7"/>
        </w:rPr>
        <w:t xml:space="preserve"> </w:t>
      </w:r>
      <w:r w:rsidRPr="001B0985">
        <w:t>services.</w:t>
      </w:r>
    </w:p>
    <w:p w14:paraId="04D5D1A5" w14:textId="77777777" w:rsidR="00EA5B86" w:rsidRPr="001B0985" w:rsidRDefault="00EA5B86" w:rsidP="00C3000C">
      <w:pPr>
        <w:pStyle w:val="BodyText"/>
        <w:rPr>
          <w:rFonts w:ascii="Symbol" w:hAnsi="Symbol"/>
        </w:rPr>
      </w:pPr>
      <w:r w:rsidRPr="001B0985">
        <w:t>The CGE model’s base case represents the economic future under Option</w:t>
      </w:r>
      <w:r w:rsidRPr="001B0985">
        <w:rPr>
          <w:spacing w:val="-6"/>
        </w:rPr>
        <w:t xml:space="preserve"> </w:t>
      </w:r>
      <w:r w:rsidRPr="001B0985">
        <w:t>1.</w:t>
      </w:r>
      <w:r w:rsidR="00C3000C">
        <w:t xml:space="preserve"> </w:t>
      </w:r>
      <w:r w:rsidRPr="001B0985">
        <w:t>The reform options include shocks to the base case, which alter the projected path of the economy. The resulting deviations of this path from the base case represent the economic impact of the</w:t>
      </w:r>
      <w:r w:rsidRPr="001B0985">
        <w:rPr>
          <w:spacing w:val="-20"/>
        </w:rPr>
        <w:t xml:space="preserve"> </w:t>
      </w:r>
      <w:r w:rsidRPr="001B0985">
        <w:t>policies.</w:t>
      </w:r>
      <w:r w:rsidR="00C3000C">
        <w:t xml:space="preserve"> </w:t>
      </w:r>
      <w:r w:rsidRPr="001B0985">
        <w:t xml:space="preserve">The shocks in the analysis are solely the product of the shift of pipelines under light regulation and subject to Part 23 to the </w:t>
      </w:r>
      <w:r w:rsidR="00531979">
        <w:t>stronger</w:t>
      </w:r>
      <w:r w:rsidRPr="001B0985">
        <w:t xml:space="preserve"> form of regulation and the decrease in the prices paid by the shippers on those pipelines. The shocks </w:t>
      </w:r>
      <w:r w:rsidR="005E0591">
        <w:t xml:space="preserve">are assumed to </w:t>
      </w:r>
      <w:r w:rsidRPr="001B0985">
        <w:t>begin in</w:t>
      </w:r>
      <w:r w:rsidRPr="001B0985">
        <w:rPr>
          <w:spacing w:val="-5"/>
        </w:rPr>
        <w:t xml:space="preserve"> </w:t>
      </w:r>
      <w:r w:rsidRPr="001B0985">
        <w:t>2021.</w:t>
      </w:r>
    </w:p>
    <w:p w14:paraId="19D86522" w14:textId="77777777" w:rsidR="00EA5B86" w:rsidRDefault="00123859" w:rsidP="00EA5B86">
      <w:pPr>
        <w:pStyle w:val="BodyText"/>
      </w:pPr>
      <w:r>
        <w:lastRenderedPageBreak/>
        <w:t>The figure below</w:t>
      </w:r>
      <w:r w:rsidR="00EA5B86" w:rsidRPr="001B0985">
        <w:t xml:space="preserve"> summarises how the model estimates the benefits from the decrease in return on capital from the firm forward haul transportation services becoming ‘reference services’ for the selected pipelines and how this is offset by the increased costs.</w:t>
      </w:r>
    </w:p>
    <w:p w14:paraId="1DAC9A0D" w14:textId="77777777" w:rsidR="00BC21EB" w:rsidRDefault="00BC21EB" w:rsidP="00BC21EB">
      <w:pPr>
        <w:pStyle w:val="Caption"/>
        <w:spacing w:before="0" w:after="0"/>
      </w:pPr>
      <w:r>
        <w:t>Figure D.3: Input based on the decrease in return on capital</w:t>
      </w:r>
    </w:p>
    <w:p w14:paraId="019EB041" w14:textId="77777777" w:rsidR="00BC21EB" w:rsidRDefault="00BC21EB" w:rsidP="00BC21EB">
      <w:pPr>
        <w:pStyle w:val="BodyText"/>
        <w:spacing w:before="0" w:after="0" w:line="240" w:lineRule="auto"/>
      </w:pPr>
      <w:r w:rsidRPr="00BC21EB">
        <w:rPr>
          <w:noProof/>
        </w:rPr>
        <w:drawing>
          <wp:inline distT="0" distB="0" distL="0" distR="0" wp14:anchorId="5363A7FA" wp14:editId="313005C7">
            <wp:extent cx="6000750" cy="3448050"/>
            <wp:effectExtent l="0" t="0" r="0" b="0"/>
            <wp:docPr id="36" name="Picture 36" descr="P58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5864#yIS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03054" cy="3449374"/>
                    </a:xfrm>
                    <a:prstGeom prst="rect">
                      <a:avLst/>
                    </a:prstGeom>
                    <a:noFill/>
                    <a:ln>
                      <a:noFill/>
                    </a:ln>
                  </pic:spPr>
                </pic:pic>
              </a:graphicData>
            </a:graphic>
          </wp:inline>
        </w:drawing>
      </w:r>
    </w:p>
    <w:p w14:paraId="3FDC64B0" w14:textId="77777777" w:rsidR="00BC21EB" w:rsidRDefault="00BC21EB" w:rsidP="00BC21EB">
      <w:pPr>
        <w:pStyle w:val="BodyText"/>
        <w:spacing w:before="0"/>
        <w:rPr>
          <w:sz w:val="16"/>
          <w:szCs w:val="16"/>
        </w:rPr>
      </w:pPr>
      <w:r w:rsidRPr="00BC21EB">
        <w:rPr>
          <w:sz w:val="16"/>
          <w:szCs w:val="16"/>
        </w:rPr>
        <w:t>Source: PwC analysis.</w:t>
      </w:r>
    </w:p>
    <w:p w14:paraId="050F7AD3" w14:textId="77777777" w:rsidR="00A7636C" w:rsidRDefault="00A7636C" w:rsidP="00A7636C">
      <w:pPr>
        <w:pStyle w:val="Caption"/>
        <w:spacing w:after="0"/>
      </w:pPr>
      <w:r>
        <w:t xml:space="preserve">Box D.1: CGE Modelling </w:t>
      </w:r>
    </w:p>
    <w:tbl>
      <w:tblPr>
        <w:tblStyle w:val="PullOutBoxTable"/>
        <w:tblW w:w="5000" w:type="pct"/>
        <w:tblLook w:val="0600" w:firstRow="0" w:lastRow="0" w:firstColumn="0" w:lastColumn="0" w:noHBand="1" w:noVBand="1"/>
      </w:tblPr>
      <w:tblGrid>
        <w:gridCol w:w="8788"/>
      </w:tblGrid>
      <w:tr w:rsidR="00A7636C" w14:paraId="33D28EB0" w14:textId="77777777" w:rsidTr="00A7636C">
        <w:tc>
          <w:tcPr>
            <w:tcW w:w="5000" w:type="pct"/>
          </w:tcPr>
          <w:p w14:paraId="3DE7A926" w14:textId="77777777" w:rsidR="00A7636C" w:rsidRPr="00A7636C" w:rsidRDefault="00A7636C" w:rsidP="00A7636C">
            <w:pPr>
              <w:pStyle w:val="BodyText"/>
              <w:spacing w:before="120"/>
              <w:rPr>
                <w:sz w:val="20"/>
                <w:szCs w:val="20"/>
              </w:rPr>
            </w:pPr>
            <w:r w:rsidRPr="00A7636C">
              <w:rPr>
                <w:sz w:val="20"/>
                <w:szCs w:val="20"/>
              </w:rPr>
              <w:t xml:space="preserve">CGE modelling is an economic modelling technique used to evaluate the direct and indirect impacts of policy reforms, environmental impacts, and other economy-wide changes. </w:t>
            </w:r>
          </w:p>
          <w:p w14:paraId="7B50EEFE" w14:textId="77777777" w:rsidR="00A7636C" w:rsidRPr="00A7636C" w:rsidRDefault="00A7636C" w:rsidP="00A7636C">
            <w:pPr>
              <w:pStyle w:val="AppendixHeading3"/>
              <w:numPr>
                <w:ilvl w:val="0"/>
                <w:numId w:val="0"/>
              </w:numPr>
              <w:spacing w:before="120"/>
              <w:ind w:left="851" w:hanging="851"/>
              <w:rPr>
                <w:sz w:val="20"/>
                <w:szCs w:val="20"/>
              </w:rPr>
            </w:pPr>
            <w:r w:rsidRPr="00A7636C">
              <w:rPr>
                <w:sz w:val="20"/>
                <w:szCs w:val="20"/>
              </w:rPr>
              <w:t>What are CGE</w:t>
            </w:r>
            <w:r w:rsidRPr="00A7636C">
              <w:rPr>
                <w:spacing w:val="-1"/>
                <w:sz w:val="20"/>
                <w:szCs w:val="20"/>
              </w:rPr>
              <w:t xml:space="preserve"> </w:t>
            </w:r>
            <w:r w:rsidRPr="00A7636C">
              <w:rPr>
                <w:sz w:val="20"/>
                <w:szCs w:val="20"/>
              </w:rPr>
              <w:t>models?</w:t>
            </w:r>
          </w:p>
          <w:p w14:paraId="6AED7E75" w14:textId="77777777" w:rsidR="00A7636C" w:rsidRPr="00A7636C" w:rsidRDefault="00A7636C" w:rsidP="00A7636C">
            <w:pPr>
              <w:pStyle w:val="BodyText"/>
              <w:spacing w:before="120"/>
              <w:rPr>
                <w:sz w:val="20"/>
                <w:szCs w:val="20"/>
              </w:rPr>
            </w:pPr>
            <w:r w:rsidRPr="00A7636C">
              <w:rPr>
                <w:sz w:val="20"/>
                <w:szCs w:val="20"/>
              </w:rPr>
              <w:t>CGE models are detailed representations of the Australian economy, combining a real-world database (sourced from ABS input–output tables) with economic theory. These models are used to estimate the impact of external changes on the real economy. Based on the input – output National Accounting framework, they focus on the productive economy by looking at the way that different industries demand labour, capital and intermediate inputs subject to economic capacity constraints. Prices in the model are market clearing by</w:t>
            </w:r>
            <w:r w:rsidRPr="00A7636C">
              <w:rPr>
                <w:spacing w:val="-35"/>
                <w:sz w:val="20"/>
                <w:szCs w:val="20"/>
              </w:rPr>
              <w:t xml:space="preserve"> </w:t>
            </w:r>
            <w:r w:rsidRPr="00A7636C">
              <w:rPr>
                <w:sz w:val="20"/>
                <w:szCs w:val="20"/>
              </w:rPr>
              <w:t>default for all goods and services (although this assumption can be relaxed). The models include numerous industries, regions, and labour types, as well as several types of final demand (consumption, investment, state and</w:t>
            </w:r>
            <w:r w:rsidRPr="00A7636C">
              <w:rPr>
                <w:spacing w:val="-35"/>
                <w:sz w:val="20"/>
                <w:szCs w:val="20"/>
              </w:rPr>
              <w:t xml:space="preserve"> </w:t>
            </w:r>
            <w:r w:rsidRPr="00A7636C">
              <w:rPr>
                <w:sz w:val="20"/>
                <w:szCs w:val="20"/>
              </w:rPr>
              <w:t>federal governments, and</w:t>
            </w:r>
            <w:r w:rsidRPr="00A7636C">
              <w:rPr>
                <w:spacing w:val="-1"/>
                <w:sz w:val="20"/>
                <w:szCs w:val="20"/>
              </w:rPr>
              <w:t xml:space="preserve"> </w:t>
            </w:r>
            <w:r w:rsidRPr="00A7636C">
              <w:rPr>
                <w:sz w:val="20"/>
                <w:szCs w:val="20"/>
              </w:rPr>
              <w:t>exports).</w:t>
            </w:r>
          </w:p>
          <w:p w14:paraId="341935D5" w14:textId="77777777" w:rsidR="00A7636C" w:rsidRPr="00A7636C" w:rsidRDefault="00A7636C" w:rsidP="00A7636C">
            <w:pPr>
              <w:pStyle w:val="BodyText"/>
              <w:spacing w:before="120"/>
              <w:rPr>
                <w:sz w:val="20"/>
                <w:szCs w:val="20"/>
              </w:rPr>
            </w:pPr>
            <w:r w:rsidRPr="00A7636C">
              <w:rPr>
                <w:sz w:val="20"/>
                <w:szCs w:val="20"/>
              </w:rPr>
              <w:t>CGE models are used to examine the economy-wide impacts of reform. By including each industry’s demand for intermediate inputs, inter-state trade connections, and labour–capital intensity, the degree to which one industry impacts on another can be estimated. This not only includes the productive output of all industries, but also the income flows associated payments to labour, capital and governments (through taxation). In this way CGE models are used to examine three changes associated with an external impact to the economy (called a ‘shock’):</w:t>
            </w:r>
          </w:p>
          <w:p w14:paraId="4632F270" w14:textId="77777777" w:rsidR="00A7636C" w:rsidRPr="00A7636C" w:rsidRDefault="00A7636C" w:rsidP="00AD36B8">
            <w:pPr>
              <w:pStyle w:val="ListBullet"/>
              <w:rPr>
                <w:rFonts w:ascii="Symbol" w:hAnsi="Symbol"/>
              </w:rPr>
            </w:pPr>
            <w:r w:rsidRPr="00A7636C">
              <w:t>the degree to which the shock impacts directly on the industries targeted by the</w:t>
            </w:r>
            <w:r w:rsidRPr="00A7636C">
              <w:rPr>
                <w:spacing w:val="-9"/>
              </w:rPr>
              <w:t xml:space="preserve"> </w:t>
            </w:r>
            <w:r w:rsidRPr="00A7636C">
              <w:t>change;</w:t>
            </w:r>
          </w:p>
          <w:p w14:paraId="2B8B8629" w14:textId="77777777" w:rsidR="00A7636C" w:rsidRPr="00A7636C" w:rsidRDefault="00A7636C" w:rsidP="00AD36B8">
            <w:pPr>
              <w:pStyle w:val="ListBullet"/>
              <w:rPr>
                <w:rFonts w:ascii="Symbol" w:hAnsi="Symbol"/>
              </w:rPr>
            </w:pPr>
            <w:r w:rsidRPr="00A7636C">
              <w:t>the degree to which other industries are indirectly impacted by their connections to the directly</w:t>
            </w:r>
            <w:r w:rsidRPr="00A7636C">
              <w:rPr>
                <w:spacing w:val="-34"/>
              </w:rPr>
              <w:t xml:space="preserve"> </w:t>
            </w:r>
            <w:r w:rsidRPr="00A7636C">
              <w:t>targeted industry; and</w:t>
            </w:r>
          </w:p>
          <w:p w14:paraId="22A693B6" w14:textId="77777777" w:rsidR="00A7636C" w:rsidRPr="00A7636C" w:rsidRDefault="00A7636C" w:rsidP="00AD36B8">
            <w:pPr>
              <w:pStyle w:val="ListBullet"/>
              <w:rPr>
                <w:rFonts w:ascii="Symbol" w:hAnsi="Symbol"/>
              </w:rPr>
            </w:pPr>
            <w:r w:rsidRPr="00A7636C">
              <w:lastRenderedPageBreak/>
              <w:t>the degree to which economy-wide aggregates (such as gross state or national product, household consumption or real wages) are impacted, through the aggregation and interaction of all the industries in</w:t>
            </w:r>
            <w:r w:rsidRPr="00A7636C">
              <w:rPr>
                <w:spacing w:val="-37"/>
              </w:rPr>
              <w:t xml:space="preserve"> </w:t>
            </w:r>
            <w:r w:rsidRPr="00A7636C">
              <w:t>the economy.</w:t>
            </w:r>
          </w:p>
          <w:p w14:paraId="6B7D6529" w14:textId="77777777" w:rsidR="00A7636C" w:rsidRPr="00A7636C" w:rsidRDefault="00A7636C" w:rsidP="00A7636C">
            <w:pPr>
              <w:pStyle w:val="BodyText"/>
              <w:spacing w:before="120"/>
              <w:rPr>
                <w:sz w:val="20"/>
                <w:szCs w:val="20"/>
              </w:rPr>
            </w:pPr>
            <w:r w:rsidRPr="00A7636C">
              <w:rPr>
                <w:sz w:val="20"/>
                <w:szCs w:val="20"/>
              </w:rPr>
              <w:t>Due to the detail in CGE models, they are able to report on a large number of industry, regional, and macroeconomic results. At the industry level, CGE models can report changes in activity level, employment, capital utilisation, wages, and prices, amongst others. At the regional level, they can report domestic and international trade flows, final demands, and population movements. At the macroeconomic level, they can be used to examine:</w:t>
            </w:r>
          </w:p>
          <w:p w14:paraId="449ED100" w14:textId="77777777" w:rsidR="00A7636C" w:rsidRPr="00A7636C" w:rsidRDefault="00A7636C" w:rsidP="00AD36B8">
            <w:pPr>
              <w:pStyle w:val="ListBullet"/>
              <w:rPr>
                <w:rFonts w:ascii="Symbol" w:hAnsi="Symbol"/>
              </w:rPr>
            </w:pPr>
            <w:r w:rsidRPr="00A7636C">
              <w:t>gross domestic product</w:t>
            </w:r>
            <w:r w:rsidRPr="00A7636C">
              <w:rPr>
                <w:spacing w:val="-2"/>
              </w:rPr>
              <w:t xml:space="preserve"> </w:t>
            </w:r>
            <w:r w:rsidRPr="00A7636C">
              <w:t>(GDP);</w:t>
            </w:r>
          </w:p>
          <w:p w14:paraId="1BC4D7A0" w14:textId="77777777" w:rsidR="00A7636C" w:rsidRPr="00A7636C" w:rsidRDefault="00A7636C" w:rsidP="00AD36B8">
            <w:pPr>
              <w:pStyle w:val="ListBullet"/>
              <w:rPr>
                <w:rFonts w:ascii="Symbol" w:hAnsi="Symbol"/>
              </w:rPr>
            </w:pPr>
            <w:r w:rsidRPr="00A7636C">
              <w:t>final</w:t>
            </w:r>
            <w:r w:rsidRPr="00A7636C">
              <w:rPr>
                <w:spacing w:val="-3"/>
              </w:rPr>
              <w:t xml:space="preserve"> </w:t>
            </w:r>
            <w:r w:rsidRPr="00A7636C">
              <w:t>demand;</w:t>
            </w:r>
          </w:p>
          <w:p w14:paraId="6990DACE" w14:textId="77777777" w:rsidR="00A7636C" w:rsidRPr="00A7636C" w:rsidRDefault="00A7636C" w:rsidP="00AD36B8">
            <w:pPr>
              <w:pStyle w:val="ListBullet"/>
              <w:rPr>
                <w:rFonts w:ascii="Symbol" w:hAnsi="Symbol"/>
              </w:rPr>
            </w:pPr>
            <w:r w:rsidRPr="00A7636C">
              <w:t>trade</w:t>
            </w:r>
            <w:r w:rsidRPr="00A7636C">
              <w:rPr>
                <w:spacing w:val="-2"/>
              </w:rPr>
              <w:t xml:space="preserve"> </w:t>
            </w:r>
            <w:r w:rsidRPr="00A7636C">
              <w:t>balances;</w:t>
            </w:r>
          </w:p>
          <w:p w14:paraId="75270E30" w14:textId="77777777" w:rsidR="00A7636C" w:rsidRPr="00A7636C" w:rsidRDefault="00A7636C" w:rsidP="00AD36B8">
            <w:pPr>
              <w:pStyle w:val="ListBullet"/>
              <w:rPr>
                <w:rFonts w:ascii="Symbol" w:hAnsi="Symbol"/>
              </w:rPr>
            </w:pPr>
            <w:r w:rsidRPr="00A7636C">
              <w:t>government accounts; and</w:t>
            </w:r>
          </w:p>
          <w:p w14:paraId="76584337" w14:textId="77777777" w:rsidR="00A7636C" w:rsidRPr="00A7636C" w:rsidRDefault="00A7636C" w:rsidP="00AD36B8">
            <w:pPr>
              <w:pStyle w:val="ListBullet"/>
              <w:rPr>
                <w:rFonts w:ascii="Symbol" w:hAnsi="Symbol"/>
              </w:rPr>
            </w:pPr>
            <w:r w:rsidRPr="00A7636C">
              <w:t>various price aggregates (e.g. CPI and the GDP</w:t>
            </w:r>
            <w:r w:rsidRPr="00A7636C">
              <w:rPr>
                <w:spacing w:val="-5"/>
              </w:rPr>
              <w:t xml:space="preserve"> </w:t>
            </w:r>
            <w:r w:rsidRPr="00A7636C">
              <w:t>deflator).</w:t>
            </w:r>
          </w:p>
          <w:p w14:paraId="331797E2" w14:textId="77777777" w:rsidR="00A7636C" w:rsidRPr="00A7636C" w:rsidRDefault="00A7636C" w:rsidP="00A7636C">
            <w:pPr>
              <w:pStyle w:val="BodyText"/>
              <w:spacing w:before="120"/>
              <w:rPr>
                <w:sz w:val="20"/>
                <w:szCs w:val="20"/>
              </w:rPr>
            </w:pPr>
            <w:r w:rsidRPr="00A7636C">
              <w:rPr>
                <w:sz w:val="20"/>
                <w:szCs w:val="20"/>
              </w:rPr>
              <w:t>Assumptions within the CGE model can also be controlled to reflect the nature of the scenario being examined. Short-run policies (approximately five years) can be examined, as can longer run policies (estimating the impact of policy in 20+ years). Further, the models can be tailored to reflect certain characteristics of the economy unique to the modelling: the nature of government balances, drivers of government spending, and household consumption.</w:t>
            </w:r>
          </w:p>
          <w:p w14:paraId="2B2A792B" w14:textId="77777777" w:rsidR="00A7636C" w:rsidRPr="00A7636C" w:rsidRDefault="00A7636C" w:rsidP="00A7636C">
            <w:pPr>
              <w:pStyle w:val="AppendixHeading3"/>
              <w:numPr>
                <w:ilvl w:val="0"/>
                <w:numId w:val="0"/>
              </w:numPr>
              <w:spacing w:before="120"/>
              <w:ind w:left="851" w:hanging="851"/>
              <w:rPr>
                <w:sz w:val="20"/>
                <w:szCs w:val="20"/>
              </w:rPr>
            </w:pPr>
            <w:r w:rsidRPr="00A7636C">
              <w:rPr>
                <w:sz w:val="20"/>
                <w:szCs w:val="20"/>
              </w:rPr>
              <w:t>What the results of CGE models</w:t>
            </w:r>
            <w:r w:rsidRPr="00A7636C">
              <w:rPr>
                <w:spacing w:val="-6"/>
                <w:sz w:val="20"/>
                <w:szCs w:val="20"/>
              </w:rPr>
              <w:t xml:space="preserve"> </w:t>
            </w:r>
            <w:r w:rsidRPr="00A7636C">
              <w:rPr>
                <w:sz w:val="20"/>
                <w:szCs w:val="20"/>
              </w:rPr>
              <w:t>mean</w:t>
            </w:r>
          </w:p>
          <w:p w14:paraId="177725B7" w14:textId="77777777" w:rsidR="00A7636C" w:rsidRPr="00A7636C" w:rsidRDefault="00A7636C" w:rsidP="00A7636C">
            <w:pPr>
              <w:pStyle w:val="BodyText"/>
              <w:spacing w:before="120"/>
              <w:rPr>
                <w:sz w:val="20"/>
                <w:szCs w:val="20"/>
              </w:rPr>
            </w:pPr>
            <w:r w:rsidRPr="00A7636C">
              <w:rPr>
                <w:sz w:val="20"/>
                <w:szCs w:val="20"/>
              </w:rPr>
              <w:t>CGE models are principally used to look at the impacts of policy changes on real economic variables, such as employment or the productive capital stock. They are used to estimate the relative expansion or contraction of industries or regions relative to one another. The models themselves are built on a strong and well researched academic foundation: including a variety of price responses and substitution effects.</w:t>
            </w:r>
          </w:p>
          <w:p w14:paraId="50EE8EB5" w14:textId="77777777" w:rsidR="00A7636C" w:rsidRPr="00A7636C" w:rsidRDefault="00A7636C" w:rsidP="00A7636C">
            <w:pPr>
              <w:pStyle w:val="BodyText"/>
              <w:spacing w:before="120"/>
              <w:rPr>
                <w:sz w:val="20"/>
                <w:szCs w:val="20"/>
              </w:rPr>
            </w:pPr>
            <w:r w:rsidRPr="00A7636C">
              <w:rPr>
                <w:sz w:val="20"/>
                <w:szCs w:val="20"/>
              </w:rPr>
              <w:t>However, CGE results should not be interpreted as a prediction of exactly where the economy will be at a certain point in the future. CGE models are based on the economic concept of the general equilibrium: the point at which the markets for all goods and services clear. As a result, CGE models do not incorporate the range of disequilibrium impacts seen in the short run in the real world. As a result, CGE model results can be thought of as the medium-to long-run impact that would result on the baseline level of output in the economy, abstracting from nominal and short-run disequilibrium effects.</w:t>
            </w:r>
          </w:p>
          <w:p w14:paraId="6AE59C8E" w14:textId="77777777" w:rsidR="00A7636C" w:rsidRPr="00A7636C" w:rsidRDefault="00A7636C" w:rsidP="00A7636C">
            <w:pPr>
              <w:pStyle w:val="BodyText"/>
              <w:spacing w:before="120"/>
              <w:rPr>
                <w:sz w:val="20"/>
                <w:szCs w:val="20"/>
              </w:rPr>
            </w:pPr>
            <w:r w:rsidRPr="00A7636C">
              <w:rPr>
                <w:sz w:val="20"/>
                <w:szCs w:val="20"/>
              </w:rPr>
              <w:t>CGE models only show the impact of the policy under investigation. They are not a broader tool for economic forecasting. As a result, any given CGE simulation will likely omit a range of external influences that are not directly relevant to the policy under investigation. Consequently, CGE results represent the change in the baseline level in the economic variables under investigation, solely attributable to the policy in question.</w:t>
            </w:r>
          </w:p>
          <w:p w14:paraId="05B3D585" w14:textId="77777777" w:rsidR="00A7636C" w:rsidRPr="00A7636C" w:rsidRDefault="00A7636C" w:rsidP="00A7636C">
            <w:pPr>
              <w:pStyle w:val="BodyText"/>
              <w:spacing w:before="120"/>
              <w:rPr>
                <w:sz w:val="20"/>
                <w:szCs w:val="20"/>
              </w:rPr>
            </w:pPr>
            <w:r w:rsidRPr="00A7636C">
              <w:rPr>
                <w:sz w:val="20"/>
                <w:szCs w:val="20"/>
              </w:rPr>
              <w:t xml:space="preserve">The interpretation and relevance of CGE results can be seen in the context of an example; in </w:t>
            </w:r>
            <w:r w:rsidRPr="00A7636C">
              <w:rPr>
                <w:spacing w:val="2"/>
                <w:sz w:val="20"/>
                <w:szCs w:val="20"/>
              </w:rPr>
              <w:t xml:space="preserve">this </w:t>
            </w:r>
            <w:r w:rsidRPr="00A7636C">
              <w:rPr>
                <w:sz w:val="20"/>
                <w:szCs w:val="20"/>
              </w:rPr>
              <w:t>case the construction of a new hospital in Victoria. A CGE model would describe the number of jobs created by the hospital, the degree to which it inflated the local wage and bid workers away from other industries, and the likely impact on gross state product. However, it would not reflect disequilibrium properties in the short run (e.g. the time required to train new labour to work in the hospital, financing issues associated with acquiring a capital (such as X-ray machines)). Further the results would be ‘all other things equal’: they would not reflect an unforeseen decline in labour supply that emerged five years down the line unless the modeller inserted this change). In this way, CGE models present an overarching ‘big picture’ impact of a change, once it has resolved itself in the economy and become part of the economic</w:t>
            </w:r>
            <w:r w:rsidRPr="00A7636C">
              <w:rPr>
                <w:spacing w:val="-3"/>
                <w:sz w:val="20"/>
                <w:szCs w:val="20"/>
              </w:rPr>
              <w:t xml:space="preserve"> </w:t>
            </w:r>
            <w:r w:rsidRPr="00A7636C">
              <w:rPr>
                <w:sz w:val="20"/>
                <w:szCs w:val="20"/>
              </w:rPr>
              <w:t>baseline.</w:t>
            </w:r>
          </w:p>
          <w:p w14:paraId="5F131260" w14:textId="77777777" w:rsidR="00A7636C" w:rsidRPr="00A7636C" w:rsidRDefault="00A7636C" w:rsidP="00A7636C">
            <w:pPr>
              <w:pStyle w:val="BodyText"/>
              <w:spacing w:before="120"/>
              <w:rPr>
                <w:sz w:val="20"/>
                <w:szCs w:val="20"/>
              </w:rPr>
            </w:pPr>
            <w:r w:rsidRPr="00A7636C">
              <w:rPr>
                <w:sz w:val="20"/>
                <w:szCs w:val="20"/>
              </w:rPr>
              <w:t>CGE models do not include financial markets. It is argued that financial markets have no long-run persistent impacts on the real economy, only having real impacts in the short run. These short-run, disequilibrium states are not included in CGE results. Long-run impacts resulting from financial markets — such as changes in consumer preferences resulting from stocks of wealth — must be inserted into the modelling externally.</w:t>
            </w:r>
          </w:p>
          <w:p w14:paraId="79B4DC84" w14:textId="77777777" w:rsidR="00A7636C" w:rsidRPr="00A7636C" w:rsidRDefault="00A7636C" w:rsidP="00A7636C">
            <w:pPr>
              <w:pStyle w:val="BodyText"/>
              <w:spacing w:before="120"/>
              <w:rPr>
                <w:sz w:val="20"/>
                <w:szCs w:val="20"/>
              </w:rPr>
            </w:pPr>
            <w:r w:rsidRPr="00A7636C">
              <w:rPr>
                <w:sz w:val="20"/>
                <w:szCs w:val="20"/>
              </w:rPr>
              <w:lastRenderedPageBreak/>
              <w:t>Further, CGE models are built around the ABS National Accounts Input–Output framework (as mentioned above), which does not include financial data. To include them would upset the balances in the national accounting.</w:t>
            </w:r>
          </w:p>
          <w:p w14:paraId="2A7CA685" w14:textId="77777777" w:rsidR="00A7636C" w:rsidRPr="00A7636C" w:rsidRDefault="00A7636C" w:rsidP="00A7636C">
            <w:pPr>
              <w:pStyle w:val="AppendixHeading3"/>
              <w:numPr>
                <w:ilvl w:val="0"/>
                <w:numId w:val="0"/>
              </w:numPr>
              <w:spacing w:before="120"/>
              <w:ind w:left="851" w:hanging="851"/>
              <w:rPr>
                <w:sz w:val="20"/>
                <w:szCs w:val="20"/>
              </w:rPr>
            </w:pPr>
            <w:r w:rsidRPr="00A7636C">
              <w:rPr>
                <w:sz w:val="20"/>
                <w:szCs w:val="20"/>
              </w:rPr>
              <w:t>The VURM</w:t>
            </w:r>
            <w:r w:rsidRPr="00A7636C">
              <w:rPr>
                <w:spacing w:val="-3"/>
                <w:sz w:val="20"/>
                <w:szCs w:val="20"/>
              </w:rPr>
              <w:t xml:space="preserve"> </w:t>
            </w:r>
            <w:r w:rsidRPr="00A7636C">
              <w:rPr>
                <w:sz w:val="20"/>
                <w:szCs w:val="20"/>
              </w:rPr>
              <w:t>model</w:t>
            </w:r>
          </w:p>
          <w:p w14:paraId="0B0D0BD2" w14:textId="77777777" w:rsidR="00A7636C" w:rsidRPr="00A7636C" w:rsidRDefault="00A7636C" w:rsidP="00A7636C">
            <w:pPr>
              <w:pStyle w:val="BodyText"/>
              <w:spacing w:before="120"/>
              <w:rPr>
                <w:sz w:val="20"/>
                <w:szCs w:val="20"/>
              </w:rPr>
            </w:pPr>
            <w:r w:rsidRPr="00A7636C">
              <w:rPr>
                <w:sz w:val="20"/>
                <w:szCs w:val="20"/>
              </w:rPr>
              <w:t>The Victoria University Regional Model (VURM) is a multi-regional, dynamic CGE model. It distinguishes up to eight Australian regions (six States and two Territories) and up to commodities/industries. The model recognises:</w:t>
            </w:r>
          </w:p>
          <w:p w14:paraId="0E8B200E" w14:textId="77777777" w:rsidR="00A7636C" w:rsidRPr="00A7636C" w:rsidRDefault="00A7636C" w:rsidP="00AD36B8">
            <w:pPr>
              <w:pStyle w:val="ListBullet"/>
              <w:rPr>
                <w:rFonts w:ascii="Symbol" w:hAnsi="Symbol"/>
              </w:rPr>
            </w:pPr>
            <w:r w:rsidRPr="00A7636C">
              <w:t>domestic producers classified by industry and domestic</w:t>
            </w:r>
            <w:r w:rsidRPr="00A7636C">
              <w:rPr>
                <w:spacing w:val="1"/>
              </w:rPr>
              <w:t xml:space="preserve"> </w:t>
            </w:r>
            <w:r w:rsidRPr="00A7636C">
              <w:t>region;</w:t>
            </w:r>
          </w:p>
          <w:p w14:paraId="0A59655F" w14:textId="77777777" w:rsidR="00A7636C" w:rsidRPr="00A7636C" w:rsidRDefault="00A7636C" w:rsidP="00AD36B8">
            <w:pPr>
              <w:pStyle w:val="ListBullet"/>
              <w:rPr>
                <w:rFonts w:ascii="Symbol" w:hAnsi="Symbol"/>
              </w:rPr>
            </w:pPr>
            <w:r w:rsidRPr="00A7636C">
              <w:t>investors similarly classified;</w:t>
            </w:r>
          </w:p>
          <w:p w14:paraId="2292AE67" w14:textId="77777777" w:rsidR="00A7636C" w:rsidRPr="00A7636C" w:rsidRDefault="00A7636C" w:rsidP="00AD36B8">
            <w:pPr>
              <w:pStyle w:val="ListBullet"/>
              <w:rPr>
                <w:rFonts w:ascii="Symbol" w:hAnsi="Symbol"/>
              </w:rPr>
            </w:pPr>
            <w:r w:rsidRPr="00A7636C">
              <w:t>up to eight region-specific household</w:t>
            </w:r>
            <w:r w:rsidRPr="00A7636C">
              <w:rPr>
                <w:spacing w:val="-3"/>
              </w:rPr>
              <w:t xml:space="preserve"> </w:t>
            </w:r>
            <w:r w:rsidRPr="00A7636C">
              <w:t>sectors;</w:t>
            </w:r>
          </w:p>
          <w:p w14:paraId="7039646E" w14:textId="77777777" w:rsidR="00A7636C" w:rsidRPr="00A7636C" w:rsidRDefault="00A7636C" w:rsidP="00AD36B8">
            <w:pPr>
              <w:pStyle w:val="ListBullet"/>
              <w:rPr>
                <w:rFonts w:ascii="Symbol" w:hAnsi="Symbol"/>
              </w:rPr>
            </w:pPr>
            <w:r w:rsidRPr="00A7636C">
              <w:t>an aggregate foreign purchaser of the domestic economy's</w:t>
            </w:r>
            <w:r w:rsidRPr="00A7636C">
              <w:rPr>
                <w:spacing w:val="-3"/>
              </w:rPr>
              <w:t xml:space="preserve"> </w:t>
            </w:r>
            <w:r w:rsidRPr="00A7636C">
              <w:t>exports;</w:t>
            </w:r>
          </w:p>
          <w:p w14:paraId="64CEC6F2" w14:textId="77777777" w:rsidR="00A7636C" w:rsidRPr="00A7636C" w:rsidRDefault="00A7636C" w:rsidP="00AD36B8">
            <w:pPr>
              <w:pStyle w:val="ListBullet"/>
              <w:rPr>
                <w:rFonts w:ascii="Symbol" w:hAnsi="Symbol"/>
              </w:rPr>
            </w:pPr>
            <w:r w:rsidRPr="00A7636C">
              <w:t>flows of greenhouse gas emissions and energy usage by fuel and</w:t>
            </w:r>
            <w:r w:rsidRPr="00A7636C">
              <w:rPr>
                <w:spacing w:val="-3"/>
              </w:rPr>
              <w:t xml:space="preserve"> </w:t>
            </w:r>
            <w:r w:rsidRPr="00A7636C">
              <w:t>user;</w:t>
            </w:r>
          </w:p>
          <w:p w14:paraId="6BB31CD6" w14:textId="77777777" w:rsidR="00A7636C" w:rsidRPr="00A7636C" w:rsidRDefault="00A7636C" w:rsidP="00AD36B8">
            <w:pPr>
              <w:pStyle w:val="ListBullet"/>
              <w:rPr>
                <w:rFonts w:ascii="Symbol" w:hAnsi="Symbol"/>
              </w:rPr>
            </w:pPr>
            <w:r w:rsidRPr="00A7636C">
              <w:t>up to eight state and territory governments; and</w:t>
            </w:r>
          </w:p>
          <w:p w14:paraId="51661F4C" w14:textId="77777777" w:rsidR="00A7636C" w:rsidRPr="00A7636C" w:rsidRDefault="00A7636C" w:rsidP="00AD36B8">
            <w:pPr>
              <w:pStyle w:val="ListBullet"/>
              <w:rPr>
                <w:rFonts w:ascii="Symbol" w:hAnsi="Symbol"/>
              </w:rPr>
            </w:pPr>
            <w:r w:rsidRPr="00A7636C">
              <w:t>the Commonwealth</w:t>
            </w:r>
            <w:r w:rsidRPr="00A7636C">
              <w:rPr>
                <w:spacing w:val="-3"/>
              </w:rPr>
              <w:t xml:space="preserve"> </w:t>
            </w:r>
            <w:r w:rsidRPr="00A7636C">
              <w:t>Government</w:t>
            </w:r>
          </w:p>
          <w:p w14:paraId="55CB93A1" w14:textId="77777777" w:rsidR="00A7636C" w:rsidRPr="00A7636C" w:rsidRDefault="00A7636C" w:rsidP="00A7636C">
            <w:pPr>
              <w:pStyle w:val="BodyText"/>
              <w:spacing w:before="120"/>
              <w:rPr>
                <w:sz w:val="20"/>
                <w:szCs w:val="20"/>
              </w:rPr>
            </w:pPr>
            <w:r w:rsidRPr="00A7636C">
              <w:rPr>
                <w:sz w:val="20"/>
                <w:szCs w:val="20"/>
              </w:rPr>
              <w:t>The model contains explicit representations of intra-regional, inter-regional and international trade flows based on regional input-output data developed at the Centre of Policy Studies (CoPS) and includes detailed data on state and Federal governments' budgets. As each region is modelled as a mini-economy, VURM is ideally suited to determining the impact of region-specific economic shocks. Second round effects are captured via the model's input-output linkages and account for economy-wide and international constraints. Outputs from the model include projections of:</w:t>
            </w:r>
          </w:p>
          <w:p w14:paraId="7DEB6C57" w14:textId="77777777" w:rsidR="00A7636C" w:rsidRPr="00A7636C" w:rsidRDefault="00A7636C" w:rsidP="00AD36B8">
            <w:pPr>
              <w:pStyle w:val="ListBullet"/>
              <w:rPr>
                <w:rFonts w:ascii="Symbol" w:hAnsi="Symbol"/>
              </w:rPr>
            </w:pPr>
            <w:r w:rsidRPr="00A7636C">
              <w:t>GDP and aggregate national</w:t>
            </w:r>
            <w:r w:rsidRPr="00A7636C">
              <w:rPr>
                <w:spacing w:val="-4"/>
              </w:rPr>
              <w:t xml:space="preserve"> </w:t>
            </w:r>
            <w:r w:rsidRPr="00A7636C">
              <w:t>employment;</w:t>
            </w:r>
          </w:p>
          <w:p w14:paraId="4BA8322D" w14:textId="77777777" w:rsidR="00A7636C" w:rsidRPr="00A7636C" w:rsidRDefault="00A7636C" w:rsidP="00AD36B8">
            <w:pPr>
              <w:pStyle w:val="ListBullet"/>
              <w:rPr>
                <w:rFonts w:ascii="Symbol" w:hAnsi="Symbol"/>
              </w:rPr>
            </w:pPr>
            <w:r w:rsidRPr="00A7636C">
              <w:t>sectoral output, value-added and employment by</w:t>
            </w:r>
            <w:r w:rsidRPr="00A7636C">
              <w:rPr>
                <w:spacing w:val="-7"/>
              </w:rPr>
              <w:t xml:space="preserve"> </w:t>
            </w:r>
            <w:r w:rsidRPr="00A7636C">
              <w:t>region;</w:t>
            </w:r>
          </w:p>
          <w:p w14:paraId="0E99C9D5" w14:textId="77777777" w:rsidR="00A7636C" w:rsidRPr="00A7636C" w:rsidRDefault="00A7636C" w:rsidP="00AD36B8">
            <w:pPr>
              <w:pStyle w:val="ListBullet"/>
              <w:rPr>
                <w:rFonts w:ascii="Symbol" w:hAnsi="Symbol"/>
              </w:rPr>
            </w:pPr>
            <w:r w:rsidRPr="00A7636C">
              <w:t>export earnings, import expenditure and the balance of</w:t>
            </w:r>
            <w:r w:rsidRPr="00A7636C">
              <w:rPr>
                <w:spacing w:val="3"/>
              </w:rPr>
              <w:t xml:space="preserve"> </w:t>
            </w:r>
            <w:r w:rsidRPr="00A7636C">
              <w:t>trade;</w:t>
            </w:r>
          </w:p>
          <w:p w14:paraId="3CE0AFEB" w14:textId="77777777" w:rsidR="00A7636C" w:rsidRPr="00A7636C" w:rsidRDefault="00A7636C" w:rsidP="00AD36B8">
            <w:pPr>
              <w:pStyle w:val="ListBullet"/>
              <w:rPr>
                <w:rFonts w:ascii="Symbol" w:hAnsi="Symbol"/>
              </w:rPr>
            </w:pPr>
            <w:r w:rsidRPr="00A7636C">
              <w:t>greenhouse gas emissions by fuel, fuel user and region of fuel</w:t>
            </w:r>
            <w:r w:rsidRPr="00A7636C">
              <w:rPr>
                <w:spacing w:val="-6"/>
              </w:rPr>
              <w:t xml:space="preserve"> </w:t>
            </w:r>
            <w:r w:rsidRPr="00A7636C">
              <w:t>use;</w:t>
            </w:r>
          </w:p>
          <w:p w14:paraId="12C9A569" w14:textId="77777777" w:rsidR="00A7636C" w:rsidRPr="00A7636C" w:rsidRDefault="00A7636C" w:rsidP="00AD36B8">
            <w:pPr>
              <w:pStyle w:val="ListBullet"/>
              <w:rPr>
                <w:rFonts w:ascii="Symbol" w:hAnsi="Symbol"/>
              </w:rPr>
            </w:pPr>
            <w:r w:rsidRPr="00A7636C">
              <w:t>energy usage by fuel, energy user and region of energy</w:t>
            </w:r>
            <w:r w:rsidRPr="00A7636C">
              <w:rPr>
                <w:spacing w:val="-1"/>
              </w:rPr>
              <w:t xml:space="preserve"> </w:t>
            </w:r>
            <w:r w:rsidRPr="00A7636C">
              <w:t>use;</w:t>
            </w:r>
          </w:p>
          <w:p w14:paraId="5CDB7B38" w14:textId="77777777" w:rsidR="00A7636C" w:rsidRPr="00A7636C" w:rsidRDefault="00A7636C" w:rsidP="00AD36B8">
            <w:pPr>
              <w:pStyle w:val="ListBullet"/>
              <w:rPr>
                <w:rFonts w:ascii="Symbol" w:hAnsi="Symbol"/>
              </w:rPr>
            </w:pPr>
            <w:r w:rsidRPr="00A7636C">
              <w:t>State and Territory revenues and</w:t>
            </w:r>
            <w:r w:rsidRPr="00A7636C">
              <w:rPr>
                <w:spacing w:val="-3"/>
              </w:rPr>
              <w:t xml:space="preserve"> </w:t>
            </w:r>
            <w:r w:rsidRPr="00A7636C">
              <w:t>expenditures;</w:t>
            </w:r>
          </w:p>
          <w:p w14:paraId="6B12F785" w14:textId="77777777" w:rsidR="00A7636C" w:rsidRPr="00A7636C" w:rsidRDefault="00A7636C" w:rsidP="00AD36B8">
            <w:pPr>
              <w:pStyle w:val="ListBullet"/>
              <w:rPr>
                <w:rFonts w:ascii="Symbol" w:hAnsi="Symbol"/>
              </w:rPr>
            </w:pPr>
            <w:r w:rsidRPr="00A7636C">
              <w:t>regional gross products and</w:t>
            </w:r>
            <w:r w:rsidRPr="00A7636C">
              <w:rPr>
                <w:spacing w:val="-4"/>
              </w:rPr>
              <w:t xml:space="preserve"> </w:t>
            </w:r>
            <w:r w:rsidRPr="00A7636C">
              <w:t>employment; and</w:t>
            </w:r>
          </w:p>
          <w:p w14:paraId="51AEA3E6" w14:textId="77777777" w:rsidR="00A7636C" w:rsidRPr="00A7636C" w:rsidRDefault="00A7636C" w:rsidP="00AD36B8">
            <w:pPr>
              <w:pStyle w:val="ListBullet"/>
              <w:rPr>
                <w:lang w:eastAsia="en-US"/>
              </w:rPr>
            </w:pPr>
            <w:r w:rsidRPr="00A7636C">
              <w:t>regional international export earnings, international import expenditures</w:t>
            </w:r>
            <w:r w:rsidRPr="00A7636C">
              <w:rPr>
                <w:spacing w:val="-7"/>
              </w:rPr>
              <w:t xml:space="preserve"> </w:t>
            </w:r>
            <w:r w:rsidRPr="00A7636C">
              <w:t>and international balance of</w:t>
            </w:r>
            <w:r w:rsidRPr="00A7636C">
              <w:rPr>
                <w:spacing w:val="-1"/>
              </w:rPr>
              <w:t xml:space="preserve"> </w:t>
            </w:r>
            <w:r w:rsidRPr="00A7636C">
              <w:t>payments.</w:t>
            </w:r>
          </w:p>
        </w:tc>
      </w:tr>
    </w:tbl>
    <w:p w14:paraId="2FB8D180" w14:textId="77777777" w:rsidR="00A7636C" w:rsidRPr="00A7636C" w:rsidRDefault="00A7636C" w:rsidP="00A7636C">
      <w:pPr>
        <w:pStyle w:val="BodyText"/>
        <w:spacing w:before="0"/>
        <w:rPr>
          <w:sz w:val="16"/>
          <w:szCs w:val="16"/>
          <w:lang w:eastAsia="fr-CA"/>
        </w:rPr>
      </w:pPr>
      <w:r w:rsidRPr="00A7636C">
        <w:rPr>
          <w:sz w:val="16"/>
          <w:szCs w:val="16"/>
          <w:lang w:eastAsia="fr-CA"/>
        </w:rPr>
        <w:lastRenderedPageBreak/>
        <w:t>Source: PwC</w:t>
      </w:r>
    </w:p>
    <w:p w14:paraId="6049F3FD" w14:textId="77777777" w:rsidR="00123859" w:rsidRPr="0083655B" w:rsidRDefault="00123859" w:rsidP="004E2227">
      <w:pPr>
        <w:pStyle w:val="AppendixHeading3"/>
      </w:pPr>
      <w:r w:rsidRPr="0083655B">
        <w:t>Scenario</w:t>
      </w:r>
      <w:r w:rsidRPr="0083655B">
        <w:rPr>
          <w:spacing w:val="1"/>
        </w:rPr>
        <w:t xml:space="preserve"> </w:t>
      </w:r>
      <w:r w:rsidRPr="0083655B">
        <w:t>analysis</w:t>
      </w:r>
    </w:p>
    <w:p w14:paraId="10221E9C" w14:textId="77777777" w:rsidR="0070147F" w:rsidRDefault="00123859" w:rsidP="00123859">
      <w:pPr>
        <w:pStyle w:val="BodyText"/>
      </w:pPr>
      <w:r w:rsidRPr="0083655B">
        <w:t xml:space="preserve">As with the cost analysis, the analysis of benefits also has a degree of uncertainty on the number of pipelines that might be reclassified into </w:t>
      </w:r>
      <w:r w:rsidR="00531979">
        <w:t>stronger</w:t>
      </w:r>
      <w:r w:rsidRPr="0083655B">
        <w:t xml:space="preserve"> regulation and the impact that might have on prices that service providers may charge. </w:t>
      </w:r>
    </w:p>
    <w:p w14:paraId="07FCF727" w14:textId="77777777" w:rsidR="00123859" w:rsidRPr="0083655B" w:rsidRDefault="00123859" w:rsidP="00123859">
      <w:pPr>
        <w:pStyle w:val="BodyText"/>
      </w:pPr>
      <w:r w:rsidRPr="0083655B">
        <w:t>One stakeholder</w:t>
      </w:r>
      <w:r w:rsidR="00E41A01">
        <w:t>, for example,</w:t>
      </w:r>
      <w:r w:rsidRPr="0083655B">
        <w:t xml:space="preserve"> </w:t>
      </w:r>
      <w:r w:rsidR="0070147F">
        <w:t xml:space="preserve">noted that </w:t>
      </w:r>
      <w:r w:rsidR="00E41A01">
        <w:t xml:space="preserve">while </w:t>
      </w:r>
      <w:r w:rsidRPr="0083655B">
        <w:t xml:space="preserve">regulation </w:t>
      </w:r>
      <w:r w:rsidR="00E41A01">
        <w:t xml:space="preserve">may </w:t>
      </w:r>
      <w:r w:rsidRPr="0083655B">
        <w:t xml:space="preserve">reduce prices for some services service providers </w:t>
      </w:r>
      <w:r w:rsidR="00E41A01">
        <w:t xml:space="preserve">may respond by </w:t>
      </w:r>
      <w:r w:rsidRPr="0083655B">
        <w:t xml:space="preserve">increasing </w:t>
      </w:r>
      <w:r w:rsidR="00E41A01">
        <w:t xml:space="preserve">the </w:t>
      </w:r>
      <w:r w:rsidRPr="0083655B">
        <w:t xml:space="preserve">prices </w:t>
      </w:r>
      <w:r w:rsidR="00E41A01">
        <w:t xml:space="preserve">of </w:t>
      </w:r>
      <w:r w:rsidRPr="0083655B">
        <w:t xml:space="preserve">non-regulated services. Given non-regulated services comprise a small proportion of the services on gas pipelines and there is otherwise no other change in the market power for negotiation on the non-regulated services, </w:t>
      </w:r>
      <w:r w:rsidR="004A0CD8">
        <w:t xml:space="preserve">such a response is not expected to </w:t>
      </w:r>
      <w:r w:rsidRPr="0083655B">
        <w:t xml:space="preserve">offset </w:t>
      </w:r>
      <w:r w:rsidR="004A0CD8">
        <w:t xml:space="preserve">the </w:t>
      </w:r>
      <w:r w:rsidRPr="0083655B">
        <w:t xml:space="preserve">price reductions on regulated services. It is also possible that some of these services could become reference services or treated as ‘rebateable services’ under the regulatory framework. Other stakeholders </w:t>
      </w:r>
      <w:r w:rsidR="002A1F74">
        <w:t xml:space="preserve">noted </w:t>
      </w:r>
      <w:r w:rsidRPr="0083655B">
        <w:t xml:space="preserve">that the extension of </w:t>
      </w:r>
      <w:r w:rsidR="00531979">
        <w:t>stronger</w:t>
      </w:r>
      <w:r w:rsidRPr="0083655B">
        <w:t xml:space="preserve"> regulation to </w:t>
      </w:r>
      <w:r w:rsidR="002A1F74">
        <w:t xml:space="preserve">more </w:t>
      </w:r>
      <w:r w:rsidRPr="0083655B">
        <w:t xml:space="preserve">pipelines could </w:t>
      </w:r>
      <w:r w:rsidRPr="0083655B">
        <w:lastRenderedPageBreak/>
        <w:t>reduce investment activities going forward, which could result in otherwise higher prices for gas transport.</w:t>
      </w:r>
    </w:p>
    <w:p w14:paraId="0EA25AA7" w14:textId="77777777" w:rsidR="00123859" w:rsidRPr="0083655B" w:rsidRDefault="00123859" w:rsidP="00123859">
      <w:pPr>
        <w:pStyle w:val="BodyText"/>
      </w:pPr>
      <w:r w:rsidRPr="0083655B">
        <w:t xml:space="preserve">Given the </w:t>
      </w:r>
      <w:r w:rsidR="002A1F74">
        <w:t xml:space="preserve">potential for these </w:t>
      </w:r>
      <w:r w:rsidRPr="0083655B">
        <w:t xml:space="preserve">unintended consequences, a conservative approach was taken </w:t>
      </w:r>
      <w:r w:rsidR="007D5776">
        <w:t xml:space="preserve">for </w:t>
      </w:r>
      <w:r w:rsidRPr="0083655B">
        <w:t>the analysis</w:t>
      </w:r>
      <w:r w:rsidR="007D5776">
        <w:t xml:space="preserve">, with the </w:t>
      </w:r>
      <w:r w:rsidR="00C57DE8">
        <w:t>following h</w:t>
      </w:r>
      <w:r w:rsidRPr="0083655B">
        <w:t>igh and low scenario</w:t>
      </w:r>
      <w:r w:rsidR="00C57DE8">
        <w:t>s</w:t>
      </w:r>
      <w:r w:rsidRPr="0083655B">
        <w:t xml:space="preserve"> </w:t>
      </w:r>
      <w:r w:rsidR="007D5776">
        <w:t xml:space="preserve">used to analyse the </w:t>
      </w:r>
      <w:r w:rsidRPr="0083655B">
        <w:t xml:space="preserve">costs </w:t>
      </w:r>
      <w:r w:rsidR="007D5776">
        <w:t xml:space="preserve">and benefits </w:t>
      </w:r>
      <w:r w:rsidRPr="0083655B">
        <w:t>in the economy-wide modelling:</w:t>
      </w:r>
    </w:p>
    <w:p w14:paraId="057C7716" w14:textId="77777777" w:rsidR="00123859" w:rsidRPr="0083655B" w:rsidRDefault="00976137" w:rsidP="00AD36B8">
      <w:pPr>
        <w:pStyle w:val="ListBullet"/>
        <w:rPr>
          <w:rFonts w:ascii="Symbol" w:hAnsi="Symbol"/>
        </w:rPr>
      </w:pPr>
      <w:r w:rsidRPr="00B4450C">
        <w:rPr>
          <w:b/>
          <w:bCs/>
        </w:rPr>
        <w:t>Scenario 1</w:t>
      </w:r>
      <w:r w:rsidR="00103459" w:rsidRPr="00B4450C">
        <w:rPr>
          <w:b/>
          <w:bCs/>
        </w:rPr>
        <w:t xml:space="preserve"> – </w:t>
      </w:r>
      <w:r w:rsidR="00123859" w:rsidRPr="00B4450C">
        <w:rPr>
          <w:b/>
          <w:bCs/>
        </w:rPr>
        <w:t>High impact</w:t>
      </w:r>
      <w:r w:rsidR="00123859" w:rsidRPr="0083655B">
        <w:t>: This scenario assumes an average 12</w:t>
      </w:r>
      <w:r w:rsidR="00711797">
        <w:t>%</w:t>
      </w:r>
      <w:r w:rsidR="00123859" w:rsidRPr="0083655B">
        <w:t xml:space="preserve"> decrease in prices paid by shippers for</w:t>
      </w:r>
      <w:r w:rsidR="00123859" w:rsidRPr="0083655B">
        <w:rPr>
          <w:spacing w:val="-32"/>
        </w:rPr>
        <w:t xml:space="preserve"> </w:t>
      </w:r>
      <w:r w:rsidR="00123859" w:rsidRPr="0083655B">
        <w:t xml:space="preserve">gas transport on pipelines shifting to the </w:t>
      </w:r>
      <w:r w:rsidR="00531979">
        <w:t>stronger</w:t>
      </w:r>
      <w:r w:rsidR="00123859" w:rsidRPr="0083655B">
        <w:t xml:space="preserve"> form of regulation (before the increased costs of regulation for gas pipeline service providers are accounted for). Costs under the high impact scenario for service providers, shippers and regulators (as described above in section </w:t>
      </w:r>
      <w:r w:rsidR="00103459">
        <w:t>D.1</w:t>
      </w:r>
      <w:r w:rsidR="00123859" w:rsidRPr="0083655B">
        <w:t>) are also factored into the</w:t>
      </w:r>
      <w:r w:rsidR="00123859" w:rsidRPr="0083655B">
        <w:rPr>
          <w:spacing w:val="-9"/>
        </w:rPr>
        <w:t xml:space="preserve"> </w:t>
      </w:r>
      <w:r w:rsidR="00123859" w:rsidRPr="0083655B">
        <w:t>analysis.</w:t>
      </w:r>
    </w:p>
    <w:p w14:paraId="12F1463C" w14:textId="77777777" w:rsidR="00123859" w:rsidRPr="00123859" w:rsidRDefault="00103459" w:rsidP="00AD36B8">
      <w:pPr>
        <w:pStyle w:val="ListBullet"/>
        <w:rPr>
          <w:rFonts w:ascii="Symbol" w:hAnsi="Symbol"/>
        </w:rPr>
      </w:pPr>
      <w:r w:rsidRPr="00B4450C">
        <w:rPr>
          <w:b/>
          <w:bCs/>
        </w:rPr>
        <w:t xml:space="preserve">Scenario 2 – </w:t>
      </w:r>
      <w:r w:rsidR="00123859" w:rsidRPr="00B4450C">
        <w:rPr>
          <w:b/>
          <w:bCs/>
        </w:rPr>
        <w:t>Low impact</w:t>
      </w:r>
      <w:r w:rsidR="00123859" w:rsidRPr="0083655B">
        <w:t>: This scenario assumes an average 5</w:t>
      </w:r>
      <w:r w:rsidR="00711797">
        <w:t>%</w:t>
      </w:r>
      <w:r w:rsidR="00123859" w:rsidRPr="0083655B">
        <w:t xml:space="preserve"> decrease in prices paid by shippers for gas transport on pipelines shifting to the </w:t>
      </w:r>
      <w:r w:rsidR="00531979">
        <w:t>stronger</w:t>
      </w:r>
      <w:r w:rsidR="00123859" w:rsidRPr="0083655B">
        <w:t xml:space="preserve"> form of regulation (before the increased costs of regulation for gas pipeline service providers are accounted for). This is based on rates as reported in stakeholder consultations, which indicated the price reduction could be in the range of </w:t>
      </w:r>
      <w:r w:rsidR="00123859" w:rsidRPr="00123859">
        <w:rPr>
          <w:spacing w:val="2"/>
        </w:rPr>
        <w:t>5-10</w:t>
      </w:r>
      <w:r w:rsidR="00711797">
        <w:rPr>
          <w:spacing w:val="2"/>
        </w:rPr>
        <w:t>%</w:t>
      </w:r>
      <w:r w:rsidR="00123859" w:rsidRPr="0083655B">
        <w:t>. Costs under the low impact scenario for service providers, shippers and regulators (as described above in</w:t>
      </w:r>
      <w:r w:rsidR="00123859" w:rsidRPr="00123859">
        <w:rPr>
          <w:spacing w:val="-32"/>
        </w:rPr>
        <w:t xml:space="preserve"> </w:t>
      </w:r>
      <w:r w:rsidR="00123859" w:rsidRPr="0083655B">
        <w:t xml:space="preserve">section </w:t>
      </w:r>
      <w:r w:rsidR="004E2227">
        <w:t>D.1</w:t>
      </w:r>
      <w:r w:rsidR="00123859" w:rsidRPr="0083655B">
        <w:t>) are also factored into the</w:t>
      </w:r>
      <w:r w:rsidR="00123859" w:rsidRPr="00123859">
        <w:rPr>
          <w:spacing w:val="-1"/>
        </w:rPr>
        <w:t xml:space="preserve"> </w:t>
      </w:r>
      <w:r w:rsidR="00123859" w:rsidRPr="0083655B">
        <w:t>analysis.</w:t>
      </w:r>
    </w:p>
    <w:p w14:paraId="4D202AF6" w14:textId="77777777" w:rsidR="00123859" w:rsidRPr="0083655B" w:rsidRDefault="00123859" w:rsidP="004E2227">
      <w:pPr>
        <w:pStyle w:val="AppendixHeading3"/>
      </w:pPr>
      <w:r w:rsidRPr="0083655B">
        <w:t>Whole of economy</w:t>
      </w:r>
      <w:r w:rsidRPr="0083655B">
        <w:rPr>
          <w:spacing w:val="-3"/>
        </w:rPr>
        <w:t xml:space="preserve"> </w:t>
      </w:r>
      <w:r w:rsidRPr="0083655B">
        <w:t>impacts</w:t>
      </w:r>
    </w:p>
    <w:p w14:paraId="661CFDED" w14:textId="77777777" w:rsidR="00123859" w:rsidRPr="0083655B" w:rsidRDefault="00123859" w:rsidP="00123859">
      <w:pPr>
        <w:pStyle w:val="BodyText"/>
      </w:pPr>
      <w:r w:rsidRPr="0083655B">
        <w:t xml:space="preserve">The economy-wide modelling uses a shock of capital productivity in the gas transport sector increasing in line with the low and high </w:t>
      </w:r>
      <w:r w:rsidR="00B02610">
        <w:t xml:space="preserve">impact </w:t>
      </w:r>
      <w:r w:rsidRPr="0083655B">
        <w:t>scenarios (net of costs to service providers and shippers) and a shock to government expenditure reflecting the increased administrative activities for regulators. The capital productivity shock represents that for the same level of inputs (capital invested in the gas transport market) the sector is able to produce more output (gas transport services). The key results of the whole of economy impacts are that:</w:t>
      </w:r>
    </w:p>
    <w:p w14:paraId="01464FC8" w14:textId="719E22A3" w:rsidR="00123859" w:rsidRPr="0083655B" w:rsidRDefault="00123859" w:rsidP="00AD36B8">
      <w:pPr>
        <w:pStyle w:val="ListBullet"/>
        <w:rPr>
          <w:rFonts w:ascii="Symbol" w:hAnsi="Symbol"/>
        </w:rPr>
      </w:pPr>
      <w:r w:rsidRPr="0083655B">
        <w:t>Exports increase as energy intensive, trade exposed businesses fare better in globally competitive</w:t>
      </w:r>
      <w:r w:rsidRPr="0083655B">
        <w:rPr>
          <w:spacing w:val="-34"/>
        </w:rPr>
        <w:t xml:space="preserve"> </w:t>
      </w:r>
      <w:r w:rsidRPr="0083655B">
        <w:t>markets. Sectors that gain in exports include paper products, chemical manufacturing and metal</w:t>
      </w:r>
      <w:r w:rsidRPr="0083655B">
        <w:rPr>
          <w:spacing w:val="-11"/>
        </w:rPr>
        <w:t xml:space="preserve"> </w:t>
      </w:r>
      <w:r w:rsidRPr="0083655B">
        <w:t>manufacturing.</w:t>
      </w:r>
      <w:r w:rsidR="004031E8">
        <w:rPr>
          <w:rFonts w:ascii="ZWAdobeF" w:hAnsi="ZWAdobeF" w:cs="ZWAdobeF"/>
          <w:sz w:val="2"/>
          <w:szCs w:val="2"/>
        </w:rPr>
        <w:t>332F</w:t>
      </w:r>
      <w:r w:rsidR="004E2227">
        <w:rPr>
          <w:rStyle w:val="FootnoteReference"/>
        </w:rPr>
        <w:footnoteReference w:id="334"/>
      </w:r>
    </w:p>
    <w:p w14:paraId="016F679A" w14:textId="77777777" w:rsidR="00123859" w:rsidRPr="0083655B" w:rsidRDefault="00123859" w:rsidP="00AD36B8">
      <w:pPr>
        <w:pStyle w:val="ListBullet"/>
        <w:rPr>
          <w:rFonts w:ascii="Symbol" w:hAnsi="Symbol"/>
        </w:rPr>
      </w:pPr>
      <w:r w:rsidRPr="0083655B">
        <w:t xml:space="preserve">Increased consumption </w:t>
      </w:r>
      <w:r w:rsidR="00254B1E">
        <w:t xml:space="preserve">occurs </w:t>
      </w:r>
      <w:r w:rsidRPr="0083655B">
        <w:t>as real wages rise, disposable incomes rise, costs of gas and energy intensive products drop, government taxes rise (from sources including higher</w:t>
      </w:r>
      <w:r w:rsidRPr="0083655B">
        <w:rPr>
          <w:spacing w:val="-30"/>
        </w:rPr>
        <w:t xml:space="preserve"> </w:t>
      </w:r>
      <w:r w:rsidRPr="0083655B">
        <w:t>individual incomes) and greater government expenditure follows.</w:t>
      </w:r>
    </w:p>
    <w:p w14:paraId="29E63E6A" w14:textId="77777777" w:rsidR="00123859" w:rsidRPr="0083655B" w:rsidRDefault="00123859" w:rsidP="00AD36B8">
      <w:pPr>
        <w:pStyle w:val="ListBullet"/>
        <w:rPr>
          <w:rFonts w:ascii="Symbol" w:hAnsi="Symbol"/>
        </w:rPr>
      </w:pPr>
      <w:r w:rsidRPr="0083655B">
        <w:t xml:space="preserve">Lower </w:t>
      </w:r>
      <w:r w:rsidR="00DC044A">
        <w:t xml:space="preserve">levels of capital </w:t>
      </w:r>
      <w:r w:rsidR="00490DFC">
        <w:t>need to be invested</w:t>
      </w:r>
      <w:r w:rsidRPr="0083655B">
        <w:t>, primarily in the gas transport sector as the capital employed is more</w:t>
      </w:r>
      <w:r w:rsidRPr="0083655B">
        <w:rPr>
          <w:spacing w:val="-31"/>
        </w:rPr>
        <w:t xml:space="preserve"> </w:t>
      </w:r>
      <w:r w:rsidRPr="0083655B">
        <w:t>productive and less capital is needed to produce the same level of output going forward as it is more</w:t>
      </w:r>
      <w:r w:rsidRPr="0083655B">
        <w:rPr>
          <w:spacing w:val="-16"/>
        </w:rPr>
        <w:t xml:space="preserve"> </w:t>
      </w:r>
      <w:r w:rsidRPr="0083655B">
        <w:t>efficient.</w:t>
      </w:r>
    </w:p>
    <w:p w14:paraId="00F521B8" w14:textId="77777777" w:rsidR="00123859" w:rsidRPr="0083655B" w:rsidRDefault="00123859" w:rsidP="00AD36B8">
      <w:pPr>
        <w:pStyle w:val="ListBullet"/>
        <w:rPr>
          <w:rFonts w:ascii="Symbol" w:hAnsi="Symbol"/>
        </w:rPr>
      </w:pPr>
      <w:r w:rsidRPr="0083655B">
        <w:t xml:space="preserve">Increased investment is seen in gas </w:t>
      </w:r>
      <w:r w:rsidR="00490DFC">
        <w:t xml:space="preserve">production </w:t>
      </w:r>
      <w:r w:rsidRPr="0083655B">
        <w:t xml:space="preserve">and </w:t>
      </w:r>
      <w:r w:rsidR="001F31D2">
        <w:t xml:space="preserve">by end-users of gas </w:t>
      </w:r>
      <w:r w:rsidRPr="0083655B">
        <w:t>as a result</w:t>
      </w:r>
      <w:r w:rsidRPr="0083655B">
        <w:rPr>
          <w:spacing w:val="-31"/>
        </w:rPr>
        <w:t xml:space="preserve"> </w:t>
      </w:r>
      <w:r w:rsidRPr="0083655B">
        <w:t>of improved margins and competitiveness in those sectors in a global</w:t>
      </w:r>
      <w:r w:rsidRPr="0083655B">
        <w:rPr>
          <w:spacing w:val="-10"/>
        </w:rPr>
        <w:t xml:space="preserve"> </w:t>
      </w:r>
      <w:r w:rsidRPr="0083655B">
        <w:t>market.</w:t>
      </w:r>
    </w:p>
    <w:p w14:paraId="571B3352" w14:textId="77777777" w:rsidR="00123859" w:rsidRPr="0083655B" w:rsidRDefault="00123859" w:rsidP="00AD36B8">
      <w:pPr>
        <w:pStyle w:val="ListBullet"/>
        <w:rPr>
          <w:rFonts w:ascii="Symbol" w:hAnsi="Symbol"/>
        </w:rPr>
      </w:pPr>
      <w:r w:rsidRPr="0083655B">
        <w:t>Overall the increase in exports and higher consumption</w:t>
      </w:r>
      <w:r w:rsidR="001F31D2">
        <w:t xml:space="preserve"> </w:t>
      </w:r>
      <w:r w:rsidRPr="0083655B">
        <w:t xml:space="preserve">offset </w:t>
      </w:r>
      <w:r w:rsidR="001F31D2">
        <w:t xml:space="preserve">the </w:t>
      </w:r>
      <w:r w:rsidRPr="0083655B">
        <w:t xml:space="preserve">lower investment </w:t>
      </w:r>
      <w:r w:rsidR="001F31D2">
        <w:t xml:space="preserve">and </w:t>
      </w:r>
      <w:r w:rsidRPr="0083655B">
        <w:t>result in higher gross domestic</w:t>
      </w:r>
      <w:r w:rsidRPr="0083655B">
        <w:rPr>
          <w:spacing w:val="-1"/>
        </w:rPr>
        <w:t xml:space="preserve"> </w:t>
      </w:r>
      <w:r w:rsidRPr="0083655B">
        <w:t>product.</w:t>
      </w:r>
    </w:p>
    <w:p w14:paraId="498CBE13" w14:textId="77777777" w:rsidR="00123859" w:rsidRPr="0083655B" w:rsidRDefault="00123859" w:rsidP="00123859">
      <w:pPr>
        <w:pStyle w:val="BodyText"/>
      </w:pPr>
      <w:r w:rsidRPr="0083655B">
        <w:t xml:space="preserve">This analysis reports the change in consumption as the key measure of a change in economic welfare as a result of increased capital productivity in the gas transport sector. </w:t>
      </w:r>
      <w:r w:rsidRPr="0083655B">
        <w:lastRenderedPageBreak/>
        <w:t>Consumption is the recommended measure of economic welfare as it is a proxy for standard of living.</w:t>
      </w:r>
    </w:p>
    <w:p w14:paraId="3764AE1A" w14:textId="77777777" w:rsidR="00123859" w:rsidRPr="0083655B" w:rsidRDefault="00123859" w:rsidP="004E2227">
      <w:pPr>
        <w:pStyle w:val="AppendixHeading3"/>
      </w:pPr>
      <w:r w:rsidRPr="0083655B">
        <w:t>Results of quantitative benefits</w:t>
      </w:r>
      <w:r w:rsidRPr="0083655B">
        <w:rPr>
          <w:spacing w:val="-2"/>
        </w:rPr>
        <w:t xml:space="preserve"> </w:t>
      </w:r>
      <w:r w:rsidRPr="0083655B">
        <w:t>analysis</w:t>
      </w:r>
    </w:p>
    <w:p w14:paraId="2C77F510" w14:textId="5435222A" w:rsidR="00123859" w:rsidRPr="0083655B" w:rsidRDefault="0075305C" w:rsidP="00123859">
      <w:pPr>
        <w:pStyle w:val="BodyText"/>
      </w:pPr>
      <w:hyperlink w:anchor="_bookmark16" w:history="1">
        <w:r w:rsidR="004E2227" w:rsidRPr="004E2227">
          <w:rPr>
            <w:rStyle w:val="Hyperlink"/>
            <w:u w:val="none"/>
          </w:rPr>
          <w:t>The</w:t>
        </w:r>
      </w:hyperlink>
      <w:r w:rsidR="004E2227" w:rsidRPr="004E2227">
        <w:rPr>
          <w:rStyle w:val="Hyperlink"/>
          <w:u w:val="none"/>
        </w:rPr>
        <w:t xml:space="preserve"> table below </w:t>
      </w:r>
      <w:r w:rsidR="00D86D61">
        <w:t>sets out</w:t>
      </w:r>
      <w:r w:rsidR="00123859" w:rsidRPr="0083655B">
        <w:t xml:space="preserve"> the </w:t>
      </w:r>
      <w:r w:rsidR="00D86D61">
        <w:t xml:space="preserve">net economy-wide benefit </w:t>
      </w:r>
      <w:r w:rsidR="00F77FF2">
        <w:t xml:space="preserve">that PwC has estimated </w:t>
      </w:r>
      <w:r w:rsidR="000B1245">
        <w:t xml:space="preserve">under each of the reform options. </w:t>
      </w:r>
      <w:r w:rsidR="00F13866">
        <w:t xml:space="preserve">Note that the </w:t>
      </w:r>
      <w:r w:rsidR="000B1245">
        <w:t xml:space="preserve">main driver of this result is the </w:t>
      </w:r>
      <w:r w:rsidR="000B1245" w:rsidRPr="007E0A3F">
        <w:t xml:space="preserve">productivity benefit associated with </w:t>
      </w:r>
      <w:r w:rsidR="000B1245">
        <w:t>the reduction in transportation charges that is expected to flow from more pipelines becoming subject to a stronger form of regulation</w:t>
      </w:r>
      <w:r w:rsidR="00F13866">
        <w:t xml:space="preserve"> (net of the </w:t>
      </w:r>
      <w:r w:rsidR="00123859" w:rsidRPr="0083655B">
        <w:t xml:space="preserve">increased costs </w:t>
      </w:r>
      <w:r w:rsidR="00F13866">
        <w:t xml:space="preserve">associated with </w:t>
      </w:r>
      <w:r w:rsidR="00123859" w:rsidRPr="0083655B">
        <w:t>regulation).</w:t>
      </w:r>
    </w:p>
    <w:p w14:paraId="11012395" w14:textId="77777777" w:rsidR="004E2227" w:rsidRPr="004E2227" w:rsidRDefault="004E2227" w:rsidP="004E2227">
      <w:pPr>
        <w:pStyle w:val="Caption"/>
        <w:spacing w:after="0"/>
      </w:pPr>
      <w:r w:rsidRPr="004E2227">
        <w:t>Table D.</w:t>
      </w:r>
      <w:r w:rsidR="00650F43">
        <w:t>5</w:t>
      </w:r>
      <w:r w:rsidRPr="004E2227">
        <w:t xml:space="preserve">: Summary of net economy-wide benefits quantified, by option </w:t>
      </w:r>
      <w:r w:rsidR="00CF1FEB">
        <w:br/>
      </w:r>
      <w:r w:rsidRPr="004E2227">
        <w:t>(</w:t>
      </w:r>
      <w:r>
        <w:t xml:space="preserve">NPV </w:t>
      </w:r>
      <w:r w:rsidRPr="004E2227">
        <w:t>$m, 2020</w:t>
      </w:r>
      <w:r w:rsidRPr="004E2227">
        <w:rPr>
          <w:spacing w:val="-1"/>
        </w:rPr>
        <w:t xml:space="preserve"> </w:t>
      </w:r>
      <w:r w:rsidRPr="004E2227">
        <w:t>dollars)</w:t>
      </w:r>
    </w:p>
    <w:tbl>
      <w:tblPr>
        <w:tblStyle w:val="TableGrid"/>
        <w:tblW w:w="5000" w:type="pct"/>
        <w:tblLook w:val="0420" w:firstRow="1" w:lastRow="0" w:firstColumn="0" w:lastColumn="0" w:noHBand="0" w:noVBand="1"/>
      </w:tblPr>
      <w:tblGrid>
        <w:gridCol w:w="1926"/>
        <w:gridCol w:w="1476"/>
        <w:gridCol w:w="1561"/>
        <w:gridCol w:w="65"/>
        <w:gridCol w:w="1234"/>
        <w:gridCol w:w="1273"/>
        <w:gridCol w:w="1253"/>
      </w:tblGrid>
      <w:tr w:rsidR="00CF1FEB" w:rsidRPr="00AF3666" w14:paraId="43B16843" w14:textId="77777777" w:rsidTr="00CF1FEB">
        <w:trPr>
          <w:cnfStyle w:val="100000000000" w:firstRow="1" w:lastRow="0" w:firstColumn="0" w:lastColumn="0" w:oddVBand="0" w:evenVBand="0" w:oddHBand="0" w:evenHBand="0" w:firstRowFirstColumn="0" w:firstRowLastColumn="0" w:lastRowFirstColumn="0" w:lastRowLastColumn="0"/>
          <w:tblHeader/>
        </w:trPr>
        <w:tc>
          <w:tcPr>
            <w:tcW w:w="1096" w:type="pct"/>
            <w:vMerge w:val="restart"/>
            <w:shd w:val="clear" w:color="auto" w:fill="002060"/>
          </w:tcPr>
          <w:p w14:paraId="73BECA84" w14:textId="77777777" w:rsidR="00CF1FEB" w:rsidRPr="00AF3666" w:rsidRDefault="00CF1FEB" w:rsidP="001D58A4">
            <w:pPr>
              <w:pStyle w:val="TableHeading"/>
              <w:keepNext/>
            </w:pPr>
            <w:r w:rsidRPr="00AF3666">
              <w:t>Options</w:t>
            </w:r>
          </w:p>
        </w:tc>
        <w:tc>
          <w:tcPr>
            <w:tcW w:w="3904" w:type="pct"/>
            <w:gridSpan w:val="6"/>
            <w:tcBorders>
              <w:bottom w:val="single" w:sz="4" w:space="0" w:color="auto"/>
            </w:tcBorders>
            <w:shd w:val="clear" w:color="auto" w:fill="002060"/>
          </w:tcPr>
          <w:p w14:paraId="796C1D6A" w14:textId="77777777" w:rsidR="00CF1FEB" w:rsidRPr="00AF3666" w:rsidRDefault="00CF1FEB" w:rsidP="00CF1FEB">
            <w:pPr>
              <w:pStyle w:val="TableHeading"/>
              <w:keepNext/>
              <w:jc w:val="center"/>
            </w:pPr>
            <w:r w:rsidRPr="00AF3666">
              <w:t>Net economy-wide benefits</w:t>
            </w:r>
          </w:p>
        </w:tc>
      </w:tr>
      <w:tr w:rsidR="00CF1FEB" w:rsidRPr="004E2227" w14:paraId="2701BAE6" w14:textId="77777777" w:rsidTr="00CF1FEB">
        <w:tc>
          <w:tcPr>
            <w:tcW w:w="1096" w:type="pct"/>
            <w:vMerge/>
            <w:shd w:val="clear" w:color="auto" w:fill="002060"/>
          </w:tcPr>
          <w:p w14:paraId="07F9BCD1" w14:textId="77777777" w:rsidR="00CF1FEB" w:rsidRPr="004E2227" w:rsidRDefault="00CF1FEB" w:rsidP="001D58A4">
            <w:pPr>
              <w:pStyle w:val="TableBodyText"/>
              <w:keepNext/>
              <w:jc w:val="center"/>
              <w:rPr>
                <w:b/>
                <w:bCs/>
                <w:color w:val="FFFFFF" w:themeColor="background1"/>
              </w:rPr>
            </w:pPr>
          </w:p>
        </w:tc>
        <w:tc>
          <w:tcPr>
            <w:tcW w:w="840" w:type="pct"/>
            <w:shd w:val="clear" w:color="auto" w:fill="002060"/>
          </w:tcPr>
          <w:p w14:paraId="12CD55AD" w14:textId="77777777" w:rsidR="00CF1FEB" w:rsidRPr="004E2227" w:rsidRDefault="00CF1FEB" w:rsidP="001D58A4">
            <w:pPr>
              <w:pStyle w:val="TableBodyText"/>
              <w:keepNext/>
              <w:jc w:val="center"/>
              <w:rPr>
                <w:b/>
                <w:bCs/>
                <w:color w:val="FFFFFF" w:themeColor="background1"/>
              </w:rPr>
            </w:pPr>
            <w:r>
              <w:rPr>
                <w:b/>
                <w:bCs/>
                <w:color w:val="FFFFFF" w:themeColor="background1"/>
              </w:rPr>
              <w:t>20 year NPV</w:t>
            </w:r>
          </w:p>
        </w:tc>
        <w:tc>
          <w:tcPr>
            <w:tcW w:w="888" w:type="pct"/>
            <w:shd w:val="clear" w:color="auto" w:fill="002060"/>
          </w:tcPr>
          <w:p w14:paraId="6A5C86B7" w14:textId="77777777" w:rsidR="00CF1FEB" w:rsidRPr="004E2227" w:rsidRDefault="00CF1FEB" w:rsidP="001D58A4">
            <w:pPr>
              <w:pStyle w:val="TableBodyText"/>
              <w:keepNext/>
              <w:jc w:val="center"/>
              <w:rPr>
                <w:b/>
                <w:bCs/>
                <w:color w:val="FFFFFF" w:themeColor="background1"/>
              </w:rPr>
            </w:pPr>
            <w:r>
              <w:rPr>
                <w:b/>
                <w:bCs/>
                <w:color w:val="FFFFFF" w:themeColor="background1"/>
              </w:rPr>
              <w:t xml:space="preserve">Year 1 </w:t>
            </w:r>
          </w:p>
        </w:tc>
        <w:tc>
          <w:tcPr>
            <w:tcW w:w="739" w:type="pct"/>
            <w:gridSpan w:val="2"/>
            <w:shd w:val="clear" w:color="auto" w:fill="002060"/>
          </w:tcPr>
          <w:p w14:paraId="7AA91582" w14:textId="77777777" w:rsidR="00CF1FEB" w:rsidRPr="004E2227" w:rsidRDefault="00CF1FEB" w:rsidP="001D58A4">
            <w:pPr>
              <w:pStyle w:val="TableBodyText"/>
              <w:keepNext/>
              <w:jc w:val="center"/>
              <w:rPr>
                <w:b/>
                <w:bCs/>
                <w:color w:val="FFFFFF" w:themeColor="background1"/>
              </w:rPr>
            </w:pPr>
            <w:r>
              <w:rPr>
                <w:b/>
                <w:bCs/>
                <w:color w:val="FFFFFF" w:themeColor="background1"/>
              </w:rPr>
              <w:t>Year 5</w:t>
            </w:r>
          </w:p>
        </w:tc>
        <w:tc>
          <w:tcPr>
            <w:tcW w:w="724" w:type="pct"/>
            <w:shd w:val="clear" w:color="auto" w:fill="002060"/>
          </w:tcPr>
          <w:p w14:paraId="43AB262B" w14:textId="77777777" w:rsidR="00CF1FEB" w:rsidRPr="004E2227" w:rsidRDefault="00CF1FEB" w:rsidP="001D58A4">
            <w:pPr>
              <w:pStyle w:val="TableBodyText"/>
              <w:keepNext/>
              <w:jc w:val="center"/>
              <w:rPr>
                <w:b/>
                <w:bCs/>
                <w:color w:val="FFFFFF" w:themeColor="background1"/>
              </w:rPr>
            </w:pPr>
            <w:r>
              <w:rPr>
                <w:b/>
                <w:bCs/>
                <w:color w:val="FFFFFF" w:themeColor="background1"/>
              </w:rPr>
              <w:t>Year 10</w:t>
            </w:r>
          </w:p>
        </w:tc>
        <w:tc>
          <w:tcPr>
            <w:tcW w:w="713" w:type="pct"/>
            <w:shd w:val="clear" w:color="auto" w:fill="002060"/>
          </w:tcPr>
          <w:p w14:paraId="17E428E6" w14:textId="77777777" w:rsidR="00CF1FEB" w:rsidRPr="004E2227" w:rsidRDefault="00CF1FEB" w:rsidP="001D58A4">
            <w:pPr>
              <w:pStyle w:val="TableBodyText"/>
              <w:keepNext/>
              <w:jc w:val="center"/>
              <w:rPr>
                <w:b/>
                <w:bCs/>
                <w:color w:val="FFFFFF" w:themeColor="background1"/>
              </w:rPr>
            </w:pPr>
            <w:r>
              <w:rPr>
                <w:b/>
                <w:bCs/>
                <w:color w:val="FFFFFF" w:themeColor="background1"/>
              </w:rPr>
              <w:t>Year 20</w:t>
            </w:r>
          </w:p>
        </w:tc>
      </w:tr>
      <w:tr w:rsidR="004E2227" w:rsidRPr="004E2227" w14:paraId="2D3074AD" w14:textId="77777777" w:rsidTr="004E2227">
        <w:trPr>
          <w:cnfStyle w:val="000000010000" w:firstRow="0" w:lastRow="0" w:firstColumn="0" w:lastColumn="0" w:oddVBand="0" w:evenVBand="0" w:oddHBand="0" w:evenHBand="1" w:firstRowFirstColumn="0" w:firstRowLastColumn="0" w:lastRowFirstColumn="0" w:lastRowLastColumn="0"/>
        </w:trPr>
        <w:tc>
          <w:tcPr>
            <w:tcW w:w="5000" w:type="pct"/>
            <w:gridSpan w:val="7"/>
            <w:shd w:val="clear" w:color="auto" w:fill="65697F" w:themeFill="background2" w:themeFillShade="80"/>
          </w:tcPr>
          <w:p w14:paraId="086BDE01" w14:textId="77777777" w:rsidR="004E2227" w:rsidRPr="004E2227" w:rsidRDefault="004E2227" w:rsidP="001D58A4">
            <w:pPr>
              <w:pStyle w:val="TableBodyText"/>
              <w:keepNext/>
              <w:jc w:val="center"/>
              <w:rPr>
                <w:b/>
                <w:bCs/>
                <w:color w:val="FFFFFF" w:themeColor="background1"/>
              </w:rPr>
            </w:pPr>
            <w:r w:rsidRPr="004E2227">
              <w:rPr>
                <w:b/>
                <w:bCs/>
                <w:color w:val="FFFFFF" w:themeColor="background1"/>
              </w:rPr>
              <w:t>Scenario 1 - High Impact</w:t>
            </w:r>
          </w:p>
        </w:tc>
      </w:tr>
      <w:tr w:rsidR="004E2227" w:rsidRPr="00AF3666" w14:paraId="30BE5D80" w14:textId="77777777" w:rsidTr="00CF1FEB">
        <w:tc>
          <w:tcPr>
            <w:tcW w:w="1096" w:type="pct"/>
          </w:tcPr>
          <w:p w14:paraId="36F8E00C" w14:textId="77777777" w:rsidR="004E2227" w:rsidRPr="00AF3666" w:rsidRDefault="004E2227" w:rsidP="00AF72C3">
            <w:pPr>
              <w:pStyle w:val="TableBodyText"/>
            </w:pPr>
            <w:r w:rsidRPr="00AF3666">
              <w:t>Option 2</w:t>
            </w:r>
          </w:p>
        </w:tc>
        <w:tc>
          <w:tcPr>
            <w:tcW w:w="840" w:type="pct"/>
          </w:tcPr>
          <w:p w14:paraId="04B805FA" w14:textId="77777777" w:rsidR="004E2227" w:rsidRPr="00AF3666" w:rsidRDefault="004E2227" w:rsidP="00592848">
            <w:pPr>
              <w:pStyle w:val="TableBodyText"/>
              <w:jc w:val="center"/>
            </w:pPr>
            <w:r w:rsidRPr="00AF3666">
              <w:t>$1,216.1</w:t>
            </w:r>
          </w:p>
        </w:tc>
        <w:tc>
          <w:tcPr>
            <w:tcW w:w="925" w:type="pct"/>
            <w:gridSpan w:val="2"/>
          </w:tcPr>
          <w:p w14:paraId="22CA0497" w14:textId="77777777" w:rsidR="004E2227" w:rsidRPr="00AF3666" w:rsidRDefault="004E2227" w:rsidP="00592848">
            <w:pPr>
              <w:pStyle w:val="TableBodyText"/>
              <w:jc w:val="center"/>
            </w:pPr>
            <w:r w:rsidRPr="00AF3666">
              <w:t>$151.9</w:t>
            </w:r>
          </w:p>
        </w:tc>
        <w:tc>
          <w:tcPr>
            <w:tcW w:w="702" w:type="pct"/>
          </w:tcPr>
          <w:p w14:paraId="3B1ED43F" w14:textId="77777777" w:rsidR="004E2227" w:rsidRPr="00AF3666" w:rsidRDefault="004E2227" w:rsidP="00592848">
            <w:pPr>
              <w:pStyle w:val="TableBodyText"/>
              <w:jc w:val="center"/>
            </w:pPr>
            <w:r w:rsidRPr="00AF3666">
              <w:t>$111.7</w:t>
            </w:r>
          </w:p>
        </w:tc>
        <w:tc>
          <w:tcPr>
            <w:tcW w:w="724" w:type="pct"/>
          </w:tcPr>
          <w:p w14:paraId="28C141FD" w14:textId="77777777" w:rsidR="004E2227" w:rsidRPr="00AF3666" w:rsidRDefault="004E2227" w:rsidP="00592848">
            <w:pPr>
              <w:pStyle w:val="TableBodyText"/>
              <w:jc w:val="center"/>
            </w:pPr>
            <w:r w:rsidRPr="00AF3666">
              <w:t>$80.9</w:t>
            </w:r>
          </w:p>
        </w:tc>
        <w:tc>
          <w:tcPr>
            <w:tcW w:w="713" w:type="pct"/>
          </w:tcPr>
          <w:p w14:paraId="190D5D3B" w14:textId="77777777" w:rsidR="004E2227" w:rsidRPr="00AF3666" w:rsidRDefault="004E2227" w:rsidP="00592848">
            <w:pPr>
              <w:pStyle w:val="TableBodyText"/>
              <w:jc w:val="center"/>
            </w:pPr>
            <w:r w:rsidRPr="00AF3666">
              <w:t>$86.1</w:t>
            </w:r>
          </w:p>
        </w:tc>
      </w:tr>
      <w:tr w:rsidR="004E2227" w:rsidRPr="00AF3666" w14:paraId="62C86CAD" w14:textId="77777777" w:rsidTr="00CF1FEB">
        <w:trPr>
          <w:cnfStyle w:val="000000010000" w:firstRow="0" w:lastRow="0" w:firstColumn="0" w:lastColumn="0" w:oddVBand="0" w:evenVBand="0" w:oddHBand="0" w:evenHBand="1" w:firstRowFirstColumn="0" w:firstRowLastColumn="0" w:lastRowFirstColumn="0" w:lastRowLastColumn="0"/>
        </w:trPr>
        <w:tc>
          <w:tcPr>
            <w:tcW w:w="1096" w:type="pct"/>
          </w:tcPr>
          <w:p w14:paraId="1215D2C4" w14:textId="77777777" w:rsidR="004E2227" w:rsidRPr="00AF3666" w:rsidRDefault="00C32CBC" w:rsidP="00AF72C3">
            <w:pPr>
              <w:pStyle w:val="TableBodyText"/>
            </w:pPr>
            <w:r>
              <w:t>Option 3A</w:t>
            </w:r>
          </w:p>
        </w:tc>
        <w:tc>
          <w:tcPr>
            <w:tcW w:w="840" w:type="pct"/>
          </w:tcPr>
          <w:p w14:paraId="6A4365D1" w14:textId="77777777" w:rsidR="004E2227" w:rsidRPr="00AF3666" w:rsidRDefault="004E2227" w:rsidP="00592848">
            <w:pPr>
              <w:pStyle w:val="TableBodyText"/>
              <w:jc w:val="center"/>
            </w:pPr>
            <w:r w:rsidRPr="00AF3666">
              <w:t>$1,185.3</w:t>
            </w:r>
          </w:p>
        </w:tc>
        <w:tc>
          <w:tcPr>
            <w:tcW w:w="925" w:type="pct"/>
            <w:gridSpan w:val="2"/>
          </w:tcPr>
          <w:p w14:paraId="36A6011B" w14:textId="77777777" w:rsidR="004E2227" w:rsidRPr="00AF3666" w:rsidRDefault="004E2227" w:rsidP="00592848">
            <w:pPr>
              <w:pStyle w:val="TableBodyText"/>
              <w:jc w:val="center"/>
            </w:pPr>
            <w:r w:rsidRPr="00AF3666">
              <w:t>$149.8</w:t>
            </w:r>
          </w:p>
        </w:tc>
        <w:tc>
          <w:tcPr>
            <w:tcW w:w="702" w:type="pct"/>
          </w:tcPr>
          <w:p w14:paraId="19853E28" w14:textId="77777777" w:rsidR="004E2227" w:rsidRPr="00AF3666" w:rsidRDefault="004E2227" w:rsidP="00592848">
            <w:pPr>
              <w:pStyle w:val="TableBodyText"/>
              <w:jc w:val="center"/>
            </w:pPr>
            <w:r w:rsidRPr="00AF3666">
              <w:t>$109.1</w:t>
            </w:r>
          </w:p>
        </w:tc>
        <w:tc>
          <w:tcPr>
            <w:tcW w:w="724" w:type="pct"/>
          </w:tcPr>
          <w:p w14:paraId="27AE33BD" w14:textId="77777777" w:rsidR="004E2227" w:rsidRPr="00AF3666" w:rsidRDefault="004E2227" w:rsidP="00592848">
            <w:pPr>
              <w:pStyle w:val="TableBodyText"/>
              <w:jc w:val="center"/>
            </w:pPr>
            <w:r w:rsidRPr="00AF3666">
              <w:t>$78.4</w:t>
            </w:r>
          </w:p>
        </w:tc>
        <w:tc>
          <w:tcPr>
            <w:tcW w:w="713" w:type="pct"/>
          </w:tcPr>
          <w:p w14:paraId="61039DC5" w14:textId="77777777" w:rsidR="004E2227" w:rsidRPr="00AF3666" w:rsidRDefault="004E2227" w:rsidP="00592848">
            <w:pPr>
              <w:pStyle w:val="TableBodyText"/>
              <w:jc w:val="center"/>
            </w:pPr>
            <w:r w:rsidRPr="00AF3666">
              <w:t>$82.7</w:t>
            </w:r>
          </w:p>
        </w:tc>
      </w:tr>
      <w:tr w:rsidR="004E2227" w:rsidRPr="00AF3666" w14:paraId="5F1656B4" w14:textId="77777777" w:rsidTr="00CF1FEB">
        <w:tc>
          <w:tcPr>
            <w:tcW w:w="1096" w:type="pct"/>
            <w:tcBorders>
              <w:bottom w:val="single" w:sz="4" w:space="0" w:color="auto"/>
            </w:tcBorders>
          </w:tcPr>
          <w:p w14:paraId="3DFE0815" w14:textId="77777777" w:rsidR="004E2227" w:rsidRPr="00AF3666" w:rsidRDefault="00C32CBC" w:rsidP="00AF72C3">
            <w:pPr>
              <w:pStyle w:val="TableBodyText"/>
            </w:pPr>
            <w:r>
              <w:t>Option 3B</w:t>
            </w:r>
          </w:p>
        </w:tc>
        <w:tc>
          <w:tcPr>
            <w:tcW w:w="840" w:type="pct"/>
            <w:tcBorders>
              <w:bottom w:val="single" w:sz="4" w:space="0" w:color="auto"/>
            </w:tcBorders>
          </w:tcPr>
          <w:p w14:paraId="5588E24C" w14:textId="77777777" w:rsidR="004E2227" w:rsidRPr="00AF3666" w:rsidRDefault="004E2227" w:rsidP="00592848">
            <w:pPr>
              <w:pStyle w:val="TableBodyText"/>
              <w:jc w:val="center"/>
            </w:pPr>
            <w:r w:rsidRPr="00AF3666">
              <w:t>$1,179.8</w:t>
            </w:r>
          </w:p>
        </w:tc>
        <w:tc>
          <w:tcPr>
            <w:tcW w:w="925" w:type="pct"/>
            <w:gridSpan w:val="2"/>
            <w:tcBorders>
              <w:bottom w:val="single" w:sz="4" w:space="0" w:color="auto"/>
            </w:tcBorders>
          </w:tcPr>
          <w:p w14:paraId="7F5E612F" w14:textId="77777777" w:rsidR="004E2227" w:rsidRPr="00AF3666" w:rsidRDefault="004E2227" w:rsidP="00592848">
            <w:pPr>
              <w:pStyle w:val="TableBodyText"/>
              <w:jc w:val="center"/>
            </w:pPr>
            <w:r w:rsidRPr="00AF3666">
              <w:t>$148.3</w:t>
            </w:r>
          </w:p>
        </w:tc>
        <w:tc>
          <w:tcPr>
            <w:tcW w:w="702" w:type="pct"/>
            <w:tcBorders>
              <w:bottom w:val="single" w:sz="4" w:space="0" w:color="auto"/>
            </w:tcBorders>
          </w:tcPr>
          <w:p w14:paraId="62C357A3" w14:textId="77777777" w:rsidR="004E2227" w:rsidRPr="00AF3666" w:rsidRDefault="004E2227" w:rsidP="00592848">
            <w:pPr>
              <w:pStyle w:val="TableBodyText"/>
              <w:jc w:val="center"/>
            </w:pPr>
            <w:r w:rsidRPr="00AF3666">
              <w:t>$108.7</w:t>
            </w:r>
          </w:p>
        </w:tc>
        <w:tc>
          <w:tcPr>
            <w:tcW w:w="724" w:type="pct"/>
            <w:tcBorders>
              <w:bottom w:val="single" w:sz="4" w:space="0" w:color="auto"/>
            </w:tcBorders>
          </w:tcPr>
          <w:p w14:paraId="7B05E2F3" w14:textId="77777777" w:rsidR="004E2227" w:rsidRPr="00AF3666" w:rsidRDefault="004E2227" w:rsidP="00592848">
            <w:pPr>
              <w:pStyle w:val="TableBodyText"/>
              <w:jc w:val="center"/>
            </w:pPr>
            <w:r w:rsidRPr="00AF3666">
              <w:t>$78.0</w:t>
            </w:r>
          </w:p>
        </w:tc>
        <w:tc>
          <w:tcPr>
            <w:tcW w:w="713" w:type="pct"/>
            <w:tcBorders>
              <w:bottom w:val="single" w:sz="4" w:space="0" w:color="auto"/>
            </w:tcBorders>
          </w:tcPr>
          <w:p w14:paraId="2BE08335" w14:textId="77777777" w:rsidR="004E2227" w:rsidRPr="00AF3666" w:rsidRDefault="004E2227" w:rsidP="00592848">
            <w:pPr>
              <w:pStyle w:val="TableBodyText"/>
              <w:jc w:val="center"/>
            </w:pPr>
            <w:r w:rsidRPr="00AF3666">
              <w:t>$82.3</w:t>
            </w:r>
          </w:p>
        </w:tc>
      </w:tr>
      <w:tr w:rsidR="004E2227" w:rsidRPr="00AF3666" w14:paraId="685DCC6E" w14:textId="77777777" w:rsidTr="00CF1FEB">
        <w:trPr>
          <w:cnfStyle w:val="000000010000" w:firstRow="0" w:lastRow="0" w:firstColumn="0" w:lastColumn="0" w:oddVBand="0" w:evenVBand="0" w:oddHBand="0" w:evenHBand="1" w:firstRowFirstColumn="0" w:firstRowLastColumn="0" w:lastRowFirstColumn="0" w:lastRowLastColumn="0"/>
        </w:trPr>
        <w:tc>
          <w:tcPr>
            <w:tcW w:w="1096" w:type="pct"/>
          </w:tcPr>
          <w:p w14:paraId="7709180C" w14:textId="77777777" w:rsidR="004E2227" w:rsidRPr="00AF3666" w:rsidRDefault="004E2227" w:rsidP="00AF72C3">
            <w:pPr>
              <w:pStyle w:val="TableBodyText"/>
            </w:pPr>
            <w:r w:rsidRPr="00AF3666">
              <w:t>Option 4</w:t>
            </w:r>
          </w:p>
        </w:tc>
        <w:tc>
          <w:tcPr>
            <w:tcW w:w="840" w:type="pct"/>
          </w:tcPr>
          <w:p w14:paraId="32EC6A57" w14:textId="77777777" w:rsidR="004E2227" w:rsidRPr="00AF3666" w:rsidRDefault="004E2227" w:rsidP="00592848">
            <w:pPr>
              <w:pStyle w:val="TableBodyText"/>
              <w:jc w:val="center"/>
            </w:pPr>
            <w:r w:rsidRPr="00AF3666">
              <w:t>$1,177.1</w:t>
            </w:r>
          </w:p>
        </w:tc>
        <w:tc>
          <w:tcPr>
            <w:tcW w:w="925" w:type="pct"/>
            <w:gridSpan w:val="2"/>
          </w:tcPr>
          <w:p w14:paraId="32B84753" w14:textId="77777777" w:rsidR="004E2227" w:rsidRPr="00AF3666" w:rsidRDefault="004E2227" w:rsidP="00592848">
            <w:pPr>
              <w:pStyle w:val="TableBodyText"/>
              <w:jc w:val="center"/>
            </w:pPr>
            <w:r w:rsidRPr="00AF3666">
              <w:t>$148.2</w:t>
            </w:r>
          </w:p>
        </w:tc>
        <w:tc>
          <w:tcPr>
            <w:tcW w:w="702" w:type="pct"/>
          </w:tcPr>
          <w:p w14:paraId="62950C13" w14:textId="77777777" w:rsidR="004E2227" w:rsidRPr="00AF3666" w:rsidRDefault="004E2227" w:rsidP="00592848">
            <w:pPr>
              <w:pStyle w:val="TableBodyText"/>
              <w:jc w:val="center"/>
            </w:pPr>
            <w:r w:rsidRPr="00AF3666">
              <w:t>$108.5</w:t>
            </w:r>
          </w:p>
        </w:tc>
        <w:tc>
          <w:tcPr>
            <w:tcW w:w="724" w:type="pct"/>
          </w:tcPr>
          <w:p w14:paraId="0AFD1557" w14:textId="77777777" w:rsidR="004E2227" w:rsidRPr="00AF3666" w:rsidRDefault="004E2227" w:rsidP="00592848">
            <w:pPr>
              <w:pStyle w:val="TableBodyText"/>
              <w:jc w:val="center"/>
            </w:pPr>
            <w:r w:rsidRPr="00AF3666">
              <w:t>$77.8</w:t>
            </w:r>
          </w:p>
        </w:tc>
        <w:tc>
          <w:tcPr>
            <w:tcW w:w="713" w:type="pct"/>
          </w:tcPr>
          <w:p w14:paraId="2A285551" w14:textId="77777777" w:rsidR="004E2227" w:rsidRPr="00AF3666" w:rsidRDefault="004E2227" w:rsidP="00592848">
            <w:pPr>
              <w:pStyle w:val="TableBodyText"/>
              <w:jc w:val="center"/>
            </w:pPr>
            <w:r w:rsidRPr="00AF3666">
              <w:t>$81.9</w:t>
            </w:r>
          </w:p>
        </w:tc>
      </w:tr>
      <w:tr w:rsidR="004E2227" w:rsidRPr="00AF3666" w14:paraId="37E5D24A" w14:textId="77777777" w:rsidTr="004E2227">
        <w:tc>
          <w:tcPr>
            <w:tcW w:w="5000" w:type="pct"/>
            <w:gridSpan w:val="7"/>
            <w:shd w:val="clear" w:color="auto" w:fill="65697F" w:themeFill="background2" w:themeFillShade="80"/>
          </w:tcPr>
          <w:p w14:paraId="71788727" w14:textId="77777777" w:rsidR="004E2227" w:rsidRPr="004E2227" w:rsidRDefault="004E2227" w:rsidP="004E2227">
            <w:pPr>
              <w:pStyle w:val="TableBodyText"/>
              <w:jc w:val="center"/>
              <w:rPr>
                <w:b/>
                <w:bCs/>
                <w:color w:val="FFFFFF" w:themeColor="background1"/>
              </w:rPr>
            </w:pPr>
            <w:r w:rsidRPr="004E2227">
              <w:rPr>
                <w:b/>
                <w:bCs/>
                <w:color w:val="FFFFFF" w:themeColor="background1"/>
              </w:rPr>
              <w:t>Scenario 2 - Low Impact</w:t>
            </w:r>
          </w:p>
        </w:tc>
      </w:tr>
      <w:tr w:rsidR="004E2227" w:rsidRPr="00AF3666" w14:paraId="6894E2E2" w14:textId="77777777" w:rsidTr="00CF1FEB">
        <w:trPr>
          <w:cnfStyle w:val="000000010000" w:firstRow="0" w:lastRow="0" w:firstColumn="0" w:lastColumn="0" w:oddVBand="0" w:evenVBand="0" w:oddHBand="0" w:evenHBand="1" w:firstRowFirstColumn="0" w:firstRowLastColumn="0" w:lastRowFirstColumn="0" w:lastRowLastColumn="0"/>
        </w:trPr>
        <w:tc>
          <w:tcPr>
            <w:tcW w:w="1096" w:type="pct"/>
          </w:tcPr>
          <w:p w14:paraId="06C122C0" w14:textId="77777777" w:rsidR="004E2227" w:rsidRPr="00AF3666" w:rsidRDefault="004E2227" w:rsidP="00AF72C3">
            <w:pPr>
              <w:pStyle w:val="TableBodyText"/>
            </w:pPr>
            <w:r w:rsidRPr="00AF3666">
              <w:t>Option 2</w:t>
            </w:r>
          </w:p>
        </w:tc>
        <w:tc>
          <w:tcPr>
            <w:tcW w:w="840" w:type="pct"/>
          </w:tcPr>
          <w:p w14:paraId="3A5EC644" w14:textId="77777777" w:rsidR="004E2227" w:rsidRPr="00AF3666" w:rsidRDefault="004E2227" w:rsidP="00592848">
            <w:pPr>
              <w:pStyle w:val="TableBodyText"/>
              <w:jc w:val="center"/>
            </w:pPr>
            <w:r w:rsidRPr="00AF3666">
              <w:t>$263.3</w:t>
            </w:r>
          </w:p>
        </w:tc>
        <w:tc>
          <w:tcPr>
            <w:tcW w:w="925" w:type="pct"/>
            <w:gridSpan w:val="2"/>
          </w:tcPr>
          <w:p w14:paraId="60E8E01D" w14:textId="77777777" w:rsidR="004E2227" w:rsidRPr="00AF3666" w:rsidRDefault="004E2227" w:rsidP="00592848">
            <w:pPr>
              <w:pStyle w:val="TableBodyText"/>
              <w:jc w:val="center"/>
            </w:pPr>
            <w:r w:rsidRPr="00AF3666">
              <w:t>$29.1</w:t>
            </w:r>
          </w:p>
        </w:tc>
        <w:tc>
          <w:tcPr>
            <w:tcW w:w="702" w:type="pct"/>
          </w:tcPr>
          <w:p w14:paraId="60EAA854" w14:textId="77777777" w:rsidR="004E2227" w:rsidRPr="00AF3666" w:rsidRDefault="004E2227" w:rsidP="00592848">
            <w:pPr>
              <w:pStyle w:val="TableBodyText"/>
              <w:jc w:val="center"/>
            </w:pPr>
            <w:r w:rsidRPr="00AF3666">
              <w:t>$24.8</w:t>
            </w:r>
          </w:p>
        </w:tc>
        <w:tc>
          <w:tcPr>
            <w:tcW w:w="724" w:type="pct"/>
          </w:tcPr>
          <w:p w14:paraId="254878A8" w14:textId="77777777" w:rsidR="004E2227" w:rsidRPr="00AF3666" w:rsidRDefault="004E2227" w:rsidP="00592848">
            <w:pPr>
              <w:pStyle w:val="TableBodyText"/>
              <w:jc w:val="center"/>
            </w:pPr>
            <w:r w:rsidRPr="00AF3666">
              <w:t>$17.6</w:t>
            </w:r>
          </w:p>
        </w:tc>
        <w:tc>
          <w:tcPr>
            <w:tcW w:w="713" w:type="pct"/>
          </w:tcPr>
          <w:p w14:paraId="68498C36" w14:textId="77777777" w:rsidR="004E2227" w:rsidRPr="00AF3666" w:rsidRDefault="004E2227" w:rsidP="00592848">
            <w:pPr>
              <w:pStyle w:val="TableBodyText"/>
              <w:jc w:val="center"/>
            </w:pPr>
            <w:r w:rsidRPr="00AF3666">
              <w:t>$18.4</w:t>
            </w:r>
          </w:p>
        </w:tc>
      </w:tr>
      <w:tr w:rsidR="004E2227" w:rsidRPr="00AF3666" w14:paraId="2C8F5303" w14:textId="77777777" w:rsidTr="00CF1FEB">
        <w:tc>
          <w:tcPr>
            <w:tcW w:w="1096" w:type="pct"/>
          </w:tcPr>
          <w:p w14:paraId="32D0EE31" w14:textId="77777777" w:rsidR="004E2227" w:rsidRPr="00AF3666" w:rsidRDefault="00C32CBC" w:rsidP="00AF72C3">
            <w:pPr>
              <w:pStyle w:val="TableBodyText"/>
            </w:pPr>
            <w:r>
              <w:t>Option 3A</w:t>
            </w:r>
          </w:p>
        </w:tc>
        <w:tc>
          <w:tcPr>
            <w:tcW w:w="840" w:type="pct"/>
          </w:tcPr>
          <w:p w14:paraId="144E8B78" w14:textId="77777777" w:rsidR="004E2227" w:rsidRPr="00AF3666" w:rsidRDefault="004E2227" w:rsidP="00592848">
            <w:pPr>
              <w:pStyle w:val="TableBodyText"/>
              <w:jc w:val="center"/>
            </w:pPr>
            <w:r w:rsidRPr="00AF3666">
              <w:t>$238.4</w:t>
            </w:r>
          </w:p>
        </w:tc>
        <w:tc>
          <w:tcPr>
            <w:tcW w:w="925" w:type="pct"/>
            <w:gridSpan w:val="2"/>
          </w:tcPr>
          <w:p w14:paraId="244940E1" w14:textId="77777777" w:rsidR="004E2227" w:rsidRPr="00AF3666" w:rsidRDefault="004E2227" w:rsidP="00592848">
            <w:pPr>
              <w:pStyle w:val="TableBodyText"/>
              <w:jc w:val="center"/>
            </w:pPr>
            <w:r w:rsidRPr="00AF3666">
              <w:t>$27.7</w:t>
            </w:r>
          </w:p>
        </w:tc>
        <w:tc>
          <w:tcPr>
            <w:tcW w:w="702" w:type="pct"/>
          </w:tcPr>
          <w:p w14:paraId="294AB9C0" w14:textId="77777777" w:rsidR="004E2227" w:rsidRPr="00AF3666" w:rsidRDefault="004E2227" w:rsidP="00592848">
            <w:pPr>
              <w:pStyle w:val="TableBodyText"/>
              <w:jc w:val="center"/>
            </w:pPr>
            <w:r w:rsidRPr="00AF3666">
              <w:t>$22.7</w:t>
            </w:r>
          </w:p>
        </w:tc>
        <w:tc>
          <w:tcPr>
            <w:tcW w:w="724" w:type="pct"/>
          </w:tcPr>
          <w:p w14:paraId="32C4D590" w14:textId="77777777" w:rsidR="004E2227" w:rsidRPr="00AF3666" w:rsidRDefault="004E2227" w:rsidP="00592848">
            <w:pPr>
              <w:pStyle w:val="TableBodyText"/>
              <w:jc w:val="center"/>
            </w:pPr>
            <w:r w:rsidRPr="00AF3666">
              <w:t>$15.4</w:t>
            </w:r>
          </w:p>
        </w:tc>
        <w:tc>
          <w:tcPr>
            <w:tcW w:w="713" w:type="pct"/>
          </w:tcPr>
          <w:p w14:paraId="4441D4D9" w14:textId="77777777" w:rsidR="004E2227" w:rsidRPr="00AF3666" w:rsidRDefault="004E2227" w:rsidP="00592848">
            <w:pPr>
              <w:pStyle w:val="TableBodyText"/>
              <w:jc w:val="center"/>
            </w:pPr>
            <w:r w:rsidRPr="00AF3666">
              <w:t>$15.4</w:t>
            </w:r>
          </w:p>
        </w:tc>
      </w:tr>
      <w:tr w:rsidR="004E2227" w:rsidRPr="00AF3666" w14:paraId="37E7005E" w14:textId="77777777" w:rsidTr="00CF1FEB">
        <w:trPr>
          <w:cnfStyle w:val="000000010000" w:firstRow="0" w:lastRow="0" w:firstColumn="0" w:lastColumn="0" w:oddVBand="0" w:evenVBand="0" w:oddHBand="0" w:evenHBand="1" w:firstRowFirstColumn="0" w:firstRowLastColumn="0" w:lastRowFirstColumn="0" w:lastRowLastColumn="0"/>
        </w:trPr>
        <w:tc>
          <w:tcPr>
            <w:tcW w:w="1096" w:type="pct"/>
          </w:tcPr>
          <w:p w14:paraId="11706D30" w14:textId="77777777" w:rsidR="004E2227" w:rsidRPr="00AF3666" w:rsidRDefault="00C32CBC" w:rsidP="00AF72C3">
            <w:pPr>
              <w:pStyle w:val="TableBodyText"/>
            </w:pPr>
            <w:r>
              <w:t>Option 3B</w:t>
            </w:r>
          </w:p>
        </w:tc>
        <w:tc>
          <w:tcPr>
            <w:tcW w:w="840" w:type="pct"/>
          </w:tcPr>
          <w:p w14:paraId="21198EC6" w14:textId="77777777" w:rsidR="004E2227" w:rsidRPr="00AF3666" w:rsidRDefault="004E2227" w:rsidP="00592848">
            <w:pPr>
              <w:pStyle w:val="TableBodyText"/>
              <w:jc w:val="center"/>
            </w:pPr>
            <w:r w:rsidRPr="00AF3666">
              <w:t>$234.7</w:t>
            </w:r>
          </w:p>
        </w:tc>
        <w:tc>
          <w:tcPr>
            <w:tcW w:w="925" w:type="pct"/>
            <w:gridSpan w:val="2"/>
          </w:tcPr>
          <w:p w14:paraId="6C870E94" w14:textId="77777777" w:rsidR="004E2227" w:rsidRPr="00AF3666" w:rsidRDefault="004E2227" w:rsidP="00592848">
            <w:pPr>
              <w:pStyle w:val="TableBodyText"/>
              <w:jc w:val="center"/>
            </w:pPr>
            <w:r w:rsidRPr="00AF3666">
              <w:t>$26.8</w:t>
            </w:r>
          </w:p>
        </w:tc>
        <w:tc>
          <w:tcPr>
            <w:tcW w:w="702" w:type="pct"/>
          </w:tcPr>
          <w:p w14:paraId="14473D01" w14:textId="77777777" w:rsidR="004E2227" w:rsidRPr="00AF3666" w:rsidRDefault="004E2227" w:rsidP="00592848">
            <w:pPr>
              <w:pStyle w:val="TableBodyText"/>
              <w:jc w:val="center"/>
            </w:pPr>
            <w:r w:rsidRPr="00AF3666">
              <w:t>$22.4</w:t>
            </w:r>
          </w:p>
        </w:tc>
        <w:tc>
          <w:tcPr>
            <w:tcW w:w="724" w:type="pct"/>
          </w:tcPr>
          <w:p w14:paraId="0BFBFEF2" w14:textId="77777777" w:rsidR="004E2227" w:rsidRPr="00AF3666" w:rsidRDefault="004E2227" w:rsidP="00592848">
            <w:pPr>
              <w:pStyle w:val="TableBodyText"/>
              <w:jc w:val="center"/>
            </w:pPr>
            <w:r w:rsidRPr="00AF3666">
              <w:t>$15.2</w:t>
            </w:r>
          </w:p>
        </w:tc>
        <w:tc>
          <w:tcPr>
            <w:tcW w:w="713" w:type="pct"/>
          </w:tcPr>
          <w:p w14:paraId="5D704A80" w14:textId="77777777" w:rsidR="004E2227" w:rsidRPr="00AF3666" w:rsidRDefault="004E2227" w:rsidP="00592848">
            <w:pPr>
              <w:pStyle w:val="TableBodyText"/>
              <w:jc w:val="center"/>
            </w:pPr>
            <w:r w:rsidRPr="00AF3666">
              <w:t>$15.2</w:t>
            </w:r>
          </w:p>
        </w:tc>
      </w:tr>
      <w:tr w:rsidR="004E2227" w:rsidRPr="00AF3666" w14:paraId="00B2D6F0" w14:textId="77777777" w:rsidTr="00CF1FEB">
        <w:tblPrEx>
          <w:tblLook w:val="04A0" w:firstRow="1" w:lastRow="0" w:firstColumn="1" w:lastColumn="0" w:noHBand="0" w:noVBand="1"/>
        </w:tblPrEx>
        <w:tc>
          <w:tcPr>
            <w:tcW w:w="1096" w:type="pct"/>
          </w:tcPr>
          <w:p w14:paraId="3405F742" w14:textId="77777777" w:rsidR="004E2227" w:rsidRPr="00AF3666" w:rsidRDefault="004E2227" w:rsidP="00AF72C3">
            <w:pPr>
              <w:pStyle w:val="TableBodyText"/>
            </w:pPr>
            <w:r w:rsidRPr="00AF3666">
              <w:t>Option 4</w:t>
            </w:r>
          </w:p>
        </w:tc>
        <w:tc>
          <w:tcPr>
            <w:tcW w:w="840" w:type="pct"/>
          </w:tcPr>
          <w:p w14:paraId="63EB6209" w14:textId="77777777" w:rsidR="004E2227" w:rsidRPr="00AF3666" w:rsidRDefault="004E2227" w:rsidP="00592848">
            <w:pPr>
              <w:pStyle w:val="TableBodyText"/>
              <w:jc w:val="center"/>
            </w:pPr>
            <w:r w:rsidRPr="00AF3666">
              <w:t>$232.2</w:t>
            </w:r>
          </w:p>
        </w:tc>
        <w:tc>
          <w:tcPr>
            <w:tcW w:w="925" w:type="pct"/>
            <w:gridSpan w:val="2"/>
          </w:tcPr>
          <w:p w14:paraId="581CE2E9" w14:textId="77777777" w:rsidR="004E2227" w:rsidRPr="00AF3666" w:rsidRDefault="004E2227" w:rsidP="00592848">
            <w:pPr>
              <w:pStyle w:val="TableBodyText"/>
              <w:jc w:val="center"/>
            </w:pPr>
            <w:r w:rsidRPr="00AF3666">
              <w:t>$26.6</w:t>
            </w:r>
          </w:p>
        </w:tc>
        <w:tc>
          <w:tcPr>
            <w:tcW w:w="702" w:type="pct"/>
          </w:tcPr>
          <w:p w14:paraId="6739F735" w14:textId="77777777" w:rsidR="004E2227" w:rsidRPr="00AF3666" w:rsidRDefault="004E2227" w:rsidP="00592848">
            <w:pPr>
              <w:pStyle w:val="TableBodyText"/>
              <w:jc w:val="center"/>
            </w:pPr>
            <w:r w:rsidRPr="00AF3666">
              <w:t>$22.3</w:t>
            </w:r>
          </w:p>
        </w:tc>
        <w:tc>
          <w:tcPr>
            <w:tcW w:w="724" w:type="pct"/>
          </w:tcPr>
          <w:p w14:paraId="35CDA20B" w14:textId="77777777" w:rsidR="004E2227" w:rsidRPr="00AF3666" w:rsidRDefault="004E2227" w:rsidP="00592848">
            <w:pPr>
              <w:pStyle w:val="TableBodyText"/>
              <w:jc w:val="center"/>
            </w:pPr>
            <w:r w:rsidRPr="00AF3666">
              <w:t>$15.0</w:t>
            </w:r>
          </w:p>
        </w:tc>
        <w:tc>
          <w:tcPr>
            <w:tcW w:w="713" w:type="pct"/>
          </w:tcPr>
          <w:p w14:paraId="2CCE4827" w14:textId="77777777" w:rsidR="004E2227" w:rsidRPr="00AF3666" w:rsidRDefault="004E2227" w:rsidP="00592848">
            <w:pPr>
              <w:pStyle w:val="TableBodyText"/>
              <w:jc w:val="center"/>
            </w:pPr>
            <w:r w:rsidRPr="00AF3666">
              <w:t>$14.8</w:t>
            </w:r>
          </w:p>
        </w:tc>
      </w:tr>
    </w:tbl>
    <w:p w14:paraId="67EC75B3" w14:textId="77777777" w:rsidR="004E2227" w:rsidRPr="004E2227" w:rsidRDefault="004E2227" w:rsidP="004E2227">
      <w:pPr>
        <w:pStyle w:val="BodyText"/>
        <w:spacing w:before="0" w:after="0"/>
      </w:pPr>
      <w:r w:rsidRPr="004E2227">
        <w:rPr>
          <w:sz w:val="16"/>
        </w:rPr>
        <w:t>Source: PwC analysis utilising the VURM CGE model.</w:t>
      </w:r>
    </w:p>
    <w:p w14:paraId="756C3CED" w14:textId="77777777" w:rsidR="004E2227" w:rsidRPr="004E2227" w:rsidRDefault="004E2227" w:rsidP="004E2227">
      <w:pPr>
        <w:pStyle w:val="BodyText"/>
        <w:spacing w:before="0" w:after="0"/>
      </w:pPr>
      <w:r w:rsidRPr="004E2227">
        <w:rPr>
          <w:sz w:val="16"/>
        </w:rPr>
        <w:t>Notes: NPV calculated for a 20-year period with a 7</w:t>
      </w:r>
      <w:r w:rsidR="00711797">
        <w:rPr>
          <w:sz w:val="16"/>
        </w:rPr>
        <w:t>%</w:t>
      </w:r>
      <w:r w:rsidRPr="004E2227">
        <w:rPr>
          <w:sz w:val="16"/>
        </w:rPr>
        <w:t xml:space="preserve"> discount rate. Net economy-wide benefits represents the net increase in economic welfare considering the direct and indirect costs and benefits of the policy changes.</w:t>
      </w:r>
    </w:p>
    <w:p w14:paraId="546A40CA" w14:textId="5AA3BE0D" w:rsidR="00492DD3" w:rsidRDefault="004E2227" w:rsidP="004E2227">
      <w:pPr>
        <w:pStyle w:val="BodyText"/>
      </w:pPr>
      <w:r w:rsidRPr="00AF3666">
        <w:t xml:space="preserve">As </w:t>
      </w:r>
      <w:r w:rsidR="002A07B7">
        <w:t xml:space="preserve">this table shows, </w:t>
      </w:r>
      <w:r w:rsidRPr="00AF3666">
        <w:t xml:space="preserve">Option 2 yields </w:t>
      </w:r>
      <w:r w:rsidR="002A07B7">
        <w:t xml:space="preserve">a </w:t>
      </w:r>
      <w:r w:rsidRPr="00AF3666">
        <w:t xml:space="preserve">marginally higher </w:t>
      </w:r>
      <w:r w:rsidR="002A07B7">
        <w:t xml:space="preserve">net economy-wide benefit than </w:t>
      </w:r>
      <w:r w:rsidRPr="00AF3666">
        <w:t xml:space="preserve">options </w:t>
      </w:r>
      <w:r w:rsidR="00D51827">
        <w:t xml:space="preserve">3A, 3B and </w:t>
      </w:r>
      <w:r w:rsidRPr="00AF3666">
        <w:t>4</w:t>
      </w:r>
      <w:r w:rsidR="008376AD">
        <w:t xml:space="preserve">. </w:t>
      </w:r>
      <w:r w:rsidR="00983A22">
        <w:t xml:space="preserve">That is, </w:t>
      </w:r>
      <w:r w:rsidR="004E47A3">
        <w:t xml:space="preserve">while the </w:t>
      </w:r>
      <w:r w:rsidR="00C3588F">
        <w:t xml:space="preserve">benefits </w:t>
      </w:r>
      <w:r w:rsidR="008376AD">
        <w:t xml:space="preserve">of lower transportation costs </w:t>
      </w:r>
      <w:r w:rsidR="00983A22">
        <w:t xml:space="preserve">arising from </w:t>
      </w:r>
      <w:r w:rsidR="008376AD">
        <w:t xml:space="preserve">more pipelines </w:t>
      </w:r>
      <w:r w:rsidR="00983A22">
        <w:t xml:space="preserve">being subject </w:t>
      </w:r>
      <w:r w:rsidR="008376AD">
        <w:t xml:space="preserve">to the </w:t>
      </w:r>
      <w:r w:rsidR="00531979">
        <w:t>stronger</w:t>
      </w:r>
      <w:r w:rsidR="008376AD">
        <w:t xml:space="preserve"> form of regulation are expected to be the same under each </w:t>
      </w:r>
      <w:r w:rsidR="00983A22">
        <w:t xml:space="preserve">reform </w:t>
      </w:r>
      <w:r w:rsidR="008376AD">
        <w:t>option</w:t>
      </w:r>
      <w:r w:rsidR="00983A22">
        <w:t>,</w:t>
      </w:r>
      <w:r w:rsidR="004031E8">
        <w:rPr>
          <w:rFonts w:ascii="ZWAdobeF" w:hAnsi="ZWAdobeF" w:cs="ZWAdobeF"/>
          <w:sz w:val="2"/>
          <w:szCs w:val="2"/>
        </w:rPr>
        <w:t>333F</w:t>
      </w:r>
      <w:r w:rsidR="00C130F7">
        <w:rPr>
          <w:rStyle w:val="FootnoteReference"/>
        </w:rPr>
        <w:footnoteReference w:id="335"/>
      </w:r>
      <w:r w:rsidR="00983A22">
        <w:t xml:space="preserve"> the costs of regulation </w:t>
      </w:r>
      <w:r w:rsidR="00492DD3">
        <w:t>under Option 2 are expected to be lower than the other options. The differences in the net-</w:t>
      </w:r>
      <w:r w:rsidR="00FE4ACC">
        <w:t>economy-wide</w:t>
      </w:r>
      <w:r w:rsidR="00492DD3">
        <w:t xml:space="preserve"> benefits presented in this table therefore just reflect the differences in costs associated with the reform options. </w:t>
      </w:r>
    </w:p>
    <w:p w14:paraId="0B44666B" w14:textId="77777777" w:rsidR="004E2227" w:rsidRPr="00AF4A6D" w:rsidRDefault="004E2227" w:rsidP="00AF72C3">
      <w:pPr>
        <w:pStyle w:val="AppendixHeading2"/>
      </w:pPr>
      <w:r w:rsidRPr="00AF4A6D">
        <w:t>Break-even</w:t>
      </w:r>
      <w:r w:rsidRPr="00AF4A6D">
        <w:rPr>
          <w:spacing w:val="1"/>
        </w:rPr>
        <w:t xml:space="preserve"> </w:t>
      </w:r>
      <w:r w:rsidRPr="00AF4A6D">
        <w:t>point</w:t>
      </w:r>
    </w:p>
    <w:p w14:paraId="5A19D2F6" w14:textId="77777777" w:rsidR="00450E03" w:rsidRDefault="004E2227" w:rsidP="004E2227">
      <w:pPr>
        <w:pStyle w:val="BodyText"/>
      </w:pPr>
      <w:r w:rsidRPr="00AF4A6D">
        <w:t xml:space="preserve">Break-even analysis considers the minimum required level of benefits to ‘break-even’ against the costs of the regulations. In this case, the key parameter that drives the scale of the net economy-wide benefits is the reduction in prices as a result of the increase in </w:t>
      </w:r>
      <w:r w:rsidR="00847270">
        <w:t xml:space="preserve">the number of pipelines subject to a </w:t>
      </w:r>
      <w:r w:rsidR="00531979">
        <w:t>stronger</w:t>
      </w:r>
      <w:r w:rsidR="00847270">
        <w:t xml:space="preserve"> form of </w:t>
      </w:r>
      <w:r w:rsidRPr="00AF4A6D">
        <w:t xml:space="preserve">regulation. </w:t>
      </w:r>
    </w:p>
    <w:p w14:paraId="2BBF1B22" w14:textId="77777777" w:rsidR="00B02E33" w:rsidRPr="00B02E33" w:rsidRDefault="00B02E33" w:rsidP="004E2227">
      <w:pPr>
        <w:pStyle w:val="BodyText"/>
      </w:pPr>
      <w:r>
        <w:lastRenderedPageBreak/>
        <w:t>T</w:t>
      </w:r>
      <w:r w:rsidRPr="00B02E33">
        <w:t xml:space="preserve">he break-even point has therefore been measured as the minimum average percentage reduction in prices charged by the pipelines moving to the stronger form of regulation that would be required for the benefits to ‘break even’ with the costs of the regulatory options. </w:t>
      </w:r>
    </w:p>
    <w:p w14:paraId="5D80B32D" w14:textId="77777777" w:rsidR="004E2227" w:rsidRDefault="004E2227" w:rsidP="004E2227">
      <w:pPr>
        <w:pStyle w:val="BodyText"/>
      </w:pPr>
      <w:r w:rsidRPr="00AF4A6D">
        <w:t xml:space="preserve">To </w:t>
      </w:r>
      <w:r w:rsidR="00B02E33">
        <w:t>measure</w:t>
      </w:r>
      <w:r w:rsidR="00450E03">
        <w:t xml:space="preserve"> the break-even point</w:t>
      </w:r>
      <w:r w:rsidRPr="00AF4A6D">
        <w:t xml:space="preserve">, the economy-wide modelling results </w:t>
      </w:r>
      <w:r w:rsidR="00100885">
        <w:t xml:space="preserve">were </w:t>
      </w:r>
      <w:r w:rsidRPr="00AF4A6D">
        <w:t xml:space="preserve">scaled down so that </w:t>
      </w:r>
      <w:r w:rsidR="00100885">
        <w:t xml:space="preserve">the </w:t>
      </w:r>
      <w:r w:rsidRPr="00AF4A6D">
        <w:t xml:space="preserve">net economy-wide benefits are equal to the direct regulatory costs of the reform options. </w:t>
      </w:r>
      <w:r w:rsidR="00650F43">
        <w:t>The results of this analysis</w:t>
      </w:r>
      <w:r w:rsidR="00DD6D60">
        <w:t>, which do not take into account the qualitatively assessed impacts of the reform options,</w:t>
      </w:r>
      <w:r w:rsidR="00650F43">
        <w:t xml:space="preserve"> are set out in Table D.6</w:t>
      </w:r>
      <w:r w:rsidRPr="00AF4A6D">
        <w:t xml:space="preserve">. </w:t>
      </w:r>
    </w:p>
    <w:p w14:paraId="2D66BEA8" w14:textId="77777777" w:rsidR="00AF72C3" w:rsidRPr="004E2227" w:rsidRDefault="00AF72C3" w:rsidP="00AF72C3">
      <w:pPr>
        <w:pStyle w:val="Caption"/>
        <w:spacing w:after="0"/>
      </w:pPr>
      <w:r w:rsidRPr="004E2227">
        <w:t>Table D.</w:t>
      </w:r>
      <w:r w:rsidR="00650F43">
        <w:t>6</w:t>
      </w:r>
      <w:r w:rsidRPr="004E2227">
        <w:t xml:space="preserve">: </w:t>
      </w:r>
      <w:r>
        <w:t>Break even analysis</w:t>
      </w:r>
      <w:r w:rsidR="00FE0C21">
        <w:t xml:space="preserve"> (minimum </w:t>
      </w:r>
      <w:r w:rsidR="00B02E33">
        <w:t>percentage decrease in prices required for the benefits to break even with the costs)</w:t>
      </w:r>
    </w:p>
    <w:tbl>
      <w:tblPr>
        <w:tblStyle w:val="TableGrid"/>
        <w:tblW w:w="5000" w:type="pct"/>
        <w:tblLook w:val="0420" w:firstRow="1" w:lastRow="0" w:firstColumn="0" w:lastColumn="0" w:noHBand="0" w:noVBand="1"/>
      </w:tblPr>
      <w:tblGrid>
        <w:gridCol w:w="3682"/>
        <w:gridCol w:w="5106"/>
      </w:tblGrid>
      <w:tr w:rsidR="004E2227" w:rsidRPr="00AF4A6D" w14:paraId="434F6CB3" w14:textId="77777777" w:rsidTr="00AF72C3">
        <w:trPr>
          <w:cnfStyle w:val="100000000000" w:firstRow="1" w:lastRow="0" w:firstColumn="0" w:lastColumn="0" w:oddVBand="0" w:evenVBand="0" w:oddHBand="0" w:evenHBand="0" w:firstRowFirstColumn="0" w:firstRowLastColumn="0" w:lastRowFirstColumn="0" w:lastRowLastColumn="0"/>
          <w:tblHeader/>
        </w:trPr>
        <w:tc>
          <w:tcPr>
            <w:tcW w:w="2095" w:type="pct"/>
            <w:tcBorders>
              <w:bottom w:val="single" w:sz="4" w:space="0" w:color="auto"/>
            </w:tcBorders>
            <w:shd w:val="clear" w:color="auto" w:fill="002060"/>
          </w:tcPr>
          <w:p w14:paraId="59AD0FCB" w14:textId="77777777" w:rsidR="004E2227" w:rsidRPr="00AF4A6D" w:rsidRDefault="004E2227" w:rsidP="00AF72C3">
            <w:pPr>
              <w:pStyle w:val="TableHeading"/>
              <w:keepNext/>
            </w:pPr>
            <w:r w:rsidRPr="00AF4A6D">
              <w:t>Options</w:t>
            </w:r>
          </w:p>
        </w:tc>
        <w:tc>
          <w:tcPr>
            <w:tcW w:w="2905" w:type="pct"/>
            <w:tcBorders>
              <w:bottom w:val="single" w:sz="4" w:space="0" w:color="auto"/>
            </w:tcBorders>
            <w:shd w:val="clear" w:color="auto" w:fill="002060"/>
          </w:tcPr>
          <w:p w14:paraId="5F43B3A3" w14:textId="77777777" w:rsidR="004E2227" w:rsidRPr="00AF4A6D" w:rsidRDefault="004E2227" w:rsidP="00AF72C3">
            <w:pPr>
              <w:pStyle w:val="TableHeading"/>
              <w:keepNext/>
            </w:pPr>
            <w:r w:rsidRPr="00AF4A6D">
              <w:t>Break-even point</w:t>
            </w:r>
          </w:p>
        </w:tc>
      </w:tr>
      <w:tr w:rsidR="00AF72C3" w:rsidRPr="00AF4A6D" w14:paraId="6CAA5925" w14:textId="77777777" w:rsidTr="00AF72C3">
        <w:tc>
          <w:tcPr>
            <w:tcW w:w="5000" w:type="pct"/>
            <w:gridSpan w:val="2"/>
            <w:shd w:val="clear" w:color="auto" w:fill="65697F" w:themeFill="background2" w:themeFillShade="80"/>
          </w:tcPr>
          <w:p w14:paraId="5909EBDD" w14:textId="77777777" w:rsidR="00AF72C3" w:rsidRPr="00AF72C3" w:rsidRDefault="00AF72C3" w:rsidP="00AF72C3">
            <w:pPr>
              <w:pStyle w:val="TableBodyText"/>
              <w:keepNext/>
              <w:jc w:val="center"/>
              <w:rPr>
                <w:b/>
                <w:bCs/>
                <w:color w:val="FFFFFF" w:themeColor="background1"/>
              </w:rPr>
            </w:pPr>
            <w:r w:rsidRPr="00AF72C3">
              <w:rPr>
                <w:b/>
                <w:bCs/>
                <w:color w:val="FFFFFF" w:themeColor="background1"/>
              </w:rPr>
              <w:t>Scenario 1 - High Impact</w:t>
            </w:r>
          </w:p>
        </w:tc>
      </w:tr>
      <w:tr w:rsidR="004E2227" w:rsidRPr="00AF4A6D" w14:paraId="32014492" w14:textId="77777777" w:rsidTr="00AF72C3">
        <w:trPr>
          <w:cnfStyle w:val="000000010000" w:firstRow="0" w:lastRow="0" w:firstColumn="0" w:lastColumn="0" w:oddVBand="0" w:evenVBand="0" w:oddHBand="0" w:evenHBand="1" w:firstRowFirstColumn="0" w:firstRowLastColumn="0" w:lastRowFirstColumn="0" w:lastRowLastColumn="0"/>
        </w:trPr>
        <w:tc>
          <w:tcPr>
            <w:tcW w:w="2095" w:type="pct"/>
          </w:tcPr>
          <w:p w14:paraId="5E2AD4CE" w14:textId="77777777" w:rsidR="004E2227" w:rsidRPr="00AF4A6D" w:rsidRDefault="004E2227" w:rsidP="00AF72C3">
            <w:pPr>
              <w:pStyle w:val="TableBodyText"/>
              <w:keepNext/>
            </w:pPr>
            <w:r w:rsidRPr="00AF4A6D">
              <w:t>Option 2</w:t>
            </w:r>
          </w:p>
        </w:tc>
        <w:tc>
          <w:tcPr>
            <w:tcW w:w="2905" w:type="pct"/>
          </w:tcPr>
          <w:p w14:paraId="2C32C020" w14:textId="77777777" w:rsidR="004E2227" w:rsidRPr="00AF4A6D" w:rsidRDefault="004E2227" w:rsidP="00AF72C3">
            <w:pPr>
              <w:pStyle w:val="TableBodyText"/>
              <w:keepNext/>
              <w:jc w:val="center"/>
            </w:pPr>
            <w:r w:rsidRPr="00AF4A6D">
              <w:t>2.17%</w:t>
            </w:r>
          </w:p>
        </w:tc>
      </w:tr>
      <w:tr w:rsidR="004E2227" w:rsidRPr="00AF4A6D" w14:paraId="74B0A60F" w14:textId="77777777" w:rsidTr="00AF72C3">
        <w:tc>
          <w:tcPr>
            <w:tcW w:w="2095" w:type="pct"/>
          </w:tcPr>
          <w:p w14:paraId="75B070AC" w14:textId="77777777" w:rsidR="004E2227" w:rsidRPr="00AF4A6D" w:rsidRDefault="00C32CBC" w:rsidP="00AF72C3">
            <w:pPr>
              <w:pStyle w:val="TableBodyText"/>
              <w:keepNext/>
            </w:pPr>
            <w:r>
              <w:t>Option 3A</w:t>
            </w:r>
          </w:p>
        </w:tc>
        <w:tc>
          <w:tcPr>
            <w:tcW w:w="2905" w:type="pct"/>
          </w:tcPr>
          <w:p w14:paraId="0CDF7C4F" w14:textId="77777777" w:rsidR="004E2227" w:rsidRPr="00AF4A6D" w:rsidRDefault="004E2227" w:rsidP="00AF72C3">
            <w:pPr>
              <w:pStyle w:val="TableBodyText"/>
              <w:keepNext/>
              <w:jc w:val="center"/>
            </w:pPr>
            <w:r w:rsidRPr="00AF4A6D">
              <w:t>2.79%</w:t>
            </w:r>
          </w:p>
        </w:tc>
      </w:tr>
      <w:tr w:rsidR="004E2227" w:rsidRPr="00AF4A6D" w14:paraId="31427D35" w14:textId="77777777" w:rsidTr="00AF72C3">
        <w:trPr>
          <w:cnfStyle w:val="000000010000" w:firstRow="0" w:lastRow="0" w:firstColumn="0" w:lastColumn="0" w:oddVBand="0" w:evenVBand="0" w:oddHBand="0" w:evenHBand="1" w:firstRowFirstColumn="0" w:firstRowLastColumn="0" w:lastRowFirstColumn="0" w:lastRowLastColumn="0"/>
        </w:trPr>
        <w:tc>
          <w:tcPr>
            <w:tcW w:w="2095" w:type="pct"/>
            <w:tcBorders>
              <w:bottom w:val="single" w:sz="4" w:space="0" w:color="auto"/>
            </w:tcBorders>
          </w:tcPr>
          <w:p w14:paraId="37DF729A" w14:textId="77777777" w:rsidR="004E2227" w:rsidRPr="00AF4A6D" w:rsidRDefault="00C32CBC" w:rsidP="00AF72C3">
            <w:pPr>
              <w:pStyle w:val="TableBodyText"/>
              <w:keepNext/>
            </w:pPr>
            <w:r>
              <w:t>Option 3B</w:t>
            </w:r>
          </w:p>
        </w:tc>
        <w:tc>
          <w:tcPr>
            <w:tcW w:w="2905" w:type="pct"/>
            <w:tcBorders>
              <w:bottom w:val="single" w:sz="4" w:space="0" w:color="auto"/>
            </w:tcBorders>
          </w:tcPr>
          <w:p w14:paraId="123C602E" w14:textId="77777777" w:rsidR="004E2227" w:rsidRPr="00AF4A6D" w:rsidRDefault="004E2227" w:rsidP="00AF72C3">
            <w:pPr>
              <w:pStyle w:val="TableBodyText"/>
              <w:keepNext/>
              <w:jc w:val="center"/>
            </w:pPr>
            <w:r w:rsidRPr="00AF4A6D">
              <w:t>2.88%</w:t>
            </w:r>
          </w:p>
        </w:tc>
      </w:tr>
      <w:tr w:rsidR="00AF72C3" w:rsidRPr="00AF4A6D" w14:paraId="66E8121F" w14:textId="77777777" w:rsidTr="00AF72C3">
        <w:tc>
          <w:tcPr>
            <w:tcW w:w="2095" w:type="pct"/>
          </w:tcPr>
          <w:p w14:paraId="5ECA3271" w14:textId="77777777" w:rsidR="00AF72C3" w:rsidRPr="00AF4A6D" w:rsidRDefault="00AF72C3" w:rsidP="00AF72C3">
            <w:pPr>
              <w:pStyle w:val="TableBodyText"/>
              <w:keepNext/>
            </w:pPr>
            <w:r w:rsidRPr="00AF4A6D">
              <w:t>Option 4</w:t>
            </w:r>
          </w:p>
        </w:tc>
        <w:tc>
          <w:tcPr>
            <w:tcW w:w="2905" w:type="pct"/>
          </w:tcPr>
          <w:p w14:paraId="0DFE113D" w14:textId="77777777" w:rsidR="00AF72C3" w:rsidRPr="00AF4A6D" w:rsidRDefault="00AF72C3" w:rsidP="00AF72C3">
            <w:pPr>
              <w:pStyle w:val="TableBodyText"/>
              <w:keepNext/>
              <w:jc w:val="center"/>
            </w:pPr>
            <w:r w:rsidRPr="00AF4A6D">
              <w:t>2.94%</w:t>
            </w:r>
          </w:p>
        </w:tc>
      </w:tr>
      <w:tr w:rsidR="00AF72C3" w:rsidRPr="00AF72C3" w14:paraId="1B8BFC2D" w14:textId="77777777" w:rsidTr="00AF72C3">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65697F" w:themeFill="background2" w:themeFillShade="80"/>
          </w:tcPr>
          <w:p w14:paraId="700C1B9B" w14:textId="77777777" w:rsidR="00AF72C3" w:rsidRPr="00AF72C3" w:rsidRDefault="00AF72C3" w:rsidP="00AF72C3">
            <w:pPr>
              <w:pStyle w:val="TableBodyText"/>
              <w:keepNext/>
              <w:jc w:val="center"/>
              <w:rPr>
                <w:b/>
                <w:bCs/>
                <w:color w:val="FFFFFF" w:themeColor="background1"/>
              </w:rPr>
            </w:pPr>
            <w:r w:rsidRPr="00AF72C3">
              <w:rPr>
                <w:b/>
                <w:bCs/>
                <w:color w:val="FFFFFF" w:themeColor="background1"/>
              </w:rPr>
              <w:t>Scenario 2 - Low Impact</w:t>
            </w:r>
          </w:p>
        </w:tc>
      </w:tr>
      <w:tr w:rsidR="004E2227" w:rsidRPr="00AF4A6D" w14:paraId="658768F4" w14:textId="77777777" w:rsidTr="00AF72C3">
        <w:tc>
          <w:tcPr>
            <w:tcW w:w="2095" w:type="pct"/>
          </w:tcPr>
          <w:p w14:paraId="64560F5B" w14:textId="77777777" w:rsidR="004E2227" w:rsidRPr="00AF4A6D" w:rsidRDefault="004E2227" w:rsidP="00AF72C3">
            <w:pPr>
              <w:pStyle w:val="TableBodyText"/>
              <w:keepNext/>
            </w:pPr>
            <w:r w:rsidRPr="00AF4A6D">
              <w:t>Option 2</w:t>
            </w:r>
          </w:p>
        </w:tc>
        <w:tc>
          <w:tcPr>
            <w:tcW w:w="2905" w:type="pct"/>
          </w:tcPr>
          <w:p w14:paraId="5497FB10" w14:textId="77777777" w:rsidR="004E2227" w:rsidRPr="00AF4A6D" w:rsidRDefault="004E2227" w:rsidP="00AF72C3">
            <w:pPr>
              <w:pStyle w:val="TableBodyText"/>
              <w:keepNext/>
              <w:jc w:val="center"/>
            </w:pPr>
            <w:r w:rsidRPr="00AF4A6D">
              <w:t>1.87%</w:t>
            </w:r>
          </w:p>
        </w:tc>
      </w:tr>
      <w:tr w:rsidR="004E2227" w:rsidRPr="00AF4A6D" w14:paraId="2D420D74" w14:textId="77777777" w:rsidTr="00AF72C3">
        <w:trPr>
          <w:cnfStyle w:val="000000010000" w:firstRow="0" w:lastRow="0" w:firstColumn="0" w:lastColumn="0" w:oddVBand="0" w:evenVBand="0" w:oddHBand="0" w:evenHBand="1" w:firstRowFirstColumn="0" w:firstRowLastColumn="0" w:lastRowFirstColumn="0" w:lastRowLastColumn="0"/>
        </w:trPr>
        <w:tc>
          <w:tcPr>
            <w:tcW w:w="2095" w:type="pct"/>
          </w:tcPr>
          <w:p w14:paraId="16D2582C" w14:textId="77777777" w:rsidR="004E2227" w:rsidRPr="00AF4A6D" w:rsidRDefault="00C32CBC" w:rsidP="00AF72C3">
            <w:pPr>
              <w:pStyle w:val="TableBodyText"/>
              <w:keepNext/>
            </w:pPr>
            <w:r>
              <w:t>Option 3A</w:t>
            </w:r>
          </w:p>
        </w:tc>
        <w:tc>
          <w:tcPr>
            <w:tcW w:w="2905" w:type="pct"/>
          </w:tcPr>
          <w:p w14:paraId="1E8D494F" w14:textId="77777777" w:rsidR="004E2227" w:rsidRPr="00AF4A6D" w:rsidRDefault="004E2227" w:rsidP="00AF72C3">
            <w:pPr>
              <w:pStyle w:val="TableBodyText"/>
              <w:keepNext/>
              <w:jc w:val="center"/>
            </w:pPr>
            <w:r w:rsidRPr="00AF4A6D">
              <w:t>2.79%</w:t>
            </w:r>
          </w:p>
        </w:tc>
      </w:tr>
      <w:tr w:rsidR="00AF72C3" w:rsidRPr="00AF4A6D" w14:paraId="268E7AD1" w14:textId="77777777" w:rsidTr="00AF72C3">
        <w:tc>
          <w:tcPr>
            <w:tcW w:w="2095" w:type="pct"/>
          </w:tcPr>
          <w:p w14:paraId="5A0AE5FE" w14:textId="77777777" w:rsidR="004E2227" w:rsidRPr="00AF4A6D" w:rsidRDefault="00C32CBC" w:rsidP="00AF72C3">
            <w:pPr>
              <w:pStyle w:val="TableBodyText"/>
              <w:keepNext/>
            </w:pPr>
            <w:r>
              <w:t>Option 3B</w:t>
            </w:r>
          </w:p>
        </w:tc>
        <w:tc>
          <w:tcPr>
            <w:tcW w:w="2905" w:type="pct"/>
          </w:tcPr>
          <w:p w14:paraId="6F262CB8" w14:textId="77777777" w:rsidR="004E2227" w:rsidRPr="00AF4A6D" w:rsidRDefault="004E2227" w:rsidP="00AF72C3">
            <w:pPr>
              <w:pStyle w:val="TableBodyText"/>
              <w:keepNext/>
              <w:jc w:val="center"/>
            </w:pPr>
            <w:r w:rsidRPr="00AF4A6D">
              <w:t>2.90%</w:t>
            </w:r>
          </w:p>
        </w:tc>
      </w:tr>
      <w:tr w:rsidR="00AF72C3" w:rsidRPr="00AF4A6D" w14:paraId="616539FA" w14:textId="77777777" w:rsidTr="00AF72C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2095" w:type="pct"/>
          </w:tcPr>
          <w:p w14:paraId="430A7406" w14:textId="77777777" w:rsidR="00AF72C3" w:rsidRPr="00AF4A6D" w:rsidRDefault="00AF72C3" w:rsidP="00AF72C3">
            <w:pPr>
              <w:pStyle w:val="TableBodyText"/>
              <w:keepNext/>
            </w:pPr>
            <w:r w:rsidRPr="00AF4A6D">
              <w:t>Option 4</w:t>
            </w:r>
          </w:p>
        </w:tc>
        <w:tc>
          <w:tcPr>
            <w:tcW w:w="2905" w:type="pct"/>
          </w:tcPr>
          <w:p w14:paraId="0311EAB1" w14:textId="77777777" w:rsidR="00AF72C3" w:rsidRPr="00AF4A6D" w:rsidRDefault="00AF72C3" w:rsidP="00AF72C3">
            <w:pPr>
              <w:pStyle w:val="TableBodyText"/>
              <w:keepNext/>
              <w:jc w:val="center"/>
            </w:pPr>
            <w:r w:rsidRPr="00AF4A6D">
              <w:t>2.99%</w:t>
            </w:r>
          </w:p>
        </w:tc>
      </w:tr>
    </w:tbl>
    <w:p w14:paraId="036E1613" w14:textId="77777777" w:rsidR="00AF72C3" w:rsidRPr="00AF72C3" w:rsidRDefault="00AF72C3" w:rsidP="00AF72C3">
      <w:pPr>
        <w:pStyle w:val="BodyText"/>
        <w:spacing w:before="0" w:after="0"/>
      </w:pPr>
      <w:r w:rsidRPr="00AF72C3">
        <w:rPr>
          <w:sz w:val="16"/>
        </w:rPr>
        <w:t>Source: PwC analysis</w:t>
      </w:r>
    </w:p>
    <w:p w14:paraId="315190C0" w14:textId="77777777" w:rsidR="004E2227" w:rsidRPr="00AF72C3" w:rsidRDefault="004E2227" w:rsidP="00AF72C3">
      <w:pPr>
        <w:pStyle w:val="BodyText"/>
        <w:spacing w:before="0" w:after="0"/>
      </w:pPr>
      <w:r w:rsidRPr="00AF72C3">
        <w:rPr>
          <w:sz w:val="16"/>
        </w:rPr>
        <w:t xml:space="preserve">Note: The break-even point represents the minimum average percentage decrease in prices charged by the pipelines moving to the </w:t>
      </w:r>
      <w:r w:rsidR="00531979">
        <w:rPr>
          <w:sz w:val="16"/>
        </w:rPr>
        <w:t>stronger</w:t>
      </w:r>
      <w:r w:rsidRPr="00AF72C3">
        <w:rPr>
          <w:sz w:val="16"/>
        </w:rPr>
        <w:t xml:space="preserve"> form of regulation that would be required for the benefits to ‘break even’ with the costs of the regulatory options.</w:t>
      </w:r>
    </w:p>
    <w:p w14:paraId="212AD1EB" w14:textId="77777777" w:rsidR="00AF72C3" w:rsidRPr="0020202F" w:rsidRDefault="00AF72C3" w:rsidP="00AF72C3">
      <w:pPr>
        <w:pStyle w:val="AppendixHeading2"/>
      </w:pPr>
      <w:r w:rsidRPr="0020202F">
        <w:t>Sensitivity</w:t>
      </w:r>
      <w:r w:rsidRPr="0020202F">
        <w:rPr>
          <w:spacing w:val="-1"/>
        </w:rPr>
        <w:t xml:space="preserve"> </w:t>
      </w:r>
      <w:r w:rsidRPr="0020202F">
        <w:t xml:space="preserve">analysis </w:t>
      </w:r>
      <w:r w:rsidR="008B6A66">
        <w:t xml:space="preserve">for </w:t>
      </w:r>
      <w:r w:rsidRPr="0020202F">
        <w:t xml:space="preserve">the quantitative </w:t>
      </w:r>
      <w:r>
        <w:t>analysis</w:t>
      </w:r>
    </w:p>
    <w:p w14:paraId="02C3F8BF" w14:textId="77777777" w:rsidR="00711797" w:rsidRDefault="00711797" w:rsidP="00711797">
      <w:pPr>
        <w:pStyle w:val="BodyText"/>
        <w:rPr>
          <w:lang w:eastAsia="en-US"/>
        </w:rPr>
      </w:pPr>
      <w:r>
        <w:rPr>
          <w:lang w:eastAsia="en-US"/>
        </w:rPr>
        <w:t xml:space="preserve">To test the sensitivity of the quantitative aspects of the CBA to the assumptions made about the appraisal period and discount rates, </w:t>
      </w:r>
      <w:r w:rsidR="008B6A66">
        <w:rPr>
          <w:lang w:eastAsia="en-US"/>
        </w:rPr>
        <w:t xml:space="preserve">the following </w:t>
      </w:r>
      <w:r>
        <w:rPr>
          <w:lang w:eastAsia="en-US"/>
        </w:rPr>
        <w:t xml:space="preserve">sensitivities </w:t>
      </w:r>
      <w:r w:rsidR="008B6A66">
        <w:rPr>
          <w:lang w:eastAsia="en-US"/>
        </w:rPr>
        <w:t xml:space="preserve">were </w:t>
      </w:r>
      <w:r>
        <w:rPr>
          <w:lang w:eastAsia="en-US"/>
        </w:rPr>
        <w:t>tested</w:t>
      </w:r>
      <w:r w:rsidR="008B6A66">
        <w:rPr>
          <w:lang w:eastAsia="en-US"/>
        </w:rPr>
        <w:t xml:space="preserve"> by PwC</w:t>
      </w:r>
      <w:r>
        <w:rPr>
          <w:lang w:eastAsia="en-US"/>
        </w:rPr>
        <w:t>:</w:t>
      </w:r>
    </w:p>
    <w:p w14:paraId="332A58BB" w14:textId="77777777" w:rsidR="00711797" w:rsidRDefault="00711797" w:rsidP="00AD36B8">
      <w:pPr>
        <w:pStyle w:val="ListBullet"/>
        <w:rPr>
          <w:rFonts w:ascii="Symbol" w:hAnsi="Symbol"/>
        </w:rPr>
      </w:pPr>
      <w:r>
        <w:t>Sensitivity 1: 10-year appraisal period (instead of 20</w:t>
      </w:r>
      <w:r>
        <w:rPr>
          <w:spacing w:val="-11"/>
        </w:rPr>
        <w:t xml:space="preserve"> </w:t>
      </w:r>
      <w:r>
        <w:t>years);</w:t>
      </w:r>
    </w:p>
    <w:p w14:paraId="7A9AD141" w14:textId="77777777" w:rsidR="00711797" w:rsidRDefault="00711797" w:rsidP="00AD36B8">
      <w:pPr>
        <w:pStyle w:val="ListBullet"/>
        <w:rPr>
          <w:rFonts w:ascii="Symbol" w:hAnsi="Symbol"/>
        </w:rPr>
      </w:pPr>
      <w:r>
        <w:t>Sensitivity 2: 15-year appraisal period (instead of 20</w:t>
      </w:r>
      <w:r>
        <w:rPr>
          <w:spacing w:val="-12"/>
        </w:rPr>
        <w:t xml:space="preserve"> </w:t>
      </w:r>
      <w:r>
        <w:t>years);</w:t>
      </w:r>
    </w:p>
    <w:p w14:paraId="205A9ADC" w14:textId="77777777" w:rsidR="00711797" w:rsidRDefault="00711797" w:rsidP="00AD36B8">
      <w:pPr>
        <w:pStyle w:val="ListBullet"/>
        <w:rPr>
          <w:rFonts w:ascii="Symbol" w:hAnsi="Symbol"/>
        </w:rPr>
      </w:pPr>
      <w:r>
        <w:t xml:space="preserve">Sensitivity 3: </w:t>
      </w:r>
      <w:r w:rsidR="007C3D38">
        <w:t>3</w:t>
      </w:r>
      <w:r>
        <w:t xml:space="preserve">% discount rate (instead of 7%); and </w:t>
      </w:r>
    </w:p>
    <w:p w14:paraId="4EF3A14B" w14:textId="77777777" w:rsidR="00711797" w:rsidRDefault="00711797" w:rsidP="00AD36B8">
      <w:pPr>
        <w:pStyle w:val="ListBullet"/>
        <w:rPr>
          <w:rFonts w:ascii="Symbol" w:hAnsi="Symbol"/>
        </w:rPr>
      </w:pPr>
      <w:r>
        <w:t>Sensitivity 4: 10% discount rate (instead of 7%).</w:t>
      </w:r>
    </w:p>
    <w:p w14:paraId="737F9D00" w14:textId="156C91D5" w:rsidR="00AF72C3" w:rsidRDefault="00AF72C3" w:rsidP="00AF72C3">
      <w:pPr>
        <w:pStyle w:val="BodyText"/>
      </w:pPr>
      <w:r w:rsidRPr="0020202F">
        <w:t xml:space="preserve">The results of </w:t>
      </w:r>
      <w:r w:rsidR="000F7E30">
        <w:t xml:space="preserve">this analysis, which are measured in terms of their </w:t>
      </w:r>
      <w:r w:rsidRPr="0020202F">
        <w:t xml:space="preserve">impacts on the </w:t>
      </w:r>
      <w:r w:rsidR="000F7E30">
        <w:t>net-</w:t>
      </w:r>
      <w:r w:rsidR="00FE4ACC">
        <w:t>economy-wide</w:t>
      </w:r>
      <w:r w:rsidR="000F7E30">
        <w:t xml:space="preserve"> </w:t>
      </w:r>
      <w:r w:rsidRPr="0020202F">
        <w:t xml:space="preserve">benefit are </w:t>
      </w:r>
      <w:r w:rsidR="000F7E30">
        <w:t xml:space="preserve">set out </w:t>
      </w:r>
      <w:r w:rsidRPr="0020202F">
        <w:t xml:space="preserve">in </w:t>
      </w:r>
      <w:hyperlink w:anchor="_bookmark21" w:history="1">
        <w:r w:rsidRPr="00AF72C3">
          <w:rPr>
            <w:rStyle w:val="Hyperlink"/>
            <w:u w:val="none"/>
          </w:rPr>
          <w:t xml:space="preserve">the table below. </w:t>
        </w:r>
      </w:hyperlink>
      <w:r w:rsidRPr="0020202F">
        <w:t xml:space="preserve">Compared to the </w:t>
      </w:r>
      <w:r w:rsidR="000F7E30">
        <w:t>central case</w:t>
      </w:r>
      <w:r w:rsidRPr="0020202F">
        <w:t>, all but one of the sensitivities result in falls in costs and the net benefits. For Sensitivity 3 (</w:t>
      </w:r>
      <w:r w:rsidR="00711797">
        <w:t>3%</w:t>
      </w:r>
      <w:r w:rsidRPr="0020202F">
        <w:t xml:space="preserve"> discount rate), these values increase.</w:t>
      </w:r>
    </w:p>
    <w:p w14:paraId="01B6F247" w14:textId="77777777" w:rsidR="00AF72C3" w:rsidRPr="00AF72C3" w:rsidRDefault="00AF72C3" w:rsidP="00AF72C3">
      <w:pPr>
        <w:pStyle w:val="Caption"/>
        <w:spacing w:after="0"/>
      </w:pPr>
      <w:r w:rsidRPr="00AF72C3">
        <w:lastRenderedPageBreak/>
        <w:t>Table D.1: Results of the sensitivity analysis ($m, 2020</w:t>
      </w:r>
      <w:r w:rsidRPr="00AF72C3">
        <w:rPr>
          <w:spacing w:val="-3"/>
        </w:rPr>
        <w:t xml:space="preserve"> </w:t>
      </w:r>
      <w:r w:rsidRPr="00AF72C3">
        <w:t>dollars)</w:t>
      </w:r>
    </w:p>
    <w:tbl>
      <w:tblPr>
        <w:tblStyle w:val="TableGrid"/>
        <w:tblW w:w="5000" w:type="pct"/>
        <w:tblLook w:val="0420" w:firstRow="1" w:lastRow="0" w:firstColumn="0" w:lastColumn="0" w:noHBand="0" w:noVBand="1"/>
      </w:tblPr>
      <w:tblGrid>
        <w:gridCol w:w="1546"/>
        <w:gridCol w:w="1995"/>
        <w:gridCol w:w="1840"/>
        <w:gridCol w:w="1482"/>
        <w:gridCol w:w="1925"/>
      </w:tblGrid>
      <w:tr w:rsidR="00AF72C3" w:rsidRPr="0020202F" w14:paraId="644DF037" w14:textId="77777777" w:rsidTr="00AF72C3">
        <w:trPr>
          <w:cnfStyle w:val="100000000000" w:firstRow="1" w:lastRow="0" w:firstColumn="0" w:lastColumn="0" w:oddVBand="0" w:evenVBand="0" w:oddHBand="0" w:evenHBand="0" w:firstRowFirstColumn="0" w:firstRowLastColumn="0" w:lastRowFirstColumn="0" w:lastRowLastColumn="0"/>
          <w:trHeight w:val="803"/>
        </w:trPr>
        <w:tc>
          <w:tcPr>
            <w:tcW w:w="880" w:type="pct"/>
            <w:tcBorders>
              <w:bottom w:val="single" w:sz="4" w:space="0" w:color="auto"/>
            </w:tcBorders>
            <w:shd w:val="clear" w:color="auto" w:fill="002060"/>
          </w:tcPr>
          <w:p w14:paraId="62794936" w14:textId="77777777" w:rsidR="00AF72C3" w:rsidRPr="0020202F" w:rsidRDefault="00AF72C3" w:rsidP="00AF72C3">
            <w:pPr>
              <w:pStyle w:val="TableBodyText"/>
              <w:keepNext/>
              <w:spacing w:before="20" w:after="20"/>
            </w:pPr>
            <w:r w:rsidRPr="0020202F">
              <w:t>Option</w:t>
            </w:r>
          </w:p>
        </w:tc>
        <w:tc>
          <w:tcPr>
            <w:tcW w:w="1135" w:type="pct"/>
            <w:tcBorders>
              <w:bottom w:val="single" w:sz="4" w:space="0" w:color="auto"/>
            </w:tcBorders>
            <w:shd w:val="clear" w:color="auto" w:fill="002060"/>
          </w:tcPr>
          <w:p w14:paraId="61FA7808" w14:textId="77777777" w:rsidR="00AF72C3" w:rsidRPr="0020202F" w:rsidRDefault="00AF72C3" w:rsidP="00AF72C3">
            <w:pPr>
              <w:pStyle w:val="TableHeading"/>
              <w:keepNext/>
              <w:spacing w:before="20" w:after="20"/>
            </w:pPr>
            <w:r w:rsidRPr="0020202F">
              <w:t>Net economy-wide benefits</w:t>
            </w:r>
            <w:r>
              <w:t xml:space="preserve"> ($ m)</w:t>
            </w:r>
          </w:p>
        </w:tc>
        <w:tc>
          <w:tcPr>
            <w:tcW w:w="1047" w:type="pct"/>
            <w:tcBorders>
              <w:bottom w:val="single" w:sz="4" w:space="0" w:color="auto"/>
            </w:tcBorders>
            <w:shd w:val="clear" w:color="auto" w:fill="002060"/>
          </w:tcPr>
          <w:p w14:paraId="60DBAC76" w14:textId="77777777" w:rsidR="00AF72C3" w:rsidRPr="0020202F" w:rsidRDefault="00AF72C3" w:rsidP="00AF72C3">
            <w:pPr>
              <w:pStyle w:val="TableHeading"/>
              <w:keepNext/>
              <w:spacing w:before="20" w:after="20"/>
            </w:pPr>
            <w:r w:rsidRPr="0020202F">
              <w:t>% increase in net economy-wide benefits</w:t>
            </w:r>
          </w:p>
        </w:tc>
        <w:tc>
          <w:tcPr>
            <w:tcW w:w="843" w:type="pct"/>
            <w:tcBorders>
              <w:bottom w:val="single" w:sz="4" w:space="0" w:color="auto"/>
            </w:tcBorders>
            <w:shd w:val="clear" w:color="auto" w:fill="002060"/>
          </w:tcPr>
          <w:p w14:paraId="667417BC" w14:textId="77777777" w:rsidR="00AF72C3" w:rsidRPr="0020202F" w:rsidRDefault="00AF72C3" w:rsidP="00AF72C3">
            <w:pPr>
              <w:pStyle w:val="TableHeading"/>
              <w:keepNext/>
              <w:spacing w:before="20" w:after="20"/>
            </w:pPr>
            <w:r w:rsidRPr="0020202F">
              <w:t>Costs ($m)</w:t>
            </w:r>
          </w:p>
        </w:tc>
        <w:tc>
          <w:tcPr>
            <w:tcW w:w="1095" w:type="pct"/>
            <w:tcBorders>
              <w:bottom w:val="single" w:sz="4" w:space="0" w:color="auto"/>
            </w:tcBorders>
            <w:shd w:val="clear" w:color="auto" w:fill="002060"/>
          </w:tcPr>
          <w:p w14:paraId="0EBF8495" w14:textId="77777777" w:rsidR="00AF72C3" w:rsidRPr="0020202F" w:rsidRDefault="00AF72C3" w:rsidP="00AF72C3">
            <w:pPr>
              <w:pStyle w:val="TableHeading"/>
              <w:keepNext/>
              <w:spacing w:before="20" w:after="20"/>
            </w:pPr>
            <w:r w:rsidRPr="0020202F">
              <w:t>% increase in overall costs</w:t>
            </w:r>
          </w:p>
        </w:tc>
      </w:tr>
      <w:tr w:rsidR="00AF72C3" w:rsidRPr="00AF72C3" w14:paraId="6FA6A931" w14:textId="77777777" w:rsidTr="00AF72C3">
        <w:tc>
          <w:tcPr>
            <w:tcW w:w="5000" w:type="pct"/>
            <w:gridSpan w:val="5"/>
            <w:tcBorders>
              <w:bottom w:val="single" w:sz="4" w:space="0" w:color="auto"/>
            </w:tcBorders>
            <w:shd w:val="clear" w:color="auto" w:fill="000000" w:themeFill="text1"/>
          </w:tcPr>
          <w:p w14:paraId="1D054EA4" w14:textId="77777777" w:rsidR="00AF72C3" w:rsidRPr="00AF72C3" w:rsidRDefault="00AF72C3" w:rsidP="00AF72C3">
            <w:pPr>
              <w:pStyle w:val="TableBodyText"/>
              <w:keepNext/>
              <w:spacing w:before="20" w:after="20"/>
              <w:jc w:val="center"/>
              <w:rPr>
                <w:b/>
                <w:bCs/>
                <w:color w:val="FFFFFF" w:themeColor="background1"/>
              </w:rPr>
            </w:pPr>
            <w:r w:rsidRPr="00AF72C3">
              <w:rPr>
                <w:b/>
                <w:bCs/>
                <w:color w:val="FFFFFF" w:themeColor="background1"/>
              </w:rPr>
              <w:t>Sensitivity 1: 10-year NPV</w:t>
            </w:r>
          </w:p>
        </w:tc>
      </w:tr>
      <w:tr w:rsidR="00AF72C3" w:rsidRPr="00AF72C3" w14:paraId="3D9A3527" w14:textId="77777777" w:rsidTr="00AF72C3">
        <w:trPr>
          <w:cnfStyle w:val="000000010000" w:firstRow="0" w:lastRow="0" w:firstColumn="0" w:lastColumn="0" w:oddVBand="0" w:evenVBand="0" w:oddHBand="0" w:evenHBand="1" w:firstRowFirstColumn="0" w:firstRowLastColumn="0" w:lastRowFirstColumn="0" w:lastRowLastColumn="0"/>
        </w:trPr>
        <w:tc>
          <w:tcPr>
            <w:tcW w:w="5000" w:type="pct"/>
            <w:gridSpan w:val="5"/>
            <w:shd w:val="clear" w:color="auto" w:fill="65697F" w:themeFill="background2" w:themeFillShade="80"/>
          </w:tcPr>
          <w:p w14:paraId="67B59ECE" w14:textId="77777777" w:rsidR="00AF72C3" w:rsidRPr="00AF72C3" w:rsidRDefault="00AF72C3" w:rsidP="00AF72C3">
            <w:pPr>
              <w:pStyle w:val="TableBodyText"/>
              <w:keepNext/>
              <w:spacing w:before="20" w:after="20"/>
              <w:jc w:val="center"/>
              <w:rPr>
                <w:b/>
                <w:bCs/>
                <w:color w:val="FFFFFF" w:themeColor="background1"/>
              </w:rPr>
            </w:pPr>
            <w:r w:rsidRPr="00AF72C3">
              <w:rPr>
                <w:b/>
                <w:bCs/>
                <w:color w:val="FFFFFF" w:themeColor="background1"/>
              </w:rPr>
              <w:t>Scenario 1 - High impact</w:t>
            </w:r>
          </w:p>
        </w:tc>
      </w:tr>
      <w:tr w:rsidR="00AF72C3" w:rsidRPr="0020202F" w14:paraId="70FEC579" w14:textId="77777777" w:rsidTr="00AF72C3">
        <w:tc>
          <w:tcPr>
            <w:tcW w:w="880" w:type="pct"/>
          </w:tcPr>
          <w:p w14:paraId="5FF5FDB8" w14:textId="77777777" w:rsidR="00AF72C3" w:rsidRPr="0020202F" w:rsidRDefault="00AF72C3" w:rsidP="00AF72C3">
            <w:pPr>
              <w:pStyle w:val="TableBodyText"/>
              <w:keepNext/>
              <w:spacing w:before="20" w:after="20"/>
            </w:pPr>
            <w:r w:rsidRPr="0020202F">
              <w:t>Option 2</w:t>
            </w:r>
          </w:p>
        </w:tc>
        <w:tc>
          <w:tcPr>
            <w:tcW w:w="1135" w:type="pct"/>
          </w:tcPr>
          <w:p w14:paraId="7B1372E7" w14:textId="77777777" w:rsidR="00AF72C3" w:rsidRPr="0020202F" w:rsidRDefault="00AF72C3" w:rsidP="000A2B79">
            <w:pPr>
              <w:pStyle w:val="TableBodyText"/>
              <w:keepNext/>
              <w:spacing w:before="20" w:after="20"/>
              <w:jc w:val="center"/>
            </w:pPr>
            <w:r w:rsidRPr="0020202F">
              <w:t>$904.1</w:t>
            </w:r>
          </w:p>
        </w:tc>
        <w:tc>
          <w:tcPr>
            <w:tcW w:w="1047" w:type="pct"/>
          </w:tcPr>
          <w:p w14:paraId="342BF9CF" w14:textId="77777777" w:rsidR="00AF72C3" w:rsidRPr="0020202F" w:rsidRDefault="00AF72C3" w:rsidP="000A2B79">
            <w:pPr>
              <w:pStyle w:val="TableBodyText"/>
              <w:keepNext/>
              <w:spacing w:before="20" w:after="20"/>
              <w:jc w:val="center"/>
            </w:pPr>
            <w:r w:rsidRPr="0020202F">
              <w:t>-26%</w:t>
            </w:r>
          </w:p>
        </w:tc>
        <w:tc>
          <w:tcPr>
            <w:tcW w:w="843" w:type="pct"/>
          </w:tcPr>
          <w:p w14:paraId="161B57A3" w14:textId="77777777" w:rsidR="00AF72C3" w:rsidRPr="0020202F" w:rsidRDefault="00AF72C3" w:rsidP="000A2B79">
            <w:pPr>
              <w:pStyle w:val="TableBodyText"/>
              <w:keepNext/>
              <w:spacing w:before="20" w:after="20"/>
              <w:jc w:val="center"/>
            </w:pPr>
            <w:r w:rsidRPr="0020202F">
              <w:t>$89.9</w:t>
            </w:r>
          </w:p>
        </w:tc>
        <w:tc>
          <w:tcPr>
            <w:tcW w:w="1095" w:type="pct"/>
          </w:tcPr>
          <w:p w14:paraId="31FDCF19" w14:textId="77777777" w:rsidR="00AF72C3" w:rsidRPr="0020202F" w:rsidRDefault="00AF72C3" w:rsidP="000A2B79">
            <w:pPr>
              <w:pStyle w:val="TableBodyText"/>
              <w:keepNext/>
              <w:spacing w:before="20" w:after="20"/>
              <w:jc w:val="center"/>
            </w:pPr>
            <w:r w:rsidRPr="0020202F">
              <w:t>-30%</w:t>
            </w:r>
          </w:p>
        </w:tc>
      </w:tr>
      <w:tr w:rsidR="00AF72C3" w:rsidRPr="0020202F" w14:paraId="66547536" w14:textId="77777777" w:rsidTr="00AF72C3">
        <w:trPr>
          <w:cnfStyle w:val="000000010000" w:firstRow="0" w:lastRow="0" w:firstColumn="0" w:lastColumn="0" w:oddVBand="0" w:evenVBand="0" w:oddHBand="0" w:evenHBand="1" w:firstRowFirstColumn="0" w:firstRowLastColumn="0" w:lastRowFirstColumn="0" w:lastRowLastColumn="0"/>
        </w:trPr>
        <w:tc>
          <w:tcPr>
            <w:tcW w:w="880" w:type="pct"/>
          </w:tcPr>
          <w:p w14:paraId="78EAB986" w14:textId="77777777" w:rsidR="00AF72C3" w:rsidRPr="0020202F" w:rsidRDefault="00C32CBC" w:rsidP="00AF72C3">
            <w:pPr>
              <w:pStyle w:val="TableBodyText"/>
              <w:keepNext/>
              <w:spacing w:before="20" w:after="20"/>
            </w:pPr>
            <w:r>
              <w:t>Option 3A</w:t>
            </w:r>
          </w:p>
        </w:tc>
        <w:tc>
          <w:tcPr>
            <w:tcW w:w="1135" w:type="pct"/>
          </w:tcPr>
          <w:p w14:paraId="5FDC5292" w14:textId="77777777" w:rsidR="00AF72C3" w:rsidRPr="0020202F" w:rsidRDefault="00AF72C3" w:rsidP="000A2B79">
            <w:pPr>
              <w:pStyle w:val="TableBodyText"/>
              <w:keepNext/>
              <w:spacing w:before="20" w:after="20"/>
              <w:jc w:val="center"/>
            </w:pPr>
            <w:r w:rsidRPr="0020202F">
              <w:t>$884.8</w:t>
            </w:r>
          </w:p>
        </w:tc>
        <w:tc>
          <w:tcPr>
            <w:tcW w:w="1047" w:type="pct"/>
          </w:tcPr>
          <w:p w14:paraId="2258A5D9" w14:textId="77777777" w:rsidR="00AF72C3" w:rsidRPr="0020202F" w:rsidRDefault="00AF72C3" w:rsidP="000A2B79">
            <w:pPr>
              <w:pStyle w:val="TableBodyText"/>
              <w:keepNext/>
              <w:spacing w:before="20" w:after="20"/>
              <w:jc w:val="center"/>
            </w:pPr>
            <w:r w:rsidRPr="0020202F">
              <w:t>-25%</w:t>
            </w:r>
          </w:p>
        </w:tc>
        <w:tc>
          <w:tcPr>
            <w:tcW w:w="843" w:type="pct"/>
          </w:tcPr>
          <w:p w14:paraId="3DDF4482" w14:textId="77777777" w:rsidR="00AF72C3" w:rsidRPr="0020202F" w:rsidRDefault="00AF72C3" w:rsidP="000A2B79">
            <w:pPr>
              <w:pStyle w:val="TableBodyText"/>
              <w:keepNext/>
              <w:spacing w:before="20" w:after="20"/>
              <w:jc w:val="center"/>
            </w:pPr>
            <w:r w:rsidRPr="0020202F">
              <w:t>$112.7</w:t>
            </w:r>
          </w:p>
        </w:tc>
        <w:tc>
          <w:tcPr>
            <w:tcW w:w="1095" w:type="pct"/>
          </w:tcPr>
          <w:p w14:paraId="3953FE6D" w14:textId="77777777" w:rsidR="00AF72C3" w:rsidRPr="0020202F" w:rsidRDefault="00AF72C3" w:rsidP="000A2B79">
            <w:pPr>
              <w:pStyle w:val="TableBodyText"/>
              <w:keepNext/>
              <w:spacing w:before="20" w:after="20"/>
              <w:jc w:val="center"/>
            </w:pPr>
            <w:r w:rsidRPr="0020202F">
              <w:t>-31%</w:t>
            </w:r>
          </w:p>
        </w:tc>
      </w:tr>
      <w:tr w:rsidR="00AF72C3" w:rsidRPr="0020202F" w14:paraId="1B6F3FCC" w14:textId="77777777" w:rsidTr="00AF72C3">
        <w:tc>
          <w:tcPr>
            <w:tcW w:w="880" w:type="pct"/>
            <w:tcBorders>
              <w:bottom w:val="single" w:sz="4" w:space="0" w:color="auto"/>
            </w:tcBorders>
          </w:tcPr>
          <w:p w14:paraId="51217BBF" w14:textId="77777777" w:rsidR="00AF72C3" w:rsidRPr="0020202F" w:rsidRDefault="00C32CBC" w:rsidP="00AF72C3">
            <w:pPr>
              <w:pStyle w:val="TableBodyText"/>
              <w:keepNext/>
              <w:spacing w:before="20" w:after="20"/>
            </w:pPr>
            <w:r>
              <w:t>Option 3B</w:t>
            </w:r>
          </w:p>
        </w:tc>
        <w:tc>
          <w:tcPr>
            <w:tcW w:w="1135" w:type="pct"/>
            <w:tcBorders>
              <w:bottom w:val="single" w:sz="4" w:space="0" w:color="auto"/>
            </w:tcBorders>
          </w:tcPr>
          <w:p w14:paraId="0C953425" w14:textId="77777777" w:rsidR="00AF72C3" w:rsidRPr="0020202F" w:rsidRDefault="00AF72C3" w:rsidP="000A2B79">
            <w:pPr>
              <w:pStyle w:val="TableBodyText"/>
              <w:keepNext/>
              <w:spacing w:before="20" w:after="20"/>
              <w:jc w:val="center"/>
            </w:pPr>
            <w:r w:rsidRPr="0020202F">
              <w:t>$880.5</w:t>
            </w:r>
          </w:p>
        </w:tc>
        <w:tc>
          <w:tcPr>
            <w:tcW w:w="1047" w:type="pct"/>
            <w:tcBorders>
              <w:bottom w:val="single" w:sz="4" w:space="0" w:color="auto"/>
            </w:tcBorders>
          </w:tcPr>
          <w:p w14:paraId="52FE162E" w14:textId="77777777" w:rsidR="00AF72C3" w:rsidRPr="0020202F" w:rsidRDefault="00AF72C3" w:rsidP="000A2B79">
            <w:pPr>
              <w:pStyle w:val="TableBodyText"/>
              <w:keepNext/>
              <w:spacing w:before="20" w:after="20"/>
              <w:jc w:val="center"/>
            </w:pPr>
            <w:r w:rsidRPr="0020202F">
              <w:t>-25%</w:t>
            </w:r>
          </w:p>
        </w:tc>
        <w:tc>
          <w:tcPr>
            <w:tcW w:w="843" w:type="pct"/>
            <w:tcBorders>
              <w:bottom w:val="single" w:sz="4" w:space="0" w:color="auto"/>
            </w:tcBorders>
          </w:tcPr>
          <w:p w14:paraId="78A5B906" w14:textId="77777777" w:rsidR="00AF72C3" w:rsidRPr="0020202F" w:rsidRDefault="00AF72C3" w:rsidP="000A2B79">
            <w:pPr>
              <w:pStyle w:val="TableBodyText"/>
              <w:keepNext/>
              <w:spacing w:before="20" w:after="20"/>
              <w:jc w:val="center"/>
            </w:pPr>
            <w:r w:rsidRPr="0020202F">
              <w:t>$115.9</w:t>
            </w:r>
          </w:p>
        </w:tc>
        <w:tc>
          <w:tcPr>
            <w:tcW w:w="1095" w:type="pct"/>
            <w:tcBorders>
              <w:bottom w:val="single" w:sz="4" w:space="0" w:color="auto"/>
            </w:tcBorders>
          </w:tcPr>
          <w:p w14:paraId="08B824FA" w14:textId="77777777" w:rsidR="00AF72C3" w:rsidRPr="0020202F" w:rsidRDefault="00AF72C3" w:rsidP="000A2B79">
            <w:pPr>
              <w:pStyle w:val="TableBodyText"/>
              <w:keepNext/>
              <w:spacing w:before="20" w:after="20"/>
              <w:jc w:val="center"/>
            </w:pPr>
            <w:r w:rsidRPr="0020202F">
              <w:t>-31%</w:t>
            </w:r>
          </w:p>
        </w:tc>
      </w:tr>
      <w:tr w:rsidR="00EC6862" w:rsidRPr="0020202F" w14:paraId="476BC0A1" w14:textId="77777777" w:rsidTr="00CF688C">
        <w:trPr>
          <w:cnfStyle w:val="000000010000" w:firstRow="0" w:lastRow="0" w:firstColumn="0" w:lastColumn="0" w:oddVBand="0" w:evenVBand="0" w:oddHBand="0" w:evenHBand="1" w:firstRowFirstColumn="0" w:firstRowLastColumn="0" w:lastRowFirstColumn="0" w:lastRowLastColumn="0"/>
        </w:trPr>
        <w:tc>
          <w:tcPr>
            <w:tcW w:w="880" w:type="pct"/>
          </w:tcPr>
          <w:p w14:paraId="15EF38B3" w14:textId="77777777" w:rsidR="00EC6862" w:rsidRPr="0020202F" w:rsidRDefault="00EC6862" w:rsidP="00CF688C">
            <w:pPr>
              <w:pStyle w:val="TableBodyText"/>
              <w:keepNext/>
              <w:spacing w:before="20" w:after="20"/>
            </w:pPr>
            <w:r w:rsidRPr="0020202F">
              <w:t>Option 4</w:t>
            </w:r>
          </w:p>
        </w:tc>
        <w:tc>
          <w:tcPr>
            <w:tcW w:w="1135" w:type="pct"/>
          </w:tcPr>
          <w:p w14:paraId="155ED85D" w14:textId="77777777" w:rsidR="00EC6862" w:rsidRPr="0020202F" w:rsidRDefault="00EC6862" w:rsidP="000A2B79">
            <w:pPr>
              <w:pStyle w:val="TableBodyText"/>
              <w:keepNext/>
              <w:spacing w:before="20" w:after="20"/>
              <w:jc w:val="center"/>
            </w:pPr>
            <w:r w:rsidRPr="0020202F">
              <w:t>$879.0</w:t>
            </w:r>
          </w:p>
        </w:tc>
        <w:tc>
          <w:tcPr>
            <w:tcW w:w="1047" w:type="pct"/>
          </w:tcPr>
          <w:p w14:paraId="729F1723" w14:textId="77777777" w:rsidR="00EC6862" w:rsidRPr="0020202F" w:rsidRDefault="00EC6862" w:rsidP="000A2B79">
            <w:pPr>
              <w:pStyle w:val="TableBodyText"/>
              <w:keepNext/>
              <w:spacing w:before="20" w:after="20"/>
              <w:jc w:val="center"/>
            </w:pPr>
            <w:r w:rsidRPr="0020202F">
              <w:t>-25%</w:t>
            </w:r>
          </w:p>
        </w:tc>
        <w:tc>
          <w:tcPr>
            <w:tcW w:w="843" w:type="pct"/>
          </w:tcPr>
          <w:p w14:paraId="5C479220" w14:textId="77777777" w:rsidR="00EC6862" w:rsidRPr="0020202F" w:rsidRDefault="00EC6862" w:rsidP="000A2B79">
            <w:pPr>
              <w:pStyle w:val="TableBodyText"/>
              <w:keepNext/>
              <w:spacing w:before="20" w:after="20"/>
              <w:jc w:val="center"/>
            </w:pPr>
            <w:r w:rsidRPr="0020202F">
              <w:t>$117.4</w:t>
            </w:r>
          </w:p>
        </w:tc>
        <w:tc>
          <w:tcPr>
            <w:tcW w:w="1095" w:type="pct"/>
          </w:tcPr>
          <w:p w14:paraId="40BDAB91" w14:textId="77777777" w:rsidR="00EC6862" w:rsidRPr="0020202F" w:rsidRDefault="00EC6862" w:rsidP="000A2B79">
            <w:pPr>
              <w:pStyle w:val="TableBodyText"/>
              <w:keepNext/>
              <w:spacing w:before="20" w:after="20"/>
              <w:jc w:val="center"/>
            </w:pPr>
            <w:r w:rsidRPr="0020202F">
              <w:t>-31%</w:t>
            </w:r>
          </w:p>
        </w:tc>
      </w:tr>
      <w:tr w:rsidR="00AF72C3" w:rsidRPr="00AF72C3" w14:paraId="528B5661" w14:textId="77777777" w:rsidTr="00AF72C3">
        <w:tc>
          <w:tcPr>
            <w:tcW w:w="5000" w:type="pct"/>
            <w:gridSpan w:val="5"/>
            <w:shd w:val="clear" w:color="auto" w:fill="65697F" w:themeFill="background2" w:themeFillShade="80"/>
          </w:tcPr>
          <w:p w14:paraId="0BC9A9FF" w14:textId="77777777" w:rsidR="00AF72C3" w:rsidRPr="00AF72C3" w:rsidRDefault="00AF72C3" w:rsidP="00AF72C3">
            <w:pPr>
              <w:pStyle w:val="TableBodyText"/>
              <w:keepNext/>
              <w:spacing w:before="20" w:after="20"/>
              <w:jc w:val="center"/>
              <w:rPr>
                <w:b/>
                <w:bCs/>
              </w:rPr>
            </w:pPr>
            <w:r w:rsidRPr="00AF72C3">
              <w:rPr>
                <w:b/>
                <w:bCs/>
                <w:color w:val="FFFFFF" w:themeColor="background1"/>
              </w:rPr>
              <w:t>Scenario 2 - Low impact</w:t>
            </w:r>
          </w:p>
        </w:tc>
      </w:tr>
      <w:tr w:rsidR="00AF72C3" w:rsidRPr="0020202F" w14:paraId="44A3210F" w14:textId="77777777" w:rsidTr="00AF72C3">
        <w:trPr>
          <w:cnfStyle w:val="000000010000" w:firstRow="0" w:lastRow="0" w:firstColumn="0" w:lastColumn="0" w:oddVBand="0" w:evenVBand="0" w:oddHBand="0" w:evenHBand="1" w:firstRowFirstColumn="0" w:firstRowLastColumn="0" w:lastRowFirstColumn="0" w:lastRowLastColumn="0"/>
        </w:trPr>
        <w:tc>
          <w:tcPr>
            <w:tcW w:w="880" w:type="pct"/>
          </w:tcPr>
          <w:p w14:paraId="467DB0AA" w14:textId="77777777" w:rsidR="00AF72C3" w:rsidRPr="0020202F" w:rsidRDefault="00AF72C3" w:rsidP="00AF72C3">
            <w:pPr>
              <w:pStyle w:val="TableBodyText"/>
              <w:keepNext/>
              <w:spacing w:before="20" w:after="20"/>
            </w:pPr>
            <w:r w:rsidRPr="0020202F">
              <w:t>Option 2</w:t>
            </w:r>
          </w:p>
        </w:tc>
        <w:tc>
          <w:tcPr>
            <w:tcW w:w="1135" w:type="pct"/>
          </w:tcPr>
          <w:p w14:paraId="5EEF3309" w14:textId="77777777" w:rsidR="00AF72C3" w:rsidRPr="0020202F" w:rsidRDefault="00AF72C3" w:rsidP="000A2B79">
            <w:pPr>
              <w:pStyle w:val="TableBodyText"/>
              <w:keepNext/>
              <w:spacing w:before="20" w:after="20"/>
              <w:jc w:val="center"/>
            </w:pPr>
            <w:r w:rsidRPr="0020202F">
              <w:t>$196.1</w:t>
            </w:r>
          </w:p>
        </w:tc>
        <w:tc>
          <w:tcPr>
            <w:tcW w:w="1047" w:type="pct"/>
          </w:tcPr>
          <w:p w14:paraId="1985D2D6" w14:textId="77777777" w:rsidR="00AF72C3" w:rsidRPr="0020202F" w:rsidRDefault="00AF72C3" w:rsidP="000A2B79">
            <w:pPr>
              <w:pStyle w:val="TableBodyText"/>
              <w:keepNext/>
              <w:spacing w:before="20" w:after="20"/>
              <w:jc w:val="center"/>
            </w:pPr>
            <w:r w:rsidRPr="0020202F">
              <w:t>-26%</w:t>
            </w:r>
          </w:p>
        </w:tc>
        <w:tc>
          <w:tcPr>
            <w:tcW w:w="843" w:type="pct"/>
          </w:tcPr>
          <w:p w14:paraId="3DF62B2B" w14:textId="77777777" w:rsidR="00AF72C3" w:rsidRPr="0020202F" w:rsidRDefault="00AF72C3" w:rsidP="000A2B79">
            <w:pPr>
              <w:pStyle w:val="TableBodyText"/>
              <w:keepNext/>
              <w:spacing w:before="20" w:after="20"/>
              <w:jc w:val="center"/>
            </w:pPr>
            <w:r w:rsidRPr="0020202F">
              <w:t>$43.8</w:t>
            </w:r>
          </w:p>
        </w:tc>
        <w:tc>
          <w:tcPr>
            <w:tcW w:w="1095" w:type="pct"/>
          </w:tcPr>
          <w:p w14:paraId="27E2D8C7" w14:textId="77777777" w:rsidR="00AF72C3" w:rsidRPr="0020202F" w:rsidRDefault="00AF72C3" w:rsidP="000A2B79">
            <w:pPr>
              <w:pStyle w:val="TableBodyText"/>
              <w:keepNext/>
              <w:spacing w:before="20" w:after="20"/>
              <w:jc w:val="center"/>
            </w:pPr>
            <w:r w:rsidRPr="0020202F">
              <w:t>-29%</w:t>
            </w:r>
          </w:p>
        </w:tc>
      </w:tr>
      <w:tr w:rsidR="00AF72C3" w:rsidRPr="0020202F" w14:paraId="147A28FB" w14:textId="77777777" w:rsidTr="00AF72C3">
        <w:tc>
          <w:tcPr>
            <w:tcW w:w="880" w:type="pct"/>
          </w:tcPr>
          <w:p w14:paraId="41382353" w14:textId="77777777" w:rsidR="00AF72C3" w:rsidRPr="0020202F" w:rsidRDefault="00C32CBC" w:rsidP="00AF72C3">
            <w:pPr>
              <w:pStyle w:val="TableBodyText"/>
              <w:keepNext/>
              <w:spacing w:before="20" w:after="20"/>
            </w:pPr>
            <w:r>
              <w:t>Option 3A</w:t>
            </w:r>
          </w:p>
        </w:tc>
        <w:tc>
          <w:tcPr>
            <w:tcW w:w="1135" w:type="pct"/>
          </w:tcPr>
          <w:p w14:paraId="21B0100E" w14:textId="77777777" w:rsidR="00AF72C3" w:rsidRPr="0020202F" w:rsidRDefault="00AF72C3" w:rsidP="000A2B79">
            <w:pPr>
              <w:pStyle w:val="TableBodyText"/>
              <w:keepNext/>
              <w:spacing w:before="20" w:after="20"/>
              <w:jc w:val="center"/>
            </w:pPr>
            <w:r w:rsidRPr="0020202F">
              <w:t>$181.2</w:t>
            </w:r>
          </w:p>
        </w:tc>
        <w:tc>
          <w:tcPr>
            <w:tcW w:w="1047" w:type="pct"/>
          </w:tcPr>
          <w:p w14:paraId="7A64A7F3" w14:textId="77777777" w:rsidR="00AF72C3" w:rsidRPr="0020202F" w:rsidRDefault="00AF72C3" w:rsidP="000A2B79">
            <w:pPr>
              <w:pStyle w:val="TableBodyText"/>
              <w:keepNext/>
              <w:spacing w:before="20" w:after="20"/>
              <w:jc w:val="center"/>
            </w:pPr>
            <w:r w:rsidRPr="0020202F">
              <w:t>-24%</w:t>
            </w:r>
          </w:p>
        </w:tc>
        <w:tc>
          <w:tcPr>
            <w:tcW w:w="843" w:type="pct"/>
          </w:tcPr>
          <w:p w14:paraId="028BFE55" w14:textId="77777777" w:rsidR="00AF72C3" w:rsidRPr="0020202F" w:rsidRDefault="00AF72C3" w:rsidP="000A2B79">
            <w:pPr>
              <w:pStyle w:val="TableBodyText"/>
              <w:keepNext/>
              <w:spacing w:before="20" w:after="20"/>
              <w:jc w:val="center"/>
            </w:pPr>
            <w:r w:rsidRPr="0020202F">
              <w:t>$62.7</w:t>
            </w:r>
          </w:p>
        </w:tc>
        <w:tc>
          <w:tcPr>
            <w:tcW w:w="1095" w:type="pct"/>
          </w:tcPr>
          <w:p w14:paraId="4FA8A977" w14:textId="77777777" w:rsidR="00AF72C3" w:rsidRPr="0020202F" w:rsidRDefault="00AF72C3" w:rsidP="000A2B79">
            <w:pPr>
              <w:pStyle w:val="TableBodyText"/>
              <w:keepNext/>
              <w:spacing w:before="20" w:after="20"/>
              <w:jc w:val="center"/>
            </w:pPr>
            <w:r w:rsidRPr="0020202F">
              <w:t>-31%</w:t>
            </w:r>
          </w:p>
        </w:tc>
      </w:tr>
      <w:tr w:rsidR="00AF72C3" w:rsidRPr="0020202F" w14:paraId="17A74561" w14:textId="77777777" w:rsidTr="00AF72C3">
        <w:trPr>
          <w:cnfStyle w:val="000000010000" w:firstRow="0" w:lastRow="0" w:firstColumn="0" w:lastColumn="0" w:oddVBand="0" w:evenVBand="0" w:oddHBand="0" w:evenHBand="1" w:firstRowFirstColumn="0" w:firstRowLastColumn="0" w:lastRowFirstColumn="0" w:lastRowLastColumn="0"/>
        </w:trPr>
        <w:tc>
          <w:tcPr>
            <w:tcW w:w="880" w:type="pct"/>
            <w:tcBorders>
              <w:bottom w:val="single" w:sz="4" w:space="0" w:color="auto"/>
            </w:tcBorders>
          </w:tcPr>
          <w:p w14:paraId="2D82DB22" w14:textId="77777777" w:rsidR="00AF72C3" w:rsidRPr="0020202F" w:rsidRDefault="00C32CBC" w:rsidP="00AF72C3">
            <w:pPr>
              <w:pStyle w:val="TableBodyText"/>
              <w:keepNext/>
              <w:spacing w:before="20" w:after="20"/>
            </w:pPr>
            <w:r>
              <w:t>Option 3B</w:t>
            </w:r>
          </w:p>
        </w:tc>
        <w:tc>
          <w:tcPr>
            <w:tcW w:w="1135" w:type="pct"/>
            <w:tcBorders>
              <w:bottom w:val="single" w:sz="4" w:space="0" w:color="auto"/>
            </w:tcBorders>
          </w:tcPr>
          <w:p w14:paraId="101D78CD" w14:textId="77777777" w:rsidR="00AF72C3" w:rsidRPr="0020202F" w:rsidRDefault="00AF72C3" w:rsidP="000A2B79">
            <w:pPr>
              <w:pStyle w:val="TableBodyText"/>
              <w:keepNext/>
              <w:spacing w:before="20" w:after="20"/>
              <w:jc w:val="center"/>
            </w:pPr>
            <w:r w:rsidRPr="0020202F">
              <w:t>$178.4</w:t>
            </w:r>
          </w:p>
        </w:tc>
        <w:tc>
          <w:tcPr>
            <w:tcW w:w="1047" w:type="pct"/>
            <w:tcBorders>
              <w:bottom w:val="single" w:sz="4" w:space="0" w:color="auto"/>
            </w:tcBorders>
          </w:tcPr>
          <w:p w14:paraId="55B014F5" w14:textId="77777777" w:rsidR="00AF72C3" w:rsidRPr="0020202F" w:rsidRDefault="00AF72C3" w:rsidP="000A2B79">
            <w:pPr>
              <w:pStyle w:val="TableBodyText"/>
              <w:keepNext/>
              <w:spacing w:before="20" w:after="20"/>
              <w:jc w:val="center"/>
            </w:pPr>
            <w:r w:rsidRPr="0020202F">
              <w:t>-24%</w:t>
            </w:r>
          </w:p>
        </w:tc>
        <w:tc>
          <w:tcPr>
            <w:tcW w:w="843" w:type="pct"/>
            <w:tcBorders>
              <w:bottom w:val="single" w:sz="4" w:space="0" w:color="auto"/>
            </w:tcBorders>
          </w:tcPr>
          <w:p w14:paraId="5F20D597" w14:textId="77777777" w:rsidR="00AF72C3" w:rsidRPr="0020202F" w:rsidRDefault="00AF72C3" w:rsidP="000A2B79">
            <w:pPr>
              <w:pStyle w:val="TableBodyText"/>
              <w:keepNext/>
              <w:spacing w:before="20" w:after="20"/>
              <w:jc w:val="center"/>
            </w:pPr>
            <w:r w:rsidRPr="0020202F">
              <w:t>$64.8</w:t>
            </w:r>
          </w:p>
        </w:tc>
        <w:tc>
          <w:tcPr>
            <w:tcW w:w="1095" w:type="pct"/>
            <w:tcBorders>
              <w:bottom w:val="single" w:sz="4" w:space="0" w:color="auto"/>
            </w:tcBorders>
          </w:tcPr>
          <w:p w14:paraId="09AEF2DA" w14:textId="77777777" w:rsidR="00AF72C3" w:rsidRPr="0020202F" w:rsidRDefault="00AF72C3" w:rsidP="000A2B79">
            <w:pPr>
              <w:pStyle w:val="TableBodyText"/>
              <w:keepNext/>
              <w:spacing w:before="20" w:after="20"/>
              <w:jc w:val="center"/>
            </w:pPr>
            <w:r w:rsidRPr="0020202F">
              <w:t>-31%</w:t>
            </w:r>
          </w:p>
        </w:tc>
      </w:tr>
      <w:tr w:rsidR="00EC6862" w:rsidRPr="0020202F" w14:paraId="0FFFDA40" w14:textId="77777777" w:rsidTr="00CF688C">
        <w:tc>
          <w:tcPr>
            <w:tcW w:w="880" w:type="pct"/>
          </w:tcPr>
          <w:p w14:paraId="071D45DA" w14:textId="77777777" w:rsidR="00EC6862" w:rsidRPr="0020202F" w:rsidRDefault="00EC6862" w:rsidP="00CF688C">
            <w:pPr>
              <w:pStyle w:val="TableBodyText"/>
              <w:keepNext/>
              <w:spacing w:before="20" w:after="20"/>
            </w:pPr>
            <w:r w:rsidRPr="0020202F">
              <w:t>Option 4</w:t>
            </w:r>
          </w:p>
        </w:tc>
        <w:tc>
          <w:tcPr>
            <w:tcW w:w="1135" w:type="pct"/>
          </w:tcPr>
          <w:p w14:paraId="090D64BC" w14:textId="77777777" w:rsidR="00EC6862" w:rsidRPr="0020202F" w:rsidRDefault="00EC6862" w:rsidP="000A2B79">
            <w:pPr>
              <w:pStyle w:val="TableBodyText"/>
              <w:keepNext/>
              <w:spacing w:before="20" w:after="20"/>
              <w:jc w:val="center"/>
            </w:pPr>
            <w:r w:rsidRPr="0020202F">
              <w:t>$177.0</w:t>
            </w:r>
          </w:p>
        </w:tc>
        <w:tc>
          <w:tcPr>
            <w:tcW w:w="1047" w:type="pct"/>
          </w:tcPr>
          <w:p w14:paraId="61DE3E09" w14:textId="77777777" w:rsidR="00EC6862" w:rsidRPr="0020202F" w:rsidRDefault="00EC6862" w:rsidP="000A2B79">
            <w:pPr>
              <w:pStyle w:val="TableBodyText"/>
              <w:keepNext/>
              <w:spacing w:before="20" w:after="20"/>
              <w:jc w:val="center"/>
            </w:pPr>
            <w:r w:rsidRPr="0020202F">
              <w:t>-24%</w:t>
            </w:r>
          </w:p>
        </w:tc>
        <w:tc>
          <w:tcPr>
            <w:tcW w:w="843" w:type="pct"/>
          </w:tcPr>
          <w:p w14:paraId="25FED2E3" w14:textId="77777777" w:rsidR="00EC6862" w:rsidRPr="0020202F" w:rsidRDefault="00EC6862" w:rsidP="000A2B79">
            <w:pPr>
              <w:pStyle w:val="TableBodyText"/>
              <w:keepNext/>
              <w:spacing w:before="20" w:after="20"/>
              <w:jc w:val="center"/>
            </w:pPr>
            <w:r w:rsidRPr="0020202F">
              <w:t>$66.2</w:t>
            </w:r>
          </w:p>
        </w:tc>
        <w:tc>
          <w:tcPr>
            <w:tcW w:w="1095" w:type="pct"/>
          </w:tcPr>
          <w:p w14:paraId="3BED0C5B" w14:textId="77777777" w:rsidR="00EC6862" w:rsidRPr="0020202F" w:rsidRDefault="00EC6862" w:rsidP="000A2B79">
            <w:pPr>
              <w:pStyle w:val="TableBodyText"/>
              <w:keepNext/>
              <w:spacing w:before="20" w:after="20"/>
              <w:jc w:val="center"/>
            </w:pPr>
            <w:r w:rsidRPr="0020202F">
              <w:t>-32%</w:t>
            </w:r>
          </w:p>
        </w:tc>
      </w:tr>
      <w:tr w:rsidR="00AF72C3" w:rsidRPr="0020202F" w14:paraId="5B65197E" w14:textId="77777777" w:rsidTr="00AF72C3">
        <w:trPr>
          <w:cnfStyle w:val="000000010000" w:firstRow="0" w:lastRow="0" w:firstColumn="0" w:lastColumn="0" w:oddVBand="0" w:evenVBand="0" w:oddHBand="0" w:evenHBand="1" w:firstRowFirstColumn="0" w:firstRowLastColumn="0" w:lastRowFirstColumn="0" w:lastRowLastColumn="0"/>
        </w:trPr>
        <w:tc>
          <w:tcPr>
            <w:tcW w:w="5000" w:type="pct"/>
            <w:gridSpan w:val="5"/>
            <w:tcBorders>
              <w:bottom w:val="single" w:sz="4" w:space="0" w:color="auto"/>
            </w:tcBorders>
            <w:shd w:val="clear" w:color="auto" w:fill="000000" w:themeFill="text1"/>
          </w:tcPr>
          <w:p w14:paraId="65647EE6" w14:textId="77777777" w:rsidR="00AF72C3" w:rsidRPr="00AF72C3" w:rsidRDefault="00AF72C3" w:rsidP="00AF72C3">
            <w:pPr>
              <w:pStyle w:val="TableBodyText"/>
              <w:keepNext/>
              <w:spacing w:before="20" w:after="20"/>
              <w:jc w:val="center"/>
              <w:rPr>
                <w:b/>
                <w:bCs/>
              </w:rPr>
            </w:pPr>
            <w:r w:rsidRPr="00AF72C3">
              <w:rPr>
                <w:b/>
                <w:bCs/>
              </w:rPr>
              <w:t>Sensitivity 2: 15-year NPV</w:t>
            </w:r>
          </w:p>
        </w:tc>
      </w:tr>
      <w:tr w:rsidR="00AF72C3" w:rsidRPr="00AF72C3" w14:paraId="3788111D" w14:textId="77777777" w:rsidTr="00AF72C3">
        <w:tc>
          <w:tcPr>
            <w:tcW w:w="5000" w:type="pct"/>
            <w:gridSpan w:val="5"/>
            <w:shd w:val="clear" w:color="auto" w:fill="65697F" w:themeFill="background2" w:themeFillShade="80"/>
          </w:tcPr>
          <w:p w14:paraId="508FCBBE" w14:textId="77777777" w:rsidR="00AF72C3" w:rsidRPr="00AF72C3" w:rsidRDefault="00AF72C3" w:rsidP="00AF72C3">
            <w:pPr>
              <w:pStyle w:val="TableBodyText"/>
              <w:keepNext/>
              <w:spacing w:before="20" w:after="20"/>
              <w:jc w:val="center"/>
              <w:rPr>
                <w:b/>
                <w:bCs/>
                <w:color w:val="FFFFFF" w:themeColor="background1"/>
              </w:rPr>
            </w:pPr>
            <w:r w:rsidRPr="00AF72C3">
              <w:rPr>
                <w:b/>
                <w:bCs/>
                <w:color w:val="FFFFFF" w:themeColor="background1"/>
              </w:rPr>
              <w:t>Scenario 1 - High impact</w:t>
            </w:r>
          </w:p>
        </w:tc>
      </w:tr>
      <w:tr w:rsidR="00AF72C3" w:rsidRPr="0020202F" w14:paraId="3EEE257C" w14:textId="77777777" w:rsidTr="00AF72C3">
        <w:trPr>
          <w:cnfStyle w:val="000000010000" w:firstRow="0" w:lastRow="0" w:firstColumn="0" w:lastColumn="0" w:oddVBand="0" w:evenVBand="0" w:oddHBand="0" w:evenHBand="1" w:firstRowFirstColumn="0" w:firstRowLastColumn="0" w:lastRowFirstColumn="0" w:lastRowLastColumn="0"/>
        </w:trPr>
        <w:tc>
          <w:tcPr>
            <w:tcW w:w="880" w:type="pct"/>
          </w:tcPr>
          <w:p w14:paraId="7A055E3F" w14:textId="77777777" w:rsidR="00AF72C3" w:rsidRPr="0020202F" w:rsidRDefault="00AF72C3" w:rsidP="00AF72C3">
            <w:pPr>
              <w:pStyle w:val="TableBodyText"/>
              <w:keepNext/>
              <w:spacing w:before="20" w:after="20"/>
            </w:pPr>
            <w:r w:rsidRPr="0020202F">
              <w:t>Option 2</w:t>
            </w:r>
          </w:p>
        </w:tc>
        <w:tc>
          <w:tcPr>
            <w:tcW w:w="1135" w:type="pct"/>
          </w:tcPr>
          <w:p w14:paraId="3AFD997D" w14:textId="77777777" w:rsidR="00AF72C3" w:rsidRPr="0020202F" w:rsidRDefault="00AF72C3" w:rsidP="000A2B79">
            <w:pPr>
              <w:pStyle w:val="TableBodyText"/>
              <w:keepNext/>
              <w:spacing w:before="20" w:after="20"/>
              <w:jc w:val="center"/>
            </w:pPr>
            <w:r w:rsidRPr="0020202F">
              <w:t>$1,082.9</w:t>
            </w:r>
          </w:p>
        </w:tc>
        <w:tc>
          <w:tcPr>
            <w:tcW w:w="1047" w:type="pct"/>
          </w:tcPr>
          <w:p w14:paraId="2DF61AF7" w14:textId="77777777" w:rsidR="00AF72C3" w:rsidRPr="0020202F" w:rsidRDefault="00AF72C3" w:rsidP="000A2B79">
            <w:pPr>
              <w:pStyle w:val="TableBodyText"/>
              <w:keepNext/>
              <w:spacing w:before="20" w:after="20"/>
              <w:jc w:val="center"/>
            </w:pPr>
            <w:r w:rsidRPr="0020202F">
              <w:t>-11%</w:t>
            </w:r>
          </w:p>
        </w:tc>
        <w:tc>
          <w:tcPr>
            <w:tcW w:w="843" w:type="pct"/>
          </w:tcPr>
          <w:p w14:paraId="5575454E" w14:textId="77777777" w:rsidR="00AF72C3" w:rsidRPr="0020202F" w:rsidRDefault="00AF72C3" w:rsidP="000A2B79">
            <w:pPr>
              <w:pStyle w:val="TableBodyText"/>
              <w:keepNext/>
              <w:spacing w:before="20" w:after="20"/>
              <w:jc w:val="center"/>
            </w:pPr>
            <w:r w:rsidRPr="0020202F">
              <w:t>$112.4</w:t>
            </w:r>
          </w:p>
        </w:tc>
        <w:tc>
          <w:tcPr>
            <w:tcW w:w="1095" w:type="pct"/>
          </w:tcPr>
          <w:p w14:paraId="0EF0976F" w14:textId="77777777" w:rsidR="00AF72C3" w:rsidRPr="0020202F" w:rsidRDefault="00AF72C3" w:rsidP="000A2B79">
            <w:pPr>
              <w:pStyle w:val="TableBodyText"/>
              <w:keepNext/>
              <w:spacing w:before="20" w:after="20"/>
              <w:jc w:val="center"/>
            </w:pPr>
            <w:r w:rsidRPr="0020202F">
              <w:t>-11%</w:t>
            </w:r>
          </w:p>
        </w:tc>
      </w:tr>
      <w:tr w:rsidR="00AF72C3" w:rsidRPr="0020202F" w14:paraId="64466ED5" w14:textId="77777777" w:rsidTr="00AF72C3">
        <w:tc>
          <w:tcPr>
            <w:tcW w:w="880" w:type="pct"/>
          </w:tcPr>
          <w:p w14:paraId="5120EDAC" w14:textId="77777777" w:rsidR="00AF72C3" w:rsidRPr="0020202F" w:rsidRDefault="00C32CBC" w:rsidP="00AF72C3">
            <w:pPr>
              <w:pStyle w:val="TableBodyText"/>
              <w:keepNext/>
              <w:spacing w:before="20" w:after="20"/>
            </w:pPr>
            <w:r>
              <w:t>Option 3A</w:t>
            </w:r>
          </w:p>
        </w:tc>
        <w:tc>
          <w:tcPr>
            <w:tcW w:w="1135" w:type="pct"/>
          </w:tcPr>
          <w:p w14:paraId="774AC156" w14:textId="77777777" w:rsidR="00AF72C3" w:rsidRPr="0020202F" w:rsidRDefault="00AF72C3" w:rsidP="000A2B79">
            <w:pPr>
              <w:pStyle w:val="TableBodyText"/>
              <w:keepNext/>
              <w:spacing w:before="20" w:after="20"/>
              <w:jc w:val="center"/>
            </w:pPr>
            <w:r w:rsidRPr="0020202F">
              <w:t>$1,057.2</w:t>
            </w:r>
          </w:p>
        </w:tc>
        <w:tc>
          <w:tcPr>
            <w:tcW w:w="1047" w:type="pct"/>
          </w:tcPr>
          <w:p w14:paraId="09E808FD" w14:textId="77777777" w:rsidR="00AF72C3" w:rsidRPr="0020202F" w:rsidRDefault="00AF72C3" w:rsidP="000A2B79">
            <w:pPr>
              <w:pStyle w:val="TableBodyText"/>
              <w:keepNext/>
              <w:spacing w:before="20" w:after="20"/>
              <w:jc w:val="center"/>
            </w:pPr>
            <w:r w:rsidRPr="0020202F">
              <w:t>-11%</w:t>
            </w:r>
          </w:p>
        </w:tc>
        <w:tc>
          <w:tcPr>
            <w:tcW w:w="843" w:type="pct"/>
          </w:tcPr>
          <w:p w14:paraId="25AD986B" w14:textId="77777777" w:rsidR="00AF72C3" w:rsidRPr="0020202F" w:rsidRDefault="00AF72C3" w:rsidP="000A2B79">
            <w:pPr>
              <w:pStyle w:val="TableBodyText"/>
              <w:keepNext/>
              <w:spacing w:before="20" w:after="20"/>
              <w:jc w:val="center"/>
            </w:pPr>
            <w:r w:rsidRPr="0020202F">
              <w:t>$142.3</w:t>
            </w:r>
          </w:p>
        </w:tc>
        <w:tc>
          <w:tcPr>
            <w:tcW w:w="1095" w:type="pct"/>
          </w:tcPr>
          <w:p w14:paraId="0FBD17CB" w14:textId="77777777" w:rsidR="00AF72C3" w:rsidRPr="0020202F" w:rsidRDefault="00AF72C3" w:rsidP="000A2B79">
            <w:pPr>
              <w:pStyle w:val="TableBodyText"/>
              <w:keepNext/>
              <w:spacing w:before="20" w:after="20"/>
              <w:jc w:val="center"/>
            </w:pPr>
            <w:r w:rsidRPr="0020202F">
              <w:t>-11%</w:t>
            </w:r>
          </w:p>
        </w:tc>
      </w:tr>
      <w:tr w:rsidR="00AF72C3" w:rsidRPr="0020202F" w14:paraId="02E0EA6F" w14:textId="77777777" w:rsidTr="00AF72C3">
        <w:trPr>
          <w:cnfStyle w:val="000000010000" w:firstRow="0" w:lastRow="0" w:firstColumn="0" w:lastColumn="0" w:oddVBand="0" w:evenVBand="0" w:oddHBand="0" w:evenHBand="1" w:firstRowFirstColumn="0" w:firstRowLastColumn="0" w:lastRowFirstColumn="0" w:lastRowLastColumn="0"/>
        </w:trPr>
        <w:tc>
          <w:tcPr>
            <w:tcW w:w="880" w:type="pct"/>
            <w:tcBorders>
              <w:bottom w:val="single" w:sz="4" w:space="0" w:color="auto"/>
            </w:tcBorders>
          </w:tcPr>
          <w:p w14:paraId="7D16C208" w14:textId="77777777" w:rsidR="00AF72C3" w:rsidRPr="0020202F" w:rsidRDefault="00C32CBC" w:rsidP="00AF72C3">
            <w:pPr>
              <w:pStyle w:val="TableBodyText"/>
              <w:keepNext/>
              <w:spacing w:before="20" w:after="20"/>
            </w:pPr>
            <w:r>
              <w:t>Option 3B</w:t>
            </w:r>
          </w:p>
        </w:tc>
        <w:tc>
          <w:tcPr>
            <w:tcW w:w="1135" w:type="pct"/>
            <w:tcBorders>
              <w:bottom w:val="single" w:sz="4" w:space="0" w:color="auto"/>
            </w:tcBorders>
          </w:tcPr>
          <w:p w14:paraId="6D1EB93F" w14:textId="77777777" w:rsidR="00AF72C3" w:rsidRPr="0020202F" w:rsidRDefault="00AF72C3" w:rsidP="000A2B79">
            <w:pPr>
              <w:pStyle w:val="TableBodyText"/>
              <w:keepNext/>
              <w:spacing w:before="20" w:after="20"/>
              <w:jc w:val="center"/>
            </w:pPr>
            <w:r w:rsidRPr="0020202F">
              <w:t>$1,052.3</w:t>
            </w:r>
          </w:p>
        </w:tc>
        <w:tc>
          <w:tcPr>
            <w:tcW w:w="1047" w:type="pct"/>
            <w:tcBorders>
              <w:bottom w:val="single" w:sz="4" w:space="0" w:color="auto"/>
            </w:tcBorders>
          </w:tcPr>
          <w:p w14:paraId="4EB587F8" w14:textId="77777777" w:rsidR="00AF72C3" w:rsidRPr="0020202F" w:rsidRDefault="00AF72C3" w:rsidP="000A2B79">
            <w:pPr>
              <w:pStyle w:val="TableBodyText"/>
              <w:keepNext/>
              <w:spacing w:before="20" w:after="20"/>
              <w:jc w:val="center"/>
            </w:pPr>
            <w:r w:rsidRPr="0020202F">
              <w:t>-11%</w:t>
            </w:r>
          </w:p>
        </w:tc>
        <w:tc>
          <w:tcPr>
            <w:tcW w:w="843" w:type="pct"/>
            <w:tcBorders>
              <w:bottom w:val="single" w:sz="4" w:space="0" w:color="auto"/>
            </w:tcBorders>
          </w:tcPr>
          <w:p w14:paraId="252E0618" w14:textId="77777777" w:rsidR="00AF72C3" w:rsidRPr="0020202F" w:rsidRDefault="00AF72C3" w:rsidP="000A2B79">
            <w:pPr>
              <w:pStyle w:val="TableBodyText"/>
              <w:keepNext/>
              <w:spacing w:before="20" w:after="20"/>
              <w:jc w:val="center"/>
            </w:pPr>
            <w:r w:rsidRPr="0020202F">
              <w:t>$146.5</w:t>
            </w:r>
          </w:p>
        </w:tc>
        <w:tc>
          <w:tcPr>
            <w:tcW w:w="1095" w:type="pct"/>
            <w:tcBorders>
              <w:bottom w:val="single" w:sz="4" w:space="0" w:color="auto"/>
            </w:tcBorders>
          </w:tcPr>
          <w:p w14:paraId="71AC87C1" w14:textId="77777777" w:rsidR="00AF72C3" w:rsidRPr="0020202F" w:rsidRDefault="00AF72C3" w:rsidP="000A2B79">
            <w:pPr>
              <w:pStyle w:val="TableBodyText"/>
              <w:keepNext/>
              <w:spacing w:before="20" w:after="20"/>
              <w:jc w:val="center"/>
            </w:pPr>
            <w:r w:rsidRPr="0020202F">
              <w:t>-11%</w:t>
            </w:r>
          </w:p>
        </w:tc>
      </w:tr>
      <w:tr w:rsidR="00BC68D8" w:rsidRPr="0020202F" w14:paraId="0E2AA476" w14:textId="77777777" w:rsidTr="00CF688C">
        <w:tc>
          <w:tcPr>
            <w:tcW w:w="880" w:type="pct"/>
          </w:tcPr>
          <w:p w14:paraId="098E466C" w14:textId="77777777" w:rsidR="00EC6862" w:rsidRPr="0020202F" w:rsidRDefault="00EC6862" w:rsidP="00CF688C">
            <w:pPr>
              <w:pStyle w:val="TableBodyText"/>
              <w:keepNext/>
              <w:spacing w:before="20" w:after="20"/>
            </w:pPr>
            <w:r w:rsidRPr="0020202F">
              <w:t>Option 4</w:t>
            </w:r>
          </w:p>
        </w:tc>
        <w:tc>
          <w:tcPr>
            <w:tcW w:w="1135" w:type="pct"/>
          </w:tcPr>
          <w:p w14:paraId="32304327" w14:textId="77777777" w:rsidR="00EC6862" w:rsidRPr="0020202F" w:rsidRDefault="00EC6862" w:rsidP="000A2B79">
            <w:pPr>
              <w:pStyle w:val="TableBodyText"/>
              <w:keepNext/>
              <w:spacing w:before="20" w:after="20"/>
              <w:jc w:val="center"/>
            </w:pPr>
            <w:r w:rsidRPr="0020202F">
              <w:t>$1,050.1</w:t>
            </w:r>
          </w:p>
        </w:tc>
        <w:tc>
          <w:tcPr>
            <w:tcW w:w="1047" w:type="pct"/>
          </w:tcPr>
          <w:p w14:paraId="008CF632" w14:textId="77777777" w:rsidR="00EC6862" w:rsidRPr="0020202F" w:rsidRDefault="00EC6862" w:rsidP="000A2B79">
            <w:pPr>
              <w:pStyle w:val="TableBodyText"/>
              <w:keepNext/>
              <w:spacing w:before="20" w:after="20"/>
              <w:jc w:val="center"/>
            </w:pPr>
            <w:r w:rsidRPr="0020202F">
              <w:t>-11%</w:t>
            </w:r>
          </w:p>
        </w:tc>
        <w:tc>
          <w:tcPr>
            <w:tcW w:w="843" w:type="pct"/>
          </w:tcPr>
          <w:p w14:paraId="3ACD87E3" w14:textId="77777777" w:rsidR="00EC6862" w:rsidRPr="0020202F" w:rsidRDefault="00EC6862" w:rsidP="000A2B79">
            <w:pPr>
              <w:pStyle w:val="TableBodyText"/>
              <w:keepNext/>
              <w:spacing w:before="20" w:after="20"/>
              <w:jc w:val="center"/>
            </w:pPr>
            <w:r w:rsidRPr="0020202F">
              <w:t>$148.7</w:t>
            </w:r>
          </w:p>
        </w:tc>
        <w:tc>
          <w:tcPr>
            <w:tcW w:w="1095" w:type="pct"/>
          </w:tcPr>
          <w:p w14:paraId="79E2D5A2" w14:textId="77777777" w:rsidR="00EC6862" w:rsidRPr="0020202F" w:rsidRDefault="00EC6862" w:rsidP="000A2B79">
            <w:pPr>
              <w:pStyle w:val="TableBodyText"/>
              <w:keepNext/>
              <w:spacing w:before="20" w:after="20"/>
              <w:jc w:val="center"/>
            </w:pPr>
            <w:r w:rsidRPr="0020202F">
              <w:t>-11%</w:t>
            </w:r>
          </w:p>
        </w:tc>
      </w:tr>
      <w:tr w:rsidR="00AF72C3" w:rsidRPr="00AF72C3" w14:paraId="6EA5DAFB" w14:textId="77777777" w:rsidTr="00AF72C3">
        <w:trPr>
          <w:cnfStyle w:val="000000010000" w:firstRow="0" w:lastRow="0" w:firstColumn="0" w:lastColumn="0" w:oddVBand="0" w:evenVBand="0" w:oddHBand="0" w:evenHBand="1" w:firstRowFirstColumn="0" w:firstRowLastColumn="0" w:lastRowFirstColumn="0" w:lastRowLastColumn="0"/>
        </w:trPr>
        <w:tc>
          <w:tcPr>
            <w:tcW w:w="5000" w:type="pct"/>
            <w:gridSpan w:val="5"/>
            <w:shd w:val="clear" w:color="auto" w:fill="65697F" w:themeFill="background2" w:themeFillShade="80"/>
          </w:tcPr>
          <w:p w14:paraId="14F3F90B" w14:textId="77777777" w:rsidR="00AF72C3" w:rsidRPr="00AF72C3" w:rsidRDefault="00AF72C3" w:rsidP="000A2B79">
            <w:pPr>
              <w:pStyle w:val="TableBodyText"/>
              <w:keepNext/>
              <w:spacing w:before="20" w:after="20"/>
              <w:jc w:val="center"/>
              <w:rPr>
                <w:color w:val="FFFFFF" w:themeColor="background1"/>
              </w:rPr>
            </w:pPr>
            <w:r w:rsidRPr="00AF72C3">
              <w:rPr>
                <w:color w:val="FFFFFF" w:themeColor="background1"/>
              </w:rPr>
              <w:t>Scenario 2 - Low impact</w:t>
            </w:r>
          </w:p>
        </w:tc>
      </w:tr>
      <w:tr w:rsidR="00BC68D8" w:rsidRPr="0020202F" w14:paraId="25606D52" w14:textId="77777777" w:rsidTr="00AF72C3">
        <w:tc>
          <w:tcPr>
            <w:tcW w:w="880" w:type="pct"/>
          </w:tcPr>
          <w:p w14:paraId="6BCED407" w14:textId="77777777" w:rsidR="00AF72C3" w:rsidRPr="0020202F" w:rsidRDefault="00AF72C3" w:rsidP="00AF72C3">
            <w:pPr>
              <w:pStyle w:val="TableBodyText"/>
              <w:keepNext/>
              <w:spacing w:before="20" w:after="20"/>
            </w:pPr>
            <w:r w:rsidRPr="0020202F">
              <w:t>Option 2</w:t>
            </w:r>
          </w:p>
        </w:tc>
        <w:tc>
          <w:tcPr>
            <w:tcW w:w="1135" w:type="pct"/>
          </w:tcPr>
          <w:p w14:paraId="78A912B1" w14:textId="77777777" w:rsidR="00AF72C3" w:rsidRPr="0020202F" w:rsidRDefault="00AF72C3" w:rsidP="000A2B79">
            <w:pPr>
              <w:pStyle w:val="TableBodyText"/>
              <w:keepNext/>
              <w:spacing w:before="20" w:after="20"/>
              <w:jc w:val="center"/>
            </w:pPr>
            <w:r w:rsidRPr="0020202F">
              <w:t>$233.4</w:t>
            </w:r>
          </w:p>
        </w:tc>
        <w:tc>
          <w:tcPr>
            <w:tcW w:w="1047" w:type="pct"/>
          </w:tcPr>
          <w:p w14:paraId="093EFDC6" w14:textId="77777777" w:rsidR="00AF72C3" w:rsidRPr="0020202F" w:rsidRDefault="00AF72C3" w:rsidP="000A2B79">
            <w:pPr>
              <w:pStyle w:val="TableBodyText"/>
              <w:keepNext/>
              <w:spacing w:before="20" w:after="20"/>
              <w:jc w:val="center"/>
            </w:pPr>
            <w:r w:rsidRPr="0020202F">
              <w:t>-11%</w:t>
            </w:r>
          </w:p>
        </w:tc>
        <w:tc>
          <w:tcPr>
            <w:tcW w:w="843" w:type="pct"/>
          </w:tcPr>
          <w:p w14:paraId="509A56F1" w14:textId="77777777" w:rsidR="00AF72C3" w:rsidRPr="0020202F" w:rsidRDefault="00AF72C3" w:rsidP="000A2B79">
            <w:pPr>
              <w:pStyle w:val="TableBodyText"/>
              <w:keepNext/>
              <w:spacing w:before="20" w:after="20"/>
              <w:jc w:val="center"/>
            </w:pPr>
            <w:r w:rsidRPr="0020202F">
              <w:t>$54.4</w:t>
            </w:r>
          </w:p>
        </w:tc>
        <w:tc>
          <w:tcPr>
            <w:tcW w:w="1095" w:type="pct"/>
          </w:tcPr>
          <w:p w14:paraId="4C06365D" w14:textId="77777777" w:rsidR="00AF72C3" w:rsidRPr="0020202F" w:rsidRDefault="00AF72C3" w:rsidP="000A2B79">
            <w:pPr>
              <w:pStyle w:val="TableBodyText"/>
              <w:keepNext/>
              <w:spacing w:before="20" w:after="20"/>
              <w:jc w:val="center"/>
            </w:pPr>
            <w:r w:rsidRPr="0020202F">
              <w:t>-11%</w:t>
            </w:r>
          </w:p>
        </w:tc>
      </w:tr>
      <w:tr w:rsidR="00BC68D8" w:rsidRPr="0020202F" w14:paraId="0A0482D1" w14:textId="77777777" w:rsidTr="00AF72C3">
        <w:trPr>
          <w:cnfStyle w:val="000000010000" w:firstRow="0" w:lastRow="0" w:firstColumn="0" w:lastColumn="0" w:oddVBand="0" w:evenVBand="0" w:oddHBand="0" w:evenHBand="1" w:firstRowFirstColumn="0" w:firstRowLastColumn="0" w:lastRowFirstColumn="0" w:lastRowLastColumn="0"/>
        </w:trPr>
        <w:tc>
          <w:tcPr>
            <w:tcW w:w="880" w:type="pct"/>
          </w:tcPr>
          <w:p w14:paraId="7F4EACF7" w14:textId="77777777" w:rsidR="00AF72C3" w:rsidRPr="0020202F" w:rsidRDefault="00C32CBC" w:rsidP="00AF72C3">
            <w:pPr>
              <w:pStyle w:val="TableBodyText"/>
              <w:keepNext/>
              <w:spacing w:before="20" w:after="20"/>
            </w:pPr>
            <w:r>
              <w:t>Option 3A</w:t>
            </w:r>
          </w:p>
        </w:tc>
        <w:tc>
          <w:tcPr>
            <w:tcW w:w="1135" w:type="pct"/>
          </w:tcPr>
          <w:p w14:paraId="084E7931" w14:textId="77777777" w:rsidR="00AF72C3" w:rsidRPr="0020202F" w:rsidRDefault="00AF72C3" w:rsidP="000A2B79">
            <w:pPr>
              <w:pStyle w:val="TableBodyText"/>
              <w:keepNext/>
              <w:spacing w:before="20" w:after="20"/>
              <w:jc w:val="center"/>
            </w:pPr>
            <w:r w:rsidRPr="0020202F">
              <w:t>$214.3</w:t>
            </w:r>
          </w:p>
        </w:tc>
        <w:tc>
          <w:tcPr>
            <w:tcW w:w="1047" w:type="pct"/>
          </w:tcPr>
          <w:p w14:paraId="458C1136" w14:textId="77777777" w:rsidR="00AF72C3" w:rsidRPr="0020202F" w:rsidRDefault="00AF72C3" w:rsidP="000A2B79">
            <w:pPr>
              <w:pStyle w:val="TableBodyText"/>
              <w:keepNext/>
              <w:spacing w:before="20" w:after="20"/>
              <w:jc w:val="center"/>
            </w:pPr>
            <w:r w:rsidRPr="0020202F">
              <w:t>-10%</w:t>
            </w:r>
          </w:p>
        </w:tc>
        <w:tc>
          <w:tcPr>
            <w:tcW w:w="843" w:type="pct"/>
          </w:tcPr>
          <w:p w14:paraId="297D183D" w14:textId="77777777" w:rsidR="00AF72C3" w:rsidRPr="0020202F" w:rsidRDefault="00AF72C3" w:rsidP="000A2B79">
            <w:pPr>
              <w:pStyle w:val="TableBodyText"/>
              <w:keepNext/>
              <w:spacing w:before="20" w:after="20"/>
              <w:jc w:val="center"/>
            </w:pPr>
            <w:r w:rsidRPr="0020202F">
              <w:t>$79.1</w:t>
            </w:r>
          </w:p>
        </w:tc>
        <w:tc>
          <w:tcPr>
            <w:tcW w:w="1095" w:type="pct"/>
          </w:tcPr>
          <w:p w14:paraId="3F17AAE9" w14:textId="77777777" w:rsidR="00AF72C3" w:rsidRPr="0020202F" w:rsidRDefault="00AF72C3" w:rsidP="000A2B79">
            <w:pPr>
              <w:pStyle w:val="TableBodyText"/>
              <w:keepNext/>
              <w:spacing w:before="20" w:after="20"/>
              <w:jc w:val="center"/>
            </w:pPr>
            <w:r w:rsidRPr="0020202F">
              <w:t>-10%</w:t>
            </w:r>
          </w:p>
        </w:tc>
      </w:tr>
      <w:tr w:rsidR="00BC68D8" w:rsidRPr="0020202F" w14:paraId="72FC22C9" w14:textId="77777777" w:rsidTr="00AF72C3">
        <w:tc>
          <w:tcPr>
            <w:tcW w:w="880" w:type="pct"/>
            <w:tcBorders>
              <w:bottom w:val="single" w:sz="4" w:space="0" w:color="auto"/>
            </w:tcBorders>
          </w:tcPr>
          <w:p w14:paraId="6A1B3B0E" w14:textId="77777777" w:rsidR="00AF72C3" w:rsidRPr="0020202F" w:rsidRDefault="00C32CBC" w:rsidP="00AF72C3">
            <w:pPr>
              <w:pStyle w:val="TableBodyText"/>
              <w:keepNext/>
              <w:spacing w:before="20" w:after="20"/>
            </w:pPr>
            <w:r>
              <w:t>Option 3B</w:t>
            </w:r>
          </w:p>
        </w:tc>
        <w:tc>
          <w:tcPr>
            <w:tcW w:w="1135" w:type="pct"/>
            <w:tcBorders>
              <w:bottom w:val="single" w:sz="4" w:space="0" w:color="auto"/>
            </w:tcBorders>
          </w:tcPr>
          <w:p w14:paraId="31B56B98" w14:textId="77777777" w:rsidR="00AF72C3" w:rsidRPr="0020202F" w:rsidRDefault="00AF72C3" w:rsidP="000A2B79">
            <w:pPr>
              <w:pStyle w:val="TableBodyText"/>
              <w:keepNext/>
              <w:spacing w:before="20" w:after="20"/>
              <w:jc w:val="center"/>
            </w:pPr>
            <w:r w:rsidRPr="0020202F">
              <w:t>$211.0</w:t>
            </w:r>
          </w:p>
        </w:tc>
        <w:tc>
          <w:tcPr>
            <w:tcW w:w="1047" w:type="pct"/>
            <w:tcBorders>
              <w:bottom w:val="single" w:sz="4" w:space="0" w:color="auto"/>
            </w:tcBorders>
          </w:tcPr>
          <w:p w14:paraId="17ED6217" w14:textId="77777777" w:rsidR="00AF72C3" w:rsidRPr="0020202F" w:rsidRDefault="00AF72C3" w:rsidP="000A2B79">
            <w:pPr>
              <w:pStyle w:val="TableBodyText"/>
              <w:keepNext/>
              <w:spacing w:before="20" w:after="20"/>
              <w:jc w:val="center"/>
            </w:pPr>
            <w:r w:rsidRPr="0020202F">
              <w:t>-10%</w:t>
            </w:r>
          </w:p>
        </w:tc>
        <w:tc>
          <w:tcPr>
            <w:tcW w:w="843" w:type="pct"/>
            <w:tcBorders>
              <w:bottom w:val="single" w:sz="4" w:space="0" w:color="auto"/>
            </w:tcBorders>
          </w:tcPr>
          <w:p w14:paraId="08D8C4DB" w14:textId="77777777" w:rsidR="00AF72C3" w:rsidRPr="0020202F" w:rsidRDefault="00AF72C3" w:rsidP="000A2B79">
            <w:pPr>
              <w:pStyle w:val="TableBodyText"/>
              <w:keepNext/>
              <w:spacing w:before="20" w:after="20"/>
              <w:jc w:val="center"/>
            </w:pPr>
            <w:r w:rsidRPr="0020202F">
              <w:t>$81.8</w:t>
            </w:r>
          </w:p>
        </w:tc>
        <w:tc>
          <w:tcPr>
            <w:tcW w:w="1095" w:type="pct"/>
            <w:tcBorders>
              <w:bottom w:val="single" w:sz="4" w:space="0" w:color="auto"/>
            </w:tcBorders>
          </w:tcPr>
          <w:p w14:paraId="7F04B762" w14:textId="77777777" w:rsidR="00AF72C3" w:rsidRPr="0020202F" w:rsidRDefault="00AF72C3" w:rsidP="000A2B79">
            <w:pPr>
              <w:pStyle w:val="TableBodyText"/>
              <w:keepNext/>
              <w:spacing w:before="20" w:after="20"/>
              <w:jc w:val="center"/>
            </w:pPr>
            <w:r w:rsidRPr="0020202F">
              <w:t>-10%</w:t>
            </w:r>
          </w:p>
        </w:tc>
      </w:tr>
      <w:tr w:rsidR="00EC6862" w:rsidRPr="0020202F" w14:paraId="43351D34" w14:textId="77777777" w:rsidTr="00CF688C">
        <w:trPr>
          <w:cnfStyle w:val="000000010000" w:firstRow="0" w:lastRow="0" w:firstColumn="0" w:lastColumn="0" w:oddVBand="0" w:evenVBand="0" w:oddHBand="0" w:evenHBand="1" w:firstRowFirstColumn="0" w:firstRowLastColumn="0" w:lastRowFirstColumn="0" w:lastRowLastColumn="0"/>
        </w:trPr>
        <w:tc>
          <w:tcPr>
            <w:tcW w:w="880" w:type="pct"/>
          </w:tcPr>
          <w:p w14:paraId="4DCF6058" w14:textId="77777777" w:rsidR="00EC6862" w:rsidRPr="0020202F" w:rsidRDefault="00EC6862" w:rsidP="00CF688C">
            <w:pPr>
              <w:pStyle w:val="TableBodyText"/>
              <w:keepNext/>
              <w:spacing w:before="20" w:after="20"/>
            </w:pPr>
            <w:r w:rsidRPr="0020202F">
              <w:t>Option 4</w:t>
            </w:r>
          </w:p>
        </w:tc>
        <w:tc>
          <w:tcPr>
            <w:tcW w:w="1135" w:type="pct"/>
          </w:tcPr>
          <w:p w14:paraId="27AFFC64" w14:textId="77777777" w:rsidR="00EC6862" w:rsidRPr="0020202F" w:rsidRDefault="00EC6862" w:rsidP="000A2B79">
            <w:pPr>
              <w:pStyle w:val="TableBodyText"/>
              <w:keepNext/>
              <w:spacing w:before="20" w:after="20"/>
              <w:jc w:val="center"/>
            </w:pPr>
            <w:r w:rsidRPr="0020202F">
              <w:t>$209.0</w:t>
            </w:r>
          </w:p>
        </w:tc>
        <w:tc>
          <w:tcPr>
            <w:tcW w:w="1047" w:type="pct"/>
          </w:tcPr>
          <w:p w14:paraId="25725BCD" w14:textId="77777777" w:rsidR="00EC6862" w:rsidRPr="0020202F" w:rsidRDefault="00EC6862" w:rsidP="000A2B79">
            <w:pPr>
              <w:pStyle w:val="TableBodyText"/>
              <w:keepNext/>
              <w:spacing w:before="20" w:after="20"/>
              <w:jc w:val="center"/>
            </w:pPr>
            <w:r w:rsidRPr="0020202F">
              <w:t>-10%</w:t>
            </w:r>
          </w:p>
        </w:tc>
        <w:tc>
          <w:tcPr>
            <w:tcW w:w="843" w:type="pct"/>
          </w:tcPr>
          <w:p w14:paraId="2F388849" w14:textId="77777777" w:rsidR="00EC6862" w:rsidRPr="0020202F" w:rsidRDefault="00EC6862" w:rsidP="000A2B79">
            <w:pPr>
              <w:pStyle w:val="TableBodyText"/>
              <w:keepNext/>
              <w:spacing w:before="20" w:after="20"/>
              <w:jc w:val="center"/>
            </w:pPr>
            <w:r w:rsidRPr="0020202F">
              <w:t>$83.9</w:t>
            </w:r>
          </w:p>
        </w:tc>
        <w:tc>
          <w:tcPr>
            <w:tcW w:w="1095" w:type="pct"/>
          </w:tcPr>
          <w:p w14:paraId="26D136EE" w14:textId="77777777" w:rsidR="00EC6862" w:rsidRPr="0020202F" w:rsidRDefault="00EC6862" w:rsidP="000A2B79">
            <w:pPr>
              <w:pStyle w:val="TableBodyText"/>
              <w:keepNext/>
              <w:spacing w:before="20" w:after="20"/>
              <w:jc w:val="center"/>
            </w:pPr>
            <w:r w:rsidRPr="0020202F">
              <w:t>-10%</w:t>
            </w:r>
          </w:p>
        </w:tc>
      </w:tr>
      <w:tr w:rsidR="00AF72C3" w:rsidRPr="0020202F" w14:paraId="229E33C5" w14:textId="77777777" w:rsidTr="00AF72C3">
        <w:tc>
          <w:tcPr>
            <w:tcW w:w="5000" w:type="pct"/>
            <w:gridSpan w:val="5"/>
            <w:tcBorders>
              <w:bottom w:val="single" w:sz="4" w:space="0" w:color="auto"/>
            </w:tcBorders>
            <w:shd w:val="clear" w:color="auto" w:fill="000000" w:themeFill="text1"/>
          </w:tcPr>
          <w:p w14:paraId="67AE3E70" w14:textId="77777777" w:rsidR="00AF72C3" w:rsidRPr="00AF72C3" w:rsidRDefault="00AF72C3" w:rsidP="00AF72C3">
            <w:pPr>
              <w:pStyle w:val="TableBodyText"/>
              <w:keepNext/>
              <w:spacing w:before="20" w:after="20"/>
              <w:jc w:val="center"/>
              <w:rPr>
                <w:b/>
                <w:bCs/>
              </w:rPr>
            </w:pPr>
            <w:r w:rsidRPr="00AF72C3">
              <w:rPr>
                <w:b/>
                <w:bCs/>
              </w:rPr>
              <w:t xml:space="preserve">Sensitivity 3: </w:t>
            </w:r>
            <w:r w:rsidR="00F74374">
              <w:rPr>
                <w:b/>
                <w:bCs/>
              </w:rPr>
              <w:t>3</w:t>
            </w:r>
            <w:r w:rsidRPr="00AF72C3">
              <w:rPr>
                <w:b/>
                <w:bCs/>
              </w:rPr>
              <w:t>% discount rate (20-year NPV)</w:t>
            </w:r>
          </w:p>
        </w:tc>
      </w:tr>
      <w:tr w:rsidR="00AF72C3" w:rsidRPr="00AF72C3" w14:paraId="44E91578" w14:textId="77777777" w:rsidTr="00AF72C3">
        <w:trPr>
          <w:cnfStyle w:val="000000010000" w:firstRow="0" w:lastRow="0" w:firstColumn="0" w:lastColumn="0" w:oddVBand="0" w:evenVBand="0" w:oddHBand="0" w:evenHBand="1" w:firstRowFirstColumn="0" w:firstRowLastColumn="0" w:lastRowFirstColumn="0" w:lastRowLastColumn="0"/>
        </w:trPr>
        <w:tc>
          <w:tcPr>
            <w:tcW w:w="5000" w:type="pct"/>
            <w:gridSpan w:val="5"/>
            <w:shd w:val="clear" w:color="auto" w:fill="65697F" w:themeFill="background2" w:themeFillShade="80"/>
          </w:tcPr>
          <w:p w14:paraId="2A34C151" w14:textId="77777777" w:rsidR="00AF72C3" w:rsidRPr="00AF72C3" w:rsidRDefault="00AF72C3" w:rsidP="00AF72C3">
            <w:pPr>
              <w:pStyle w:val="TableBodyText"/>
              <w:keepNext/>
              <w:spacing w:before="20" w:after="20"/>
              <w:jc w:val="center"/>
              <w:rPr>
                <w:b/>
                <w:bCs/>
                <w:color w:val="FFFFFF" w:themeColor="background1"/>
              </w:rPr>
            </w:pPr>
            <w:r w:rsidRPr="00AF72C3">
              <w:rPr>
                <w:b/>
                <w:bCs/>
                <w:color w:val="FFFFFF" w:themeColor="background1"/>
              </w:rPr>
              <w:t>Scenario 1 - High impact</w:t>
            </w:r>
          </w:p>
        </w:tc>
      </w:tr>
      <w:tr w:rsidR="00B662DC" w:rsidRPr="0020202F" w14:paraId="5C11CF00" w14:textId="77777777" w:rsidTr="00004D3B">
        <w:tc>
          <w:tcPr>
            <w:tcW w:w="880" w:type="pct"/>
          </w:tcPr>
          <w:p w14:paraId="3CE97CA7" w14:textId="77777777" w:rsidR="00B662DC" w:rsidRPr="0020202F" w:rsidRDefault="00B662DC" w:rsidP="00B662DC">
            <w:pPr>
              <w:pStyle w:val="TableBodyText"/>
              <w:keepNext/>
              <w:spacing w:before="20" w:after="20"/>
            </w:pPr>
            <w:r w:rsidRPr="0020202F">
              <w:t>Option 2</w:t>
            </w:r>
          </w:p>
        </w:tc>
        <w:tc>
          <w:tcPr>
            <w:tcW w:w="1135" w:type="pct"/>
            <w:vAlign w:val="bottom"/>
          </w:tcPr>
          <w:p w14:paraId="645FE743" w14:textId="77777777" w:rsidR="00B662DC" w:rsidRPr="0020202F" w:rsidRDefault="00B662DC" w:rsidP="00B662DC">
            <w:pPr>
              <w:pStyle w:val="TableBodyText"/>
              <w:keepNext/>
              <w:spacing w:before="20" w:after="20"/>
              <w:jc w:val="center"/>
            </w:pPr>
            <w:r>
              <w:rPr>
                <w:color w:val="000000"/>
              </w:rPr>
              <w:t>$1,564.4</w:t>
            </w:r>
          </w:p>
        </w:tc>
        <w:tc>
          <w:tcPr>
            <w:tcW w:w="1047" w:type="pct"/>
            <w:vAlign w:val="bottom"/>
          </w:tcPr>
          <w:p w14:paraId="4E37D1F3" w14:textId="77777777" w:rsidR="00B662DC" w:rsidRPr="0020202F" w:rsidRDefault="00B662DC" w:rsidP="00B662DC">
            <w:pPr>
              <w:pStyle w:val="TableBodyText"/>
              <w:keepNext/>
              <w:spacing w:before="20" w:after="20"/>
              <w:jc w:val="center"/>
            </w:pPr>
            <w:r>
              <w:rPr>
                <w:color w:val="000000"/>
              </w:rPr>
              <w:t>29%</w:t>
            </w:r>
          </w:p>
        </w:tc>
        <w:tc>
          <w:tcPr>
            <w:tcW w:w="843" w:type="pct"/>
            <w:vAlign w:val="bottom"/>
          </w:tcPr>
          <w:p w14:paraId="4E7E4499" w14:textId="77777777" w:rsidR="00B662DC" w:rsidRPr="0020202F" w:rsidRDefault="00B662DC" w:rsidP="00B662DC">
            <w:pPr>
              <w:pStyle w:val="TableBodyText"/>
              <w:keepNext/>
              <w:spacing w:before="20" w:after="20"/>
              <w:jc w:val="center"/>
            </w:pPr>
            <w:r>
              <w:rPr>
                <w:color w:val="000000"/>
              </w:rPr>
              <w:t>$168.7</w:t>
            </w:r>
          </w:p>
        </w:tc>
        <w:tc>
          <w:tcPr>
            <w:tcW w:w="1095" w:type="pct"/>
            <w:vAlign w:val="bottom"/>
          </w:tcPr>
          <w:p w14:paraId="5D1A7BF2" w14:textId="77777777" w:rsidR="00B662DC" w:rsidRPr="0020202F" w:rsidRDefault="00B662DC" w:rsidP="00B662DC">
            <w:pPr>
              <w:pStyle w:val="TableBodyText"/>
              <w:keepNext/>
              <w:spacing w:before="20" w:after="20"/>
              <w:jc w:val="center"/>
            </w:pPr>
            <w:r>
              <w:rPr>
                <w:color w:val="000000"/>
              </w:rPr>
              <w:t>29%</w:t>
            </w:r>
          </w:p>
        </w:tc>
      </w:tr>
      <w:tr w:rsidR="00B662DC" w:rsidRPr="0020202F" w14:paraId="38A05BBA" w14:textId="77777777" w:rsidTr="00004D3B">
        <w:trPr>
          <w:cnfStyle w:val="000000010000" w:firstRow="0" w:lastRow="0" w:firstColumn="0" w:lastColumn="0" w:oddVBand="0" w:evenVBand="0" w:oddHBand="0" w:evenHBand="1" w:firstRowFirstColumn="0" w:firstRowLastColumn="0" w:lastRowFirstColumn="0" w:lastRowLastColumn="0"/>
        </w:trPr>
        <w:tc>
          <w:tcPr>
            <w:tcW w:w="880" w:type="pct"/>
          </w:tcPr>
          <w:p w14:paraId="323F15E8" w14:textId="77777777" w:rsidR="00B662DC" w:rsidRPr="0020202F" w:rsidRDefault="00B662DC" w:rsidP="00B662DC">
            <w:pPr>
              <w:pStyle w:val="TableBodyText"/>
              <w:keepNext/>
              <w:spacing w:before="20" w:after="20"/>
            </w:pPr>
            <w:r>
              <w:t>Option 3A</w:t>
            </w:r>
          </w:p>
        </w:tc>
        <w:tc>
          <w:tcPr>
            <w:tcW w:w="1135" w:type="pct"/>
            <w:vAlign w:val="bottom"/>
          </w:tcPr>
          <w:p w14:paraId="39383621" w14:textId="77777777" w:rsidR="00B662DC" w:rsidRPr="0020202F" w:rsidRDefault="00B662DC" w:rsidP="00B662DC">
            <w:pPr>
              <w:pStyle w:val="TableBodyText"/>
              <w:keepNext/>
              <w:spacing w:before="20" w:after="20"/>
              <w:jc w:val="center"/>
            </w:pPr>
            <w:r>
              <w:rPr>
                <w:color w:val="000000"/>
              </w:rPr>
              <w:t>$1,521.9</w:t>
            </w:r>
          </w:p>
        </w:tc>
        <w:tc>
          <w:tcPr>
            <w:tcW w:w="1047" w:type="pct"/>
            <w:vAlign w:val="bottom"/>
          </w:tcPr>
          <w:p w14:paraId="3C816974" w14:textId="77777777" w:rsidR="00B662DC" w:rsidRPr="0020202F" w:rsidRDefault="00B662DC" w:rsidP="00B662DC">
            <w:pPr>
              <w:pStyle w:val="TableBodyText"/>
              <w:keepNext/>
              <w:spacing w:before="20" w:after="20"/>
              <w:jc w:val="center"/>
            </w:pPr>
            <w:r>
              <w:rPr>
                <w:color w:val="000000"/>
              </w:rPr>
              <w:t>28%</w:t>
            </w:r>
          </w:p>
        </w:tc>
        <w:tc>
          <w:tcPr>
            <w:tcW w:w="843" w:type="pct"/>
            <w:vAlign w:val="bottom"/>
          </w:tcPr>
          <w:p w14:paraId="4BB75C55" w14:textId="77777777" w:rsidR="00B662DC" w:rsidRPr="0020202F" w:rsidRDefault="00B662DC" w:rsidP="00B662DC">
            <w:pPr>
              <w:pStyle w:val="TableBodyText"/>
              <w:keepNext/>
              <w:spacing w:before="20" w:after="20"/>
              <w:jc w:val="center"/>
            </w:pPr>
            <w:r>
              <w:rPr>
                <w:color w:val="000000"/>
              </w:rPr>
              <w:t>$216.2</w:t>
            </w:r>
          </w:p>
        </w:tc>
        <w:tc>
          <w:tcPr>
            <w:tcW w:w="1095" w:type="pct"/>
            <w:vAlign w:val="bottom"/>
          </w:tcPr>
          <w:p w14:paraId="545E16DF" w14:textId="77777777" w:rsidR="00B662DC" w:rsidRPr="0020202F" w:rsidRDefault="00B662DC" w:rsidP="00B662DC">
            <w:pPr>
              <w:pStyle w:val="TableBodyText"/>
              <w:keepNext/>
              <w:spacing w:before="20" w:after="20"/>
              <w:jc w:val="center"/>
            </w:pPr>
            <w:r>
              <w:rPr>
                <w:color w:val="000000"/>
              </w:rPr>
              <w:t>28%</w:t>
            </w:r>
          </w:p>
        </w:tc>
      </w:tr>
      <w:tr w:rsidR="00B662DC" w:rsidRPr="0020202F" w14:paraId="7F423303" w14:textId="77777777" w:rsidTr="00004D3B">
        <w:tc>
          <w:tcPr>
            <w:tcW w:w="880" w:type="pct"/>
            <w:tcBorders>
              <w:bottom w:val="single" w:sz="4" w:space="0" w:color="auto"/>
            </w:tcBorders>
          </w:tcPr>
          <w:p w14:paraId="7AEBCBED" w14:textId="77777777" w:rsidR="00B662DC" w:rsidRPr="0020202F" w:rsidRDefault="00B662DC" w:rsidP="00B662DC">
            <w:pPr>
              <w:pStyle w:val="TableBodyText"/>
              <w:keepNext/>
              <w:spacing w:before="20" w:after="20"/>
            </w:pPr>
            <w:r>
              <w:t>Option 3B</w:t>
            </w:r>
          </w:p>
        </w:tc>
        <w:tc>
          <w:tcPr>
            <w:tcW w:w="1135" w:type="pct"/>
            <w:tcBorders>
              <w:bottom w:val="single" w:sz="4" w:space="0" w:color="auto"/>
            </w:tcBorders>
            <w:vAlign w:val="bottom"/>
          </w:tcPr>
          <w:p w14:paraId="42FB4FBD" w14:textId="77777777" w:rsidR="00B662DC" w:rsidRPr="0020202F" w:rsidRDefault="00B662DC" w:rsidP="00B662DC">
            <w:pPr>
              <w:pStyle w:val="TableBodyText"/>
              <w:keepNext/>
              <w:spacing w:before="20" w:after="20"/>
              <w:jc w:val="center"/>
            </w:pPr>
            <w:r>
              <w:rPr>
                <w:color w:val="000000"/>
              </w:rPr>
              <w:t>$1,511.2</w:t>
            </w:r>
          </w:p>
        </w:tc>
        <w:tc>
          <w:tcPr>
            <w:tcW w:w="1047" w:type="pct"/>
            <w:tcBorders>
              <w:bottom w:val="single" w:sz="4" w:space="0" w:color="auto"/>
            </w:tcBorders>
            <w:vAlign w:val="bottom"/>
          </w:tcPr>
          <w:p w14:paraId="3E2EDD40" w14:textId="77777777" w:rsidR="00B662DC" w:rsidRPr="0020202F" w:rsidRDefault="00B662DC" w:rsidP="00B662DC">
            <w:pPr>
              <w:pStyle w:val="TableBodyText"/>
              <w:keepNext/>
              <w:spacing w:before="20" w:after="20"/>
              <w:jc w:val="center"/>
            </w:pPr>
            <w:r>
              <w:rPr>
                <w:color w:val="000000"/>
              </w:rPr>
              <w:t>28%</w:t>
            </w:r>
          </w:p>
        </w:tc>
        <w:tc>
          <w:tcPr>
            <w:tcW w:w="843" w:type="pct"/>
            <w:tcBorders>
              <w:bottom w:val="single" w:sz="4" w:space="0" w:color="auto"/>
            </w:tcBorders>
            <w:vAlign w:val="bottom"/>
          </w:tcPr>
          <w:p w14:paraId="26EAC70E" w14:textId="77777777" w:rsidR="00B662DC" w:rsidRPr="0020202F" w:rsidRDefault="00B662DC" w:rsidP="00B662DC">
            <w:pPr>
              <w:pStyle w:val="TableBodyText"/>
              <w:keepNext/>
              <w:spacing w:before="20" w:after="20"/>
              <w:jc w:val="center"/>
            </w:pPr>
            <w:r>
              <w:rPr>
                <w:color w:val="000000"/>
              </w:rPr>
              <w:t>$227.3</w:t>
            </w:r>
          </w:p>
        </w:tc>
        <w:tc>
          <w:tcPr>
            <w:tcW w:w="1095" w:type="pct"/>
            <w:tcBorders>
              <w:bottom w:val="single" w:sz="4" w:space="0" w:color="auto"/>
            </w:tcBorders>
            <w:vAlign w:val="bottom"/>
          </w:tcPr>
          <w:p w14:paraId="17E31FA8" w14:textId="77777777" w:rsidR="00B662DC" w:rsidRPr="0020202F" w:rsidRDefault="00B662DC" w:rsidP="00B662DC">
            <w:pPr>
              <w:pStyle w:val="TableBodyText"/>
              <w:keepNext/>
              <w:spacing w:before="20" w:after="20"/>
              <w:jc w:val="center"/>
            </w:pPr>
            <w:r>
              <w:rPr>
                <w:color w:val="000000"/>
              </w:rPr>
              <w:t>28%</w:t>
            </w:r>
          </w:p>
        </w:tc>
      </w:tr>
      <w:tr w:rsidR="00B662DC" w:rsidRPr="0020202F" w14:paraId="6D145748" w14:textId="77777777" w:rsidTr="00004D3B">
        <w:trPr>
          <w:cnfStyle w:val="000000010000" w:firstRow="0" w:lastRow="0" w:firstColumn="0" w:lastColumn="0" w:oddVBand="0" w:evenVBand="0" w:oddHBand="0" w:evenHBand="1" w:firstRowFirstColumn="0" w:firstRowLastColumn="0" w:lastRowFirstColumn="0" w:lastRowLastColumn="0"/>
        </w:trPr>
        <w:tc>
          <w:tcPr>
            <w:tcW w:w="880" w:type="pct"/>
          </w:tcPr>
          <w:p w14:paraId="29AC0921" w14:textId="77777777" w:rsidR="00B662DC" w:rsidRPr="0020202F" w:rsidRDefault="00B662DC" w:rsidP="00B662DC">
            <w:pPr>
              <w:pStyle w:val="TableBodyText"/>
              <w:keepNext/>
              <w:spacing w:before="20" w:after="20"/>
            </w:pPr>
            <w:r w:rsidRPr="0020202F">
              <w:t>Option 4</w:t>
            </w:r>
          </w:p>
        </w:tc>
        <w:tc>
          <w:tcPr>
            <w:tcW w:w="1135" w:type="pct"/>
            <w:vAlign w:val="bottom"/>
          </w:tcPr>
          <w:p w14:paraId="47E70763" w14:textId="77777777" w:rsidR="00B662DC" w:rsidRPr="0020202F" w:rsidRDefault="00B662DC" w:rsidP="00B662DC">
            <w:pPr>
              <w:pStyle w:val="TableBodyText"/>
              <w:keepNext/>
              <w:spacing w:before="20" w:after="20"/>
              <w:jc w:val="center"/>
            </w:pPr>
            <w:r>
              <w:rPr>
                <w:color w:val="000000"/>
              </w:rPr>
              <w:t>$1,515.1</w:t>
            </w:r>
          </w:p>
        </w:tc>
        <w:tc>
          <w:tcPr>
            <w:tcW w:w="1047" w:type="pct"/>
            <w:vAlign w:val="bottom"/>
          </w:tcPr>
          <w:p w14:paraId="051336FD" w14:textId="77777777" w:rsidR="00B662DC" w:rsidRPr="0020202F" w:rsidRDefault="00B662DC" w:rsidP="00B662DC">
            <w:pPr>
              <w:pStyle w:val="TableBodyText"/>
              <w:keepNext/>
              <w:spacing w:before="20" w:after="20"/>
              <w:jc w:val="center"/>
            </w:pPr>
            <w:r>
              <w:rPr>
                <w:color w:val="000000"/>
              </w:rPr>
              <w:t>28%</w:t>
            </w:r>
          </w:p>
        </w:tc>
        <w:tc>
          <w:tcPr>
            <w:tcW w:w="843" w:type="pct"/>
            <w:vAlign w:val="bottom"/>
          </w:tcPr>
          <w:p w14:paraId="4D31291A" w14:textId="77777777" w:rsidR="00B662DC" w:rsidRPr="0020202F" w:rsidRDefault="00B662DC" w:rsidP="00B662DC">
            <w:pPr>
              <w:pStyle w:val="TableBodyText"/>
              <w:keepNext/>
              <w:spacing w:before="20" w:after="20"/>
              <w:jc w:val="center"/>
            </w:pPr>
            <w:r>
              <w:rPr>
                <w:color w:val="000000"/>
              </w:rPr>
              <w:t>$222.8</w:t>
            </w:r>
          </w:p>
        </w:tc>
        <w:tc>
          <w:tcPr>
            <w:tcW w:w="1095" w:type="pct"/>
            <w:vAlign w:val="bottom"/>
          </w:tcPr>
          <w:p w14:paraId="7202B631" w14:textId="77777777" w:rsidR="00B662DC" w:rsidRPr="0020202F" w:rsidRDefault="00B662DC" w:rsidP="00B662DC">
            <w:pPr>
              <w:pStyle w:val="TableBodyText"/>
              <w:keepNext/>
              <w:spacing w:before="20" w:after="20"/>
              <w:jc w:val="center"/>
            </w:pPr>
            <w:r>
              <w:rPr>
                <w:color w:val="000000"/>
              </w:rPr>
              <w:t>28%</w:t>
            </w:r>
          </w:p>
        </w:tc>
      </w:tr>
      <w:tr w:rsidR="00AF72C3" w:rsidRPr="00AF72C3" w14:paraId="09003970" w14:textId="77777777" w:rsidTr="00AF72C3">
        <w:tc>
          <w:tcPr>
            <w:tcW w:w="5000" w:type="pct"/>
            <w:gridSpan w:val="5"/>
            <w:shd w:val="clear" w:color="auto" w:fill="65697F" w:themeFill="background2" w:themeFillShade="80"/>
          </w:tcPr>
          <w:p w14:paraId="40654B22" w14:textId="77777777" w:rsidR="00AF72C3" w:rsidRPr="00AF72C3" w:rsidRDefault="00AF72C3" w:rsidP="000A2B79">
            <w:pPr>
              <w:pStyle w:val="TableBodyText"/>
              <w:keepNext/>
              <w:spacing w:before="20" w:after="20"/>
              <w:jc w:val="center"/>
              <w:rPr>
                <w:b/>
                <w:bCs/>
                <w:color w:val="FFFFFF" w:themeColor="background1"/>
              </w:rPr>
            </w:pPr>
            <w:r w:rsidRPr="00AF72C3">
              <w:rPr>
                <w:b/>
                <w:bCs/>
                <w:color w:val="FFFFFF" w:themeColor="background1"/>
              </w:rPr>
              <w:t>Scenario 2 - Low impact</w:t>
            </w:r>
          </w:p>
        </w:tc>
      </w:tr>
      <w:tr w:rsidR="00B662DC" w:rsidRPr="0020202F" w14:paraId="323216E5" w14:textId="77777777" w:rsidTr="00004D3B">
        <w:trPr>
          <w:cnfStyle w:val="000000010000" w:firstRow="0" w:lastRow="0" w:firstColumn="0" w:lastColumn="0" w:oddVBand="0" w:evenVBand="0" w:oddHBand="0" w:evenHBand="1" w:firstRowFirstColumn="0" w:firstRowLastColumn="0" w:lastRowFirstColumn="0" w:lastRowLastColumn="0"/>
        </w:trPr>
        <w:tc>
          <w:tcPr>
            <w:tcW w:w="880" w:type="pct"/>
          </w:tcPr>
          <w:p w14:paraId="68A8283F" w14:textId="77777777" w:rsidR="00B662DC" w:rsidRPr="0020202F" w:rsidRDefault="00B662DC" w:rsidP="00B662DC">
            <w:pPr>
              <w:pStyle w:val="TableBodyText"/>
              <w:keepNext/>
              <w:spacing w:before="20" w:after="20"/>
            </w:pPr>
            <w:r w:rsidRPr="0020202F">
              <w:t>Option 2</w:t>
            </w:r>
          </w:p>
        </w:tc>
        <w:tc>
          <w:tcPr>
            <w:tcW w:w="1135" w:type="pct"/>
            <w:vAlign w:val="bottom"/>
          </w:tcPr>
          <w:p w14:paraId="161CD953" w14:textId="77777777" w:rsidR="00B662DC" w:rsidRPr="0020202F" w:rsidRDefault="00B662DC" w:rsidP="00B662DC">
            <w:pPr>
              <w:pStyle w:val="TableBodyText"/>
              <w:keepNext/>
              <w:spacing w:before="20" w:after="20"/>
              <w:jc w:val="center"/>
            </w:pPr>
            <w:r>
              <w:rPr>
                <w:color w:val="000000"/>
              </w:rPr>
              <w:t>$338.9</w:t>
            </w:r>
          </w:p>
        </w:tc>
        <w:tc>
          <w:tcPr>
            <w:tcW w:w="1047" w:type="pct"/>
            <w:vAlign w:val="bottom"/>
          </w:tcPr>
          <w:p w14:paraId="6BC9EFDC" w14:textId="77777777" w:rsidR="00B662DC" w:rsidRPr="0020202F" w:rsidRDefault="00B662DC" w:rsidP="00B662DC">
            <w:pPr>
              <w:pStyle w:val="TableBodyText"/>
              <w:keepNext/>
              <w:spacing w:before="20" w:after="20"/>
              <w:jc w:val="center"/>
            </w:pPr>
            <w:r>
              <w:rPr>
                <w:color w:val="000000"/>
              </w:rPr>
              <w:t>29%</w:t>
            </w:r>
          </w:p>
        </w:tc>
        <w:tc>
          <w:tcPr>
            <w:tcW w:w="843" w:type="pct"/>
            <w:vAlign w:val="bottom"/>
          </w:tcPr>
          <w:p w14:paraId="3D03B94B" w14:textId="77777777" w:rsidR="00B662DC" w:rsidRPr="0020202F" w:rsidRDefault="00B662DC" w:rsidP="00B662DC">
            <w:pPr>
              <w:pStyle w:val="TableBodyText"/>
              <w:keepNext/>
              <w:spacing w:before="20" w:after="20"/>
              <w:jc w:val="center"/>
            </w:pPr>
            <w:r>
              <w:rPr>
                <w:color w:val="000000"/>
              </w:rPr>
              <w:t>$80.8</w:t>
            </w:r>
          </w:p>
        </w:tc>
        <w:tc>
          <w:tcPr>
            <w:tcW w:w="1095" w:type="pct"/>
            <w:vAlign w:val="bottom"/>
          </w:tcPr>
          <w:p w14:paraId="52E83B27" w14:textId="77777777" w:rsidR="00B662DC" w:rsidRPr="0020202F" w:rsidRDefault="00B662DC" w:rsidP="00B662DC">
            <w:pPr>
              <w:pStyle w:val="TableBodyText"/>
              <w:keepNext/>
              <w:spacing w:before="20" w:after="20"/>
              <w:jc w:val="center"/>
            </w:pPr>
            <w:r>
              <w:rPr>
                <w:color w:val="000000"/>
              </w:rPr>
              <w:t>29%</w:t>
            </w:r>
          </w:p>
        </w:tc>
      </w:tr>
      <w:tr w:rsidR="00B662DC" w:rsidRPr="0020202F" w14:paraId="23A28C97" w14:textId="77777777" w:rsidTr="00004D3B">
        <w:tc>
          <w:tcPr>
            <w:tcW w:w="880" w:type="pct"/>
          </w:tcPr>
          <w:p w14:paraId="46A50CDB" w14:textId="77777777" w:rsidR="00B662DC" w:rsidRPr="0020202F" w:rsidRDefault="00B662DC" w:rsidP="00B662DC">
            <w:pPr>
              <w:pStyle w:val="TableBodyText"/>
              <w:keepNext/>
              <w:spacing w:before="20" w:after="20"/>
            </w:pPr>
            <w:r>
              <w:t>Option 3A</w:t>
            </w:r>
          </w:p>
        </w:tc>
        <w:tc>
          <w:tcPr>
            <w:tcW w:w="1135" w:type="pct"/>
            <w:vAlign w:val="bottom"/>
          </w:tcPr>
          <w:p w14:paraId="44EB1A34" w14:textId="77777777" w:rsidR="00B662DC" w:rsidRPr="0020202F" w:rsidRDefault="00B662DC" w:rsidP="00B662DC">
            <w:pPr>
              <w:pStyle w:val="TableBodyText"/>
              <w:keepNext/>
              <w:spacing w:before="20" w:after="20"/>
              <w:jc w:val="center"/>
            </w:pPr>
            <w:r>
              <w:rPr>
                <w:color w:val="000000"/>
              </w:rPr>
              <w:t>$303.9</w:t>
            </w:r>
          </w:p>
        </w:tc>
        <w:tc>
          <w:tcPr>
            <w:tcW w:w="1047" w:type="pct"/>
            <w:vAlign w:val="bottom"/>
          </w:tcPr>
          <w:p w14:paraId="0A592545" w14:textId="77777777" w:rsidR="00B662DC" w:rsidRPr="0020202F" w:rsidRDefault="00B662DC" w:rsidP="00B662DC">
            <w:pPr>
              <w:pStyle w:val="TableBodyText"/>
              <w:keepNext/>
              <w:spacing w:before="20" w:after="20"/>
              <w:jc w:val="center"/>
            </w:pPr>
            <w:r>
              <w:rPr>
                <w:color w:val="000000"/>
              </w:rPr>
              <w:t>28%</w:t>
            </w:r>
          </w:p>
        </w:tc>
        <w:tc>
          <w:tcPr>
            <w:tcW w:w="843" w:type="pct"/>
            <w:vAlign w:val="bottom"/>
          </w:tcPr>
          <w:p w14:paraId="18F77C85" w14:textId="77777777" w:rsidR="00B662DC" w:rsidRPr="0020202F" w:rsidRDefault="00B662DC" w:rsidP="00B662DC">
            <w:pPr>
              <w:pStyle w:val="TableBodyText"/>
              <w:keepNext/>
              <w:spacing w:before="20" w:after="20"/>
              <w:jc w:val="center"/>
            </w:pPr>
            <w:r>
              <w:rPr>
                <w:color w:val="000000"/>
              </w:rPr>
              <w:t>$120.1</w:t>
            </w:r>
          </w:p>
        </w:tc>
        <w:tc>
          <w:tcPr>
            <w:tcW w:w="1095" w:type="pct"/>
            <w:vAlign w:val="bottom"/>
          </w:tcPr>
          <w:p w14:paraId="6970B37C" w14:textId="77777777" w:rsidR="00B662DC" w:rsidRPr="0020202F" w:rsidRDefault="00B662DC" w:rsidP="00B662DC">
            <w:pPr>
              <w:pStyle w:val="TableBodyText"/>
              <w:keepNext/>
              <w:spacing w:before="20" w:after="20"/>
              <w:jc w:val="center"/>
            </w:pPr>
            <w:r>
              <w:rPr>
                <w:color w:val="000000"/>
              </w:rPr>
              <w:t>28%</w:t>
            </w:r>
          </w:p>
        </w:tc>
      </w:tr>
      <w:tr w:rsidR="00B662DC" w:rsidRPr="0020202F" w14:paraId="76F76A36" w14:textId="77777777" w:rsidTr="00004D3B">
        <w:trPr>
          <w:cnfStyle w:val="000000010000" w:firstRow="0" w:lastRow="0" w:firstColumn="0" w:lastColumn="0" w:oddVBand="0" w:evenVBand="0" w:oddHBand="0" w:evenHBand="1" w:firstRowFirstColumn="0" w:firstRowLastColumn="0" w:lastRowFirstColumn="0" w:lastRowLastColumn="0"/>
        </w:trPr>
        <w:tc>
          <w:tcPr>
            <w:tcW w:w="880" w:type="pct"/>
            <w:tcBorders>
              <w:bottom w:val="single" w:sz="4" w:space="0" w:color="auto"/>
            </w:tcBorders>
          </w:tcPr>
          <w:p w14:paraId="2DF84FF4" w14:textId="77777777" w:rsidR="00B662DC" w:rsidRPr="0020202F" w:rsidRDefault="00B662DC" w:rsidP="00B662DC">
            <w:pPr>
              <w:pStyle w:val="TableBodyText"/>
              <w:keepNext/>
              <w:spacing w:before="20" w:after="20"/>
            </w:pPr>
            <w:r>
              <w:t>Option 3B</w:t>
            </w:r>
          </w:p>
        </w:tc>
        <w:tc>
          <w:tcPr>
            <w:tcW w:w="1135" w:type="pct"/>
            <w:tcBorders>
              <w:bottom w:val="single" w:sz="4" w:space="0" w:color="auto"/>
            </w:tcBorders>
            <w:vAlign w:val="bottom"/>
          </w:tcPr>
          <w:p w14:paraId="2A2007FA" w14:textId="77777777" w:rsidR="00B662DC" w:rsidRPr="0020202F" w:rsidRDefault="00B662DC" w:rsidP="00B662DC">
            <w:pPr>
              <w:pStyle w:val="TableBodyText"/>
              <w:keepNext/>
              <w:spacing w:before="20" w:after="20"/>
              <w:jc w:val="center"/>
            </w:pPr>
            <w:r>
              <w:rPr>
                <w:color w:val="000000"/>
              </w:rPr>
              <w:t>$295.8</w:t>
            </w:r>
          </w:p>
        </w:tc>
        <w:tc>
          <w:tcPr>
            <w:tcW w:w="1047" w:type="pct"/>
            <w:tcBorders>
              <w:bottom w:val="single" w:sz="4" w:space="0" w:color="auto"/>
            </w:tcBorders>
            <w:vAlign w:val="bottom"/>
          </w:tcPr>
          <w:p w14:paraId="29DECE79" w14:textId="77777777" w:rsidR="00B662DC" w:rsidRPr="0020202F" w:rsidRDefault="00B662DC" w:rsidP="00B662DC">
            <w:pPr>
              <w:pStyle w:val="TableBodyText"/>
              <w:keepNext/>
              <w:spacing w:before="20" w:after="20"/>
              <w:jc w:val="center"/>
            </w:pPr>
            <w:r>
              <w:rPr>
                <w:color w:val="000000"/>
              </w:rPr>
              <w:t>27%</w:t>
            </w:r>
          </w:p>
        </w:tc>
        <w:tc>
          <w:tcPr>
            <w:tcW w:w="843" w:type="pct"/>
            <w:tcBorders>
              <w:bottom w:val="single" w:sz="4" w:space="0" w:color="auto"/>
            </w:tcBorders>
            <w:vAlign w:val="bottom"/>
          </w:tcPr>
          <w:p w14:paraId="63A3CAD3" w14:textId="77777777" w:rsidR="00B662DC" w:rsidRPr="0020202F" w:rsidRDefault="00B662DC" w:rsidP="00B662DC">
            <w:pPr>
              <w:pStyle w:val="TableBodyText"/>
              <w:keepNext/>
              <w:spacing w:before="20" w:after="20"/>
              <w:jc w:val="center"/>
            </w:pPr>
            <w:r>
              <w:rPr>
                <w:color w:val="000000"/>
              </w:rPr>
              <w:t>$128.6</w:t>
            </w:r>
          </w:p>
        </w:tc>
        <w:tc>
          <w:tcPr>
            <w:tcW w:w="1095" w:type="pct"/>
            <w:tcBorders>
              <w:bottom w:val="single" w:sz="4" w:space="0" w:color="auto"/>
            </w:tcBorders>
            <w:vAlign w:val="bottom"/>
          </w:tcPr>
          <w:p w14:paraId="1DA8FCD0" w14:textId="77777777" w:rsidR="00B662DC" w:rsidRPr="0020202F" w:rsidRDefault="00B662DC" w:rsidP="00B662DC">
            <w:pPr>
              <w:pStyle w:val="TableBodyText"/>
              <w:keepNext/>
              <w:spacing w:before="20" w:after="20"/>
              <w:jc w:val="center"/>
            </w:pPr>
            <w:r>
              <w:rPr>
                <w:color w:val="000000"/>
              </w:rPr>
              <w:t>27%</w:t>
            </w:r>
          </w:p>
        </w:tc>
      </w:tr>
      <w:tr w:rsidR="00B662DC" w:rsidRPr="0020202F" w14:paraId="21E33D5C" w14:textId="77777777" w:rsidTr="00004D3B">
        <w:tc>
          <w:tcPr>
            <w:tcW w:w="880" w:type="pct"/>
          </w:tcPr>
          <w:p w14:paraId="0CB291BB" w14:textId="77777777" w:rsidR="00B662DC" w:rsidRPr="0020202F" w:rsidRDefault="00B662DC" w:rsidP="00B662DC">
            <w:pPr>
              <w:pStyle w:val="TableBodyText"/>
              <w:keepNext/>
              <w:spacing w:before="20" w:after="20"/>
            </w:pPr>
            <w:r w:rsidRPr="0020202F">
              <w:t>Option 4</w:t>
            </w:r>
          </w:p>
        </w:tc>
        <w:tc>
          <w:tcPr>
            <w:tcW w:w="1135" w:type="pct"/>
            <w:vAlign w:val="bottom"/>
          </w:tcPr>
          <w:p w14:paraId="398D6D01" w14:textId="77777777" w:rsidR="00B662DC" w:rsidRPr="0020202F" w:rsidRDefault="00B662DC" w:rsidP="00B662DC">
            <w:pPr>
              <w:pStyle w:val="TableBodyText"/>
              <w:keepNext/>
              <w:spacing w:before="20" w:after="20"/>
              <w:jc w:val="center"/>
            </w:pPr>
            <w:r>
              <w:rPr>
                <w:color w:val="000000"/>
              </w:rPr>
              <w:t>$299.4</w:t>
            </w:r>
          </w:p>
        </w:tc>
        <w:tc>
          <w:tcPr>
            <w:tcW w:w="1047" w:type="pct"/>
            <w:vAlign w:val="bottom"/>
          </w:tcPr>
          <w:p w14:paraId="019B9071" w14:textId="77777777" w:rsidR="00B662DC" w:rsidRPr="0020202F" w:rsidRDefault="00B662DC" w:rsidP="00B662DC">
            <w:pPr>
              <w:pStyle w:val="TableBodyText"/>
              <w:keepNext/>
              <w:spacing w:before="20" w:after="20"/>
              <w:jc w:val="center"/>
            </w:pPr>
            <w:r>
              <w:rPr>
                <w:color w:val="000000"/>
              </w:rPr>
              <w:t>28%</w:t>
            </w:r>
          </w:p>
        </w:tc>
        <w:tc>
          <w:tcPr>
            <w:tcW w:w="843" w:type="pct"/>
            <w:vAlign w:val="bottom"/>
          </w:tcPr>
          <w:p w14:paraId="4800E0B2" w14:textId="77777777" w:rsidR="00B662DC" w:rsidRPr="0020202F" w:rsidRDefault="00B662DC" w:rsidP="00B662DC">
            <w:pPr>
              <w:pStyle w:val="TableBodyText"/>
              <w:keepNext/>
              <w:spacing w:before="20" w:after="20"/>
              <w:jc w:val="center"/>
            </w:pPr>
            <w:r>
              <w:rPr>
                <w:color w:val="000000"/>
              </w:rPr>
              <w:t>$124.4</w:t>
            </w:r>
          </w:p>
        </w:tc>
        <w:tc>
          <w:tcPr>
            <w:tcW w:w="1095" w:type="pct"/>
            <w:vAlign w:val="bottom"/>
          </w:tcPr>
          <w:p w14:paraId="64B8D57E" w14:textId="77777777" w:rsidR="00B662DC" w:rsidRPr="0020202F" w:rsidRDefault="00B662DC" w:rsidP="00B662DC">
            <w:pPr>
              <w:pStyle w:val="TableBodyText"/>
              <w:keepNext/>
              <w:spacing w:before="20" w:after="20"/>
              <w:jc w:val="center"/>
            </w:pPr>
            <w:r>
              <w:rPr>
                <w:color w:val="000000"/>
              </w:rPr>
              <w:t>28%</w:t>
            </w:r>
          </w:p>
        </w:tc>
      </w:tr>
      <w:tr w:rsidR="00AF72C3" w:rsidRPr="00AF72C3" w14:paraId="459BAF5D" w14:textId="77777777" w:rsidTr="00AF72C3">
        <w:trPr>
          <w:cnfStyle w:val="000000010000" w:firstRow="0" w:lastRow="0" w:firstColumn="0" w:lastColumn="0" w:oddVBand="0" w:evenVBand="0" w:oddHBand="0" w:evenHBand="1" w:firstRowFirstColumn="0" w:firstRowLastColumn="0" w:lastRowFirstColumn="0" w:lastRowLastColumn="0"/>
        </w:trPr>
        <w:tc>
          <w:tcPr>
            <w:tcW w:w="5000" w:type="pct"/>
            <w:gridSpan w:val="5"/>
            <w:tcBorders>
              <w:bottom w:val="single" w:sz="4" w:space="0" w:color="auto"/>
            </w:tcBorders>
            <w:shd w:val="clear" w:color="auto" w:fill="000000" w:themeFill="text1"/>
          </w:tcPr>
          <w:p w14:paraId="25B5AC32" w14:textId="77777777" w:rsidR="00AF72C3" w:rsidRPr="00AF72C3" w:rsidRDefault="00AF72C3" w:rsidP="00AF72C3">
            <w:pPr>
              <w:pStyle w:val="TableBodyText"/>
              <w:keepNext/>
              <w:spacing w:before="20" w:after="20"/>
              <w:jc w:val="center"/>
              <w:rPr>
                <w:b/>
                <w:bCs/>
              </w:rPr>
            </w:pPr>
            <w:r w:rsidRPr="00AF72C3">
              <w:rPr>
                <w:b/>
                <w:bCs/>
              </w:rPr>
              <w:t>Sensitivity 4: 10% discount rate (20-year NPV)</w:t>
            </w:r>
          </w:p>
        </w:tc>
      </w:tr>
      <w:tr w:rsidR="00AF72C3" w:rsidRPr="00AF72C3" w14:paraId="15F17A21" w14:textId="77777777" w:rsidTr="00AF72C3">
        <w:tc>
          <w:tcPr>
            <w:tcW w:w="5000" w:type="pct"/>
            <w:gridSpan w:val="5"/>
            <w:shd w:val="clear" w:color="auto" w:fill="65697F" w:themeFill="background2" w:themeFillShade="80"/>
          </w:tcPr>
          <w:p w14:paraId="00A35B48" w14:textId="77777777" w:rsidR="00AF72C3" w:rsidRPr="00AF72C3" w:rsidRDefault="00AF72C3" w:rsidP="00AF72C3">
            <w:pPr>
              <w:pStyle w:val="TableBodyText"/>
              <w:keepNext/>
              <w:spacing w:before="20" w:after="20"/>
              <w:jc w:val="center"/>
              <w:rPr>
                <w:b/>
                <w:bCs/>
                <w:color w:val="FFFFFF" w:themeColor="background1"/>
              </w:rPr>
            </w:pPr>
            <w:r w:rsidRPr="00AF72C3">
              <w:rPr>
                <w:b/>
                <w:bCs/>
                <w:color w:val="FFFFFF" w:themeColor="background1"/>
              </w:rPr>
              <w:t>Scenario 1 - High impact</w:t>
            </w:r>
          </w:p>
        </w:tc>
      </w:tr>
      <w:tr w:rsidR="00EC6862" w:rsidRPr="0020202F" w14:paraId="34E94928" w14:textId="77777777" w:rsidTr="00AF72C3">
        <w:trPr>
          <w:cnfStyle w:val="000000010000" w:firstRow="0" w:lastRow="0" w:firstColumn="0" w:lastColumn="0" w:oddVBand="0" w:evenVBand="0" w:oddHBand="0" w:evenHBand="1" w:firstRowFirstColumn="0" w:firstRowLastColumn="0" w:lastRowFirstColumn="0" w:lastRowLastColumn="0"/>
        </w:trPr>
        <w:tc>
          <w:tcPr>
            <w:tcW w:w="880" w:type="pct"/>
          </w:tcPr>
          <w:p w14:paraId="6BE6F477" w14:textId="77777777" w:rsidR="00AF72C3" w:rsidRPr="0020202F" w:rsidRDefault="00AF72C3" w:rsidP="00AF72C3">
            <w:pPr>
              <w:pStyle w:val="TableBodyText"/>
              <w:keepNext/>
              <w:spacing w:before="20" w:after="20"/>
            </w:pPr>
            <w:r w:rsidRPr="0020202F">
              <w:t>Option 2</w:t>
            </w:r>
          </w:p>
        </w:tc>
        <w:tc>
          <w:tcPr>
            <w:tcW w:w="1135" w:type="pct"/>
          </w:tcPr>
          <w:p w14:paraId="163D7294" w14:textId="77777777" w:rsidR="00AF72C3" w:rsidRPr="0020202F" w:rsidRDefault="00AF72C3" w:rsidP="000A2B79">
            <w:pPr>
              <w:pStyle w:val="TableBodyText"/>
              <w:keepNext/>
              <w:spacing w:before="20" w:after="20"/>
              <w:jc w:val="center"/>
            </w:pPr>
            <w:r w:rsidRPr="0020202F">
              <w:t>$1,041.0</w:t>
            </w:r>
          </w:p>
        </w:tc>
        <w:tc>
          <w:tcPr>
            <w:tcW w:w="1047" w:type="pct"/>
          </w:tcPr>
          <w:p w14:paraId="4E6164DE" w14:textId="77777777" w:rsidR="00AF72C3" w:rsidRPr="0020202F" w:rsidRDefault="00AF72C3" w:rsidP="000A2B79">
            <w:pPr>
              <w:pStyle w:val="TableBodyText"/>
              <w:keepNext/>
              <w:spacing w:before="20" w:after="20"/>
              <w:jc w:val="center"/>
            </w:pPr>
            <w:r w:rsidRPr="0020202F">
              <w:t>-14%</w:t>
            </w:r>
          </w:p>
        </w:tc>
        <w:tc>
          <w:tcPr>
            <w:tcW w:w="843" w:type="pct"/>
          </w:tcPr>
          <w:p w14:paraId="09676EF8" w14:textId="77777777" w:rsidR="00AF72C3" w:rsidRPr="0020202F" w:rsidRDefault="00AF72C3" w:rsidP="000A2B79">
            <w:pPr>
              <w:pStyle w:val="TableBodyText"/>
              <w:keepNext/>
              <w:spacing w:before="20" w:after="20"/>
              <w:jc w:val="center"/>
            </w:pPr>
            <w:r w:rsidRPr="0020202F">
              <w:t>$108.6</w:t>
            </w:r>
          </w:p>
        </w:tc>
        <w:tc>
          <w:tcPr>
            <w:tcW w:w="1095" w:type="pct"/>
          </w:tcPr>
          <w:p w14:paraId="6018DD29" w14:textId="77777777" w:rsidR="00AF72C3" w:rsidRPr="0020202F" w:rsidRDefault="00AF72C3" w:rsidP="000A2B79">
            <w:pPr>
              <w:pStyle w:val="TableBodyText"/>
              <w:keepNext/>
              <w:spacing w:before="20" w:after="20"/>
              <w:jc w:val="center"/>
            </w:pPr>
            <w:r w:rsidRPr="0020202F">
              <w:t>-14%</w:t>
            </w:r>
          </w:p>
        </w:tc>
      </w:tr>
      <w:tr w:rsidR="00EC6862" w:rsidRPr="0020202F" w14:paraId="0660766F" w14:textId="77777777" w:rsidTr="00AF72C3">
        <w:tc>
          <w:tcPr>
            <w:tcW w:w="880" w:type="pct"/>
          </w:tcPr>
          <w:p w14:paraId="74A86682" w14:textId="77777777" w:rsidR="00AF72C3" w:rsidRPr="0020202F" w:rsidRDefault="00C32CBC" w:rsidP="00AF72C3">
            <w:pPr>
              <w:pStyle w:val="TableBodyText"/>
              <w:keepNext/>
              <w:spacing w:before="20" w:after="20"/>
            </w:pPr>
            <w:r>
              <w:t>Option 3A</w:t>
            </w:r>
          </w:p>
        </w:tc>
        <w:tc>
          <w:tcPr>
            <w:tcW w:w="1135" w:type="pct"/>
          </w:tcPr>
          <w:p w14:paraId="7B718767" w14:textId="77777777" w:rsidR="00AF72C3" w:rsidRPr="0020202F" w:rsidRDefault="00AF72C3" w:rsidP="000A2B79">
            <w:pPr>
              <w:pStyle w:val="TableBodyText"/>
              <w:keepNext/>
              <w:spacing w:before="20" w:after="20"/>
              <w:jc w:val="center"/>
            </w:pPr>
            <w:r w:rsidRPr="0020202F">
              <w:t>$1,015.8</w:t>
            </w:r>
          </w:p>
        </w:tc>
        <w:tc>
          <w:tcPr>
            <w:tcW w:w="1047" w:type="pct"/>
          </w:tcPr>
          <w:p w14:paraId="4D647620" w14:textId="77777777" w:rsidR="00AF72C3" w:rsidRPr="0020202F" w:rsidRDefault="00AF72C3" w:rsidP="000A2B79">
            <w:pPr>
              <w:pStyle w:val="TableBodyText"/>
              <w:keepNext/>
              <w:spacing w:before="20" w:after="20"/>
              <w:jc w:val="center"/>
            </w:pPr>
            <w:r w:rsidRPr="0020202F">
              <w:t>-14%</w:t>
            </w:r>
          </w:p>
        </w:tc>
        <w:tc>
          <w:tcPr>
            <w:tcW w:w="843" w:type="pct"/>
          </w:tcPr>
          <w:p w14:paraId="22147F45" w14:textId="77777777" w:rsidR="00AF72C3" w:rsidRPr="0020202F" w:rsidRDefault="00AF72C3" w:rsidP="000A2B79">
            <w:pPr>
              <w:pStyle w:val="TableBodyText"/>
              <w:keepNext/>
              <w:spacing w:before="20" w:after="20"/>
              <w:jc w:val="center"/>
            </w:pPr>
            <w:r w:rsidRPr="0020202F">
              <w:t>$137.2</w:t>
            </w:r>
          </w:p>
        </w:tc>
        <w:tc>
          <w:tcPr>
            <w:tcW w:w="1095" w:type="pct"/>
          </w:tcPr>
          <w:p w14:paraId="07634526" w14:textId="77777777" w:rsidR="00AF72C3" w:rsidRPr="0020202F" w:rsidRDefault="00AF72C3" w:rsidP="000A2B79">
            <w:pPr>
              <w:pStyle w:val="TableBodyText"/>
              <w:keepNext/>
              <w:spacing w:before="20" w:after="20"/>
              <w:jc w:val="center"/>
            </w:pPr>
            <w:r w:rsidRPr="0020202F">
              <w:t>-14%</w:t>
            </w:r>
          </w:p>
        </w:tc>
      </w:tr>
      <w:tr w:rsidR="00EC6862" w:rsidRPr="0020202F" w14:paraId="74EA9595" w14:textId="77777777" w:rsidTr="00AF72C3">
        <w:trPr>
          <w:cnfStyle w:val="000000010000" w:firstRow="0" w:lastRow="0" w:firstColumn="0" w:lastColumn="0" w:oddVBand="0" w:evenVBand="0" w:oddHBand="0" w:evenHBand="1" w:firstRowFirstColumn="0" w:firstRowLastColumn="0" w:lastRowFirstColumn="0" w:lastRowLastColumn="0"/>
        </w:trPr>
        <w:tc>
          <w:tcPr>
            <w:tcW w:w="880" w:type="pct"/>
            <w:tcBorders>
              <w:bottom w:val="single" w:sz="4" w:space="0" w:color="auto"/>
            </w:tcBorders>
          </w:tcPr>
          <w:p w14:paraId="3DAC3992" w14:textId="77777777" w:rsidR="00AF72C3" w:rsidRPr="0020202F" w:rsidRDefault="00C32CBC" w:rsidP="00AF72C3">
            <w:pPr>
              <w:pStyle w:val="TableBodyText"/>
              <w:keepNext/>
              <w:spacing w:before="20" w:after="20"/>
            </w:pPr>
            <w:r>
              <w:t>Option 3B</w:t>
            </w:r>
          </w:p>
        </w:tc>
        <w:tc>
          <w:tcPr>
            <w:tcW w:w="1135" w:type="pct"/>
            <w:tcBorders>
              <w:bottom w:val="single" w:sz="4" w:space="0" w:color="auto"/>
            </w:tcBorders>
          </w:tcPr>
          <w:p w14:paraId="13296731" w14:textId="77777777" w:rsidR="00AF72C3" w:rsidRPr="0020202F" w:rsidRDefault="00AF72C3" w:rsidP="000A2B79">
            <w:pPr>
              <w:pStyle w:val="TableBodyText"/>
              <w:keepNext/>
              <w:spacing w:before="20" w:after="20"/>
              <w:jc w:val="center"/>
            </w:pPr>
            <w:r w:rsidRPr="0020202F">
              <w:t>$1,011.0</w:t>
            </w:r>
          </w:p>
        </w:tc>
        <w:tc>
          <w:tcPr>
            <w:tcW w:w="1047" w:type="pct"/>
            <w:tcBorders>
              <w:bottom w:val="single" w:sz="4" w:space="0" w:color="auto"/>
            </w:tcBorders>
          </w:tcPr>
          <w:p w14:paraId="36686B6A" w14:textId="77777777" w:rsidR="00AF72C3" w:rsidRPr="0020202F" w:rsidRDefault="00AF72C3" w:rsidP="000A2B79">
            <w:pPr>
              <w:pStyle w:val="TableBodyText"/>
              <w:keepNext/>
              <w:spacing w:before="20" w:after="20"/>
              <w:jc w:val="center"/>
            </w:pPr>
            <w:r w:rsidRPr="0020202F">
              <w:t>-14%</w:t>
            </w:r>
          </w:p>
        </w:tc>
        <w:tc>
          <w:tcPr>
            <w:tcW w:w="843" w:type="pct"/>
            <w:tcBorders>
              <w:bottom w:val="single" w:sz="4" w:space="0" w:color="auto"/>
            </w:tcBorders>
          </w:tcPr>
          <w:p w14:paraId="5EED8637" w14:textId="77777777" w:rsidR="00AF72C3" w:rsidRPr="0020202F" w:rsidRDefault="00AF72C3" w:rsidP="000A2B79">
            <w:pPr>
              <w:pStyle w:val="TableBodyText"/>
              <w:keepNext/>
              <w:spacing w:before="20" w:after="20"/>
              <w:jc w:val="center"/>
            </w:pPr>
            <w:r w:rsidRPr="0020202F">
              <w:t>$141.3</w:t>
            </w:r>
          </w:p>
        </w:tc>
        <w:tc>
          <w:tcPr>
            <w:tcW w:w="1095" w:type="pct"/>
            <w:tcBorders>
              <w:bottom w:val="single" w:sz="4" w:space="0" w:color="auto"/>
            </w:tcBorders>
          </w:tcPr>
          <w:p w14:paraId="5942DB79" w14:textId="77777777" w:rsidR="00AF72C3" w:rsidRPr="0020202F" w:rsidRDefault="00AF72C3" w:rsidP="000A2B79">
            <w:pPr>
              <w:pStyle w:val="TableBodyText"/>
              <w:keepNext/>
              <w:spacing w:before="20" w:after="20"/>
              <w:jc w:val="center"/>
            </w:pPr>
            <w:r w:rsidRPr="0020202F">
              <w:t>-14%</w:t>
            </w:r>
          </w:p>
        </w:tc>
      </w:tr>
      <w:tr w:rsidR="00BC68D8" w:rsidRPr="0020202F" w14:paraId="1C6A1B26" w14:textId="77777777" w:rsidTr="00CF688C">
        <w:tc>
          <w:tcPr>
            <w:tcW w:w="880" w:type="pct"/>
          </w:tcPr>
          <w:p w14:paraId="66797328" w14:textId="77777777" w:rsidR="00EC6862" w:rsidRPr="0020202F" w:rsidRDefault="00EC6862" w:rsidP="00CF688C">
            <w:pPr>
              <w:pStyle w:val="TableBodyText"/>
              <w:keepNext/>
              <w:spacing w:before="20" w:after="20"/>
            </w:pPr>
            <w:r w:rsidRPr="0020202F">
              <w:t>Option 4</w:t>
            </w:r>
          </w:p>
        </w:tc>
        <w:tc>
          <w:tcPr>
            <w:tcW w:w="1135" w:type="pct"/>
          </w:tcPr>
          <w:p w14:paraId="5C43B373" w14:textId="77777777" w:rsidR="00EC6862" w:rsidRPr="0020202F" w:rsidRDefault="00EC6862" w:rsidP="000A2B79">
            <w:pPr>
              <w:pStyle w:val="TableBodyText"/>
              <w:keepNext/>
              <w:spacing w:before="20" w:after="20"/>
              <w:jc w:val="center"/>
            </w:pPr>
            <w:r w:rsidRPr="0020202F">
              <w:t>$1,008.9</w:t>
            </w:r>
          </w:p>
        </w:tc>
        <w:tc>
          <w:tcPr>
            <w:tcW w:w="1047" w:type="pct"/>
          </w:tcPr>
          <w:p w14:paraId="2C482E87" w14:textId="77777777" w:rsidR="00EC6862" w:rsidRPr="0020202F" w:rsidRDefault="00EC6862" w:rsidP="000A2B79">
            <w:pPr>
              <w:pStyle w:val="TableBodyText"/>
              <w:keepNext/>
              <w:spacing w:before="20" w:after="20"/>
              <w:jc w:val="center"/>
            </w:pPr>
            <w:r w:rsidRPr="0020202F">
              <w:t>-14%</w:t>
            </w:r>
          </w:p>
        </w:tc>
        <w:tc>
          <w:tcPr>
            <w:tcW w:w="843" w:type="pct"/>
          </w:tcPr>
          <w:p w14:paraId="682DAC29" w14:textId="77777777" w:rsidR="00EC6862" w:rsidRPr="0020202F" w:rsidRDefault="00EC6862" w:rsidP="000A2B79">
            <w:pPr>
              <w:pStyle w:val="TableBodyText"/>
              <w:keepNext/>
              <w:spacing w:before="20" w:after="20"/>
              <w:jc w:val="center"/>
            </w:pPr>
            <w:r w:rsidRPr="0020202F">
              <w:t>$143.5</w:t>
            </w:r>
          </w:p>
        </w:tc>
        <w:tc>
          <w:tcPr>
            <w:tcW w:w="1095" w:type="pct"/>
          </w:tcPr>
          <w:p w14:paraId="3B3286CC" w14:textId="77777777" w:rsidR="00EC6862" w:rsidRPr="0020202F" w:rsidRDefault="00EC6862" w:rsidP="000A2B79">
            <w:pPr>
              <w:pStyle w:val="TableBodyText"/>
              <w:keepNext/>
              <w:spacing w:before="20" w:after="20"/>
              <w:jc w:val="center"/>
            </w:pPr>
            <w:r w:rsidRPr="0020202F">
              <w:t>-14%</w:t>
            </w:r>
          </w:p>
        </w:tc>
      </w:tr>
      <w:tr w:rsidR="00AF72C3" w:rsidRPr="00AF72C3" w14:paraId="79FEF1EA" w14:textId="77777777" w:rsidTr="00AF72C3">
        <w:trPr>
          <w:cnfStyle w:val="000000010000" w:firstRow="0" w:lastRow="0" w:firstColumn="0" w:lastColumn="0" w:oddVBand="0" w:evenVBand="0" w:oddHBand="0" w:evenHBand="1" w:firstRowFirstColumn="0" w:firstRowLastColumn="0" w:lastRowFirstColumn="0" w:lastRowLastColumn="0"/>
        </w:trPr>
        <w:tc>
          <w:tcPr>
            <w:tcW w:w="5000" w:type="pct"/>
            <w:gridSpan w:val="5"/>
            <w:shd w:val="clear" w:color="auto" w:fill="65697F" w:themeFill="background2" w:themeFillShade="80"/>
          </w:tcPr>
          <w:p w14:paraId="2DA04EE2" w14:textId="77777777" w:rsidR="00AF72C3" w:rsidRPr="00AF72C3" w:rsidRDefault="00AF72C3" w:rsidP="000A2B79">
            <w:pPr>
              <w:pStyle w:val="TableBodyText"/>
              <w:keepNext/>
              <w:spacing w:before="20" w:after="20"/>
              <w:jc w:val="center"/>
              <w:rPr>
                <w:b/>
                <w:bCs/>
                <w:color w:val="FFFFFF" w:themeColor="background1"/>
              </w:rPr>
            </w:pPr>
            <w:r w:rsidRPr="00AF72C3">
              <w:rPr>
                <w:b/>
                <w:bCs/>
                <w:color w:val="FFFFFF" w:themeColor="background1"/>
              </w:rPr>
              <w:t>Scenario 2 - Low impact</w:t>
            </w:r>
          </w:p>
        </w:tc>
      </w:tr>
      <w:tr w:rsidR="00BC68D8" w:rsidRPr="0020202F" w14:paraId="27832EBE" w14:textId="77777777" w:rsidTr="00AF72C3">
        <w:tc>
          <w:tcPr>
            <w:tcW w:w="880" w:type="pct"/>
          </w:tcPr>
          <w:p w14:paraId="44939897" w14:textId="77777777" w:rsidR="00AF72C3" w:rsidRPr="0020202F" w:rsidRDefault="00AF72C3" w:rsidP="00AF72C3">
            <w:pPr>
              <w:pStyle w:val="TableBodyText"/>
              <w:keepNext/>
              <w:spacing w:before="20" w:after="20"/>
            </w:pPr>
            <w:r w:rsidRPr="0020202F">
              <w:t>Option 2</w:t>
            </w:r>
          </w:p>
        </w:tc>
        <w:tc>
          <w:tcPr>
            <w:tcW w:w="1135" w:type="pct"/>
          </w:tcPr>
          <w:p w14:paraId="6D51B8FC" w14:textId="77777777" w:rsidR="00AF72C3" w:rsidRPr="0020202F" w:rsidRDefault="00AF72C3" w:rsidP="000A2B79">
            <w:pPr>
              <w:pStyle w:val="TableBodyText"/>
              <w:keepNext/>
              <w:spacing w:before="20" w:after="20"/>
              <w:jc w:val="center"/>
            </w:pPr>
            <w:r w:rsidRPr="0020202F">
              <w:t>$225.2</w:t>
            </w:r>
          </w:p>
        </w:tc>
        <w:tc>
          <w:tcPr>
            <w:tcW w:w="1047" w:type="pct"/>
          </w:tcPr>
          <w:p w14:paraId="73329D78" w14:textId="77777777" w:rsidR="00AF72C3" w:rsidRPr="0020202F" w:rsidRDefault="00AF72C3" w:rsidP="000A2B79">
            <w:pPr>
              <w:pStyle w:val="TableBodyText"/>
              <w:keepNext/>
              <w:spacing w:before="20" w:after="20"/>
              <w:jc w:val="center"/>
            </w:pPr>
            <w:r w:rsidRPr="0020202F">
              <w:t>-14%</w:t>
            </w:r>
          </w:p>
        </w:tc>
        <w:tc>
          <w:tcPr>
            <w:tcW w:w="843" w:type="pct"/>
          </w:tcPr>
          <w:p w14:paraId="77D00398" w14:textId="77777777" w:rsidR="00AF72C3" w:rsidRPr="0020202F" w:rsidRDefault="00AF72C3" w:rsidP="000A2B79">
            <w:pPr>
              <w:pStyle w:val="TableBodyText"/>
              <w:keepNext/>
              <w:spacing w:before="20" w:after="20"/>
              <w:jc w:val="center"/>
            </w:pPr>
            <w:r w:rsidRPr="0020202F">
              <w:t>$52.5</w:t>
            </w:r>
          </w:p>
        </w:tc>
        <w:tc>
          <w:tcPr>
            <w:tcW w:w="1095" w:type="pct"/>
          </w:tcPr>
          <w:p w14:paraId="0226D9EE" w14:textId="77777777" w:rsidR="00AF72C3" w:rsidRPr="0020202F" w:rsidRDefault="00AF72C3" w:rsidP="000A2B79">
            <w:pPr>
              <w:pStyle w:val="TableBodyText"/>
              <w:keepNext/>
              <w:spacing w:before="20" w:after="20"/>
              <w:jc w:val="center"/>
            </w:pPr>
            <w:r w:rsidRPr="0020202F">
              <w:t>-14%</w:t>
            </w:r>
          </w:p>
        </w:tc>
      </w:tr>
      <w:tr w:rsidR="00EC6862" w:rsidRPr="0020202F" w14:paraId="5E0E3F50" w14:textId="77777777" w:rsidTr="00AF72C3">
        <w:trPr>
          <w:cnfStyle w:val="000000010000" w:firstRow="0" w:lastRow="0" w:firstColumn="0" w:lastColumn="0" w:oddVBand="0" w:evenVBand="0" w:oddHBand="0" w:evenHBand="1" w:firstRowFirstColumn="0" w:firstRowLastColumn="0" w:lastRowFirstColumn="0" w:lastRowLastColumn="0"/>
        </w:trPr>
        <w:tc>
          <w:tcPr>
            <w:tcW w:w="880" w:type="pct"/>
          </w:tcPr>
          <w:p w14:paraId="6EA4FA1A" w14:textId="77777777" w:rsidR="00AF72C3" w:rsidRPr="0020202F" w:rsidRDefault="00C32CBC" w:rsidP="00AF72C3">
            <w:pPr>
              <w:pStyle w:val="TableBodyText"/>
              <w:keepNext/>
              <w:spacing w:before="20" w:after="20"/>
            </w:pPr>
            <w:r>
              <w:t>Option 3A</w:t>
            </w:r>
          </w:p>
        </w:tc>
        <w:tc>
          <w:tcPr>
            <w:tcW w:w="1135" w:type="pct"/>
          </w:tcPr>
          <w:p w14:paraId="4A1BA870" w14:textId="77777777" w:rsidR="00AF72C3" w:rsidRPr="0020202F" w:rsidRDefault="00AF72C3" w:rsidP="000A2B79">
            <w:pPr>
              <w:pStyle w:val="TableBodyText"/>
              <w:keepNext/>
              <w:spacing w:before="20" w:after="20"/>
              <w:jc w:val="center"/>
            </w:pPr>
            <w:r w:rsidRPr="0020202F">
              <w:t>$205.1</w:t>
            </w:r>
          </w:p>
        </w:tc>
        <w:tc>
          <w:tcPr>
            <w:tcW w:w="1047" w:type="pct"/>
          </w:tcPr>
          <w:p w14:paraId="2219A73B" w14:textId="77777777" w:rsidR="00AF72C3" w:rsidRPr="0020202F" w:rsidRDefault="00AF72C3" w:rsidP="000A2B79">
            <w:pPr>
              <w:pStyle w:val="TableBodyText"/>
              <w:keepNext/>
              <w:spacing w:before="20" w:after="20"/>
              <w:jc w:val="center"/>
            </w:pPr>
            <w:r w:rsidRPr="0020202F">
              <w:t>-14%</w:t>
            </w:r>
          </w:p>
        </w:tc>
        <w:tc>
          <w:tcPr>
            <w:tcW w:w="843" w:type="pct"/>
          </w:tcPr>
          <w:p w14:paraId="4D315468" w14:textId="77777777" w:rsidR="00AF72C3" w:rsidRPr="0020202F" w:rsidRDefault="00AF72C3" w:rsidP="000A2B79">
            <w:pPr>
              <w:pStyle w:val="TableBodyText"/>
              <w:keepNext/>
              <w:spacing w:before="20" w:after="20"/>
              <w:jc w:val="center"/>
            </w:pPr>
            <w:r w:rsidRPr="0020202F">
              <w:t>$76.3</w:t>
            </w:r>
          </w:p>
        </w:tc>
        <w:tc>
          <w:tcPr>
            <w:tcW w:w="1095" w:type="pct"/>
          </w:tcPr>
          <w:p w14:paraId="787FE8AD" w14:textId="77777777" w:rsidR="00AF72C3" w:rsidRPr="0020202F" w:rsidRDefault="00AF72C3" w:rsidP="000A2B79">
            <w:pPr>
              <w:pStyle w:val="TableBodyText"/>
              <w:keepNext/>
              <w:spacing w:before="20" w:after="20"/>
              <w:jc w:val="center"/>
            </w:pPr>
            <w:r w:rsidRPr="0020202F">
              <w:t>-14%</w:t>
            </w:r>
          </w:p>
        </w:tc>
      </w:tr>
      <w:tr w:rsidR="00EC6862" w:rsidRPr="0020202F" w14:paraId="302C9BAD" w14:textId="77777777" w:rsidTr="00AF72C3">
        <w:tc>
          <w:tcPr>
            <w:tcW w:w="880" w:type="pct"/>
          </w:tcPr>
          <w:p w14:paraId="639FD3AD" w14:textId="77777777" w:rsidR="00AF72C3" w:rsidRPr="0020202F" w:rsidRDefault="00C32CBC" w:rsidP="00AF72C3">
            <w:pPr>
              <w:pStyle w:val="TableBodyText"/>
              <w:keepNext/>
              <w:spacing w:before="20" w:after="20"/>
            </w:pPr>
            <w:r>
              <w:t>Option 3B</w:t>
            </w:r>
          </w:p>
        </w:tc>
        <w:tc>
          <w:tcPr>
            <w:tcW w:w="1135" w:type="pct"/>
          </w:tcPr>
          <w:p w14:paraId="0588781B" w14:textId="77777777" w:rsidR="00AF72C3" w:rsidRPr="0020202F" w:rsidRDefault="00AF72C3" w:rsidP="000A2B79">
            <w:pPr>
              <w:pStyle w:val="TableBodyText"/>
              <w:keepNext/>
              <w:spacing w:before="20" w:after="20"/>
              <w:jc w:val="center"/>
            </w:pPr>
            <w:r w:rsidRPr="0020202F">
              <w:t>$201.9</w:t>
            </w:r>
          </w:p>
        </w:tc>
        <w:tc>
          <w:tcPr>
            <w:tcW w:w="1047" w:type="pct"/>
          </w:tcPr>
          <w:p w14:paraId="5F7458A2" w14:textId="77777777" w:rsidR="00AF72C3" w:rsidRPr="0020202F" w:rsidRDefault="00AF72C3" w:rsidP="000A2B79">
            <w:pPr>
              <w:pStyle w:val="TableBodyText"/>
              <w:keepNext/>
              <w:spacing w:before="20" w:after="20"/>
              <w:jc w:val="center"/>
            </w:pPr>
            <w:r w:rsidRPr="0020202F">
              <w:t>-14%</w:t>
            </w:r>
          </w:p>
        </w:tc>
        <w:tc>
          <w:tcPr>
            <w:tcW w:w="843" w:type="pct"/>
          </w:tcPr>
          <w:p w14:paraId="0D791ADE" w14:textId="77777777" w:rsidR="00AF72C3" w:rsidRPr="0020202F" w:rsidRDefault="00AF72C3" w:rsidP="000A2B79">
            <w:pPr>
              <w:pStyle w:val="TableBodyText"/>
              <w:keepNext/>
              <w:spacing w:before="20" w:after="20"/>
              <w:jc w:val="center"/>
            </w:pPr>
            <w:r w:rsidRPr="0020202F">
              <w:t>$78.9</w:t>
            </w:r>
          </w:p>
        </w:tc>
        <w:tc>
          <w:tcPr>
            <w:tcW w:w="1095" w:type="pct"/>
          </w:tcPr>
          <w:p w14:paraId="7A086C38" w14:textId="77777777" w:rsidR="00AF72C3" w:rsidRPr="0020202F" w:rsidRDefault="00AF72C3" w:rsidP="000A2B79">
            <w:pPr>
              <w:pStyle w:val="TableBodyText"/>
              <w:keepNext/>
              <w:spacing w:before="20" w:after="20"/>
              <w:jc w:val="center"/>
            </w:pPr>
            <w:r w:rsidRPr="0020202F">
              <w:t>-14%</w:t>
            </w:r>
          </w:p>
        </w:tc>
      </w:tr>
      <w:tr w:rsidR="00EC6862" w:rsidRPr="0020202F" w14:paraId="6BE431B0" w14:textId="77777777" w:rsidTr="00EC686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880" w:type="pct"/>
          </w:tcPr>
          <w:p w14:paraId="3A5D1517" w14:textId="77777777" w:rsidR="00EC6862" w:rsidRPr="0020202F" w:rsidRDefault="00EC6862" w:rsidP="00CF688C">
            <w:pPr>
              <w:pStyle w:val="TableBodyText"/>
              <w:keepNext/>
              <w:spacing w:before="20" w:after="20"/>
            </w:pPr>
            <w:r w:rsidRPr="0020202F">
              <w:t>Option 4</w:t>
            </w:r>
          </w:p>
        </w:tc>
        <w:tc>
          <w:tcPr>
            <w:tcW w:w="1135" w:type="pct"/>
          </w:tcPr>
          <w:p w14:paraId="1FFED3A5" w14:textId="77777777" w:rsidR="00EC6862" w:rsidRPr="0020202F" w:rsidRDefault="00EC6862" w:rsidP="000A2B79">
            <w:pPr>
              <w:pStyle w:val="TableBodyText"/>
              <w:keepNext/>
              <w:spacing w:before="20" w:after="20"/>
              <w:jc w:val="center"/>
            </w:pPr>
            <w:r w:rsidRPr="0020202F">
              <w:t>$199.9</w:t>
            </w:r>
          </w:p>
        </w:tc>
        <w:tc>
          <w:tcPr>
            <w:tcW w:w="1047" w:type="pct"/>
          </w:tcPr>
          <w:p w14:paraId="0E0A34F0" w14:textId="77777777" w:rsidR="00EC6862" w:rsidRPr="0020202F" w:rsidRDefault="00EC6862" w:rsidP="000A2B79">
            <w:pPr>
              <w:pStyle w:val="TableBodyText"/>
              <w:keepNext/>
              <w:spacing w:before="20" w:after="20"/>
              <w:jc w:val="center"/>
            </w:pPr>
            <w:r w:rsidRPr="0020202F">
              <w:t>-14%</w:t>
            </w:r>
          </w:p>
        </w:tc>
        <w:tc>
          <w:tcPr>
            <w:tcW w:w="843" w:type="pct"/>
          </w:tcPr>
          <w:p w14:paraId="389DA66B" w14:textId="77777777" w:rsidR="00EC6862" w:rsidRPr="0020202F" w:rsidRDefault="00EC6862" w:rsidP="000A2B79">
            <w:pPr>
              <w:pStyle w:val="TableBodyText"/>
              <w:keepNext/>
              <w:spacing w:before="20" w:after="20"/>
              <w:jc w:val="center"/>
            </w:pPr>
            <w:r w:rsidRPr="0020202F">
              <w:t>$81.1</w:t>
            </w:r>
          </w:p>
        </w:tc>
        <w:tc>
          <w:tcPr>
            <w:tcW w:w="1095" w:type="pct"/>
          </w:tcPr>
          <w:p w14:paraId="13061870" w14:textId="77777777" w:rsidR="00EC6862" w:rsidRPr="0020202F" w:rsidRDefault="00EC6862" w:rsidP="000A2B79">
            <w:pPr>
              <w:pStyle w:val="TableBodyText"/>
              <w:keepNext/>
              <w:spacing w:before="20" w:after="20"/>
              <w:jc w:val="center"/>
            </w:pPr>
            <w:r w:rsidRPr="0020202F">
              <w:t>-14%</w:t>
            </w:r>
          </w:p>
        </w:tc>
      </w:tr>
    </w:tbl>
    <w:p w14:paraId="2C532533" w14:textId="77777777" w:rsidR="00AF72C3" w:rsidRPr="00AF72C3" w:rsidRDefault="00AF72C3" w:rsidP="00B662DC">
      <w:pPr>
        <w:pStyle w:val="BodyText"/>
        <w:spacing w:before="0"/>
      </w:pPr>
      <w:r w:rsidRPr="00AF72C3">
        <w:rPr>
          <w:sz w:val="16"/>
        </w:rPr>
        <w:t>Source: PwC analysis</w:t>
      </w:r>
    </w:p>
    <w:p w14:paraId="0CC6DD89" w14:textId="77777777" w:rsidR="00AF72C3" w:rsidRPr="0020202F" w:rsidRDefault="00AF72C3" w:rsidP="00EC6862">
      <w:pPr>
        <w:pStyle w:val="AppendixHeading2"/>
      </w:pPr>
      <w:r w:rsidRPr="0020202F">
        <w:lastRenderedPageBreak/>
        <w:t>Limitations</w:t>
      </w:r>
    </w:p>
    <w:p w14:paraId="442D999A" w14:textId="77777777" w:rsidR="00AF72C3" w:rsidRPr="0020202F" w:rsidRDefault="00084041" w:rsidP="00AF72C3">
      <w:pPr>
        <w:pStyle w:val="BodyText"/>
      </w:pPr>
      <w:r>
        <w:t xml:space="preserve">To carry out the quantitative analysis, </w:t>
      </w:r>
      <w:r w:rsidR="00AF72C3" w:rsidRPr="0020202F">
        <w:t xml:space="preserve">PwC collected data directly from </w:t>
      </w:r>
      <w:r>
        <w:t>stakeholders</w:t>
      </w:r>
      <w:r w:rsidR="00AF72C3" w:rsidRPr="0020202F">
        <w:t xml:space="preserve"> through submissions and subsequent follow-up consultations. In general, stakeholders found it difficult to articulate the costs and benefits to their organisations from </w:t>
      </w:r>
      <w:r w:rsidR="00E746B2">
        <w:t>the reform options</w:t>
      </w:r>
      <w:r w:rsidR="00AF72C3" w:rsidRPr="0020202F">
        <w:t xml:space="preserve">. The key data limitations identified for the CBA are shown in </w:t>
      </w:r>
      <w:r w:rsidR="00EC6862">
        <w:t xml:space="preserve">the table below. </w:t>
      </w:r>
    </w:p>
    <w:p w14:paraId="246A71B4" w14:textId="77777777" w:rsidR="00AF72C3" w:rsidRPr="0020202F" w:rsidRDefault="00EC6862" w:rsidP="00EC6862">
      <w:pPr>
        <w:pStyle w:val="Caption"/>
        <w:spacing w:after="0"/>
        <w:rPr>
          <w:sz w:val="13"/>
        </w:rPr>
      </w:pPr>
      <w:bookmarkStart w:id="272" w:name="_bookmark22"/>
      <w:bookmarkEnd w:id="272"/>
      <w:r w:rsidRPr="00AF72C3">
        <w:t xml:space="preserve">Table D.1: </w:t>
      </w:r>
      <w:r>
        <w:t xml:space="preserve">Summary of data limitations and how they have been addressed </w:t>
      </w:r>
    </w:p>
    <w:tbl>
      <w:tblPr>
        <w:tblStyle w:val="TableGrid"/>
        <w:tblW w:w="5000" w:type="pct"/>
        <w:tblLook w:val="0420" w:firstRow="1" w:lastRow="0" w:firstColumn="0" w:lastColumn="0" w:noHBand="0" w:noVBand="1"/>
      </w:tblPr>
      <w:tblGrid>
        <w:gridCol w:w="1241"/>
        <w:gridCol w:w="3891"/>
        <w:gridCol w:w="3656"/>
      </w:tblGrid>
      <w:tr w:rsidR="00AF72C3" w:rsidRPr="0020202F" w14:paraId="644823AA" w14:textId="77777777" w:rsidTr="00EC6862">
        <w:trPr>
          <w:cnfStyle w:val="100000000000" w:firstRow="1" w:lastRow="0" w:firstColumn="0" w:lastColumn="0" w:oddVBand="0" w:evenVBand="0" w:oddHBand="0" w:evenHBand="0" w:firstRowFirstColumn="0" w:firstRowLastColumn="0" w:lastRowFirstColumn="0" w:lastRowLastColumn="0"/>
          <w:tblHeader/>
        </w:trPr>
        <w:tc>
          <w:tcPr>
            <w:tcW w:w="706" w:type="pct"/>
            <w:shd w:val="clear" w:color="auto" w:fill="002060"/>
          </w:tcPr>
          <w:p w14:paraId="2298C82E" w14:textId="77777777" w:rsidR="00AF72C3" w:rsidRPr="0020202F" w:rsidRDefault="00AF72C3" w:rsidP="00AF72C3">
            <w:pPr>
              <w:pStyle w:val="TableHeading"/>
            </w:pPr>
            <w:r w:rsidRPr="0020202F">
              <w:t>Category</w:t>
            </w:r>
          </w:p>
        </w:tc>
        <w:tc>
          <w:tcPr>
            <w:tcW w:w="2214" w:type="pct"/>
            <w:shd w:val="clear" w:color="auto" w:fill="002060"/>
          </w:tcPr>
          <w:p w14:paraId="5A44529E" w14:textId="77777777" w:rsidR="00AF72C3" w:rsidRPr="0020202F" w:rsidRDefault="00AF72C3" w:rsidP="00AF72C3">
            <w:pPr>
              <w:pStyle w:val="TableHeading"/>
            </w:pPr>
            <w:r w:rsidRPr="0020202F">
              <w:t>Limitation</w:t>
            </w:r>
          </w:p>
        </w:tc>
        <w:tc>
          <w:tcPr>
            <w:tcW w:w="2080" w:type="pct"/>
            <w:shd w:val="clear" w:color="auto" w:fill="002060"/>
          </w:tcPr>
          <w:p w14:paraId="0A22634C" w14:textId="77777777" w:rsidR="00AF72C3" w:rsidRPr="0020202F" w:rsidRDefault="00AF72C3" w:rsidP="00AF72C3">
            <w:pPr>
              <w:pStyle w:val="TableHeading"/>
            </w:pPr>
            <w:r w:rsidRPr="0020202F">
              <w:t>How limitation is addressed</w:t>
            </w:r>
          </w:p>
        </w:tc>
      </w:tr>
      <w:tr w:rsidR="00AF72C3" w:rsidRPr="0020202F" w14:paraId="4F84F2EE" w14:textId="77777777" w:rsidTr="00AF72C3">
        <w:tc>
          <w:tcPr>
            <w:tcW w:w="706" w:type="pct"/>
          </w:tcPr>
          <w:p w14:paraId="3E8D0E6B" w14:textId="77777777" w:rsidR="00AF72C3" w:rsidRPr="0020202F" w:rsidRDefault="00AF72C3" w:rsidP="00AF72C3">
            <w:pPr>
              <w:pStyle w:val="TableBodyText"/>
            </w:pPr>
            <w:r w:rsidRPr="0020202F">
              <w:t>Impact of more competitive market on prices</w:t>
            </w:r>
          </w:p>
        </w:tc>
        <w:tc>
          <w:tcPr>
            <w:tcW w:w="2214" w:type="pct"/>
          </w:tcPr>
          <w:p w14:paraId="446EFAA9" w14:textId="77777777" w:rsidR="00AF72C3" w:rsidRPr="0020202F" w:rsidRDefault="00AF72C3" w:rsidP="00AF72C3">
            <w:pPr>
              <w:pStyle w:val="TableBodyText"/>
            </w:pPr>
            <w:r w:rsidRPr="0020202F">
              <w:t xml:space="preserve">Stakeholders indicated there was significant uncertainty of the effect of the options on </w:t>
            </w:r>
            <w:r w:rsidR="000623B5">
              <w:t xml:space="preserve">transportation charges </w:t>
            </w:r>
          </w:p>
        </w:tc>
        <w:tc>
          <w:tcPr>
            <w:tcW w:w="2080" w:type="pct"/>
          </w:tcPr>
          <w:p w14:paraId="7092EC6D" w14:textId="0123536D" w:rsidR="00AF72C3" w:rsidRPr="0020202F" w:rsidRDefault="00AF72C3" w:rsidP="00AF72C3">
            <w:pPr>
              <w:pStyle w:val="TableBodyText"/>
            </w:pPr>
            <w:r w:rsidRPr="0020202F">
              <w:t xml:space="preserve">Two scenarios were used to model the possible impacts of the options. One uses data collected as part of the Brattle analysis on rates of return and compares this to the 2017 regulatory rate of return, and another uses the lower bound fall in prices of a range estimated by one stakeholder (see </w:t>
            </w:r>
            <w:r w:rsidR="000623B5">
              <w:t>s</w:t>
            </w:r>
            <w:r w:rsidRPr="000623B5">
              <w:t>ection</w:t>
            </w:r>
            <w:hyperlink w:anchor="_bookmark12" w:history="1">
              <w:r w:rsidRPr="000623B5">
                <w:rPr>
                  <w:rStyle w:val="Hyperlink"/>
                  <w:u w:val="none"/>
                </w:rPr>
                <w:t xml:space="preserve"> </w:t>
              </w:r>
              <w:r w:rsidR="000623B5" w:rsidRPr="000623B5">
                <w:rPr>
                  <w:rStyle w:val="Hyperlink"/>
                  <w:u w:val="none"/>
                </w:rPr>
                <w:t>D.2</w:t>
              </w:r>
              <w:r w:rsidRPr="000623B5">
                <w:rPr>
                  <w:rStyle w:val="Hyperlink"/>
                  <w:u w:val="none"/>
                </w:rPr>
                <w:t>)</w:t>
              </w:r>
            </w:hyperlink>
          </w:p>
        </w:tc>
      </w:tr>
      <w:tr w:rsidR="00AF72C3" w:rsidRPr="0020202F" w14:paraId="46B3063D" w14:textId="77777777" w:rsidTr="00AF72C3">
        <w:trPr>
          <w:cnfStyle w:val="000000010000" w:firstRow="0" w:lastRow="0" w:firstColumn="0" w:lastColumn="0" w:oddVBand="0" w:evenVBand="0" w:oddHBand="0" w:evenHBand="1" w:firstRowFirstColumn="0" w:firstRowLastColumn="0" w:lastRowFirstColumn="0" w:lastRowLastColumn="0"/>
        </w:trPr>
        <w:tc>
          <w:tcPr>
            <w:tcW w:w="706" w:type="pct"/>
          </w:tcPr>
          <w:p w14:paraId="3A686C81" w14:textId="77777777" w:rsidR="00AF72C3" w:rsidRPr="0020202F" w:rsidRDefault="00AF72C3" w:rsidP="00AF72C3">
            <w:pPr>
              <w:pStyle w:val="TableBodyText"/>
            </w:pPr>
            <w:r w:rsidRPr="0020202F">
              <w:t>Cost savings</w:t>
            </w:r>
          </w:p>
        </w:tc>
        <w:tc>
          <w:tcPr>
            <w:tcW w:w="2214" w:type="pct"/>
          </w:tcPr>
          <w:p w14:paraId="531754BF" w14:textId="77777777" w:rsidR="00AF72C3" w:rsidRPr="0020202F" w:rsidRDefault="00AF72C3" w:rsidP="00AF72C3">
            <w:pPr>
              <w:pStyle w:val="TableBodyText"/>
            </w:pPr>
            <w:r w:rsidRPr="0020202F">
              <w:t>Stakeholders could not quantify anticipated savings in costs to pipeline operators as a result of regulatory simplification and to shippers from increased information disclosure</w:t>
            </w:r>
          </w:p>
        </w:tc>
        <w:tc>
          <w:tcPr>
            <w:tcW w:w="2080" w:type="pct"/>
          </w:tcPr>
          <w:p w14:paraId="411B12F5" w14:textId="77777777" w:rsidR="00AF72C3" w:rsidRPr="0020202F" w:rsidRDefault="00AF72C3" w:rsidP="00AF72C3">
            <w:pPr>
              <w:pStyle w:val="TableBodyText"/>
            </w:pPr>
            <w:r w:rsidRPr="0020202F">
              <w:t>The likelihood of cost savings has been addressed qualitatively. Not including cost savings is a conservative assumption.</w:t>
            </w:r>
          </w:p>
        </w:tc>
      </w:tr>
      <w:tr w:rsidR="00AF72C3" w:rsidRPr="0020202F" w14:paraId="5092C691" w14:textId="77777777" w:rsidTr="00AF72C3">
        <w:tc>
          <w:tcPr>
            <w:tcW w:w="706" w:type="pct"/>
          </w:tcPr>
          <w:p w14:paraId="5D0325B4" w14:textId="77777777" w:rsidR="00AF72C3" w:rsidRPr="0020202F" w:rsidRDefault="00AF72C3" w:rsidP="00AF72C3">
            <w:pPr>
              <w:pStyle w:val="TableBodyText"/>
            </w:pPr>
            <w:r w:rsidRPr="0020202F">
              <w:t>Small number of market participants</w:t>
            </w:r>
          </w:p>
        </w:tc>
        <w:tc>
          <w:tcPr>
            <w:tcW w:w="2214" w:type="pct"/>
          </w:tcPr>
          <w:p w14:paraId="5CCA5889" w14:textId="77777777" w:rsidR="00AF72C3" w:rsidRPr="0020202F" w:rsidRDefault="00AF72C3" w:rsidP="00AF72C3">
            <w:pPr>
              <w:pStyle w:val="TableBodyText"/>
            </w:pPr>
            <w:r w:rsidRPr="0020202F">
              <w:t>Small sample sizes make it difficult to utilise data provided confidentially.</w:t>
            </w:r>
          </w:p>
        </w:tc>
        <w:tc>
          <w:tcPr>
            <w:tcW w:w="2080" w:type="pct"/>
          </w:tcPr>
          <w:p w14:paraId="59B35A0F" w14:textId="77777777" w:rsidR="00AF72C3" w:rsidRPr="0020202F" w:rsidRDefault="00AF72C3" w:rsidP="00AF72C3">
            <w:pPr>
              <w:pStyle w:val="TableBodyText"/>
            </w:pPr>
            <w:r w:rsidRPr="0020202F">
              <w:t>Some confidential data have not been used and others have been adjusted, extrapolated or blended with other sources to maintain confidentiality.</w:t>
            </w:r>
          </w:p>
        </w:tc>
      </w:tr>
      <w:tr w:rsidR="00AF72C3" w:rsidRPr="0020202F" w14:paraId="54A20BF0" w14:textId="77777777" w:rsidTr="00AF72C3">
        <w:trPr>
          <w:cnfStyle w:val="000000010000" w:firstRow="0" w:lastRow="0" w:firstColumn="0" w:lastColumn="0" w:oddVBand="0" w:evenVBand="0" w:oddHBand="0" w:evenHBand="1" w:firstRowFirstColumn="0" w:firstRowLastColumn="0" w:lastRowFirstColumn="0" w:lastRowLastColumn="0"/>
        </w:trPr>
        <w:tc>
          <w:tcPr>
            <w:tcW w:w="706" w:type="pct"/>
          </w:tcPr>
          <w:p w14:paraId="29D88FB4" w14:textId="77777777" w:rsidR="00AF72C3" w:rsidRPr="0020202F" w:rsidRDefault="00AF72C3" w:rsidP="00AF72C3">
            <w:pPr>
              <w:pStyle w:val="TableBodyText"/>
            </w:pPr>
            <w:r w:rsidRPr="0020202F">
              <w:t>Short time period since recent regulatory change</w:t>
            </w:r>
          </w:p>
        </w:tc>
        <w:tc>
          <w:tcPr>
            <w:tcW w:w="2214" w:type="pct"/>
          </w:tcPr>
          <w:p w14:paraId="740DBCDC" w14:textId="77777777" w:rsidR="00AF72C3" w:rsidRPr="0020202F" w:rsidRDefault="00AF72C3" w:rsidP="00AF72C3">
            <w:pPr>
              <w:pStyle w:val="TableBodyText"/>
            </w:pPr>
            <w:r w:rsidRPr="0020202F">
              <w:t>Previous reforms to the gas pipeline regulatory framework to introduce Part 23 were implemented in 2017. Combined with the hypothetical nature of the options, stakeholders found it difficult to consider the long-term industry pathway under the current state and to quantify the benefits of changes to Part 23 as it has only recently been introduced</w:t>
            </w:r>
          </w:p>
        </w:tc>
        <w:tc>
          <w:tcPr>
            <w:tcW w:w="2080" w:type="pct"/>
          </w:tcPr>
          <w:p w14:paraId="4E134745" w14:textId="77777777" w:rsidR="00AF72C3" w:rsidRPr="0020202F" w:rsidRDefault="00AF72C3" w:rsidP="00AF72C3">
            <w:pPr>
              <w:pStyle w:val="TableBodyText"/>
            </w:pPr>
            <w:r w:rsidRPr="0020202F">
              <w:t>Scenarios and a conservative attitude to developing cost estimates (e.g. not including any cost savings) provides the best possible approach to dealing with uncertainty inherent in these reforms.</w:t>
            </w:r>
          </w:p>
        </w:tc>
      </w:tr>
    </w:tbl>
    <w:p w14:paraId="67B0E946" w14:textId="77777777" w:rsidR="00AF72C3" w:rsidRPr="00EC6862" w:rsidRDefault="00AF72C3" w:rsidP="00C57DE8">
      <w:pPr>
        <w:pStyle w:val="BodyText"/>
        <w:spacing w:before="0"/>
      </w:pPr>
      <w:r w:rsidRPr="00EC6862">
        <w:rPr>
          <w:sz w:val="16"/>
        </w:rPr>
        <w:t>Source: PwC analysis.</w:t>
      </w:r>
    </w:p>
    <w:p w14:paraId="08F222A3" w14:textId="77777777" w:rsidR="00AF72C3" w:rsidRPr="0020202F" w:rsidRDefault="007A0707" w:rsidP="00AF72C3">
      <w:pPr>
        <w:pStyle w:val="BodyText"/>
      </w:pPr>
      <w:r>
        <w:t xml:space="preserve">In addition to these data related limitations, </w:t>
      </w:r>
      <w:r w:rsidR="006D5C67">
        <w:t xml:space="preserve">stakeholders noted the uncertainty surrounding how many </w:t>
      </w:r>
      <w:r w:rsidR="00AF72C3" w:rsidRPr="0020202F">
        <w:t xml:space="preserve">pipelines </w:t>
      </w:r>
      <w:r w:rsidR="006D5C67">
        <w:t xml:space="preserve">would be subject to each form of regulation (or exempt from regulation). </w:t>
      </w:r>
      <w:r w:rsidR="00326559">
        <w:t xml:space="preserve">To account for this, </w:t>
      </w:r>
      <w:r w:rsidR="00AF72C3" w:rsidRPr="0020202F">
        <w:t>scenarios have been used to model the possible high and low number of pipelines shifting as a result of the changes to eligibility. These scenarios have not been developed with any formal input from possible decision-making bodies (NCC, ACCC/AER or ERA) and should not be taken to represent their views.</w:t>
      </w:r>
    </w:p>
    <w:p w14:paraId="4C277286" w14:textId="77777777" w:rsidR="00AF72C3" w:rsidRDefault="00326559" w:rsidP="00D20563">
      <w:pPr>
        <w:pStyle w:val="BodyText"/>
        <w:spacing w:after="360"/>
      </w:pPr>
      <w:r>
        <w:t xml:space="preserve">The other potential limitation with the analysis is that the </w:t>
      </w:r>
      <w:r w:rsidR="00AF72C3" w:rsidRPr="0020202F">
        <w:t xml:space="preserve">gas </w:t>
      </w:r>
      <w:r>
        <w:t xml:space="preserve">market </w:t>
      </w:r>
      <w:r w:rsidR="00AF72C3" w:rsidRPr="0020202F">
        <w:t>is a highly trade-exposed sector of the economy</w:t>
      </w:r>
      <w:r w:rsidR="002A0BBA">
        <w:t xml:space="preserve"> and </w:t>
      </w:r>
      <w:r w:rsidR="00AF72C3" w:rsidRPr="0020202F">
        <w:t>there are global factors that may play a role in the real-world impacts of the reform options. Many elements of the sector affecting the pipeline</w:t>
      </w:r>
      <w:r w:rsidR="002A0BBA">
        <w:t>s</w:t>
      </w:r>
      <w:r w:rsidR="00AF72C3" w:rsidRPr="0020202F">
        <w:t>, including exploration and emissions-reduction, are also subject to individual decisions by states and territories. It is considered however, that the possible impact of global and local factors is likely to be similar in the base case as under the reform options.</w:t>
      </w:r>
    </w:p>
    <w:p w14:paraId="20615812" w14:textId="77777777" w:rsidR="00BC68D8" w:rsidRDefault="00BC68D8" w:rsidP="00D20563">
      <w:pPr>
        <w:pStyle w:val="AppendixHeading2"/>
        <w:spacing w:before="120" w:after="120"/>
      </w:pPr>
      <w:r>
        <w:lastRenderedPageBreak/>
        <w:t xml:space="preserve">Stakeholder feedback on the </w:t>
      </w:r>
      <w:r w:rsidR="009A17D0">
        <w:t>CBA</w:t>
      </w:r>
    </w:p>
    <w:p w14:paraId="517C78C3" w14:textId="08573022" w:rsidR="00BC68D8" w:rsidRPr="00624550" w:rsidRDefault="004F5A3E" w:rsidP="00D20563">
      <w:pPr>
        <w:pStyle w:val="BodyText"/>
        <w:spacing w:before="120"/>
      </w:pPr>
      <w:r>
        <w:t xml:space="preserve">Table D.1 </w:t>
      </w:r>
      <w:r w:rsidR="00BC68D8" w:rsidRPr="00624550">
        <w:t>provides a summary of how the analysis has considered the feedback provided by the stakeholders on the Consultation RIS. The feedback has been consolidated to the key common themes addressed by the stakeholders provided through:</w:t>
      </w:r>
    </w:p>
    <w:p w14:paraId="2F31C2F5" w14:textId="77777777" w:rsidR="00BC68D8" w:rsidRPr="00624550" w:rsidRDefault="00BC68D8" w:rsidP="00AD36B8">
      <w:pPr>
        <w:pStyle w:val="ListBullet"/>
        <w:rPr>
          <w:rFonts w:ascii="Symbol" w:hAnsi="Symbol"/>
        </w:rPr>
      </w:pPr>
      <w:r w:rsidRPr="00624550">
        <w:t xml:space="preserve">direct consultation with a range of </w:t>
      </w:r>
      <w:r w:rsidR="007751F1">
        <w:t xml:space="preserve">service providers, </w:t>
      </w:r>
      <w:r w:rsidRPr="00624550">
        <w:t xml:space="preserve">shippers, and </w:t>
      </w:r>
      <w:r w:rsidR="007751F1">
        <w:t>regulators</w:t>
      </w:r>
      <w:r w:rsidRPr="00624550">
        <w:t>,</w:t>
      </w:r>
    </w:p>
    <w:p w14:paraId="2310FCFC" w14:textId="77777777" w:rsidR="00BC68D8" w:rsidRPr="00BC68D8" w:rsidRDefault="00BC68D8" w:rsidP="00AD36B8">
      <w:pPr>
        <w:pStyle w:val="ListBullet"/>
        <w:rPr>
          <w:rFonts w:ascii="Symbol" w:hAnsi="Symbol"/>
        </w:rPr>
      </w:pPr>
      <w:r w:rsidRPr="00624550">
        <w:t>the written submissions provided by stakeholders,</w:t>
      </w:r>
      <w:r w:rsidRPr="00BC68D8">
        <w:rPr>
          <w:spacing w:val="-6"/>
        </w:rPr>
        <w:t xml:space="preserve"> </w:t>
      </w:r>
      <w:r w:rsidRPr="00624550">
        <w:t>and</w:t>
      </w:r>
    </w:p>
    <w:p w14:paraId="5DC60A10" w14:textId="77777777" w:rsidR="00BC68D8" w:rsidRPr="00624550" w:rsidRDefault="00BC68D8" w:rsidP="00AD36B8">
      <w:pPr>
        <w:pStyle w:val="ListBullet"/>
        <w:rPr>
          <w:rFonts w:ascii="Symbol" w:hAnsi="Symbol"/>
        </w:rPr>
      </w:pPr>
      <w:r w:rsidRPr="00624550">
        <w:t>stakeholder consultation forums held in Perth, Brisbane, Sydney and</w:t>
      </w:r>
      <w:r w:rsidRPr="00624550">
        <w:rPr>
          <w:spacing w:val="-6"/>
        </w:rPr>
        <w:t xml:space="preserve"> </w:t>
      </w:r>
      <w:r w:rsidRPr="00624550">
        <w:t>Melbourne.</w:t>
      </w:r>
    </w:p>
    <w:p w14:paraId="03DD3C50" w14:textId="368CF384" w:rsidR="00BC68D8" w:rsidRPr="009A17D0" w:rsidRDefault="009A17D0" w:rsidP="004F5A3E">
      <w:pPr>
        <w:pStyle w:val="Caption"/>
        <w:spacing w:before="0" w:after="0"/>
      </w:pPr>
      <w:bookmarkStart w:id="273" w:name="_bookmark35"/>
      <w:bookmarkEnd w:id="273"/>
      <w:r w:rsidRPr="009A17D0">
        <w:t xml:space="preserve">Table D.1: </w:t>
      </w:r>
      <w:r w:rsidR="00282711">
        <w:t xml:space="preserve">Assessment of </w:t>
      </w:r>
      <w:r w:rsidR="00BC68D8" w:rsidRPr="009A17D0">
        <w:t xml:space="preserve">stakeholder feedback </w:t>
      </w:r>
    </w:p>
    <w:tbl>
      <w:tblPr>
        <w:tblStyle w:val="TableGrid"/>
        <w:tblW w:w="5001" w:type="pct"/>
        <w:tblLook w:val="0420" w:firstRow="1" w:lastRow="0" w:firstColumn="0" w:lastColumn="0" w:noHBand="0" w:noVBand="1"/>
      </w:tblPr>
      <w:tblGrid>
        <w:gridCol w:w="1241"/>
        <w:gridCol w:w="18"/>
        <w:gridCol w:w="2517"/>
        <w:gridCol w:w="7"/>
        <w:gridCol w:w="5007"/>
      </w:tblGrid>
      <w:tr w:rsidR="009A17D0" w:rsidRPr="004F5A3E" w14:paraId="425AC25A" w14:textId="77777777" w:rsidTr="004F5A3E">
        <w:trPr>
          <w:cnfStyle w:val="100000000000" w:firstRow="1" w:lastRow="0" w:firstColumn="0" w:lastColumn="0" w:oddVBand="0" w:evenVBand="0" w:oddHBand="0" w:evenHBand="0" w:firstRowFirstColumn="0" w:firstRowLastColumn="0" w:lastRowFirstColumn="0" w:lastRowLastColumn="0"/>
          <w:tblHeader/>
        </w:trPr>
        <w:tc>
          <w:tcPr>
            <w:tcW w:w="706" w:type="pct"/>
            <w:shd w:val="clear" w:color="auto" w:fill="002060"/>
          </w:tcPr>
          <w:p w14:paraId="595F6DC7" w14:textId="77777777" w:rsidR="00BC68D8" w:rsidRPr="004F5A3E" w:rsidRDefault="00BC68D8" w:rsidP="009A17D0">
            <w:pPr>
              <w:pStyle w:val="TableHeading"/>
              <w:spacing w:before="20" w:after="20" w:line="240" w:lineRule="auto"/>
              <w:rPr>
                <w:sz w:val="16"/>
                <w:szCs w:val="16"/>
              </w:rPr>
            </w:pPr>
            <w:r w:rsidRPr="004F5A3E">
              <w:rPr>
                <w:sz w:val="16"/>
                <w:szCs w:val="16"/>
              </w:rPr>
              <w:t>Theme</w:t>
            </w:r>
          </w:p>
        </w:tc>
        <w:tc>
          <w:tcPr>
            <w:tcW w:w="1446" w:type="pct"/>
            <w:gridSpan w:val="3"/>
            <w:shd w:val="clear" w:color="auto" w:fill="002060"/>
          </w:tcPr>
          <w:p w14:paraId="3D034548" w14:textId="77777777" w:rsidR="00BC68D8" w:rsidRPr="004F5A3E" w:rsidRDefault="00BC68D8" w:rsidP="009A17D0">
            <w:pPr>
              <w:pStyle w:val="TableHeading"/>
              <w:spacing w:before="20" w:after="20" w:line="240" w:lineRule="auto"/>
              <w:rPr>
                <w:sz w:val="16"/>
                <w:szCs w:val="16"/>
              </w:rPr>
            </w:pPr>
            <w:r w:rsidRPr="004F5A3E">
              <w:rPr>
                <w:sz w:val="16"/>
                <w:szCs w:val="16"/>
              </w:rPr>
              <w:t>Feedback</w:t>
            </w:r>
          </w:p>
        </w:tc>
        <w:tc>
          <w:tcPr>
            <w:tcW w:w="2848" w:type="pct"/>
            <w:shd w:val="clear" w:color="auto" w:fill="002060"/>
          </w:tcPr>
          <w:p w14:paraId="4185BAC4" w14:textId="77777777" w:rsidR="00BC68D8" w:rsidRPr="004F5A3E" w:rsidRDefault="00BC68D8" w:rsidP="009A17D0">
            <w:pPr>
              <w:pStyle w:val="TableHeading"/>
              <w:spacing w:before="20" w:after="20" w:line="240" w:lineRule="auto"/>
              <w:rPr>
                <w:sz w:val="16"/>
                <w:szCs w:val="16"/>
              </w:rPr>
            </w:pPr>
            <w:r w:rsidRPr="004F5A3E">
              <w:rPr>
                <w:sz w:val="16"/>
                <w:szCs w:val="16"/>
              </w:rPr>
              <w:t>Response</w:t>
            </w:r>
          </w:p>
        </w:tc>
      </w:tr>
      <w:tr w:rsidR="00BC68D8" w:rsidRPr="004F5A3E" w14:paraId="66FC9A45" w14:textId="77777777" w:rsidTr="004F5A3E">
        <w:tc>
          <w:tcPr>
            <w:tcW w:w="706" w:type="pct"/>
          </w:tcPr>
          <w:p w14:paraId="2EDEC5AC" w14:textId="77777777" w:rsidR="00BC68D8" w:rsidRPr="004F5A3E" w:rsidRDefault="00BC68D8" w:rsidP="009A17D0">
            <w:pPr>
              <w:pStyle w:val="TableBodyText"/>
              <w:spacing w:before="20" w:after="20" w:line="240" w:lineRule="auto"/>
              <w:rPr>
                <w:sz w:val="16"/>
                <w:szCs w:val="16"/>
              </w:rPr>
            </w:pPr>
            <w:r w:rsidRPr="004F5A3E">
              <w:rPr>
                <w:sz w:val="16"/>
                <w:szCs w:val="16"/>
              </w:rPr>
              <w:t>Wider economic impacts</w:t>
            </w:r>
          </w:p>
        </w:tc>
        <w:tc>
          <w:tcPr>
            <w:tcW w:w="1446" w:type="pct"/>
            <w:gridSpan w:val="3"/>
          </w:tcPr>
          <w:p w14:paraId="33521C32" w14:textId="77777777" w:rsidR="00BC68D8" w:rsidRPr="004F5A3E" w:rsidRDefault="00BC68D8" w:rsidP="009A17D0">
            <w:pPr>
              <w:pStyle w:val="TableBullet10"/>
              <w:spacing w:before="20" w:after="20" w:line="240" w:lineRule="auto"/>
              <w:rPr>
                <w:sz w:val="16"/>
                <w:szCs w:val="16"/>
              </w:rPr>
            </w:pPr>
            <w:r w:rsidRPr="004F5A3E">
              <w:rPr>
                <w:sz w:val="16"/>
                <w:szCs w:val="16"/>
              </w:rPr>
              <w:t>Extent of CGE model’s capacity to capture gas market</w:t>
            </w:r>
            <w:r w:rsidRPr="004F5A3E">
              <w:rPr>
                <w:spacing w:val="-4"/>
                <w:sz w:val="16"/>
                <w:szCs w:val="16"/>
              </w:rPr>
              <w:t xml:space="preserve"> </w:t>
            </w:r>
            <w:r w:rsidRPr="004F5A3E">
              <w:rPr>
                <w:sz w:val="16"/>
                <w:szCs w:val="16"/>
              </w:rPr>
              <w:t>dynamics</w:t>
            </w:r>
          </w:p>
          <w:p w14:paraId="7010734B" w14:textId="77777777" w:rsidR="00BC68D8" w:rsidRPr="004F5A3E" w:rsidRDefault="00BC68D8" w:rsidP="009A17D0">
            <w:pPr>
              <w:pStyle w:val="TableBullet10"/>
              <w:spacing w:before="20" w:after="20" w:line="240" w:lineRule="auto"/>
              <w:rPr>
                <w:sz w:val="16"/>
                <w:szCs w:val="16"/>
              </w:rPr>
            </w:pPr>
            <w:r w:rsidRPr="004F5A3E">
              <w:rPr>
                <w:sz w:val="16"/>
                <w:szCs w:val="16"/>
              </w:rPr>
              <w:t>The CBA does not adequately capture positive and negative impacts of increased regulation and possible uncertainty on future investment</w:t>
            </w:r>
          </w:p>
        </w:tc>
        <w:tc>
          <w:tcPr>
            <w:tcW w:w="2848" w:type="pct"/>
          </w:tcPr>
          <w:p w14:paraId="4223E8E0" w14:textId="77777777" w:rsidR="00BC68D8" w:rsidRPr="004F5A3E" w:rsidRDefault="00BC68D8" w:rsidP="009A17D0">
            <w:pPr>
              <w:pStyle w:val="TableBullet10"/>
              <w:spacing w:before="20" w:after="20" w:line="240" w:lineRule="auto"/>
              <w:rPr>
                <w:sz w:val="16"/>
                <w:szCs w:val="16"/>
              </w:rPr>
            </w:pPr>
            <w:r w:rsidRPr="004F5A3E">
              <w:rPr>
                <w:sz w:val="16"/>
                <w:szCs w:val="16"/>
              </w:rPr>
              <w:t>The Victoria University Regional Model (VURM) is a multi-regional, dynamic CGE model. It includes a category for gas transportation services, which has been used to model the flow-on effects of these reforms. CGE modelling is an accepted method used to model economy-wide impacts of changes in policies. Under the scenario modelled, there is less investment in the gas transport sector as the rents in the sector are</w:t>
            </w:r>
            <w:r w:rsidRPr="004F5A3E">
              <w:rPr>
                <w:spacing w:val="-6"/>
                <w:sz w:val="16"/>
                <w:szCs w:val="16"/>
              </w:rPr>
              <w:t xml:space="preserve"> </w:t>
            </w:r>
            <w:r w:rsidRPr="004F5A3E">
              <w:rPr>
                <w:sz w:val="16"/>
                <w:szCs w:val="16"/>
              </w:rPr>
              <w:t>lower.</w:t>
            </w:r>
          </w:p>
          <w:p w14:paraId="76A9B11D" w14:textId="5866D5B0" w:rsidR="00BC68D8" w:rsidRPr="004F5A3E" w:rsidRDefault="00BC68D8" w:rsidP="009A17D0">
            <w:pPr>
              <w:pStyle w:val="TableBullet10"/>
              <w:spacing w:before="20" w:after="20" w:line="240" w:lineRule="auto"/>
              <w:rPr>
                <w:sz w:val="16"/>
                <w:szCs w:val="16"/>
              </w:rPr>
            </w:pPr>
            <w:r w:rsidRPr="004F5A3E">
              <w:rPr>
                <w:sz w:val="16"/>
                <w:szCs w:val="16"/>
              </w:rPr>
              <w:t>The impact of the reforms on investment certainty and sentiment</w:t>
            </w:r>
            <w:r w:rsidRPr="004F5A3E">
              <w:rPr>
                <w:spacing w:val="-25"/>
                <w:sz w:val="16"/>
                <w:szCs w:val="16"/>
              </w:rPr>
              <w:t xml:space="preserve"> </w:t>
            </w:r>
            <w:r w:rsidRPr="004F5A3E">
              <w:rPr>
                <w:sz w:val="16"/>
                <w:szCs w:val="16"/>
              </w:rPr>
              <w:t>is unknown - some stakeholders considered there would be negative impacts due to a reduction in commercial flexibility, while others thought that it would increase investment certainty in the exploration and shipper</w:t>
            </w:r>
            <w:r w:rsidRPr="004F5A3E">
              <w:rPr>
                <w:spacing w:val="-5"/>
                <w:sz w:val="16"/>
                <w:szCs w:val="16"/>
              </w:rPr>
              <w:t xml:space="preserve"> </w:t>
            </w:r>
            <w:r w:rsidRPr="004F5A3E">
              <w:rPr>
                <w:sz w:val="16"/>
                <w:szCs w:val="16"/>
              </w:rPr>
              <w:t>sectors.</w:t>
            </w:r>
          </w:p>
        </w:tc>
      </w:tr>
      <w:tr w:rsidR="009A17D0" w:rsidRPr="004F5A3E" w14:paraId="39BF75E2" w14:textId="77777777" w:rsidTr="004F5A3E">
        <w:trPr>
          <w:cnfStyle w:val="000000010000" w:firstRow="0" w:lastRow="0" w:firstColumn="0" w:lastColumn="0" w:oddVBand="0" w:evenVBand="0" w:oddHBand="0" w:evenHBand="1" w:firstRowFirstColumn="0" w:firstRowLastColumn="0" w:lastRowFirstColumn="0" w:lastRowLastColumn="0"/>
        </w:trPr>
        <w:tc>
          <w:tcPr>
            <w:tcW w:w="706" w:type="pct"/>
          </w:tcPr>
          <w:p w14:paraId="03B74946" w14:textId="77777777" w:rsidR="00BC68D8" w:rsidRPr="004F5A3E" w:rsidRDefault="00BC68D8" w:rsidP="009A17D0">
            <w:pPr>
              <w:pStyle w:val="TableBodyText"/>
              <w:spacing w:before="20" w:after="20" w:line="240" w:lineRule="auto"/>
              <w:rPr>
                <w:sz w:val="16"/>
                <w:szCs w:val="16"/>
              </w:rPr>
            </w:pPr>
            <w:r w:rsidRPr="004F5A3E">
              <w:rPr>
                <w:sz w:val="16"/>
                <w:szCs w:val="16"/>
              </w:rPr>
              <w:t>Impact of regulatory reform on gas prices and exploration</w:t>
            </w:r>
          </w:p>
        </w:tc>
        <w:tc>
          <w:tcPr>
            <w:tcW w:w="1446" w:type="pct"/>
            <w:gridSpan w:val="3"/>
          </w:tcPr>
          <w:p w14:paraId="2982ADBD" w14:textId="77777777" w:rsidR="00BC68D8" w:rsidRPr="004F5A3E" w:rsidRDefault="00BC68D8" w:rsidP="009A17D0">
            <w:pPr>
              <w:pStyle w:val="TableBullet10"/>
              <w:spacing w:before="20" w:after="20" w:line="240" w:lineRule="auto"/>
              <w:rPr>
                <w:sz w:val="16"/>
                <w:szCs w:val="16"/>
              </w:rPr>
            </w:pPr>
            <w:r w:rsidRPr="004F5A3E">
              <w:rPr>
                <w:sz w:val="16"/>
                <w:szCs w:val="16"/>
              </w:rPr>
              <w:t xml:space="preserve">Whether reductions in transportation </w:t>
            </w:r>
            <w:r w:rsidR="00525B9D" w:rsidRPr="004F5A3E">
              <w:rPr>
                <w:sz w:val="16"/>
                <w:szCs w:val="16"/>
              </w:rPr>
              <w:t xml:space="preserve">costs </w:t>
            </w:r>
            <w:r w:rsidRPr="004F5A3E">
              <w:rPr>
                <w:sz w:val="16"/>
                <w:szCs w:val="16"/>
              </w:rPr>
              <w:t xml:space="preserve">will lead to falls in </w:t>
            </w:r>
            <w:r w:rsidR="00525B9D" w:rsidRPr="004F5A3E">
              <w:rPr>
                <w:sz w:val="16"/>
                <w:szCs w:val="16"/>
              </w:rPr>
              <w:t xml:space="preserve">the prices payable by householders, small to medium enterprises and </w:t>
            </w:r>
            <w:r w:rsidRPr="004F5A3E">
              <w:rPr>
                <w:sz w:val="16"/>
                <w:szCs w:val="16"/>
              </w:rPr>
              <w:t>commercial and industrial</w:t>
            </w:r>
            <w:r w:rsidRPr="004F5A3E">
              <w:rPr>
                <w:spacing w:val="-3"/>
                <w:sz w:val="16"/>
                <w:szCs w:val="16"/>
              </w:rPr>
              <w:t xml:space="preserve"> </w:t>
            </w:r>
            <w:r w:rsidRPr="004F5A3E">
              <w:rPr>
                <w:sz w:val="16"/>
                <w:szCs w:val="16"/>
              </w:rPr>
              <w:t>users</w:t>
            </w:r>
            <w:r w:rsidR="00525B9D" w:rsidRPr="004F5A3E">
              <w:rPr>
                <w:sz w:val="16"/>
                <w:szCs w:val="16"/>
              </w:rPr>
              <w:t xml:space="preserve"> that do not transport their own gas</w:t>
            </w:r>
          </w:p>
          <w:p w14:paraId="1550050D" w14:textId="77777777" w:rsidR="00BC68D8" w:rsidRPr="004F5A3E" w:rsidRDefault="00BC68D8" w:rsidP="009A17D0">
            <w:pPr>
              <w:pStyle w:val="TableBullet10"/>
              <w:spacing w:before="20" w:after="20" w:line="240" w:lineRule="auto"/>
              <w:rPr>
                <w:sz w:val="16"/>
                <w:szCs w:val="16"/>
              </w:rPr>
            </w:pPr>
            <w:r w:rsidRPr="004F5A3E">
              <w:rPr>
                <w:sz w:val="16"/>
                <w:szCs w:val="16"/>
              </w:rPr>
              <w:t>Whether reforms will encourage increased gas exploration</w:t>
            </w:r>
            <w:r w:rsidR="00525B9D" w:rsidRPr="004F5A3E">
              <w:rPr>
                <w:sz w:val="16"/>
                <w:szCs w:val="16"/>
              </w:rPr>
              <w:t xml:space="preserve"> (i.e. through higher ex-plant prices) </w:t>
            </w:r>
          </w:p>
        </w:tc>
        <w:tc>
          <w:tcPr>
            <w:tcW w:w="2848" w:type="pct"/>
          </w:tcPr>
          <w:p w14:paraId="39DE91F3" w14:textId="56BED5DC" w:rsidR="00BC68D8" w:rsidRPr="004F5A3E" w:rsidRDefault="00BC68D8" w:rsidP="009A17D0">
            <w:pPr>
              <w:pStyle w:val="TableBullet10"/>
              <w:spacing w:before="20" w:after="20" w:line="240" w:lineRule="auto"/>
              <w:rPr>
                <w:sz w:val="16"/>
                <w:szCs w:val="16"/>
              </w:rPr>
            </w:pPr>
            <w:r w:rsidRPr="004F5A3E">
              <w:rPr>
                <w:sz w:val="16"/>
                <w:szCs w:val="16"/>
              </w:rPr>
              <w:t>Realisation of price reductions resulting from the reforms will depend on the level of competition in the exploration and shipper markets, noting that the East Coast Gas Market is undergoing structural change. While the ACCC has raised concerns about the level of gas supply in southern states, relaxations of rules regarding onshore conventional gas exploration are anticipated to increase contestability.</w:t>
            </w:r>
            <w:r w:rsidR="004031E8">
              <w:rPr>
                <w:rFonts w:ascii="ZWAdobeF" w:hAnsi="ZWAdobeF" w:cs="ZWAdobeF"/>
                <w:sz w:val="2"/>
                <w:szCs w:val="2"/>
              </w:rPr>
              <w:t>334F</w:t>
            </w:r>
            <w:r w:rsidR="009A17D0" w:rsidRPr="004F5A3E">
              <w:rPr>
                <w:rStyle w:val="FootnoteReference"/>
                <w:sz w:val="16"/>
                <w:szCs w:val="16"/>
              </w:rPr>
              <w:footnoteReference w:id="336"/>
            </w:r>
            <w:r w:rsidRPr="004F5A3E">
              <w:rPr>
                <w:position w:val="7"/>
                <w:sz w:val="16"/>
                <w:szCs w:val="16"/>
              </w:rPr>
              <w:t xml:space="preserve"> </w:t>
            </w:r>
            <w:r w:rsidRPr="004F5A3E">
              <w:rPr>
                <w:sz w:val="16"/>
                <w:szCs w:val="16"/>
              </w:rPr>
              <w:t>A number of the reforms are intended to</w:t>
            </w:r>
            <w:r w:rsidRPr="004F5A3E">
              <w:rPr>
                <w:spacing w:val="-12"/>
                <w:sz w:val="16"/>
                <w:szCs w:val="16"/>
              </w:rPr>
              <w:t xml:space="preserve"> </w:t>
            </w:r>
            <w:r w:rsidRPr="004F5A3E">
              <w:rPr>
                <w:sz w:val="16"/>
                <w:szCs w:val="16"/>
              </w:rPr>
              <w:t>improve</w:t>
            </w:r>
            <w:r w:rsidR="009A17D0" w:rsidRPr="004F5A3E">
              <w:rPr>
                <w:sz w:val="16"/>
                <w:szCs w:val="16"/>
              </w:rPr>
              <w:t xml:space="preserve"> </w:t>
            </w:r>
            <w:r w:rsidRPr="004F5A3E">
              <w:rPr>
                <w:sz w:val="16"/>
                <w:szCs w:val="16"/>
              </w:rPr>
              <w:t>ease of access for shippers, which should also have flow-on impacts for competition in that segment.</w:t>
            </w:r>
          </w:p>
          <w:p w14:paraId="2A91E308" w14:textId="77777777" w:rsidR="00BC68D8" w:rsidRPr="004F5A3E" w:rsidRDefault="00BC68D8" w:rsidP="009A17D0">
            <w:pPr>
              <w:pStyle w:val="TableBullet10"/>
              <w:spacing w:before="20" w:after="20" w:line="240" w:lineRule="auto"/>
              <w:rPr>
                <w:sz w:val="16"/>
                <w:szCs w:val="16"/>
              </w:rPr>
            </w:pPr>
            <w:r w:rsidRPr="004F5A3E">
              <w:rPr>
                <w:sz w:val="16"/>
                <w:szCs w:val="16"/>
              </w:rPr>
              <w:t>As is shown in this report, the scenario modelled leads to increased levels of investment in the gas production sector. So it is possible to suggest that reductions in the price of transporting gas to users could lead to, all other things being equal, an increase in gas exploration investment.</w:t>
            </w:r>
          </w:p>
        </w:tc>
      </w:tr>
      <w:tr w:rsidR="00BC68D8" w:rsidRPr="004F5A3E" w14:paraId="06E38299" w14:textId="77777777" w:rsidTr="004F5A3E">
        <w:tc>
          <w:tcPr>
            <w:tcW w:w="706" w:type="pct"/>
          </w:tcPr>
          <w:p w14:paraId="011A3FFD" w14:textId="77777777" w:rsidR="00BC68D8" w:rsidRPr="004F5A3E" w:rsidRDefault="00BC68D8" w:rsidP="009A17D0">
            <w:pPr>
              <w:pStyle w:val="TableBodyText"/>
              <w:spacing w:before="20" w:after="20" w:line="240" w:lineRule="auto"/>
              <w:rPr>
                <w:sz w:val="16"/>
                <w:szCs w:val="16"/>
              </w:rPr>
            </w:pPr>
            <w:r w:rsidRPr="004F5A3E">
              <w:rPr>
                <w:sz w:val="16"/>
                <w:szCs w:val="16"/>
              </w:rPr>
              <w:t>Impact of increased information disclosure</w:t>
            </w:r>
          </w:p>
        </w:tc>
        <w:tc>
          <w:tcPr>
            <w:tcW w:w="1446" w:type="pct"/>
            <w:gridSpan w:val="3"/>
          </w:tcPr>
          <w:p w14:paraId="67157B10" w14:textId="77777777" w:rsidR="00BC68D8" w:rsidRPr="004F5A3E" w:rsidRDefault="00BC68D8" w:rsidP="009A17D0">
            <w:pPr>
              <w:pStyle w:val="TableBullet10"/>
              <w:spacing w:before="20" w:after="20" w:line="240" w:lineRule="auto"/>
              <w:rPr>
                <w:sz w:val="16"/>
                <w:szCs w:val="16"/>
              </w:rPr>
            </w:pPr>
            <w:r w:rsidRPr="004F5A3E">
              <w:rPr>
                <w:sz w:val="16"/>
                <w:szCs w:val="16"/>
              </w:rPr>
              <w:t>Information disclosure costs should also be applied to</w:t>
            </w:r>
            <w:r w:rsidRPr="004F5A3E">
              <w:rPr>
                <w:spacing w:val="-11"/>
                <w:sz w:val="16"/>
                <w:szCs w:val="16"/>
              </w:rPr>
              <w:t xml:space="preserve"> </w:t>
            </w:r>
            <w:r w:rsidRPr="004F5A3E">
              <w:rPr>
                <w:sz w:val="16"/>
                <w:szCs w:val="16"/>
              </w:rPr>
              <w:t>full regulation</w:t>
            </w:r>
            <w:r w:rsidRPr="004F5A3E">
              <w:rPr>
                <w:spacing w:val="-1"/>
                <w:sz w:val="16"/>
                <w:szCs w:val="16"/>
              </w:rPr>
              <w:t xml:space="preserve"> </w:t>
            </w:r>
            <w:r w:rsidRPr="004F5A3E">
              <w:rPr>
                <w:sz w:val="16"/>
                <w:szCs w:val="16"/>
              </w:rPr>
              <w:t>pipelines</w:t>
            </w:r>
          </w:p>
          <w:p w14:paraId="3E1F10D2" w14:textId="77777777" w:rsidR="00BC68D8" w:rsidRPr="004F5A3E" w:rsidRDefault="00BC68D8" w:rsidP="009A17D0">
            <w:pPr>
              <w:pStyle w:val="TableBullet10"/>
              <w:spacing w:before="20" w:after="20" w:line="240" w:lineRule="auto"/>
              <w:rPr>
                <w:sz w:val="16"/>
                <w:szCs w:val="16"/>
              </w:rPr>
            </w:pPr>
            <w:r w:rsidRPr="004F5A3E">
              <w:rPr>
                <w:sz w:val="16"/>
                <w:szCs w:val="16"/>
              </w:rPr>
              <w:t>Minimal cost savings from increased information disclosure</w:t>
            </w:r>
          </w:p>
        </w:tc>
        <w:tc>
          <w:tcPr>
            <w:tcW w:w="2848" w:type="pct"/>
          </w:tcPr>
          <w:p w14:paraId="48D51ED5" w14:textId="77777777" w:rsidR="00BC68D8" w:rsidRPr="004F5A3E" w:rsidRDefault="00BC68D8" w:rsidP="009A17D0">
            <w:pPr>
              <w:pStyle w:val="TableBullet10"/>
              <w:spacing w:before="20" w:after="20" w:line="240" w:lineRule="auto"/>
              <w:rPr>
                <w:sz w:val="16"/>
                <w:szCs w:val="16"/>
              </w:rPr>
            </w:pPr>
            <w:r w:rsidRPr="004F5A3E">
              <w:rPr>
                <w:sz w:val="16"/>
                <w:szCs w:val="16"/>
              </w:rPr>
              <w:t>The analysis assumes no additional costs for pipelines remaining under the same form of regulation. Stakeholders were unable to provide estimates for the potential impact of new forms of regulation, however a number of the service providers stated that they did not anticipate material changes in reporting costs as</w:t>
            </w:r>
            <w:r w:rsidRPr="004F5A3E">
              <w:rPr>
                <w:spacing w:val="-26"/>
                <w:sz w:val="16"/>
                <w:szCs w:val="16"/>
              </w:rPr>
              <w:t xml:space="preserve"> </w:t>
            </w:r>
            <w:r w:rsidRPr="004F5A3E">
              <w:rPr>
                <w:sz w:val="16"/>
                <w:szCs w:val="16"/>
              </w:rPr>
              <w:t>much of the information sought is already collected and published internally.</w:t>
            </w:r>
          </w:p>
          <w:p w14:paraId="330CA35A" w14:textId="77777777" w:rsidR="009A17D0" w:rsidRPr="004F5A3E" w:rsidRDefault="009A17D0" w:rsidP="009A17D0">
            <w:pPr>
              <w:pStyle w:val="TableBullet10"/>
              <w:spacing w:before="20" w:after="20" w:line="240" w:lineRule="auto"/>
              <w:rPr>
                <w:sz w:val="16"/>
                <w:szCs w:val="16"/>
              </w:rPr>
            </w:pPr>
            <w:r w:rsidRPr="004F5A3E">
              <w:rPr>
                <w:sz w:val="16"/>
                <w:szCs w:val="16"/>
              </w:rPr>
              <w:t>Many of the engaged shippers indicated the increased information provision would have minimal benefits for</w:t>
            </w:r>
            <w:r w:rsidRPr="004F5A3E">
              <w:rPr>
                <w:spacing w:val="-10"/>
                <w:sz w:val="16"/>
                <w:szCs w:val="16"/>
              </w:rPr>
              <w:t xml:space="preserve"> </w:t>
            </w:r>
            <w:r w:rsidRPr="004F5A3E">
              <w:rPr>
                <w:sz w:val="16"/>
                <w:szCs w:val="16"/>
              </w:rPr>
              <w:t>them.</w:t>
            </w:r>
          </w:p>
        </w:tc>
      </w:tr>
      <w:tr w:rsidR="009A17D0" w:rsidRPr="004F5A3E" w14:paraId="3D6573F2" w14:textId="77777777" w:rsidTr="004F5A3E">
        <w:trPr>
          <w:cnfStyle w:val="000000010000" w:firstRow="0" w:lastRow="0" w:firstColumn="0" w:lastColumn="0" w:oddVBand="0" w:evenVBand="0" w:oddHBand="0" w:evenHBand="1" w:firstRowFirstColumn="0" w:firstRowLastColumn="0" w:lastRowFirstColumn="0" w:lastRowLastColumn="0"/>
        </w:trPr>
        <w:tc>
          <w:tcPr>
            <w:tcW w:w="716" w:type="pct"/>
            <w:gridSpan w:val="2"/>
          </w:tcPr>
          <w:p w14:paraId="6115E552" w14:textId="77777777" w:rsidR="00BC68D8" w:rsidRPr="004F5A3E" w:rsidRDefault="00BC68D8" w:rsidP="009A17D0">
            <w:pPr>
              <w:pStyle w:val="TableBodyText"/>
              <w:spacing w:before="20" w:after="20" w:line="240" w:lineRule="auto"/>
              <w:rPr>
                <w:sz w:val="16"/>
                <w:szCs w:val="16"/>
              </w:rPr>
            </w:pPr>
            <w:r w:rsidRPr="004F5A3E">
              <w:rPr>
                <w:sz w:val="16"/>
                <w:szCs w:val="16"/>
              </w:rPr>
              <w:t>Arbitration costs</w:t>
            </w:r>
          </w:p>
        </w:tc>
        <w:tc>
          <w:tcPr>
            <w:tcW w:w="1432" w:type="pct"/>
          </w:tcPr>
          <w:p w14:paraId="200B6E68" w14:textId="77777777" w:rsidR="00BC68D8" w:rsidRPr="004F5A3E" w:rsidRDefault="00BC68D8" w:rsidP="009A17D0">
            <w:pPr>
              <w:pStyle w:val="TableBullet10"/>
              <w:spacing w:before="20" w:after="20" w:line="240" w:lineRule="auto"/>
              <w:rPr>
                <w:sz w:val="16"/>
                <w:szCs w:val="16"/>
              </w:rPr>
            </w:pPr>
            <w:r w:rsidRPr="004F5A3E">
              <w:rPr>
                <w:sz w:val="16"/>
                <w:szCs w:val="16"/>
              </w:rPr>
              <w:t>Capturing positive effects of effective negotiation and dispute resolution</w:t>
            </w:r>
            <w:r w:rsidRPr="004F5A3E">
              <w:rPr>
                <w:spacing w:val="-9"/>
                <w:sz w:val="16"/>
                <w:szCs w:val="16"/>
              </w:rPr>
              <w:t xml:space="preserve"> </w:t>
            </w:r>
            <w:r w:rsidRPr="004F5A3E">
              <w:rPr>
                <w:sz w:val="16"/>
                <w:szCs w:val="16"/>
              </w:rPr>
              <w:t>mechanism</w:t>
            </w:r>
          </w:p>
          <w:p w14:paraId="719749AB" w14:textId="77777777" w:rsidR="00BC68D8" w:rsidRPr="004F5A3E" w:rsidRDefault="00BC68D8" w:rsidP="009A17D0">
            <w:pPr>
              <w:pStyle w:val="TableBullet10"/>
              <w:spacing w:before="20" w:after="20" w:line="240" w:lineRule="auto"/>
              <w:rPr>
                <w:sz w:val="16"/>
                <w:szCs w:val="16"/>
              </w:rPr>
            </w:pPr>
            <w:r w:rsidRPr="004F5A3E">
              <w:rPr>
                <w:sz w:val="16"/>
                <w:szCs w:val="16"/>
              </w:rPr>
              <w:t>Number of arbitrations each year</w:t>
            </w:r>
          </w:p>
        </w:tc>
        <w:tc>
          <w:tcPr>
            <w:tcW w:w="2852" w:type="pct"/>
            <w:gridSpan w:val="2"/>
          </w:tcPr>
          <w:p w14:paraId="53F226AC" w14:textId="77777777" w:rsidR="00BC68D8" w:rsidRPr="004F5A3E" w:rsidRDefault="00BC68D8" w:rsidP="009A17D0">
            <w:pPr>
              <w:pStyle w:val="TableBullet10"/>
              <w:spacing w:before="20" w:after="20" w:line="240" w:lineRule="auto"/>
              <w:rPr>
                <w:sz w:val="16"/>
                <w:szCs w:val="16"/>
              </w:rPr>
            </w:pPr>
            <w:r w:rsidRPr="004F5A3E">
              <w:rPr>
                <w:sz w:val="16"/>
                <w:szCs w:val="16"/>
              </w:rPr>
              <w:t xml:space="preserve">The small number of arbitrations that have occurred over the last decade make it difficult to anticipate the number and outcomes of the arbitrations. </w:t>
            </w:r>
            <w:r w:rsidR="001F68A0" w:rsidRPr="004F5A3E">
              <w:rPr>
                <w:sz w:val="16"/>
                <w:szCs w:val="16"/>
              </w:rPr>
              <w:t>PwC</w:t>
            </w:r>
            <w:r w:rsidRPr="004F5A3E">
              <w:rPr>
                <w:sz w:val="16"/>
                <w:szCs w:val="16"/>
              </w:rPr>
              <w:t xml:space="preserve"> </w:t>
            </w:r>
            <w:r w:rsidR="001F68A0" w:rsidRPr="004F5A3E">
              <w:rPr>
                <w:sz w:val="16"/>
                <w:szCs w:val="16"/>
              </w:rPr>
              <w:t xml:space="preserve">has </w:t>
            </w:r>
            <w:r w:rsidRPr="004F5A3E">
              <w:rPr>
                <w:sz w:val="16"/>
                <w:szCs w:val="16"/>
              </w:rPr>
              <w:t>incorporated two scenarios to highlight the</w:t>
            </w:r>
            <w:r w:rsidRPr="004F5A3E">
              <w:rPr>
                <w:spacing w:val="-1"/>
                <w:sz w:val="16"/>
                <w:szCs w:val="16"/>
              </w:rPr>
              <w:t xml:space="preserve"> </w:t>
            </w:r>
            <w:r w:rsidRPr="004F5A3E">
              <w:rPr>
                <w:sz w:val="16"/>
                <w:szCs w:val="16"/>
              </w:rPr>
              <w:t>uncertainty.</w:t>
            </w:r>
          </w:p>
          <w:p w14:paraId="0BC27093" w14:textId="77777777" w:rsidR="00BC68D8" w:rsidRPr="004F5A3E" w:rsidRDefault="00BC68D8" w:rsidP="009A17D0">
            <w:pPr>
              <w:pStyle w:val="TableBullet10"/>
              <w:spacing w:before="20" w:after="20" w:line="240" w:lineRule="auto"/>
              <w:rPr>
                <w:sz w:val="16"/>
                <w:szCs w:val="16"/>
              </w:rPr>
            </w:pPr>
            <w:r w:rsidRPr="004F5A3E">
              <w:rPr>
                <w:sz w:val="16"/>
                <w:szCs w:val="16"/>
              </w:rPr>
              <w:t>There is insufficient information to estimate the change in the number of disputes in the new regulatory environment compared to the base case. The analysis considers two scenarios to provide an indication of the magnitude of these costs with the high scenario considering a conservative impact of the</w:t>
            </w:r>
            <w:r w:rsidRPr="004F5A3E">
              <w:rPr>
                <w:spacing w:val="-10"/>
                <w:sz w:val="16"/>
                <w:szCs w:val="16"/>
              </w:rPr>
              <w:t xml:space="preserve"> </w:t>
            </w:r>
            <w:r w:rsidRPr="004F5A3E">
              <w:rPr>
                <w:sz w:val="16"/>
                <w:szCs w:val="16"/>
              </w:rPr>
              <w:t>costs.</w:t>
            </w:r>
          </w:p>
        </w:tc>
      </w:tr>
      <w:tr w:rsidR="009A17D0" w:rsidRPr="004F5A3E" w14:paraId="14CCA2C8" w14:textId="77777777" w:rsidTr="004F5A3E">
        <w:tc>
          <w:tcPr>
            <w:tcW w:w="716" w:type="pct"/>
            <w:gridSpan w:val="2"/>
          </w:tcPr>
          <w:p w14:paraId="781DDBC2" w14:textId="77777777" w:rsidR="00BC68D8" w:rsidRPr="004F5A3E" w:rsidRDefault="00BC68D8" w:rsidP="009A17D0">
            <w:pPr>
              <w:pStyle w:val="TableBodyText"/>
              <w:spacing w:before="20" w:after="20" w:line="240" w:lineRule="auto"/>
              <w:rPr>
                <w:sz w:val="16"/>
                <w:szCs w:val="16"/>
              </w:rPr>
            </w:pPr>
            <w:r w:rsidRPr="004F5A3E">
              <w:rPr>
                <w:sz w:val="16"/>
                <w:szCs w:val="16"/>
              </w:rPr>
              <w:t>Regulator effort</w:t>
            </w:r>
          </w:p>
        </w:tc>
        <w:tc>
          <w:tcPr>
            <w:tcW w:w="1432" w:type="pct"/>
          </w:tcPr>
          <w:p w14:paraId="2C84A14E" w14:textId="77777777" w:rsidR="00BC68D8" w:rsidRPr="004F5A3E" w:rsidRDefault="00BC68D8" w:rsidP="009A17D0">
            <w:pPr>
              <w:pStyle w:val="TableBullet10"/>
              <w:spacing w:before="20" w:after="20" w:line="240" w:lineRule="auto"/>
              <w:rPr>
                <w:sz w:val="16"/>
                <w:szCs w:val="16"/>
              </w:rPr>
            </w:pPr>
            <w:r w:rsidRPr="004F5A3E">
              <w:rPr>
                <w:sz w:val="16"/>
                <w:szCs w:val="16"/>
              </w:rPr>
              <w:t>Capturing regulator’s costs for monitoring the new information</w:t>
            </w:r>
            <w:r w:rsidRPr="004F5A3E">
              <w:rPr>
                <w:spacing w:val="-4"/>
                <w:sz w:val="16"/>
                <w:szCs w:val="16"/>
              </w:rPr>
              <w:t xml:space="preserve"> </w:t>
            </w:r>
            <w:r w:rsidRPr="004F5A3E">
              <w:rPr>
                <w:sz w:val="16"/>
                <w:szCs w:val="16"/>
              </w:rPr>
              <w:t>requirements</w:t>
            </w:r>
          </w:p>
        </w:tc>
        <w:tc>
          <w:tcPr>
            <w:tcW w:w="2852" w:type="pct"/>
            <w:gridSpan w:val="2"/>
          </w:tcPr>
          <w:p w14:paraId="772D02AD" w14:textId="77777777" w:rsidR="00BC68D8" w:rsidRPr="004F5A3E" w:rsidRDefault="00BC68D8" w:rsidP="009A17D0">
            <w:pPr>
              <w:pStyle w:val="TableBullet10"/>
              <w:spacing w:before="20" w:after="20" w:line="240" w:lineRule="auto"/>
              <w:rPr>
                <w:sz w:val="16"/>
                <w:szCs w:val="16"/>
              </w:rPr>
            </w:pPr>
            <w:r w:rsidRPr="004F5A3E">
              <w:rPr>
                <w:sz w:val="16"/>
                <w:szCs w:val="16"/>
              </w:rPr>
              <w:t>Monitoring costs are included in the analysis as per the regulators’ estimates from direct</w:t>
            </w:r>
            <w:r w:rsidRPr="004F5A3E">
              <w:rPr>
                <w:spacing w:val="-2"/>
                <w:sz w:val="16"/>
                <w:szCs w:val="16"/>
              </w:rPr>
              <w:t xml:space="preserve"> </w:t>
            </w:r>
            <w:r w:rsidRPr="004F5A3E">
              <w:rPr>
                <w:sz w:val="16"/>
                <w:szCs w:val="16"/>
              </w:rPr>
              <w:t>consultations.</w:t>
            </w:r>
          </w:p>
        </w:tc>
      </w:tr>
      <w:tr w:rsidR="009A17D0" w:rsidRPr="004F5A3E" w14:paraId="1F8797B0" w14:textId="77777777" w:rsidTr="004F5A3E">
        <w:trPr>
          <w:cnfStyle w:val="000000010000" w:firstRow="0" w:lastRow="0" w:firstColumn="0" w:lastColumn="0" w:oddVBand="0" w:evenVBand="0" w:oddHBand="0" w:evenHBand="1" w:firstRowFirstColumn="0" w:firstRowLastColumn="0" w:lastRowFirstColumn="0" w:lastRowLastColumn="0"/>
        </w:trPr>
        <w:tc>
          <w:tcPr>
            <w:tcW w:w="716" w:type="pct"/>
            <w:gridSpan w:val="2"/>
          </w:tcPr>
          <w:p w14:paraId="098D96EB" w14:textId="77777777" w:rsidR="00BC68D8" w:rsidRPr="004F5A3E" w:rsidRDefault="00BC68D8" w:rsidP="009A17D0">
            <w:pPr>
              <w:pStyle w:val="TableBodyText"/>
              <w:spacing w:before="20" w:after="20" w:line="240" w:lineRule="auto"/>
              <w:rPr>
                <w:sz w:val="16"/>
                <w:szCs w:val="16"/>
              </w:rPr>
            </w:pPr>
            <w:r w:rsidRPr="004F5A3E">
              <w:rPr>
                <w:sz w:val="16"/>
                <w:szCs w:val="16"/>
              </w:rPr>
              <w:t>CBA parameters</w:t>
            </w:r>
          </w:p>
        </w:tc>
        <w:tc>
          <w:tcPr>
            <w:tcW w:w="1432" w:type="pct"/>
          </w:tcPr>
          <w:p w14:paraId="17E37B0F" w14:textId="77777777" w:rsidR="00BC68D8" w:rsidRPr="004F5A3E" w:rsidRDefault="00BC68D8" w:rsidP="009A17D0">
            <w:pPr>
              <w:pStyle w:val="TableBullet10"/>
              <w:spacing w:before="20" w:after="20" w:line="240" w:lineRule="auto"/>
              <w:rPr>
                <w:sz w:val="16"/>
                <w:szCs w:val="16"/>
              </w:rPr>
            </w:pPr>
            <w:r w:rsidRPr="004F5A3E">
              <w:rPr>
                <w:sz w:val="16"/>
                <w:szCs w:val="16"/>
              </w:rPr>
              <w:t>Discount rate of 7</w:t>
            </w:r>
            <w:r w:rsidR="00711797" w:rsidRPr="004F5A3E">
              <w:rPr>
                <w:sz w:val="16"/>
                <w:szCs w:val="16"/>
              </w:rPr>
              <w:t>%</w:t>
            </w:r>
            <w:r w:rsidRPr="004F5A3E">
              <w:rPr>
                <w:sz w:val="16"/>
                <w:szCs w:val="16"/>
              </w:rPr>
              <w:t xml:space="preserve"> is too high</w:t>
            </w:r>
          </w:p>
        </w:tc>
        <w:tc>
          <w:tcPr>
            <w:tcW w:w="2852" w:type="pct"/>
            <w:gridSpan w:val="2"/>
          </w:tcPr>
          <w:p w14:paraId="0CF49F15" w14:textId="77777777" w:rsidR="00BC68D8" w:rsidRPr="004F5A3E" w:rsidRDefault="00BC68D8" w:rsidP="009A17D0">
            <w:pPr>
              <w:pStyle w:val="TableBullet10"/>
              <w:spacing w:before="20" w:after="20" w:line="240" w:lineRule="auto"/>
              <w:rPr>
                <w:sz w:val="16"/>
                <w:szCs w:val="16"/>
              </w:rPr>
            </w:pPr>
            <w:r w:rsidRPr="004F5A3E">
              <w:rPr>
                <w:sz w:val="16"/>
                <w:szCs w:val="16"/>
              </w:rPr>
              <w:t>The analysis follows OBPR’s guidelines of using a real discount rate of 7</w:t>
            </w:r>
            <w:r w:rsidR="008818F6" w:rsidRPr="004F5A3E">
              <w:rPr>
                <w:sz w:val="16"/>
                <w:szCs w:val="16"/>
              </w:rPr>
              <w:t>%</w:t>
            </w:r>
            <w:r w:rsidRPr="004F5A3E">
              <w:rPr>
                <w:sz w:val="16"/>
                <w:szCs w:val="16"/>
              </w:rPr>
              <w:t xml:space="preserve"> accompanied with a sensitivity analysis of </w:t>
            </w:r>
            <w:r w:rsidR="006E2714" w:rsidRPr="004F5A3E">
              <w:rPr>
                <w:sz w:val="16"/>
                <w:szCs w:val="16"/>
              </w:rPr>
              <w:t>3</w:t>
            </w:r>
            <w:r w:rsidR="008818F6" w:rsidRPr="004F5A3E">
              <w:rPr>
                <w:sz w:val="16"/>
                <w:szCs w:val="16"/>
              </w:rPr>
              <w:t>%</w:t>
            </w:r>
            <w:r w:rsidRPr="004F5A3E">
              <w:rPr>
                <w:sz w:val="16"/>
                <w:szCs w:val="16"/>
              </w:rPr>
              <w:t xml:space="preserve"> and 10</w:t>
            </w:r>
            <w:r w:rsidR="008818F6" w:rsidRPr="004F5A3E">
              <w:rPr>
                <w:sz w:val="16"/>
                <w:szCs w:val="16"/>
              </w:rPr>
              <w:t>%</w:t>
            </w:r>
            <w:r w:rsidRPr="004F5A3E">
              <w:rPr>
                <w:sz w:val="16"/>
                <w:szCs w:val="16"/>
              </w:rPr>
              <w:t>.</w:t>
            </w:r>
          </w:p>
        </w:tc>
      </w:tr>
    </w:tbl>
    <w:p w14:paraId="2FD2F11D" w14:textId="77777777" w:rsidR="00BC68D8" w:rsidRPr="004F5A3E" w:rsidRDefault="009A17D0" w:rsidP="004F5A3E">
      <w:pPr>
        <w:pStyle w:val="ListBullet"/>
        <w:numPr>
          <w:ilvl w:val="0"/>
          <w:numId w:val="0"/>
        </w:numPr>
        <w:spacing w:before="0" w:after="0"/>
        <w:rPr>
          <w:sz w:val="16"/>
          <w:szCs w:val="16"/>
          <w:lang w:eastAsia="en-US"/>
        </w:rPr>
      </w:pPr>
      <w:r w:rsidRPr="004F5A3E">
        <w:rPr>
          <w:sz w:val="16"/>
          <w:szCs w:val="16"/>
          <w:lang w:eastAsia="en-US"/>
        </w:rPr>
        <w:t>Source: PwC</w:t>
      </w:r>
    </w:p>
    <w:sectPr w:rsidR="00BC68D8" w:rsidRPr="004F5A3E" w:rsidSect="00BC68D8">
      <w:pgSz w:w="11907" w:h="16839" w:code="9"/>
      <w:pgMar w:top="1361" w:right="1418" w:bottom="992" w:left="1701"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EB5C3" w14:textId="77777777" w:rsidR="00AB0636" w:rsidRDefault="00AB0636" w:rsidP="00256624">
      <w:r>
        <w:separator/>
      </w:r>
    </w:p>
    <w:p w14:paraId="596FE237" w14:textId="77777777" w:rsidR="00AB0636" w:rsidRDefault="00AB0636"/>
  </w:endnote>
  <w:endnote w:type="continuationSeparator" w:id="0">
    <w:p w14:paraId="041A5528" w14:textId="77777777" w:rsidR="00AB0636" w:rsidRDefault="00AB0636" w:rsidP="00256624">
      <w:r>
        <w:continuationSeparator/>
      </w:r>
    </w:p>
    <w:p w14:paraId="01417F3B" w14:textId="77777777" w:rsidR="00AB0636" w:rsidRDefault="00AB0636"/>
  </w:endnote>
  <w:endnote w:type="continuationNotice" w:id="1">
    <w:p w14:paraId="3BBA4050" w14:textId="77777777" w:rsidR="00AB0636" w:rsidRDefault="00AB063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otham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ZWAdobeF">
    <w:altName w:val="Times New Roman"/>
    <w:charset w:val="00"/>
    <w:family w:val="auto"/>
    <w:pitch w:val="variable"/>
    <w:sig w:usb0="00000000"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7FEC9" w14:textId="77777777" w:rsidR="00F323B2" w:rsidRDefault="00F323B2">
    <w:pPr>
      <w:pStyle w:val="Footer"/>
    </w:pPr>
    <w:bookmarkStart w:id="2" w:name="_Hlk491874953"/>
    <w:bookmarkStart w:id="3" w:name="_Hlk491874954"/>
    <w:bookmarkStart w:id="4" w:name="_Hlk491874955"/>
    <w:bookmarkStart w:id="5" w:name="_Hlk492057950"/>
    <w:bookmarkStart w:id="6" w:name="_Hlk492057951"/>
    <w:bookmarkStart w:id="7" w:name="_Hlk492057952"/>
    <w:bookmarkStart w:id="8" w:name="_Hlk492112249"/>
    <w:bookmarkStart w:id="9" w:name="_Hlk492112250"/>
    <w:bookmarkStart w:id="10" w:name="_Hlk492112251"/>
    <w:bookmarkStart w:id="11" w:name="_Hlk18600683"/>
    <w:bookmarkStart w:id="12" w:name="_Hlk18600684"/>
    <w:bookmarkEnd w:id="2"/>
    <w:bookmarkEnd w:id="3"/>
    <w:bookmarkEnd w:id="4"/>
    <w:bookmarkEnd w:id="5"/>
    <w:bookmarkEnd w:id="6"/>
    <w:bookmarkEnd w:id="7"/>
    <w:bookmarkEnd w:id="8"/>
    <w:bookmarkEnd w:id="9"/>
    <w:bookmarkEnd w:id="10"/>
    <w:bookmarkEnd w:id="11"/>
    <w:bookmarkEnd w:id="12"/>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4914A" w14:textId="77777777" w:rsidR="00F323B2" w:rsidRDefault="00F323B2" w:rsidP="0044504D">
    <w:pPr>
      <w:pStyle w:val="Footer"/>
      <w:pBdr>
        <w:top w:val="single" w:sz="4" w:space="1" w:color="214C90" w:themeColor="text2"/>
      </w:pBdr>
      <w:spacing w:line="80" w:lineRule="exact"/>
    </w:pPr>
  </w:p>
  <w:p w14:paraId="5EF6A5BD"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32</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A8638" w14:textId="77777777" w:rsidR="00F323B2" w:rsidRDefault="00F323B2" w:rsidP="0044504D">
    <w:pPr>
      <w:pStyle w:val="Footer"/>
      <w:pBdr>
        <w:top w:val="single" w:sz="4" w:space="1" w:color="214C90" w:themeColor="text2"/>
      </w:pBdr>
      <w:spacing w:line="80" w:lineRule="exact"/>
    </w:pPr>
  </w:p>
  <w:p w14:paraId="52FBCC43"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38</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0A6E1" w14:textId="77777777" w:rsidR="00F323B2" w:rsidRDefault="00F323B2" w:rsidP="0044504D">
    <w:pPr>
      <w:pStyle w:val="Footer"/>
      <w:pBdr>
        <w:top w:val="single" w:sz="4" w:space="1" w:color="214C90" w:themeColor="text2"/>
      </w:pBdr>
      <w:spacing w:line="80" w:lineRule="exact"/>
    </w:pPr>
  </w:p>
  <w:p w14:paraId="2ECECA60"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45</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F4D19" w14:textId="77777777" w:rsidR="00F323B2" w:rsidRDefault="00F323B2" w:rsidP="0044504D">
    <w:pPr>
      <w:pStyle w:val="Footer"/>
      <w:pBdr>
        <w:top w:val="single" w:sz="4" w:space="1" w:color="214C90" w:themeColor="text2"/>
      </w:pBdr>
      <w:spacing w:line="80" w:lineRule="exact"/>
    </w:pPr>
  </w:p>
  <w:p w14:paraId="209DAA80"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55</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25566" w14:textId="77777777" w:rsidR="00F323B2" w:rsidRDefault="00F323B2" w:rsidP="0044504D">
    <w:pPr>
      <w:pStyle w:val="Footer"/>
      <w:pBdr>
        <w:top w:val="single" w:sz="4" w:space="1" w:color="214C90" w:themeColor="text2"/>
      </w:pBdr>
      <w:spacing w:line="80" w:lineRule="exact"/>
    </w:pPr>
  </w:p>
  <w:p w14:paraId="23D315CE"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60</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310FD" w14:textId="77777777" w:rsidR="00F323B2" w:rsidRDefault="00F323B2" w:rsidP="0044504D">
    <w:pPr>
      <w:pStyle w:val="Footer"/>
      <w:pBdr>
        <w:top w:val="single" w:sz="4" w:space="1" w:color="214C90" w:themeColor="text2"/>
      </w:pBdr>
      <w:spacing w:line="80" w:lineRule="exact"/>
    </w:pPr>
  </w:p>
  <w:p w14:paraId="4A7FB52B"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65</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56506" w14:textId="77777777" w:rsidR="00F323B2" w:rsidRDefault="00F323B2" w:rsidP="0044504D">
    <w:pPr>
      <w:pStyle w:val="Footer"/>
      <w:pBdr>
        <w:top w:val="single" w:sz="4" w:space="1" w:color="214C90" w:themeColor="text2"/>
      </w:pBdr>
      <w:spacing w:line="80" w:lineRule="exact"/>
    </w:pPr>
  </w:p>
  <w:p w14:paraId="54A14E1A"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68</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28CD4" w14:textId="77777777" w:rsidR="00F323B2" w:rsidRDefault="00F323B2" w:rsidP="0044504D">
    <w:pPr>
      <w:pStyle w:val="Footer"/>
      <w:pBdr>
        <w:top w:val="single" w:sz="4" w:space="1" w:color="214C90" w:themeColor="text2"/>
      </w:pBdr>
      <w:spacing w:line="80" w:lineRule="exact"/>
    </w:pPr>
  </w:p>
  <w:p w14:paraId="1211784F"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70</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B1DF2" w14:textId="77777777" w:rsidR="00F323B2" w:rsidRDefault="00F323B2" w:rsidP="0044504D">
    <w:pPr>
      <w:pStyle w:val="Footer"/>
      <w:pBdr>
        <w:top w:val="single" w:sz="4" w:space="1" w:color="214C90" w:themeColor="text2"/>
      </w:pBdr>
      <w:spacing w:line="80" w:lineRule="exact"/>
    </w:pPr>
  </w:p>
  <w:p w14:paraId="6C08A301"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71</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F995F" w14:textId="77777777" w:rsidR="00F323B2" w:rsidRDefault="00F323B2" w:rsidP="00CF68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2D1DC" w14:textId="77777777" w:rsidR="00F323B2" w:rsidRDefault="00F323B2">
    <w:pPr>
      <w:pStyle w:val="Footer"/>
    </w:pPr>
    <w:bookmarkStart w:id="13" w:name="_Hlk491874947"/>
    <w:bookmarkStart w:id="14" w:name="_Hlk491874948"/>
    <w:bookmarkStart w:id="15" w:name="_Hlk491874949"/>
    <w:bookmarkStart w:id="16" w:name="_Hlk492057944"/>
    <w:bookmarkStart w:id="17" w:name="_Hlk492057945"/>
    <w:bookmarkStart w:id="18" w:name="_Hlk492057946"/>
    <w:bookmarkStart w:id="19" w:name="_Hlk492112243"/>
    <w:bookmarkStart w:id="20" w:name="_Hlk492112244"/>
    <w:bookmarkStart w:id="21" w:name="_Hlk492112245"/>
    <w:bookmarkStart w:id="22" w:name="_Hlk18600679"/>
    <w:bookmarkStart w:id="23" w:name="_Hlk18600680"/>
    <w:bookmarkEnd w:id="13"/>
    <w:bookmarkEnd w:id="14"/>
    <w:bookmarkEnd w:id="15"/>
    <w:bookmarkEnd w:id="16"/>
    <w:bookmarkEnd w:id="17"/>
    <w:bookmarkEnd w:id="18"/>
    <w:bookmarkEnd w:id="19"/>
    <w:bookmarkEnd w:id="20"/>
    <w:bookmarkEnd w:id="21"/>
    <w:bookmarkEnd w:id="22"/>
    <w:bookmarkEnd w:id="23"/>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579C8" w14:textId="77777777" w:rsidR="00F323B2" w:rsidRDefault="00F323B2" w:rsidP="00CF688C">
    <w:pPr>
      <w:pStyle w:val="Footer"/>
      <w:pBdr>
        <w:top w:val="single" w:sz="4" w:space="1" w:color="214C90" w:themeColor="text2"/>
      </w:pBdr>
      <w:spacing w:line="80" w:lineRule="exact"/>
    </w:pPr>
  </w:p>
  <w:p w14:paraId="32BDD30A" w14:textId="77777777" w:rsidR="00F323B2" w:rsidRPr="003B6692" w:rsidRDefault="00F323B2" w:rsidP="00CF688C">
    <w:pPr>
      <w:pStyle w:val="Footer"/>
    </w:pPr>
    <w:r>
      <w:fldChar w:fldCharType="begin"/>
    </w:r>
    <w:r>
      <w:instrText xml:space="preserve"> PAGE   \* MERGEFORMAT </w:instrText>
    </w:r>
    <w:r>
      <w:fldChar w:fldCharType="separate"/>
    </w:r>
    <w:r w:rsidR="0075305C">
      <w:rPr>
        <w:noProof/>
      </w:rPr>
      <w:t>77</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E0387" w14:textId="77777777" w:rsidR="00F323B2" w:rsidRDefault="00F323B2" w:rsidP="00CF688C">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D712" w14:textId="77777777" w:rsidR="00F323B2" w:rsidRDefault="00F323B2" w:rsidP="0044504D">
    <w:pPr>
      <w:pStyle w:val="Footer"/>
      <w:pBdr>
        <w:top w:val="single" w:sz="4" w:space="1" w:color="214C90" w:themeColor="text2"/>
      </w:pBdr>
      <w:spacing w:line="80" w:lineRule="exact"/>
    </w:pPr>
  </w:p>
  <w:p w14:paraId="2DFDBD8F"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84</w:t>
    </w:r>
    <w:r>
      <w:rPr>
        <w:noProo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DE10F" w14:textId="77777777" w:rsidR="00F323B2" w:rsidRDefault="00F323B2" w:rsidP="0044504D">
    <w:pPr>
      <w:pStyle w:val="Footer"/>
      <w:pBdr>
        <w:top w:val="single" w:sz="4" w:space="1" w:color="214C90" w:themeColor="text2"/>
      </w:pBdr>
      <w:spacing w:line="80" w:lineRule="exact"/>
    </w:pPr>
  </w:p>
  <w:p w14:paraId="418FCBE0"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88</w: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516E5" w14:textId="77777777" w:rsidR="00F323B2" w:rsidRDefault="00F323B2" w:rsidP="0044504D">
    <w:pPr>
      <w:pStyle w:val="Footer"/>
      <w:pBdr>
        <w:top w:val="single" w:sz="4" w:space="1" w:color="214C90" w:themeColor="text2"/>
      </w:pBdr>
      <w:spacing w:line="80" w:lineRule="exact"/>
    </w:pPr>
  </w:p>
  <w:p w14:paraId="51AC3B63"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92</w:t>
    </w:r>
    <w:r>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223A2" w14:textId="77777777" w:rsidR="00F323B2" w:rsidRDefault="00F323B2" w:rsidP="0044504D">
    <w:pPr>
      <w:pStyle w:val="Footer"/>
      <w:pBdr>
        <w:top w:val="single" w:sz="4" w:space="1" w:color="214C90" w:themeColor="text2"/>
      </w:pBdr>
      <w:spacing w:line="80" w:lineRule="exact"/>
    </w:pPr>
  </w:p>
  <w:p w14:paraId="1D2DD97E"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94</w:t>
    </w:r>
    <w:r>
      <w:rPr>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4E8AC" w14:textId="77777777" w:rsidR="00F323B2" w:rsidRDefault="00F323B2" w:rsidP="00CF688C">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D942C" w14:textId="77777777" w:rsidR="00F323B2" w:rsidRDefault="00F323B2" w:rsidP="00CF688C">
    <w:pPr>
      <w:pStyle w:val="Footer"/>
      <w:pBdr>
        <w:top w:val="single" w:sz="4" w:space="1" w:color="214C90" w:themeColor="text2"/>
      </w:pBdr>
      <w:spacing w:line="80" w:lineRule="exact"/>
    </w:pPr>
  </w:p>
  <w:p w14:paraId="472A25CA" w14:textId="77777777" w:rsidR="00F323B2" w:rsidRPr="003B6692" w:rsidRDefault="00F323B2" w:rsidP="00CF688C">
    <w:pPr>
      <w:pStyle w:val="Footer"/>
    </w:pPr>
    <w:r>
      <w:fldChar w:fldCharType="begin"/>
    </w:r>
    <w:r>
      <w:instrText xml:space="preserve"> PAGE   \* MERGEFORMAT </w:instrText>
    </w:r>
    <w:r>
      <w:fldChar w:fldCharType="separate"/>
    </w:r>
    <w:r w:rsidR="0075305C">
      <w:rPr>
        <w:noProof/>
      </w:rPr>
      <w:t>98</w:t>
    </w:r>
    <w:r>
      <w:rPr>
        <w:noProof/>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E1C26" w14:textId="77777777" w:rsidR="00F323B2" w:rsidRDefault="00F323B2" w:rsidP="00CF688C">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53C20" w14:textId="77777777" w:rsidR="00F323B2" w:rsidRDefault="00F323B2" w:rsidP="00CF688C">
    <w:pPr>
      <w:pStyle w:val="Footer"/>
      <w:pBdr>
        <w:top w:val="single" w:sz="4" w:space="1" w:color="214C90" w:themeColor="text2"/>
      </w:pBdr>
      <w:spacing w:line="80" w:lineRule="exact"/>
    </w:pPr>
  </w:p>
  <w:p w14:paraId="3E107CC7" w14:textId="77777777" w:rsidR="00F323B2" w:rsidRPr="003B6692" w:rsidRDefault="00F323B2" w:rsidP="00CF688C">
    <w:pPr>
      <w:pStyle w:val="Footer"/>
    </w:pPr>
    <w:r>
      <w:fldChar w:fldCharType="begin"/>
    </w:r>
    <w:r>
      <w:instrText xml:space="preserve"> PAGE   \* MERGEFORMAT </w:instrText>
    </w:r>
    <w:r>
      <w:fldChar w:fldCharType="separate"/>
    </w:r>
    <w:r w:rsidR="0075305C">
      <w:rPr>
        <w:noProof/>
      </w:rPr>
      <w:t>103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9C626" w14:textId="77777777" w:rsidR="00F323B2" w:rsidRDefault="00F323B2" w:rsidP="0044504D">
    <w:pPr>
      <w:pStyle w:val="Footer"/>
      <w:pBdr>
        <w:top w:val="single" w:sz="4" w:space="1" w:color="214C90" w:themeColor="text2"/>
      </w:pBdr>
      <w:spacing w:line="80" w:lineRule="exact"/>
    </w:pPr>
  </w:p>
  <w:p w14:paraId="2A636A6F"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i</w:t>
    </w:r>
    <w:r>
      <w:rPr>
        <w:noProof/>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6DA91" w14:textId="77777777" w:rsidR="00F323B2" w:rsidRDefault="00F323B2" w:rsidP="00CF688C">
    <w:pPr>
      <w:pStyle w:val="Footer"/>
      <w:pBdr>
        <w:top w:val="single" w:sz="4" w:space="1" w:color="214C90" w:themeColor="text2"/>
      </w:pBdr>
      <w:spacing w:line="80" w:lineRule="exact"/>
    </w:pPr>
  </w:p>
  <w:p w14:paraId="701BDB31" w14:textId="77777777" w:rsidR="00F323B2" w:rsidRPr="003B6692" w:rsidRDefault="00F323B2" w:rsidP="00CF688C">
    <w:pPr>
      <w:pStyle w:val="Footer"/>
    </w:pPr>
    <w:r>
      <w:fldChar w:fldCharType="begin"/>
    </w:r>
    <w:r>
      <w:instrText xml:space="preserve"> PAGE   \* MERGEFORMAT </w:instrText>
    </w:r>
    <w:r>
      <w:fldChar w:fldCharType="separate"/>
    </w:r>
    <w:r w:rsidR="0075305C">
      <w:rPr>
        <w:noProof/>
      </w:rPr>
      <w:t>116</w:t>
    </w:r>
    <w:r>
      <w:rPr>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A4E67" w14:textId="77777777" w:rsidR="00F323B2" w:rsidRDefault="00F323B2" w:rsidP="001A440E">
    <w:pPr>
      <w:pStyle w:val="Footer"/>
    </w:pPr>
    <w:bookmarkStart w:id="207" w:name="_Hlk50052262"/>
    <w:bookmarkStart w:id="208" w:name="_Hlk50052263"/>
    <w:bookmarkEnd w:id="207"/>
    <w:bookmarkEnd w:id="208"/>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DEB8C" w14:textId="77777777" w:rsidR="00F323B2" w:rsidRDefault="00F323B2" w:rsidP="001A440E">
    <w:pPr>
      <w:pStyle w:val="Footer"/>
      <w:pBdr>
        <w:top w:val="single" w:sz="4" w:space="1" w:color="214C90" w:themeColor="text2"/>
      </w:pBdr>
      <w:spacing w:before="200" w:line="80" w:lineRule="exact"/>
    </w:pPr>
  </w:p>
  <w:p w14:paraId="68822DC7" w14:textId="77777777" w:rsidR="00F323B2" w:rsidRDefault="00F323B2" w:rsidP="006E46E7">
    <w:pPr>
      <w:pStyle w:val="Footer"/>
    </w:pPr>
    <w:r>
      <w:fldChar w:fldCharType="begin"/>
    </w:r>
    <w:r>
      <w:instrText xml:space="preserve"> PAGE   \* MERGEFORMAT </w:instrText>
    </w:r>
    <w:r>
      <w:fldChar w:fldCharType="separate"/>
    </w:r>
    <w:r w:rsidR="0075305C">
      <w:rPr>
        <w:noProof/>
      </w:rPr>
      <w:t>127</w:t>
    </w:r>
    <w:r>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B12AF" w14:textId="77777777" w:rsidR="00F323B2" w:rsidRDefault="00F323B2" w:rsidP="001A440E">
    <w:pPr>
      <w:pStyle w:val="Footer"/>
    </w:pPr>
    <w:bookmarkStart w:id="209" w:name="_Hlk50052258"/>
    <w:bookmarkStart w:id="210" w:name="_Hlk50052259"/>
    <w:bookmarkEnd w:id="209"/>
    <w:bookmarkEnd w:id="210"/>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D9574" w14:textId="77777777" w:rsidR="00F323B2" w:rsidRDefault="00F323B2" w:rsidP="00CF688C">
    <w:pPr>
      <w:pStyle w:val="Footer"/>
      <w:pBdr>
        <w:top w:val="single" w:sz="4" w:space="1" w:color="214C90" w:themeColor="text2"/>
      </w:pBdr>
      <w:spacing w:before="200" w:line="80" w:lineRule="exact"/>
    </w:pPr>
  </w:p>
  <w:p w14:paraId="662B50EA" w14:textId="77777777" w:rsidR="00F323B2" w:rsidRDefault="00F323B2" w:rsidP="00E02031">
    <w:pPr>
      <w:pStyle w:val="Footer"/>
    </w:pPr>
    <w:r>
      <w:fldChar w:fldCharType="begin"/>
    </w:r>
    <w:r>
      <w:instrText xml:space="preserve"> PAGE   \* MERGEFORMAT </w:instrText>
    </w:r>
    <w:r>
      <w:fldChar w:fldCharType="separate"/>
    </w:r>
    <w:r w:rsidR="0075305C">
      <w:rPr>
        <w:noProof/>
      </w:rPr>
      <w:t>130</w:t>
    </w:r>
    <w:r>
      <w:rPr>
        <w:noProof/>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62950" w14:textId="77777777" w:rsidR="00F323B2" w:rsidRDefault="00F323B2" w:rsidP="00CF688C">
    <w:pPr>
      <w:pStyle w:val="Footer"/>
      <w:pBdr>
        <w:top w:val="single" w:sz="4" w:space="1" w:color="214C90" w:themeColor="text2"/>
      </w:pBdr>
      <w:spacing w:before="200" w:line="80" w:lineRule="exact"/>
    </w:pPr>
  </w:p>
  <w:p w14:paraId="3A3B9DEE" w14:textId="77777777" w:rsidR="00F323B2" w:rsidRDefault="00F323B2" w:rsidP="00E02031">
    <w:pPr>
      <w:pStyle w:val="Footer"/>
    </w:pPr>
    <w:r>
      <w:fldChar w:fldCharType="begin"/>
    </w:r>
    <w:r>
      <w:instrText xml:space="preserve"> PAGE   \* MERGEFORMAT </w:instrText>
    </w:r>
    <w:r>
      <w:fldChar w:fldCharType="separate"/>
    </w:r>
    <w:r w:rsidR="0075305C">
      <w:rPr>
        <w:noProof/>
      </w:rPr>
      <w:t>151</w: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223B0" w14:textId="77777777" w:rsidR="00F323B2" w:rsidRDefault="00F323B2" w:rsidP="0044504D">
    <w:pPr>
      <w:pStyle w:val="Footer"/>
      <w:pBdr>
        <w:top w:val="single" w:sz="4" w:space="1" w:color="214C90" w:themeColor="text2"/>
      </w:pBdr>
      <w:spacing w:line="80" w:lineRule="exact"/>
    </w:pPr>
  </w:p>
  <w:p w14:paraId="62E00348"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209</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49A14" w14:textId="77777777" w:rsidR="00F323B2" w:rsidRDefault="00F323B2" w:rsidP="0044504D">
    <w:pPr>
      <w:pStyle w:val="Footer"/>
      <w:pBdr>
        <w:top w:val="single" w:sz="4" w:space="1" w:color="214C90" w:themeColor="text2"/>
      </w:pBdr>
      <w:spacing w:line="80" w:lineRule="exact"/>
    </w:pPr>
  </w:p>
  <w:p w14:paraId="40B7D36C"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xiii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65EB3" w14:textId="77777777" w:rsidR="00F323B2" w:rsidRDefault="00F323B2" w:rsidP="0044504D">
    <w:pPr>
      <w:pStyle w:val="Footer"/>
      <w:pBdr>
        <w:top w:val="single" w:sz="4" w:space="1" w:color="214C90" w:themeColor="text2"/>
      </w:pBdr>
      <w:spacing w:line="80" w:lineRule="exact"/>
    </w:pPr>
  </w:p>
  <w:p w14:paraId="0C5BD39E"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xix</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B31A2" w14:textId="77777777" w:rsidR="00F323B2" w:rsidRDefault="00F323B2" w:rsidP="0044504D">
    <w:pPr>
      <w:pStyle w:val="Footer"/>
      <w:pBdr>
        <w:top w:val="single" w:sz="4" w:space="1" w:color="214C90" w:themeColor="text2"/>
      </w:pBdr>
      <w:spacing w:line="80" w:lineRule="exact"/>
    </w:pPr>
  </w:p>
  <w:p w14:paraId="421BD198"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14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817D4" w14:textId="77777777" w:rsidR="00F323B2" w:rsidRDefault="00F323B2" w:rsidP="0044504D">
    <w:pPr>
      <w:pStyle w:val="Footer"/>
      <w:pBdr>
        <w:top w:val="single" w:sz="4" w:space="1" w:color="214C90" w:themeColor="text2"/>
      </w:pBdr>
      <w:spacing w:line="80" w:lineRule="exact"/>
    </w:pPr>
  </w:p>
  <w:p w14:paraId="0546FBF5"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16</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4F5D2" w14:textId="77777777" w:rsidR="00F323B2" w:rsidRDefault="00F323B2" w:rsidP="0044504D">
    <w:pPr>
      <w:pStyle w:val="Footer"/>
      <w:pBdr>
        <w:top w:val="single" w:sz="4" w:space="1" w:color="214C90" w:themeColor="text2"/>
      </w:pBdr>
      <w:spacing w:line="80" w:lineRule="exact"/>
    </w:pPr>
  </w:p>
  <w:p w14:paraId="38976A35" w14:textId="77777777" w:rsidR="00F323B2" w:rsidRPr="003B6692" w:rsidRDefault="00F323B2" w:rsidP="003B6692">
    <w:pPr>
      <w:pStyle w:val="Footer"/>
    </w:pPr>
    <w:r>
      <w:fldChar w:fldCharType="begin"/>
    </w:r>
    <w:r>
      <w:instrText xml:space="preserve"> PAGE   \* MERGEFORMAT </w:instrText>
    </w:r>
    <w:r>
      <w:fldChar w:fldCharType="separate"/>
    </w:r>
    <w:r w:rsidR="0075305C">
      <w:rPr>
        <w:noProof/>
      </w:rPr>
      <w:t>17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D37E0" w14:textId="77777777" w:rsidR="00E945FF" w:rsidRDefault="00E945FF" w:rsidP="0044504D">
    <w:pPr>
      <w:pStyle w:val="Footer"/>
      <w:pBdr>
        <w:top w:val="single" w:sz="4" w:space="1" w:color="214C90" w:themeColor="text2"/>
      </w:pBdr>
      <w:spacing w:line="80" w:lineRule="exact"/>
    </w:pPr>
  </w:p>
  <w:p w14:paraId="3A1548EB" w14:textId="77777777" w:rsidR="00E945FF" w:rsidRPr="003B6692" w:rsidRDefault="00E945FF" w:rsidP="003B6692">
    <w:pPr>
      <w:pStyle w:val="Footer"/>
    </w:pPr>
    <w:r>
      <w:fldChar w:fldCharType="begin"/>
    </w:r>
    <w:r>
      <w:instrText xml:space="preserve"> PAGE   \* MERGEFORMAT </w:instrText>
    </w:r>
    <w:r>
      <w:fldChar w:fldCharType="separate"/>
    </w:r>
    <w:r w:rsidR="0075305C">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B915B" w14:textId="77777777" w:rsidR="00AB0636" w:rsidRPr="0022372B" w:rsidRDefault="00AB0636" w:rsidP="0022372B">
      <w:pPr>
        <w:pStyle w:val="Footer"/>
        <w:spacing w:after="80" w:line="240" w:lineRule="auto"/>
        <w:jc w:val="left"/>
        <w:rPr>
          <w:color w:val="A9A8A9" w:themeColor="accent4"/>
          <w:sz w:val="16"/>
          <w:szCs w:val="16"/>
        </w:rPr>
      </w:pPr>
      <w:r w:rsidRPr="0022372B">
        <w:rPr>
          <w:color w:val="A9A8A9" w:themeColor="accent4"/>
          <w:sz w:val="16"/>
          <w:szCs w:val="16"/>
        </w:rPr>
        <w:t>_________________________________</w:t>
      </w:r>
    </w:p>
  </w:footnote>
  <w:footnote w:type="continuationSeparator" w:id="0">
    <w:p w14:paraId="4EC0B4C8" w14:textId="77777777" w:rsidR="00AB0636" w:rsidRPr="0022372B" w:rsidRDefault="00AB0636" w:rsidP="0022372B">
      <w:pPr>
        <w:pStyle w:val="Footer"/>
        <w:spacing w:after="80" w:line="240" w:lineRule="auto"/>
        <w:jc w:val="left"/>
        <w:rPr>
          <w:color w:val="A9A8A9" w:themeColor="accent4"/>
          <w:sz w:val="16"/>
          <w:szCs w:val="16"/>
        </w:rPr>
      </w:pPr>
      <w:r w:rsidRPr="0022372B">
        <w:rPr>
          <w:color w:val="A9A8A9" w:themeColor="accent4"/>
          <w:sz w:val="16"/>
          <w:szCs w:val="16"/>
        </w:rPr>
        <w:t>_________________________________</w:t>
      </w:r>
    </w:p>
  </w:footnote>
  <w:footnote w:type="continuationNotice" w:id="1">
    <w:p w14:paraId="3DC4717B" w14:textId="77777777" w:rsidR="00AB0636" w:rsidRPr="00A176B6" w:rsidRDefault="00AB0636" w:rsidP="00A176B6">
      <w:pPr>
        <w:spacing w:line="160" w:lineRule="exact"/>
        <w:rPr>
          <w:sz w:val="16"/>
          <w:szCs w:val="16"/>
        </w:rPr>
      </w:pPr>
    </w:p>
  </w:footnote>
  <w:footnote w:id="2">
    <w:p w14:paraId="364DB0F1" w14:textId="77777777" w:rsidR="00F323B2" w:rsidRPr="00710DCB" w:rsidRDefault="00F323B2" w:rsidP="00DA7043">
      <w:pPr>
        <w:pStyle w:val="FootnoteText"/>
        <w:spacing w:before="20" w:after="20"/>
      </w:pPr>
      <w:r w:rsidRPr="00710DCB">
        <w:rPr>
          <w:rStyle w:val="FootnoteReference"/>
        </w:rPr>
        <w:footnoteRef/>
      </w:r>
      <w:r w:rsidRPr="00710DCB">
        <w:t xml:space="preserve"> </w:t>
      </w:r>
      <w:r w:rsidRPr="00710DCB">
        <w:tab/>
        <w:t xml:space="preserve">The term ‘natural monopoly’ is used to refer to a situation where a single firm can supply a market at a lower overall cost than if it were supplied by multiple firms. </w:t>
      </w:r>
    </w:p>
  </w:footnote>
  <w:footnote w:id="3">
    <w:p w14:paraId="5D89D7A7" w14:textId="77777777" w:rsidR="00F323B2" w:rsidRDefault="00F323B2">
      <w:pPr>
        <w:pStyle w:val="FootnoteText"/>
      </w:pPr>
      <w:r>
        <w:rPr>
          <w:rStyle w:val="FootnoteReference"/>
        </w:rPr>
        <w:footnoteRef/>
      </w:r>
      <w:r>
        <w:t xml:space="preserve"> </w:t>
      </w:r>
      <w:r>
        <w:tab/>
      </w:r>
      <w:r w:rsidRPr="00710DCB">
        <w:t>ACCC, Inquiry into the east coast gas market, April 2016.</w:t>
      </w:r>
    </w:p>
  </w:footnote>
  <w:footnote w:id="4">
    <w:p w14:paraId="0C231429" w14:textId="77777777" w:rsidR="00F323B2" w:rsidRDefault="00F323B2">
      <w:pPr>
        <w:pStyle w:val="FootnoteText"/>
      </w:pPr>
      <w:r>
        <w:rPr>
          <w:rStyle w:val="FootnoteReference"/>
        </w:rPr>
        <w:footnoteRef/>
      </w:r>
      <w:r>
        <w:t xml:space="preserve"> </w:t>
      </w:r>
      <w:r>
        <w:tab/>
      </w:r>
      <w:r w:rsidRPr="00710DCB">
        <w:rPr>
          <w:szCs w:val="16"/>
        </w:rPr>
        <w:t>AEMC, Stage 2 Final Report: East Coast Wholesale Gas Markets and Pipeline Frameworks Review, 23 May 2016</w:t>
      </w:r>
      <w:r>
        <w:rPr>
          <w:szCs w:val="16"/>
        </w:rPr>
        <w:t>.</w:t>
      </w:r>
      <w:r w:rsidRPr="00710DCB">
        <w:rPr>
          <w:szCs w:val="16"/>
        </w:rPr>
        <w:t xml:space="preserve"> </w:t>
      </w:r>
    </w:p>
  </w:footnote>
  <w:footnote w:id="5">
    <w:p w14:paraId="38C9315A" w14:textId="77777777" w:rsidR="00F323B2" w:rsidRDefault="00F323B2">
      <w:pPr>
        <w:pStyle w:val="FootnoteText"/>
      </w:pPr>
      <w:r>
        <w:rPr>
          <w:rStyle w:val="FootnoteReference"/>
        </w:rPr>
        <w:footnoteRef/>
      </w:r>
      <w:r>
        <w:t xml:space="preserve"> </w:t>
      </w:r>
      <w:r>
        <w:tab/>
      </w:r>
      <w:r w:rsidRPr="00710DCB">
        <w:t>Vertigan, M., Examination of the current test for the regulation of gas pipelines, 14 December 2016</w:t>
      </w:r>
      <w:r>
        <w:t>.</w:t>
      </w:r>
    </w:p>
  </w:footnote>
  <w:footnote w:id="6">
    <w:p w14:paraId="197715FA" w14:textId="77777777" w:rsidR="00F323B2" w:rsidRDefault="00F323B2">
      <w:pPr>
        <w:pStyle w:val="FootnoteText"/>
      </w:pPr>
      <w:r>
        <w:rPr>
          <w:rStyle w:val="FootnoteReference"/>
        </w:rPr>
        <w:footnoteRef/>
      </w:r>
      <w:r>
        <w:t xml:space="preserve"> </w:t>
      </w:r>
      <w:r>
        <w:tab/>
      </w:r>
      <w:r w:rsidRPr="00710DCB">
        <w:t>ACCC, Inquiry into the east coast gas market, April 2016</w:t>
      </w:r>
      <w:r>
        <w:t xml:space="preserve"> and </w:t>
      </w:r>
      <w:r w:rsidRPr="00710DCB">
        <w:t>Vertigan, M., Examination of the current test for the regulation of gas pipelines, 14 December 2016</w:t>
      </w:r>
      <w:r>
        <w:t>.</w:t>
      </w:r>
    </w:p>
  </w:footnote>
  <w:footnote w:id="7">
    <w:p w14:paraId="0892C7DA" w14:textId="77777777" w:rsidR="00F323B2" w:rsidRDefault="00F323B2" w:rsidP="00644B67">
      <w:pPr>
        <w:pStyle w:val="FootnoteText"/>
      </w:pPr>
      <w:r>
        <w:rPr>
          <w:rStyle w:val="FootnoteReference"/>
        </w:rPr>
        <w:footnoteRef/>
      </w:r>
      <w:r>
        <w:t xml:space="preserve"> </w:t>
      </w:r>
      <w:r>
        <w:tab/>
        <w:t>AEMC, Final Report: Review into the scope of economic regulation applied to covered pipelines, 3 July 2018.</w:t>
      </w:r>
    </w:p>
  </w:footnote>
  <w:footnote w:id="8">
    <w:p w14:paraId="0209BA3C" w14:textId="77777777" w:rsidR="00F323B2" w:rsidRDefault="00F323B2" w:rsidP="00644B67">
      <w:pPr>
        <w:pStyle w:val="FootnoteText"/>
      </w:pPr>
      <w:r>
        <w:rPr>
          <w:rStyle w:val="FootnoteReference"/>
        </w:rPr>
        <w:footnoteRef/>
      </w:r>
      <w:r>
        <w:t xml:space="preserve"> </w:t>
      </w:r>
      <w:r>
        <w:tab/>
      </w:r>
      <w:r w:rsidRPr="00710DCB">
        <w:t>ACCC, Gas inquiry report 2017-2020 Interim report, July 2019.</w:t>
      </w:r>
    </w:p>
  </w:footnote>
  <w:footnote w:id="9">
    <w:p w14:paraId="4A3A4093" w14:textId="77777777" w:rsidR="00F323B2" w:rsidRDefault="00F323B2">
      <w:pPr>
        <w:pStyle w:val="FootnoteText"/>
      </w:pPr>
      <w:r>
        <w:rPr>
          <w:rStyle w:val="FootnoteReference"/>
        </w:rPr>
        <w:footnoteRef/>
      </w:r>
      <w:r>
        <w:t xml:space="preserve"> </w:t>
      </w:r>
      <w:r>
        <w:tab/>
        <w:t>GMRG, Advice to the former COAG Energy Council on the retention of light regulation, February 2018.</w:t>
      </w:r>
    </w:p>
  </w:footnote>
  <w:footnote w:id="10">
    <w:p w14:paraId="37CC2AC3" w14:textId="77777777" w:rsidR="00F323B2" w:rsidRDefault="00F323B2">
      <w:pPr>
        <w:pStyle w:val="FootnoteText"/>
      </w:pPr>
      <w:r>
        <w:rPr>
          <w:rStyle w:val="FootnoteReference"/>
        </w:rPr>
        <w:footnoteRef/>
      </w:r>
      <w:r>
        <w:t xml:space="preserve"> </w:t>
      </w:r>
      <w:r>
        <w:tab/>
        <w:t xml:space="preserve">NERA, International Review of Pipeline Regulation, 28 June 2019. </w:t>
      </w:r>
    </w:p>
  </w:footnote>
  <w:footnote w:id="11">
    <w:p w14:paraId="2E913FC6" w14:textId="77777777" w:rsidR="00F323B2" w:rsidRPr="00B40717" w:rsidRDefault="00F323B2" w:rsidP="00644B67">
      <w:pPr>
        <w:pStyle w:val="FootnoteText"/>
      </w:pPr>
      <w:r>
        <w:rPr>
          <w:rStyle w:val="FootnoteReference"/>
        </w:rPr>
        <w:footnoteRef/>
      </w:r>
      <w:r>
        <w:t xml:space="preserve"> </w:t>
      </w:r>
      <w:r>
        <w:tab/>
        <w:t>Brattle</w:t>
      </w:r>
      <w:r w:rsidRPr="00710DCB">
        <w:t xml:space="preserve">, Financial Information Disclosed by Gas Pipelines in Australia Under Part 23 of the National Gas Rules, </w:t>
      </w:r>
      <w:r w:rsidRPr="00B40717">
        <w:t>August 2019</w:t>
      </w:r>
      <w:r>
        <w:t>.</w:t>
      </w:r>
    </w:p>
  </w:footnote>
  <w:footnote w:id="12">
    <w:p w14:paraId="15486CF8" w14:textId="77777777" w:rsidR="00F323B2" w:rsidRDefault="00F323B2" w:rsidP="00644B67">
      <w:pPr>
        <w:pStyle w:val="FootnoteText"/>
      </w:pPr>
      <w:r w:rsidRPr="00B40717">
        <w:rPr>
          <w:rStyle w:val="FootnoteReference"/>
        </w:rPr>
        <w:footnoteRef/>
      </w:r>
      <w:r w:rsidRPr="00B40717">
        <w:t xml:space="preserve"> </w:t>
      </w:r>
      <w:r w:rsidRPr="00B40717">
        <w:tab/>
        <w:t>OGW, Gas Shippers Survey, September 2019.</w:t>
      </w:r>
      <w:r>
        <w:t xml:space="preserve"> </w:t>
      </w:r>
    </w:p>
  </w:footnote>
  <w:footnote w:id="13">
    <w:p w14:paraId="5F828AE2" w14:textId="59F76101" w:rsidR="000A15BD" w:rsidRDefault="000A15BD">
      <w:pPr>
        <w:pStyle w:val="FootnoteText"/>
      </w:pPr>
      <w:r>
        <w:rPr>
          <w:rStyle w:val="FootnoteReference"/>
        </w:rPr>
        <w:footnoteRef/>
      </w:r>
      <w:r>
        <w:t xml:space="preserve"> </w:t>
      </w:r>
      <w:r>
        <w:tab/>
      </w:r>
      <w:r w:rsidR="00733696">
        <w:t xml:space="preserve">This may occur </w:t>
      </w:r>
      <w:r>
        <w:t>because of under-regulation, or because the threat of a stronger form of regulation being applied or the dispute mechanism being triggered is not credible</w:t>
      </w:r>
      <w:r w:rsidR="00733696">
        <w:t xml:space="preserve">. </w:t>
      </w:r>
    </w:p>
  </w:footnote>
  <w:footnote w:id="14">
    <w:p w14:paraId="16891800" w14:textId="77777777" w:rsidR="00F323B2" w:rsidRDefault="00F323B2">
      <w:pPr>
        <w:pStyle w:val="FootnoteText"/>
      </w:pPr>
      <w:r>
        <w:rPr>
          <w:rStyle w:val="FootnoteReference"/>
        </w:rPr>
        <w:footnoteRef/>
      </w:r>
      <w:r>
        <w:t xml:space="preserve"> </w:t>
      </w:r>
      <w:r>
        <w:tab/>
        <w:t>The National Gas Objective is set out in section 23 of the NGL:</w:t>
      </w:r>
    </w:p>
    <w:p w14:paraId="246A6A6E" w14:textId="77777777" w:rsidR="00F323B2" w:rsidRPr="001237F2" w:rsidRDefault="00F323B2">
      <w:pPr>
        <w:pStyle w:val="FootnoteText"/>
        <w:rPr>
          <w:i/>
          <w:iCs/>
        </w:rPr>
      </w:pPr>
      <w:r w:rsidRPr="001237F2">
        <w:rPr>
          <w:i/>
          <w:iCs/>
        </w:rPr>
        <w:tab/>
        <w:t>“</w:t>
      </w:r>
      <w:r>
        <w:rPr>
          <w:i/>
          <w:iCs/>
        </w:rPr>
        <w:t xml:space="preserve">The objective of this Law is to </w:t>
      </w:r>
      <w:r w:rsidRPr="001237F2">
        <w:rPr>
          <w:i/>
          <w:iCs/>
        </w:rPr>
        <w:t>promote efficient investment in, and efficient operation and use of, natural gas services for the long term interests of consumers of natural gas with respect to price, quality, safety, reliability and security of supply of natural gas.”</w:t>
      </w:r>
    </w:p>
  </w:footnote>
  <w:footnote w:id="15">
    <w:p w14:paraId="2181BACE" w14:textId="77777777" w:rsidR="00F323B2" w:rsidRDefault="00F323B2" w:rsidP="003D5954">
      <w:pPr>
        <w:pStyle w:val="FootnoteText"/>
      </w:pPr>
      <w:r>
        <w:rPr>
          <w:rStyle w:val="FootnoteReference"/>
        </w:rPr>
        <w:footnoteRef/>
      </w:r>
      <w:r>
        <w:t xml:space="preserve"> </w:t>
      </w:r>
      <w:r>
        <w:tab/>
      </w:r>
      <w:r w:rsidRPr="00807EA1">
        <w:t xml:space="preserve">Energy </w:t>
      </w:r>
      <w:r>
        <w:t>Ministers</w:t>
      </w:r>
      <w:r w:rsidRPr="00623324">
        <w:rPr>
          <w:rFonts w:cs="Arial"/>
          <w:color w:val="000000"/>
          <w:szCs w:val="16"/>
        </w:rPr>
        <w:t xml:space="preserve">, Australian Gas Market Vision, December 2014 </w:t>
      </w:r>
    </w:p>
  </w:footnote>
  <w:footnote w:id="16">
    <w:p w14:paraId="08E83733" w14:textId="77777777" w:rsidR="00F323B2" w:rsidRDefault="00F323B2">
      <w:pPr>
        <w:pStyle w:val="FootnoteText"/>
      </w:pPr>
      <w:r>
        <w:rPr>
          <w:rStyle w:val="FootnoteReference"/>
        </w:rPr>
        <w:footnoteRef/>
      </w:r>
      <w:r>
        <w:t xml:space="preserve"> </w:t>
      </w:r>
      <w:r>
        <w:tab/>
        <w:t>COAG Energy Council, Terms of Reference of the Gas Pipeline RIS, 21 December 2018.</w:t>
      </w:r>
    </w:p>
  </w:footnote>
  <w:footnote w:id="17">
    <w:p w14:paraId="4F9A4225" w14:textId="77777777" w:rsidR="00F323B2" w:rsidRDefault="00F323B2" w:rsidP="00565021">
      <w:pPr>
        <w:pStyle w:val="FootnoteText"/>
        <w:spacing w:before="0" w:after="0"/>
      </w:pPr>
      <w:r>
        <w:rPr>
          <w:rStyle w:val="FootnoteReference"/>
        </w:rPr>
        <w:footnoteRef/>
      </w:r>
      <w:r>
        <w:t xml:space="preserve"> </w:t>
      </w:r>
      <w:r>
        <w:tab/>
        <w:t xml:space="preserve">Note the NSW Business Chamber stated in its submission that it supported the EUAA’s submission. So, for the purposes of assessing the stakeholder feedback, it has been assumed to hold the same view unless a contrary view is expressed in its submission. </w:t>
      </w:r>
    </w:p>
  </w:footnote>
  <w:footnote w:id="18">
    <w:p w14:paraId="6BE85C22" w14:textId="77777777" w:rsidR="00F323B2" w:rsidRDefault="00F323B2" w:rsidP="00565021">
      <w:pPr>
        <w:pStyle w:val="FootnoteText"/>
        <w:spacing w:before="0" w:after="0"/>
      </w:pPr>
      <w:r>
        <w:rPr>
          <w:rStyle w:val="FootnoteReference"/>
        </w:rPr>
        <w:footnoteRef/>
      </w:r>
      <w:r>
        <w:t xml:space="preserve"> </w:t>
      </w:r>
      <w:r>
        <w:tab/>
        <w:t xml:space="preserve">Copies of the non-confidential submissions can be found on the </w:t>
      </w:r>
      <w:r w:rsidRPr="00807EA1">
        <w:t xml:space="preserve">Energy </w:t>
      </w:r>
      <w:r>
        <w:t xml:space="preserve">Ministers’ website See </w:t>
      </w:r>
      <w:hyperlink r:id="rId1" w:history="1">
        <w:r w:rsidRPr="005A0043">
          <w:rPr>
            <w:rStyle w:val="Hyperlink"/>
          </w:rPr>
          <w:t>http://www.coagenergycouncil.gov.au/publications/council-releases-gas-pipeline-regulation-impact-statement-consultation</w:t>
        </w:r>
      </w:hyperlink>
      <w:r>
        <w:t xml:space="preserve"> </w:t>
      </w:r>
    </w:p>
  </w:footnote>
  <w:footnote w:id="19">
    <w:p w14:paraId="4C236442" w14:textId="77777777" w:rsidR="00F323B2" w:rsidRDefault="00F323B2" w:rsidP="00530056">
      <w:pPr>
        <w:pStyle w:val="FootnoteText"/>
        <w:spacing w:before="0" w:after="0"/>
      </w:pPr>
      <w:r>
        <w:rPr>
          <w:rStyle w:val="FootnoteReference"/>
        </w:rPr>
        <w:footnoteRef/>
      </w:r>
      <w:r>
        <w:t xml:space="preserve"> </w:t>
      </w:r>
      <w:r>
        <w:tab/>
        <w:t>The start-up cost for Option 3B is estimated to be just $0.72 m higher than it is under options 2 and 3A and the ongoing costs are estimated to be $0.44 m p.a. higher than the equivalent costs under Option 3A and $1.75 m p.a. higher than the costs under Option 2.</w:t>
      </w:r>
    </w:p>
  </w:footnote>
  <w:footnote w:id="20">
    <w:p w14:paraId="3E0DA457" w14:textId="77777777" w:rsidR="00A10DAE" w:rsidRPr="00AD3C9B" w:rsidRDefault="00A10DAE" w:rsidP="00A10DAE">
      <w:pPr>
        <w:pStyle w:val="FootnoteText"/>
        <w:rPr>
          <w:szCs w:val="16"/>
        </w:rPr>
      </w:pPr>
      <w:r>
        <w:rPr>
          <w:rStyle w:val="FootnoteReference"/>
        </w:rPr>
        <w:footnoteRef/>
      </w:r>
      <w:r>
        <w:t xml:space="preserve"> </w:t>
      </w:r>
      <w:r>
        <w:tab/>
        <w:t xml:space="preserve">For example, because the pipeline has been developed as a result of a competitive process with the terms and </w:t>
      </w:r>
      <w:r w:rsidRPr="00AD3C9B">
        <w:rPr>
          <w:szCs w:val="16"/>
        </w:rPr>
        <w:t>conditions of that process made available to other users, or there are some other constraints that are expected to pose a constraint on the exercise of market power over the exemption period.</w:t>
      </w:r>
    </w:p>
  </w:footnote>
  <w:footnote w:id="21">
    <w:p w14:paraId="512FB0CB" w14:textId="41EF97BF" w:rsidR="00143938" w:rsidRPr="00AD3C9B" w:rsidRDefault="00143938">
      <w:pPr>
        <w:pStyle w:val="FootnoteText"/>
        <w:rPr>
          <w:szCs w:val="16"/>
        </w:rPr>
      </w:pPr>
      <w:r w:rsidRPr="00AD3C9B">
        <w:rPr>
          <w:rStyle w:val="FootnoteReference"/>
          <w:szCs w:val="16"/>
        </w:rPr>
        <w:footnoteRef/>
      </w:r>
      <w:r w:rsidRPr="00AD3C9B">
        <w:rPr>
          <w:szCs w:val="16"/>
        </w:rPr>
        <w:t xml:space="preserve"> </w:t>
      </w:r>
      <w:r w:rsidRPr="00AD3C9B">
        <w:rPr>
          <w:szCs w:val="16"/>
        </w:rPr>
        <w:tab/>
      </w:r>
      <w:r w:rsidR="00306017" w:rsidRPr="00AD3C9B">
        <w:rPr>
          <w:rFonts w:eastAsia="Calibri"/>
          <w:szCs w:val="16"/>
        </w:rPr>
        <w:t xml:space="preserve">Price discrimination will in most cases be efficiency enhancing. </w:t>
      </w:r>
      <w:r w:rsidR="009F5D3A" w:rsidRPr="00AD3C9B">
        <w:rPr>
          <w:rFonts w:eastAsia="Calibri"/>
          <w:szCs w:val="16"/>
        </w:rPr>
        <w:t xml:space="preserve">A notable </w:t>
      </w:r>
      <w:r w:rsidR="00306017" w:rsidRPr="00AD3C9B">
        <w:rPr>
          <w:rFonts w:eastAsia="Calibri"/>
          <w:szCs w:val="16"/>
        </w:rPr>
        <w:t xml:space="preserve">exception to this is when a service provider favours an affiliate. </w:t>
      </w:r>
      <w:r w:rsidR="009F5D3A" w:rsidRPr="00AD3C9B">
        <w:rPr>
          <w:rFonts w:eastAsia="Calibri"/>
          <w:szCs w:val="16"/>
        </w:rPr>
        <w:t xml:space="preserve">To prevent this form of price discrimination, the </w:t>
      </w:r>
      <w:r w:rsidR="009D548E" w:rsidRPr="00AD3C9B">
        <w:rPr>
          <w:szCs w:val="16"/>
        </w:rPr>
        <w:t>associate contract provisions</w:t>
      </w:r>
      <w:r w:rsidR="009F5D3A" w:rsidRPr="00AD3C9B">
        <w:rPr>
          <w:szCs w:val="16"/>
        </w:rPr>
        <w:t xml:space="preserve"> will be extended to all pipelines. These provisions</w:t>
      </w:r>
      <w:r w:rsidR="009D548E" w:rsidRPr="00AD3C9B">
        <w:rPr>
          <w:szCs w:val="16"/>
        </w:rPr>
        <w:t xml:space="preserve">, amongst other things, </w:t>
      </w:r>
      <w:r w:rsidR="009F5D3A" w:rsidRPr="00AD3C9B">
        <w:rPr>
          <w:szCs w:val="16"/>
        </w:rPr>
        <w:t xml:space="preserve">prohibit service providers from </w:t>
      </w:r>
      <w:r w:rsidR="00AD3C9B" w:rsidRPr="00AD3C9B">
        <w:rPr>
          <w:szCs w:val="16"/>
        </w:rPr>
        <w:t xml:space="preserve">entering into or giving effect to contracts that have an anti-competitive effect or favour an affiliate (unless approved by the relevant regulator). </w:t>
      </w:r>
    </w:p>
  </w:footnote>
  <w:footnote w:id="22">
    <w:p w14:paraId="78C989F8" w14:textId="1965DA9F" w:rsidR="00DE22DB" w:rsidRDefault="00DE22DB">
      <w:pPr>
        <w:pStyle w:val="FootnoteText"/>
      </w:pPr>
      <w:r>
        <w:rPr>
          <w:rStyle w:val="FootnoteReference"/>
        </w:rPr>
        <w:footnoteRef/>
      </w:r>
      <w:r>
        <w:t xml:space="preserve"> </w:t>
      </w:r>
      <w:r>
        <w:tab/>
        <w:t xml:space="preserve">This is to cater for situations where existing users benefit from the augmentation and should therefore contribute to the expenditure. </w:t>
      </w:r>
    </w:p>
  </w:footnote>
  <w:footnote w:id="23">
    <w:p w14:paraId="2C668349" w14:textId="77777777" w:rsidR="00A10DAE" w:rsidRPr="00AD3C9B" w:rsidRDefault="00A10DAE" w:rsidP="00A10DAE">
      <w:pPr>
        <w:pStyle w:val="FootnoteText"/>
        <w:spacing w:before="0" w:after="0"/>
        <w:rPr>
          <w:rFonts w:cstheme="minorHAnsi"/>
          <w:szCs w:val="16"/>
        </w:rPr>
      </w:pPr>
      <w:r w:rsidRPr="00AD3C9B">
        <w:rPr>
          <w:rStyle w:val="FootnoteReference"/>
          <w:szCs w:val="16"/>
        </w:rPr>
        <w:footnoteRef/>
      </w:r>
      <w:r w:rsidRPr="00AD3C9B">
        <w:rPr>
          <w:szCs w:val="16"/>
        </w:rPr>
        <w:t xml:space="preserve"> </w:t>
      </w:r>
      <w:r w:rsidRPr="00AD3C9B">
        <w:rPr>
          <w:szCs w:val="16"/>
        </w:rPr>
        <w:tab/>
      </w:r>
      <w:r w:rsidRPr="00AD3C9B">
        <w:rPr>
          <w:rFonts w:cstheme="minorHAnsi"/>
          <w:szCs w:val="16"/>
        </w:rPr>
        <w:t xml:space="preserve">The test would also be amended to: (a) allow the decision-maker to have regard to the results of the regulator’s monitoring of the service provider’s behaviour; and (b) remove the requirement </w:t>
      </w:r>
      <w:r w:rsidRPr="00AD3C9B">
        <w:rPr>
          <w:szCs w:val="16"/>
        </w:rPr>
        <w:t>to consider whether information is available to shippers to enable them to negotiate be removed, because under all of the policy options being contemplated service providers would be required to publish basic information.</w:t>
      </w:r>
    </w:p>
  </w:footnote>
  <w:footnote w:id="24">
    <w:p w14:paraId="04CA2500" w14:textId="77777777" w:rsidR="00F323B2" w:rsidRPr="00710DCB" w:rsidRDefault="00F323B2">
      <w:pPr>
        <w:pStyle w:val="FootnoteText"/>
      </w:pPr>
      <w:r w:rsidRPr="00710DCB">
        <w:rPr>
          <w:rStyle w:val="FootnoteReference"/>
        </w:rPr>
        <w:footnoteRef/>
      </w:r>
      <w:r w:rsidRPr="00710DCB">
        <w:t xml:space="preserve"> </w:t>
      </w:r>
      <w:r w:rsidRPr="00710DCB">
        <w:tab/>
      </w:r>
      <w:r w:rsidRPr="00FE74A5">
        <w:rPr>
          <w:sz w:val="18"/>
          <w:szCs w:val="18"/>
        </w:rPr>
        <w:t>Energy Senior Officials</w:t>
      </w:r>
      <w:r w:rsidRPr="00710DCB">
        <w:t>, Terms of Reference - Regulation Impact Statement on Gas Pipeline Regulation Reform, 19 December 2018.</w:t>
      </w:r>
    </w:p>
  </w:footnote>
  <w:footnote w:id="25">
    <w:p w14:paraId="59FA2F7D" w14:textId="77777777" w:rsidR="00F323B2" w:rsidRDefault="00F323B2">
      <w:pPr>
        <w:pStyle w:val="FootnoteText"/>
      </w:pPr>
      <w:r>
        <w:rPr>
          <w:rStyle w:val="FootnoteReference"/>
        </w:rPr>
        <w:footnoteRef/>
      </w:r>
      <w:r>
        <w:t xml:space="preserve"> </w:t>
      </w:r>
      <w:r>
        <w:tab/>
        <w:t xml:space="preserve">COAG Energy Council, Meeting Communique, 14 December 2016. </w:t>
      </w:r>
    </w:p>
  </w:footnote>
  <w:footnote w:id="26">
    <w:p w14:paraId="6DFCBAFB" w14:textId="77777777" w:rsidR="00F323B2" w:rsidRPr="00710DCB" w:rsidRDefault="00F323B2" w:rsidP="001749F2">
      <w:pPr>
        <w:pStyle w:val="FootnoteText"/>
        <w:spacing w:before="20" w:after="20"/>
      </w:pPr>
      <w:r w:rsidRPr="00710DCB">
        <w:rPr>
          <w:rStyle w:val="FootnoteReference"/>
        </w:rPr>
        <w:footnoteRef/>
      </w:r>
      <w:r w:rsidRPr="00710DCB">
        <w:t xml:space="preserve"> </w:t>
      </w:r>
      <w:r w:rsidRPr="00710DCB">
        <w:tab/>
        <w:t xml:space="preserve">The term ‘natural monopoly’ is used to refer to a situation where a single firm can supply a market at a lower overall cost than if it were supplied by multiple firms. </w:t>
      </w:r>
    </w:p>
  </w:footnote>
  <w:footnote w:id="27">
    <w:p w14:paraId="139E1098" w14:textId="77777777" w:rsidR="00F323B2" w:rsidRPr="00710DCB" w:rsidRDefault="00F323B2" w:rsidP="001749F2">
      <w:pPr>
        <w:pStyle w:val="FootnoteText"/>
        <w:spacing w:before="20" w:after="20"/>
      </w:pPr>
      <w:r w:rsidRPr="00710DCB">
        <w:rPr>
          <w:rStyle w:val="FootnoteReference"/>
        </w:rPr>
        <w:footnoteRef/>
      </w:r>
      <w:r w:rsidRPr="00710DCB">
        <w:t xml:space="preserve"> </w:t>
      </w:r>
      <w:r w:rsidRPr="00710DCB">
        <w:tab/>
      </w:r>
      <w:r w:rsidRPr="00710DCB">
        <w:rPr>
          <w:lang w:val="en-GB"/>
        </w:rPr>
        <w:t>Economies of scale exist when there are large fixed costs (costs that are invariant to the volume of output) and low marginal costs (costs that do vary with output).  As a consequence, the average cost of producing output (total cost divided by volume) declines as output expands, and a firm producing a large volume can do so at a lower average cost than firms producing smaller volumes</w:t>
      </w:r>
      <w:r>
        <w:rPr>
          <w:lang w:val="en-GB"/>
        </w:rPr>
        <w:t>.</w:t>
      </w:r>
    </w:p>
  </w:footnote>
  <w:footnote w:id="28">
    <w:p w14:paraId="31EF4FCA" w14:textId="77777777" w:rsidR="00F323B2" w:rsidRPr="00710DCB" w:rsidRDefault="00F323B2" w:rsidP="00C2242D">
      <w:pPr>
        <w:pStyle w:val="FootnoteText"/>
        <w:spacing w:before="0" w:after="0"/>
      </w:pPr>
      <w:r w:rsidRPr="00710DCB">
        <w:rPr>
          <w:rStyle w:val="FootnoteReference"/>
        </w:rPr>
        <w:footnoteRef/>
      </w:r>
      <w:r w:rsidRPr="00710DCB">
        <w:t xml:space="preserve"> </w:t>
      </w:r>
      <w:r w:rsidRPr="00710DCB">
        <w:tab/>
        <w:t xml:space="preserve">Note that </w:t>
      </w:r>
      <w:r>
        <w:t xml:space="preserve">Energy Ministers </w:t>
      </w:r>
      <w:r w:rsidRPr="00710DCB">
        <w:t xml:space="preserve">agreed, at the request of the Northern Territory Government, to implement a derogation that will delay the application of the day-ahead auction on facilities located wholly or partly in the Northern Territory. </w:t>
      </w:r>
    </w:p>
  </w:footnote>
  <w:footnote w:id="29">
    <w:p w14:paraId="44D4D78B" w14:textId="77777777" w:rsidR="00F323B2" w:rsidRDefault="00F323B2" w:rsidP="003554A0">
      <w:pPr>
        <w:pStyle w:val="FootnoteText"/>
        <w:spacing w:before="0" w:after="0"/>
      </w:pPr>
      <w:r>
        <w:rPr>
          <w:rStyle w:val="FootnoteReference"/>
        </w:rPr>
        <w:footnoteRef/>
      </w:r>
      <w:r>
        <w:t xml:space="preserve"> </w:t>
      </w:r>
      <w:r>
        <w:tab/>
      </w:r>
      <w:r w:rsidRPr="006B4639">
        <w:t>These reforms provide for, amongst other things, the introduction of a capacity trading platform, a day-ahead auction of contracted but un-nominated capacity and a number of other measures that are designed to make capacity more fungible and to facilitate more capacity trading.</w:t>
      </w:r>
    </w:p>
  </w:footnote>
  <w:footnote w:id="30">
    <w:p w14:paraId="345DBD33" w14:textId="77777777" w:rsidR="00F323B2" w:rsidRPr="00710DCB" w:rsidRDefault="00F323B2" w:rsidP="003554A0">
      <w:pPr>
        <w:pStyle w:val="FootnoteText"/>
        <w:spacing w:before="0" w:after="0"/>
      </w:pPr>
      <w:r w:rsidRPr="00710DCB">
        <w:rPr>
          <w:rStyle w:val="FootnoteReference"/>
        </w:rPr>
        <w:footnoteRef/>
      </w:r>
      <w:r w:rsidRPr="00710DCB">
        <w:t xml:space="preserve"> </w:t>
      </w:r>
      <w:r w:rsidRPr="00710DCB">
        <w:tab/>
        <w:t>ACCC, Inquiry into the east coast gas market, April 2016, p. 102.</w:t>
      </w:r>
    </w:p>
  </w:footnote>
  <w:footnote w:id="31">
    <w:p w14:paraId="0B300EDE" w14:textId="77777777" w:rsidR="00F323B2" w:rsidRPr="00710DCB" w:rsidRDefault="00F323B2" w:rsidP="00C1476F">
      <w:pPr>
        <w:pStyle w:val="FootnoteText"/>
        <w:spacing w:before="20" w:after="20"/>
        <w:rPr>
          <w:szCs w:val="16"/>
        </w:rPr>
      </w:pPr>
      <w:r w:rsidRPr="00710DCB">
        <w:rPr>
          <w:rStyle w:val="FootnoteReference"/>
          <w:szCs w:val="16"/>
        </w:rPr>
        <w:footnoteRef/>
      </w:r>
      <w:r w:rsidRPr="00710DCB">
        <w:rPr>
          <w:szCs w:val="16"/>
        </w:rPr>
        <w:t xml:space="preserve"> </w:t>
      </w:r>
      <w:r w:rsidRPr="00710DCB">
        <w:rPr>
          <w:szCs w:val="16"/>
        </w:rPr>
        <w:tab/>
      </w:r>
      <w:r w:rsidRPr="00710DCB">
        <w:rPr>
          <w:rFonts w:cs="Gotham Light"/>
          <w:color w:val="000000"/>
          <w:szCs w:val="16"/>
        </w:rPr>
        <w:t>Countervailing power arises when buyers have characteristics (e.g., size or commercial significance) that enable them to credibly threaten to bypass the pipeline (e.g. by building their own pipeline or sponsoring new entry).</w:t>
      </w:r>
    </w:p>
  </w:footnote>
  <w:footnote w:id="32">
    <w:p w14:paraId="4DB71D1C" w14:textId="77777777" w:rsidR="00F323B2" w:rsidRPr="00710DCB" w:rsidRDefault="00F323B2" w:rsidP="00C1476F">
      <w:pPr>
        <w:pStyle w:val="FootnoteText"/>
        <w:spacing w:before="20" w:after="20"/>
      </w:pPr>
      <w:r w:rsidRPr="00710DCB">
        <w:rPr>
          <w:rStyle w:val="FootnoteReference"/>
        </w:rPr>
        <w:footnoteRef/>
      </w:r>
      <w:r w:rsidRPr="00710DCB">
        <w:t xml:space="preserve"> </w:t>
      </w:r>
      <w:r w:rsidRPr="00710DCB">
        <w:tab/>
        <w:t>ACCC, Inquiry into the east coast gas market, April 2016, p. 98.</w:t>
      </w:r>
    </w:p>
  </w:footnote>
  <w:footnote w:id="33">
    <w:p w14:paraId="04E49970" w14:textId="77777777" w:rsidR="00F323B2" w:rsidRPr="00710DCB" w:rsidRDefault="00F323B2" w:rsidP="00C1476F">
      <w:pPr>
        <w:pStyle w:val="FootnoteText"/>
        <w:spacing w:before="20" w:after="20"/>
      </w:pPr>
      <w:r w:rsidRPr="00710DCB">
        <w:rPr>
          <w:rStyle w:val="FootnoteReference"/>
        </w:rPr>
        <w:footnoteRef/>
      </w:r>
      <w:r w:rsidRPr="00710DCB">
        <w:t xml:space="preserve"> </w:t>
      </w:r>
      <w:r w:rsidRPr="00710DCB">
        <w:tab/>
      </w:r>
      <w:r w:rsidRPr="00710DCB">
        <w:rPr>
          <w:szCs w:val="16"/>
        </w:rPr>
        <w:t>NERA Economic Consulting, International Review of Pipeline Regulation: Vol. 1 – Synthesis and Reform Options, 28 June 2019, p. 60.</w:t>
      </w:r>
    </w:p>
  </w:footnote>
  <w:footnote w:id="34">
    <w:p w14:paraId="50DEFE21" w14:textId="77777777" w:rsidR="00F323B2" w:rsidRPr="00710DCB" w:rsidRDefault="00F323B2" w:rsidP="00C1476F">
      <w:pPr>
        <w:pStyle w:val="FootnoteText"/>
        <w:spacing w:before="20" w:after="20"/>
      </w:pPr>
      <w:r w:rsidRPr="00710DCB">
        <w:rPr>
          <w:rStyle w:val="FootnoteReference"/>
        </w:rPr>
        <w:footnoteRef/>
      </w:r>
      <w:r w:rsidRPr="00710DCB">
        <w:t xml:space="preserve"> </w:t>
      </w:r>
      <w:r w:rsidRPr="00710DCB">
        <w:tab/>
        <w:t>ACCC, Inquiry into the east coast gas market, April 2016, pp. 96-97.</w:t>
      </w:r>
    </w:p>
  </w:footnote>
  <w:footnote w:id="35">
    <w:p w14:paraId="15C82AC8" w14:textId="77777777" w:rsidR="00F323B2" w:rsidRPr="000C2A3A" w:rsidRDefault="00F323B2" w:rsidP="00CA0701">
      <w:pPr>
        <w:pStyle w:val="FootnoteText"/>
        <w:rPr>
          <w:szCs w:val="16"/>
          <w:lang w:val="en-NZ"/>
        </w:rPr>
      </w:pPr>
      <w:r w:rsidRPr="000C2A3A">
        <w:rPr>
          <w:rStyle w:val="FootnoteReference"/>
          <w:szCs w:val="16"/>
        </w:rPr>
        <w:footnoteRef/>
      </w:r>
      <w:r w:rsidRPr="000C2A3A">
        <w:rPr>
          <w:szCs w:val="16"/>
        </w:rPr>
        <w:t xml:space="preserve"> </w:t>
      </w:r>
      <w:r w:rsidRPr="000C2A3A">
        <w:rPr>
          <w:szCs w:val="16"/>
          <w:lang w:val="en-NZ"/>
        </w:rPr>
        <w:tab/>
        <w:t xml:space="preserve">Though in the case of full regulation pipelines, this would </w:t>
      </w:r>
      <w:r>
        <w:rPr>
          <w:szCs w:val="16"/>
          <w:lang w:val="en-NZ"/>
        </w:rPr>
        <w:t xml:space="preserve">be </w:t>
      </w:r>
      <w:r w:rsidRPr="000C2A3A">
        <w:rPr>
          <w:szCs w:val="16"/>
          <w:lang w:val="en-NZ"/>
        </w:rPr>
        <w:t>mitigated by expansions automatically being covered.</w:t>
      </w:r>
    </w:p>
  </w:footnote>
  <w:footnote w:id="36">
    <w:p w14:paraId="3B1DF89F" w14:textId="77777777" w:rsidR="00F323B2" w:rsidRPr="000C2A3A" w:rsidRDefault="00F323B2" w:rsidP="004B70D0">
      <w:pPr>
        <w:pStyle w:val="FootnoteText"/>
        <w:spacing w:before="20" w:after="20"/>
        <w:rPr>
          <w:rFonts w:asciiTheme="majorHAnsi" w:hAnsiTheme="majorHAnsi" w:cstheme="majorHAnsi"/>
          <w:szCs w:val="16"/>
        </w:rPr>
      </w:pPr>
      <w:r w:rsidRPr="000C2A3A">
        <w:rPr>
          <w:rStyle w:val="FootnoteReference"/>
          <w:rFonts w:asciiTheme="majorHAnsi" w:hAnsiTheme="majorHAnsi" w:cstheme="majorHAnsi"/>
          <w:szCs w:val="16"/>
        </w:rPr>
        <w:footnoteRef/>
      </w:r>
      <w:r w:rsidRPr="000C2A3A">
        <w:rPr>
          <w:rFonts w:asciiTheme="majorHAnsi" w:hAnsiTheme="majorHAnsi" w:cstheme="majorHAnsi"/>
          <w:szCs w:val="16"/>
        </w:rPr>
        <w:t xml:space="preserve"> </w:t>
      </w:r>
      <w:r w:rsidRPr="000C2A3A">
        <w:rPr>
          <w:rFonts w:asciiTheme="majorHAnsi" w:hAnsiTheme="majorHAnsi" w:cstheme="majorHAnsi"/>
          <w:szCs w:val="16"/>
        </w:rPr>
        <w:tab/>
        <w:t>Gas Code, November 1997, p. 1.</w:t>
      </w:r>
    </w:p>
  </w:footnote>
  <w:footnote w:id="37">
    <w:p w14:paraId="07D7CDEC" w14:textId="77777777" w:rsidR="00F323B2" w:rsidRPr="000C2A3A" w:rsidRDefault="00F323B2" w:rsidP="00FE1F23">
      <w:pPr>
        <w:pStyle w:val="FootnoteText"/>
        <w:spacing w:beforeLines="20" w:before="48" w:afterLines="20" w:after="48"/>
        <w:rPr>
          <w:szCs w:val="16"/>
        </w:rPr>
      </w:pPr>
      <w:r w:rsidRPr="000C2A3A">
        <w:rPr>
          <w:rStyle w:val="FootnoteReference"/>
          <w:szCs w:val="16"/>
        </w:rPr>
        <w:footnoteRef/>
      </w:r>
      <w:r w:rsidRPr="000C2A3A">
        <w:rPr>
          <w:szCs w:val="16"/>
        </w:rPr>
        <w:t xml:space="preserve"> </w:t>
      </w:r>
      <w:r w:rsidRPr="000C2A3A">
        <w:rPr>
          <w:szCs w:val="16"/>
        </w:rPr>
        <w:tab/>
      </w:r>
      <w:r w:rsidRPr="000C2A3A">
        <w:rPr>
          <w:rFonts w:cs="Gotham Light"/>
          <w:color w:val="000000"/>
          <w:szCs w:val="16"/>
        </w:rPr>
        <w:t xml:space="preserve">Productivity Commission, Review of the Gas Access Regime, 11 June 2004. </w:t>
      </w:r>
      <w:r w:rsidRPr="000C2A3A">
        <w:rPr>
          <w:szCs w:val="16"/>
        </w:rPr>
        <w:t xml:space="preserve"> </w:t>
      </w:r>
    </w:p>
  </w:footnote>
  <w:footnote w:id="38">
    <w:p w14:paraId="7D038842" w14:textId="77777777" w:rsidR="00F323B2" w:rsidRPr="000C2A3A" w:rsidRDefault="00F323B2" w:rsidP="00FE1F23">
      <w:pPr>
        <w:pStyle w:val="FootnoteText"/>
        <w:spacing w:beforeLines="20" w:before="48" w:afterLines="20" w:after="48"/>
        <w:rPr>
          <w:szCs w:val="16"/>
        </w:rPr>
      </w:pPr>
      <w:r w:rsidRPr="000C2A3A">
        <w:rPr>
          <w:rStyle w:val="FootnoteReference"/>
          <w:szCs w:val="16"/>
        </w:rPr>
        <w:footnoteRef/>
      </w:r>
      <w:r w:rsidRPr="000C2A3A">
        <w:rPr>
          <w:szCs w:val="16"/>
        </w:rPr>
        <w:t xml:space="preserve"> </w:t>
      </w:r>
      <w:r w:rsidRPr="000C2A3A">
        <w:rPr>
          <w:szCs w:val="16"/>
        </w:rPr>
        <w:tab/>
      </w:r>
      <w:r w:rsidRPr="000C2A3A">
        <w:rPr>
          <w:rFonts w:cs="Gotham Light"/>
          <w:color w:val="000000"/>
          <w:szCs w:val="16"/>
        </w:rPr>
        <w:t xml:space="preserve">Parer, W R, Towards a Truly National and Efficient Energy Market, 2002. </w:t>
      </w:r>
      <w:r w:rsidRPr="000C2A3A">
        <w:rPr>
          <w:szCs w:val="16"/>
        </w:rPr>
        <w:t xml:space="preserve"> </w:t>
      </w:r>
    </w:p>
  </w:footnote>
  <w:footnote w:id="39">
    <w:p w14:paraId="0B8F4EA8" w14:textId="77777777" w:rsidR="00F323B2" w:rsidRPr="000C2A3A" w:rsidRDefault="00F323B2" w:rsidP="00FE1F23">
      <w:pPr>
        <w:pStyle w:val="FootnoteText"/>
        <w:spacing w:beforeLines="20" w:before="48" w:afterLines="20" w:after="48"/>
        <w:rPr>
          <w:szCs w:val="16"/>
        </w:rPr>
      </w:pPr>
      <w:r w:rsidRPr="000C2A3A">
        <w:rPr>
          <w:rStyle w:val="FootnoteReference"/>
          <w:szCs w:val="16"/>
        </w:rPr>
        <w:footnoteRef/>
      </w:r>
      <w:r w:rsidRPr="000C2A3A">
        <w:rPr>
          <w:szCs w:val="16"/>
        </w:rPr>
        <w:t xml:space="preserve"> </w:t>
      </w:r>
      <w:r w:rsidRPr="000C2A3A">
        <w:rPr>
          <w:szCs w:val="16"/>
        </w:rPr>
        <w:tab/>
      </w:r>
      <w:r w:rsidRPr="000C2A3A">
        <w:rPr>
          <w:rFonts w:cs="Gotham Light"/>
          <w:color w:val="000000"/>
          <w:szCs w:val="16"/>
        </w:rPr>
        <w:t xml:space="preserve">Expert Panel on Energy Access Pricing, Report to the Ministerial Council on Energy, April 2006. </w:t>
      </w:r>
      <w:r w:rsidRPr="000C2A3A">
        <w:rPr>
          <w:szCs w:val="16"/>
        </w:rPr>
        <w:t xml:space="preserve"> </w:t>
      </w:r>
    </w:p>
  </w:footnote>
  <w:footnote w:id="40">
    <w:p w14:paraId="13C92E1E" w14:textId="77777777" w:rsidR="00F323B2" w:rsidRPr="000C2A3A" w:rsidRDefault="00F323B2" w:rsidP="00FE1F23">
      <w:pPr>
        <w:pStyle w:val="FootnoteText"/>
        <w:spacing w:beforeLines="20" w:before="48" w:afterLines="20" w:after="48"/>
        <w:rPr>
          <w:szCs w:val="16"/>
        </w:rPr>
      </w:pPr>
      <w:r w:rsidRPr="000C2A3A">
        <w:rPr>
          <w:rStyle w:val="FootnoteReference"/>
          <w:szCs w:val="16"/>
        </w:rPr>
        <w:footnoteRef/>
      </w:r>
      <w:r w:rsidRPr="000C2A3A">
        <w:rPr>
          <w:szCs w:val="16"/>
        </w:rPr>
        <w:t xml:space="preserve"> </w:t>
      </w:r>
      <w:r w:rsidRPr="000C2A3A">
        <w:rPr>
          <w:szCs w:val="16"/>
        </w:rPr>
        <w:tab/>
        <w:t>MCE, Review of the National Gas Pipeline Access Regime – Decision, May 2006.</w:t>
      </w:r>
    </w:p>
  </w:footnote>
  <w:footnote w:id="41">
    <w:p w14:paraId="27FAF962" w14:textId="77777777" w:rsidR="00F323B2" w:rsidRDefault="00F323B2" w:rsidP="00FE1F23">
      <w:pPr>
        <w:pStyle w:val="FootnoteText"/>
        <w:spacing w:beforeLines="20" w:before="48" w:afterLines="20" w:after="48"/>
      </w:pPr>
      <w:r w:rsidRPr="000C2A3A">
        <w:rPr>
          <w:rStyle w:val="FootnoteReference"/>
          <w:szCs w:val="16"/>
        </w:rPr>
        <w:footnoteRef/>
      </w:r>
      <w:r w:rsidRPr="000C2A3A">
        <w:rPr>
          <w:szCs w:val="16"/>
        </w:rPr>
        <w:t xml:space="preserve"> </w:t>
      </w:r>
      <w:r w:rsidRPr="000C2A3A">
        <w:rPr>
          <w:szCs w:val="16"/>
        </w:rPr>
        <w:tab/>
      </w:r>
      <w:r w:rsidRPr="000C2A3A">
        <w:rPr>
          <w:rFonts w:cs="Gotham Light"/>
          <w:color w:val="000000"/>
          <w:szCs w:val="16"/>
        </w:rPr>
        <w:t>These principles, which are set out in s. 24 of the NGL, state amongst other things that service providers should be provided a reasonable opportunity to recover at least the efficient costs of providing services, the rate of return should be commensurate with the regulatory and commercial risks involved in providing reference services and regard should be had to the costs and risks of under and over investment and under and over utilisation of a pipeline.</w:t>
      </w:r>
      <w:r>
        <w:rPr>
          <w:rFonts w:cs="Gotham Light"/>
          <w:color w:val="000000"/>
          <w:sz w:val="15"/>
          <w:szCs w:val="15"/>
        </w:rPr>
        <w:t xml:space="preserve"> </w:t>
      </w:r>
      <w:r>
        <w:t xml:space="preserve"> </w:t>
      </w:r>
    </w:p>
  </w:footnote>
  <w:footnote w:id="42">
    <w:p w14:paraId="623DFF30" w14:textId="77777777" w:rsidR="00F323B2" w:rsidRDefault="00F323B2" w:rsidP="00FE1F23">
      <w:pPr>
        <w:pStyle w:val="FootnoteText"/>
        <w:spacing w:beforeLines="20" w:before="48" w:afterLines="20" w:after="48"/>
      </w:pPr>
      <w:r>
        <w:rPr>
          <w:rStyle w:val="FootnoteReference"/>
        </w:rPr>
        <w:footnoteRef/>
      </w:r>
      <w:r>
        <w:t xml:space="preserve"> </w:t>
      </w:r>
      <w:r>
        <w:tab/>
        <w:t xml:space="preserve">These amendments to the regulatory framework were made in September 2006, while the other amendments were made when the new regulatory framework came into effect in July 2008. </w:t>
      </w:r>
    </w:p>
  </w:footnote>
  <w:footnote w:id="43">
    <w:p w14:paraId="7F73C56D" w14:textId="77777777" w:rsidR="00F323B2" w:rsidRDefault="00F323B2" w:rsidP="00FE1F23">
      <w:pPr>
        <w:pStyle w:val="FootnoteText"/>
        <w:spacing w:beforeLines="20" w:before="48" w:afterLines="20" w:after="48"/>
      </w:pPr>
      <w:r>
        <w:rPr>
          <w:rStyle w:val="FootnoteReference"/>
        </w:rPr>
        <w:footnoteRef/>
      </w:r>
      <w:r>
        <w:t xml:space="preserve"> </w:t>
      </w:r>
      <w:r>
        <w:tab/>
      </w:r>
      <w:r w:rsidRPr="00710DCB">
        <w:t>ACCC, Inquiry into the east coast gas market, April 2016</w:t>
      </w:r>
      <w:r>
        <w:t>.</w:t>
      </w:r>
    </w:p>
  </w:footnote>
  <w:footnote w:id="44">
    <w:p w14:paraId="1769E382" w14:textId="77777777" w:rsidR="00F323B2" w:rsidRDefault="00F323B2" w:rsidP="00FE1F23">
      <w:pPr>
        <w:pStyle w:val="FootnoteText"/>
        <w:spacing w:beforeLines="20" w:before="48" w:afterLines="20" w:after="48"/>
      </w:pPr>
      <w:r>
        <w:rPr>
          <w:rStyle w:val="FootnoteReference"/>
        </w:rPr>
        <w:footnoteRef/>
      </w:r>
      <w:r>
        <w:t xml:space="preserve"> </w:t>
      </w:r>
      <w:r>
        <w:tab/>
      </w:r>
      <w:r w:rsidRPr="00710DCB">
        <w:rPr>
          <w:szCs w:val="16"/>
        </w:rPr>
        <w:t>AEMC, Stage 2 Final Report: East Coast Wholesale Gas Markets and Pipeline Frameworks Review, 23 May 2016</w:t>
      </w:r>
      <w:r>
        <w:rPr>
          <w:szCs w:val="16"/>
        </w:rPr>
        <w:t>.</w:t>
      </w:r>
    </w:p>
  </w:footnote>
  <w:footnote w:id="45">
    <w:p w14:paraId="54499DE9" w14:textId="77777777" w:rsidR="00F323B2" w:rsidRDefault="00F323B2" w:rsidP="00FE1F23">
      <w:pPr>
        <w:pStyle w:val="FootnoteText"/>
        <w:spacing w:beforeLines="20" w:before="48" w:afterLines="20" w:after="48"/>
      </w:pPr>
      <w:r>
        <w:rPr>
          <w:rStyle w:val="FootnoteReference"/>
        </w:rPr>
        <w:footnoteRef/>
      </w:r>
      <w:r>
        <w:t xml:space="preserve"> </w:t>
      </w:r>
      <w:r>
        <w:tab/>
      </w:r>
      <w:r w:rsidRPr="00710DCB">
        <w:t>Vertigan, M., Examination of the current test for the regulation of gas pipelines, 14 December 2016</w:t>
      </w:r>
      <w:r>
        <w:t>.</w:t>
      </w:r>
    </w:p>
  </w:footnote>
  <w:footnote w:id="46">
    <w:p w14:paraId="273BC984" w14:textId="77777777" w:rsidR="00F323B2" w:rsidRPr="00777EC2" w:rsidRDefault="00F323B2" w:rsidP="00CE0DD5">
      <w:pPr>
        <w:pStyle w:val="BodyText"/>
        <w:widowControl w:val="0"/>
        <w:spacing w:before="20" w:after="20" w:line="240" w:lineRule="auto"/>
        <w:ind w:left="357" w:hanging="357"/>
        <w:rPr>
          <w:rFonts w:asciiTheme="majorHAnsi" w:hAnsiTheme="majorHAnsi" w:cstheme="majorHAnsi"/>
          <w:sz w:val="16"/>
          <w:szCs w:val="16"/>
        </w:rPr>
      </w:pPr>
      <w:r w:rsidRPr="00700533">
        <w:rPr>
          <w:rStyle w:val="FootnoteReference"/>
          <w:rFonts w:asciiTheme="majorHAnsi" w:hAnsiTheme="majorHAnsi" w:cstheme="majorHAnsi"/>
          <w:sz w:val="16"/>
          <w:szCs w:val="16"/>
        </w:rPr>
        <w:footnoteRef/>
      </w:r>
      <w:r w:rsidRPr="00700533">
        <w:rPr>
          <w:rFonts w:asciiTheme="majorHAnsi" w:hAnsiTheme="majorHAnsi" w:cstheme="majorHAnsi"/>
          <w:sz w:val="16"/>
          <w:szCs w:val="16"/>
        </w:rPr>
        <w:t xml:space="preserve"> </w:t>
      </w:r>
      <w:r w:rsidRPr="00700533">
        <w:rPr>
          <w:rFonts w:asciiTheme="majorHAnsi" w:hAnsiTheme="majorHAnsi" w:cstheme="majorHAnsi"/>
          <w:sz w:val="16"/>
          <w:szCs w:val="16"/>
        </w:rPr>
        <w:tab/>
      </w:r>
      <w:r w:rsidRPr="00700533">
        <w:rPr>
          <w:rFonts w:asciiTheme="majorHAnsi" w:hAnsiTheme="majorHAnsi" w:cstheme="majorHAnsi"/>
          <w:sz w:val="16"/>
          <w:szCs w:val="16"/>
          <w:lang w:eastAsia="fr-CA"/>
        </w:rPr>
        <w:t xml:space="preserve">Under rule 585(5) of the NGR, </w:t>
      </w:r>
      <w:r w:rsidRPr="00700533">
        <w:rPr>
          <w:rFonts w:asciiTheme="majorHAnsi" w:hAnsiTheme="majorHAnsi" w:cstheme="majorHAnsi"/>
          <w:sz w:val="16"/>
          <w:szCs w:val="16"/>
        </w:rPr>
        <w:t xml:space="preserve">a pipeline is considered a third party access pipeline if any pipeline services are offered or </w:t>
      </w:r>
      <w:r w:rsidRPr="00777EC2">
        <w:rPr>
          <w:rFonts w:asciiTheme="majorHAnsi" w:hAnsiTheme="majorHAnsi" w:cstheme="majorHAnsi"/>
          <w:sz w:val="16"/>
          <w:szCs w:val="16"/>
        </w:rPr>
        <w:t>provided, directly or indirectly, to any person other than: (i) the service provider (i.e. the person that owns, operates or controls) of the pipeline; (ii) a related body corporate of the pipeline service provider; or (iii) a joint venture in which the pipeline service provider, or a related body corporate of the service provider is a joint venture participant.</w:t>
      </w:r>
    </w:p>
  </w:footnote>
  <w:footnote w:id="47">
    <w:p w14:paraId="3BAE8693" w14:textId="77777777" w:rsidR="00F323B2" w:rsidRDefault="00F323B2" w:rsidP="00CE0DD5">
      <w:pPr>
        <w:pStyle w:val="FootnoteText"/>
        <w:spacing w:before="20" w:after="20"/>
      </w:pPr>
      <w:r>
        <w:rPr>
          <w:rStyle w:val="FootnoteReference"/>
        </w:rPr>
        <w:footnoteRef/>
      </w:r>
      <w:r>
        <w:t xml:space="preserve"> </w:t>
      </w:r>
      <w:r>
        <w:tab/>
        <w:t xml:space="preserve">The dispute resolution body is the AER in the east coast and NT and the Energy Disputes Arbitrator in WA. </w:t>
      </w:r>
    </w:p>
  </w:footnote>
  <w:footnote w:id="48">
    <w:p w14:paraId="316D8307" w14:textId="77777777" w:rsidR="00F323B2" w:rsidRDefault="00F323B2" w:rsidP="00CE0DD5">
      <w:pPr>
        <w:pStyle w:val="FootnoteText"/>
        <w:spacing w:before="20" w:after="20"/>
      </w:pPr>
      <w:r>
        <w:rPr>
          <w:rStyle w:val="FootnoteReference"/>
        </w:rPr>
        <w:footnoteRef/>
      </w:r>
      <w:r>
        <w:t xml:space="preserve"> </w:t>
      </w:r>
      <w:r>
        <w:tab/>
        <w:t xml:space="preserve">ibid. </w:t>
      </w:r>
    </w:p>
  </w:footnote>
  <w:footnote w:id="49">
    <w:p w14:paraId="51488446" w14:textId="77777777" w:rsidR="00F323B2" w:rsidRDefault="00F323B2" w:rsidP="00CE0DD5">
      <w:pPr>
        <w:pStyle w:val="FootnoteText"/>
        <w:spacing w:before="20" w:after="20"/>
      </w:pPr>
      <w:r>
        <w:rPr>
          <w:rStyle w:val="FootnoteReference"/>
        </w:rPr>
        <w:footnoteRef/>
      </w:r>
      <w:r>
        <w:t xml:space="preserve"> </w:t>
      </w:r>
      <w:r>
        <w:tab/>
        <w:t xml:space="preserve">See s. 133 of the NGL. </w:t>
      </w:r>
    </w:p>
  </w:footnote>
  <w:footnote w:id="50">
    <w:p w14:paraId="66075E60" w14:textId="77777777" w:rsidR="00F323B2" w:rsidRDefault="00F323B2" w:rsidP="00CE0DD5">
      <w:pPr>
        <w:pStyle w:val="FootnoteText"/>
        <w:spacing w:before="20" w:after="20"/>
      </w:pPr>
      <w:r>
        <w:rPr>
          <w:rStyle w:val="FootnoteReference"/>
        </w:rPr>
        <w:footnoteRef/>
      </w:r>
      <w:r>
        <w:t xml:space="preserve"> </w:t>
      </w:r>
      <w:r>
        <w:tab/>
        <w:t>They are also prohibited from bundling services unless it is reasonably necessary.</w:t>
      </w:r>
    </w:p>
  </w:footnote>
  <w:footnote w:id="51">
    <w:p w14:paraId="43BC66C3" w14:textId="77777777" w:rsidR="00F323B2" w:rsidRDefault="00F323B2" w:rsidP="00CE0DD5">
      <w:pPr>
        <w:pStyle w:val="FootnoteText"/>
        <w:spacing w:before="20" w:after="20"/>
      </w:pPr>
      <w:r>
        <w:rPr>
          <w:rStyle w:val="FootnoteReference"/>
        </w:rPr>
        <w:footnoteRef/>
      </w:r>
      <w:r>
        <w:t xml:space="preserve"> </w:t>
      </w:r>
      <w:r>
        <w:tab/>
        <w:t xml:space="preserve">See sections 137-148 of the NGL. </w:t>
      </w:r>
    </w:p>
  </w:footnote>
  <w:footnote w:id="52">
    <w:p w14:paraId="2DBF112C" w14:textId="77777777" w:rsidR="00F323B2" w:rsidRDefault="00F323B2" w:rsidP="00CE0DD5">
      <w:pPr>
        <w:pStyle w:val="FootnoteText"/>
        <w:spacing w:before="20" w:after="20"/>
      </w:pPr>
      <w:r w:rsidRPr="00700533">
        <w:rPr>
          <w:rStyle w:val="FootnoteReference"/>
          <w:rFonts w:asciiTheme="majorHAnsi" w:hAnsiTheme="majorHAnsi" w:cstheme="majorHAnsi"/>
          <w:szCs w:val="16"/>
        </w:rPr>
        <w:footnoteRef/>
      </w:r>
      <w:r w:rsidRPr="00700533">
        <w:rPr>
          <w:rFonts w:asciiTheme="majorHAnsi" w:hAnsiTheme="majorHAnsi" w:cstheme="majorHAnsi"/>
          <w:szCs w:val="16"/>
        </w:rPr>
        <w:t xml:space="preserve"> </w:t>
      </w:r>
      <w:r w:rsidRPr="00700533">
        <w:rPr>
          <w:rFonts w:asciiTheme="majorHAnsi" w:hAnsiTheme="majorHAnsi" w:cstheme="majorHAnsi"/>
          <w:szCs w:val="16"/>
        </w:rPr>
        <w:tab/>
      </w:r>
      <w:r w:rsidRPr="00700533">
        <w:rPr>
          <w:rFonts w:asciiTheme="majorHAnsi" w:hAnsiTheme="majorHAnsi" w:cstheme="majorHAnsi"/>
          <w:color w:val="000000"/>
          <w:szCs w:val="16"/>
        </w:rPr>
        <w:t>Note that non-scheme pipelines that are not providing third party access are not automatically exempt from the information disclosure and arbitration framework. Rather, the pipeline operator must apply for an exemption and satisfy the regulator it is not offering or providing third party access.</w:t>
      </w:r>
    </w:p>
  </w:footnote>
  <w:footnote w:id="53">
    <w:p w14:paraId="16027FA8" w14:textId="77777777" w:rsidR="00F323B2" w:rsidRDefault="00F323B2" w:rsidP="002B32D6">
      <w:pPr>
        <w:pStyle w:val="FootnoteText"/>
        <w:spacing w:before="0" w:after="0"/>
      </w:pPr>
      <w:r>
        <w:rPr>
          <w:rStyle w:val="FootnoteReference"/>
        </w:rPr>
        <w:footnoteRef/>
      </w:r>
      <w:r>
        <w:t xml:space="preserve"> </w:t>
      </w:r>
      <w:r>
        <w:tab/>
        <w:t>See Chapter 3 and Chapter 10, Part 3 of the NGL</w:t>
      </w:r>
    </w:p>
  </w:footnote>
  <w:footnote w:id="54">
    <w:p w14:paraId="78E80C1F" w14:textId="77777777" w:rsidR="00F323B2" w:rsidRDefault="00F323B2" w:rsidP="002B32D6">
      <w:pPr>
        <w:pStyle w:val="FootnoteText"/>
        <w:spacing w:before="0" w:after="0"/>
      </w:pPr>
      <w:r>
        <w:rPr>
          <w:rStyle w:val="FootnoteReference"/>
        </w:rPr>
        <w:footnoteRef/>
      </w:r>
      <w:r>
        <w:t xml:space="preserve"> </w:t>
      </w:r>
      <w:r>
        <w:tab/>
      </w:r>
      <w:r>
        <w:rPr>
          <w:szCs w:val="16"/>
        </w:rPr>
        <w:t xml:space="preserve">The identity of the ‘relevant Minister’ will depend on whether the pipeline is a transmission or distribution pipeline and if the pipeline crosses jurisdictions. For example, if the pipeline is a cross boundary transmission pipeline, the relevant Minister is the Commonwealth Minister but if the transmission pipeline is situated wholly within a jurisdiction, the relevant Minister will typically be the State or Territory Minister (the one exception is Queensland where the relevant Minister is the Commonwealth Minister). See definitions section of NGL. </w:t>
      </w:r>
      <w:r>
        <w:t xml:space="preserve"> </w:t>
      </w:r>
    </w:p>
  </w:footnote>
  <w:footnote w:id="55">
    <w:p w14:paraId="7925F506" w14:textId="77777777" w:rsidR="00F323B2" w:rsidRPr="00710DCB" w:rsidRDefault="00F323B2" w:rsidP="002B32D6">
      <w:pPr>
        <w:pStyle w:val="FootnoteText"/>
        <w:spacing w:before="0" w:after="0"/>
      </w:pPr>
      <w:r w:rsidRPr="00710DCB">
        <w:rPr>
          <w:rStyle w:val="FootnoteReference"/>
        </w:rPr>
        <w:footnoteRef/>
      </w:r>
      <w:r w:rsidRPr="00710DCB">
        <w:t xml:space="preserve"> </w:t>
      </w:r>
      <w:r w:rsidRPr="00710DCB">
        <w:tab/>
        <w:t xml:space="preserve">Provisions in the NGL currently allow </w:t>
      </w:r>
      <w:r w:rsidRPr="00710DCB">
        <w:rPr>
          <w:lang w:eastAsia="fr-CA"/>
        </w:rPr>
        <w:t>service providers to apply the NCC for a determination that the services provided by the pipeline be subject to light regulation (see s. 110 of the NGL). If a pipeline is subject to light regulation, then service providers can advise the NCC that they wish to be subject to full regulation. Other interested parties can also apply to the NCC for a light regulation determination to be revoked (see</w:t>
      </w:r>
      <w:r w:rsidRPr="00710DCB">
        <w:t xml:space="preserve"> ss.112-118 of the NGL).</w:t>
      </w:r>
    </w:p>
  </w:footnote>
  <w:footnote w:id="56">
    <w:p w14:paraId="4035D972" w14:textId="77777777" w:rsidR="00F323B2" w:rsidRPr="00710DCB" w:rsidRDefault="00F323B2" w:rsidP="002B32D6">
      <w:pPr>
        <w:pStyle w:val="FootnoteText"/>
        <w:spacing w:before="0" w:after="0"/>
      </w:pPr>
      <w:r w:rsidRPr="00710DCB">
        <w:rPr>
          <w:rStyle w:val="FootnoteReference"/>
        </w:rPr>
        <w:footnoteRef/>
      </w:r>
      <w:r w:rsidRPr="00710DCB">
        <w:t xml:space="preserve"> </w:t>
      </w:r>
      <w:r w:rsidRPr="00710DCB">
        <w:tab/>
      </w:r>
      <w:r>
        <w:t xml:space="preserve">Note that if the pipeline </w:t>
      </w:r>
      <w:r w:rsidRPr="006B4639">
        <w:rPr>
          <w:rFonts w:asciiTheme="majorHAnsi" w:hAnsiTheme="majorHAnsi" w:cstheme="majorHAnsi"/>
          <w:lang w:eastAsia="fr-CA"/>
        </w:rPr>
        <w:t>has been classified as a ‘designated’ pipeline in the Regulations or in the application Act of a participating jurisdiction</w:t>
      </w:r>
      <w:r>
        <w:rPr>
          <w:rFonts w:asciiTheme="majorHAnsi" w:hAnsiTheme="majorHAnsi" w:cstheme="majorHAnsi"/>
          <w:lang w:eastAsia="fr-CA"/>
        </w:rPr>
        <w:t xml:space="preserve">, then the form of regulation cannot be changed. </w:t>
      </w:r>
    </w:p>
  </w:footnote>
  <w:footnote w:id="57">
    <w:p w14:paraId="6CE3C467" w14:textId="77777777" w:rsidR="00F323B2" w:rsidRPr="00C0008C" w:rsidRDefault="00F323B2" w:rsidP="002B32D6">
      <w:pPr>
        <w:pStyle w:val="FootnoteText"/>
        <w:spacing w:before="0" w:after="0"/>
        <w:rPr>
          <w:szCs w:val="16"/>
        </w:rPr>
      </w:pPr>
      <w:r w:rsidRPr="00710DCB">
        <w:rPr>
          <w:rStyle w:val="FootnoteReference"/>
        </w:rPr>
        <w:footnoteRef/>
      </w:r>
      <w:r w:rsidRPr="00710DCB">
        <w:t xml:space="preserve"> </w:t>
      </w:r>
      <w:r w:rsidRPr="00C0008C">
        <w:rPr>
          <w:szCs w:val="16"/>
        </w:rPr>
        <w:tab/>
        <w:t>Section 122 of the NGL.</w:t>
      </w:r>
    </w:p>
  </w:footnote>
  <w:footnote w:id="58">
    <w:p w14:paraId="78F28306" w14:textId="77777777" w:rsidR="00F323B2" w:rsidRDefault="00F323B2" w:rsidP="00142766">
      <w:pPr>
        <w:pStyle w:val="FootnoteText"/>
        <w:spacing w:before="20" w:after="0"/>
      </w:pPr>
      <w:r>
        <w:rPr>
          <w:rStyle w:val="FootnoteReference"/>
        </w:rPr>
        <w:footnoteRef/>
      </w:r>
      <w:r>
        <w:t xml:space="preserve"> </w:t>
      </w:r>
      <w:r>
        <w:tab/>
        <w:t xml:space="preserve">The regulatory framework also </w:t>
      </w:r>
      <w:r w:rsidRPr="00E720F5">
        <w:t>provides for a 15-year exemption from price regulation to be obtained by an international pipeline (i.e. a pipeline that is used to transport gas from an international source to the domestic market) prior to commissioning, if the relevant Minister, having regard to the NCC’s recommendation finds the benefits to the public of granting the exemption outweigh the detriments. To date, no pipelines have obtained this form of exemption.</w:t>
      </w:r>
    </w:p>
  </w:footnote>
  <w:footnote w:id="59">
    <w:p w14:paraId="0A9974B2" w14:textId="77777777" w:rsidR="00F323B2" w:rsidRPr="00576B62" w:rsidRDefault="00F323B2" w:rsidP="00142766">
      <w:pPr>
        <w:pStyle w:val="BodyText"/>
        <w:tabs>
          <w:tab w:val="clear" w:pos="2268"/>
          <w:tab w:val="clear" w:pos="4536"/>
          <w:tab w:val="clear" w:pos="6804"/>
          <w:tab w:val="clear" w:pos="9638"/>
          <w:tab w:val="left" w:pos="357"/>
        </w:tabs>
        <w:spacing w:before="20" w:after="0" w:line="240" w:lineRule="auto"/>
        <w:ind w:left="357" w:hanging="357"/>
        <w:rPr>
          <w:sz w:val="16"/>
          <w:szCs w:val="16"/>
        </w:rPr>
      </w:pPr>
      <w:r w:rsidRPr="00800980">
        <w:rPr>
          <w:rStyle w:val="FootnoteReference"/>
          <w:sz w:val="16"/>
          <w:szCs w:val="16"/>
        </w:rPr>
        <w:footnoteRef/>
      </w:r>
      <w:r w:rsidRPr="00800980">
        <w:rPr>
          <w:sz w:val="16"/>
          <w:szCs w:val="16"/>
        </w:rPr>
        <w:t xml:space="preserve"> </w:t>
      </w:r>
      <w:r w:rsidRPr="00800980">
        <w:rPr>
          <w:sz w:val="16"/>
          <w:szCs w:val="16"/>
        </w:rPr>
        <w:tab/>
      </w:r>
      <w:r w:rsidRPr="00800980">
        <w:rPr>
          <w:rFonts w:asciiTheme="majorHAnsi" w:hAnsiTheme="majorHAnsi" w:cstheme="majorHAnsi"/>
          <w:sz w:val="16"/>
          <w:szCs w:val="16"/>
        </w:rPr>
        <w:t xml:space="preserve">A number of provisions have also been included in the regulatory framework applying to full regulation pipelines to reduce the regulatory related investment risks and to ensure that investments can still occur in a timely and efficient manner, which have been used to varying extents by service providers. </w:t>
      </w:r>
      <w:r>
        <w:rPr>
          <w:rFonts w:asciiTheme="majorHAnsi" w:hAnsiTheme="majorHAnsi" w:cstheme="majorHAnsi"/>
          <w:sz w:val="16"/>
          <w:szCs w:val="16"/>
        </w:rPr>
        <w:t>See Appendix A (section A.4).</w:t>
      </w:r>
      <w:r w:rsidRPr="00576B62">
        <w:rPr>
          <w:sz w:val="16"/>
          <w:szCs w:val="16"/>
        </w:rPr>
        <w:t>.</w:t>
      </w:r>
    </w:p>
  </w:footnote>
  <w:footnote w:id="60">
    <w:p w14:paraId="3C1E795A" w14:textId="77777777" w:rsidR="00F323B2" w:rsidRPr="008A7ED2" w:rsidRDefault="00F323B2" w:rsidP="00142766">
      <w:pPr>
        <w:pStyle w:val="FootnoteText"/>
        <w:spacing w:beforeLines="20" w:before="48" w:after="0"/>
        <w:rPr>
          <w:rFonts w:asciiTheme="majorHAnsi" w:hAnsiTheme="majorHAnsi" w:cstheme="majorHAnsi"/>
          <w:szCs w:val="16"/>
        </w:rPr>
      </w:pPr>
      <w:r w:rsidRPr="008A7ED2">
        <w:rPr>
          <w:rStyle w:val="FootnoteReference"/>
          <w:rFonts w:asciiTheme="majorHAnsi" w:eastAsiaTheme="minorEastAsia" w:hAnsiTheme="majorHAnsi" w:cstheme="majorHAnsi"/>
          <w:szCs w:val="16"/>
        </w:rPr>
        <w:footnoteRef/>
      </w:r>
      <w:r w:rsidRPr="008A7ED2">
        <w:rPr>
          <w:rFonts w:asciiTheme="majorHAnsi" w:hAnsiTheme="majorHAnsi" w:cstheme="majorHAnsi"/>
          <w:szCs w:val="16"/>
        </w:rPr>
        <w:t xml:space="preserve"> </w:t>
      </w:r>
      <w:r w:rsidRPr="008A7ED2">
        <w:rPr>
          <w:rFonts w:asciiTheme="majorHAnsi" w:hAnsiTheme="majorHAnsi" w:cstheme="majorHAnsi"/>
          <w:szCs w:val="16"/>
        </w:rPr>
        <w:tab/>
        <w:t>The pipeline becomes a covered pipeline once the tender approval decision becomes irrevocable. This will occur unless the decision lapses or is revoked within three months of the compliance report being provided to the regulator.</w:t>
      </w:r>
    </w:p>
  </w:footnote>
  <w:footnote w:id="61">
    <w:p w14:paraId="78223D5F" w14:textId="77777777" w:rsidR="00F323B2" w:rsidRPr="00710DCB" w:rsidRDefault="00F323B2" w:rsidP="00142766">
      <w:pPr>
        <w:pStyle w:val="FootnoteText"/>
        <w:spacing w:before="20" w:after="0"/>
      </w:pPr>
      <w:r w:rsidRPr="00710DCB">
        <w:rPr>
          <w:rStyle w:val="FootnoteReference"/>
        </w:rPr>
        <w:footnoteRef/>
      </w:r>
      <w:r w:rsidRPr="00710DCB">
        <w:t xml:space="preserve"> </w:t>
      </w:r>
      <w:r w:rsidRPr="00710DCB">
        <w:tab/>
        <w:t xml:space="preserve">These pipelines include the Central Ranges Pipeline and the Central Ranges Gas Network. Another CTP process was also approved under the Gas Code for the </w:t>
      </w:r>
      <w:r w:rsidRPr="00710DCB">
        <w:rPr>
          <w:lang w:val="en-NZ"/>
        </w:rPr>
        <w:t>Loddon Murray Region System but the tender did not attract any bids</w:t>
      </w:r>
      <w:r w:rsidRPr="00710DCB">
        <w:t>.</w:t>
      </w:r>
    </w:p>
  </w:footnote>
  <w:footnote w:id="62">
    <w:p w14:paraId="549950E2" w14:textId="77777777" w:rsidR="00F323B2" w:rsidRPr="00710DCB" w:rsidRDefault="00F323B2" w:rsidP="00142766">
      <w:pPr>
        <w:pStyle w:val="FootnoteText"/>
        <w:spacing w:before="20" w:after="0"/>
      </w:pPr>
      <w:r w:rsidRPr="00710DCB">
        <w:rPr>
          <w:rStyle w:val="FootnoteReference"/>
        </w:rPr>
        <w:footnoteRef/>
      </w:r>
      <w:r w:rsidRPr="00710DCB">
        <w:t xml:space="preserve"> </w:t>
      </w:r>
      <w:r w:rsidRPr="00710DCB">
        <w:tab/>
        <w:t xml:space="preserve">These pipelines include, the APLNG Pipeline, the GLNG Pipeline, the Comet Ridge to Wallumbilla Pipeline Loop and the Wallumbilla to Gladstone Pipeline. </w:t>
      </w:r>
    </w:p>
  </w:footnote>
  <w:footnote w:id="63">
    <w:p w14:paraId="18C0D32F" w14:textId="77777777" w:rsidR="00F323B2" w:rsidRPr="006C7C89" w:rsidRDefault="00F323B2" w:rsidP="00142766">
      <w:pPr>
        <w:pStyle w:val="FootnoteText"/>
        <w:spacing w:after="0"/>
        <w:rPr>
          <w:szCs w:val="16"/>
        </w:rPr>
      </w:pPr>
      <w:r w:rsidRPr="006C7C89">
        <w:rPr>
          <w:rStyle w:val="FootnoteReference"/>
          <w:szCs w:val="16"/>
        </w:rPr>
        <w:footnoteRef/>
      </w:r>
      <w:r w:rsidRPr="006C7C89">
        <w:rPr>
          <w:szCs w:val="16"/>
        </w:rPr>
        <w:t xml:space="preserve"> </w:t>
      </w:r>
      <w:r w:rsidRPr="006C7C89">
        <w:rPr>
          <w:szCs w:val="16"/>
        </w:rPr>
        <w:tab/>
      </w:r>
      <w:r w:rsidRPr="006C7C89">
        <w:rPr>
          <w:rFonts w:cstheme="majorHAnsi"/>
          <w:szCs w:val="16"/>
        </w:rPr>
        <w:t>The Productivity Commission has described the rationale for this mechanism as follows:</w:t>
      </w:r>
    </w:p>
    <w:p w14:paraId="387266D3" w14:textId="77777777" w:rsidR="00F323B2" w:rsidRPr="006C7C89" w:rsidRDefault="00F323B2" w:rsidP="00142766">
      <w:pPr>
        <w:spacing w:before="60" w:line="240" w:lineRule="auto"/>
        <w:ind w:left="357"/>
        <w:rPr>
          <w:rFonts w:asciiTheme="majorHAnsi" w:hAnsiTheme="majorHAnsi" w:cstheme="majorHAnsi"/>
          <w:i/>
          <w:iCs/>
          <w:sz w:val="16"/>
          <w:szCs w:val="16"/>
          <w:lang w:eastAsia="en-US"/>
        </w:rPr>
      </w:pPr>
      <w:r w:rsidRPr="006C7C89">
        <w:rPr>
          <w:rFonts w:asciiTheme="majorHAnsi" w:hAnsiTheme="majorHAnsi" w:cstheme="majorHAnsi"/>
          <w:i/>
          <w:iCs/>
          <w:sz w:val="16"/>
          <w:szCs w:val="16"/>
          <w:lang w:eastAsia="en-US"/>
        </w:rPr>
        <w:t>“…if investors want to eliminate uncertainty about whether their proposed pipeline would be regulated, then they have to volunteer to subject it to the regime…. In doing so, investors can reach an upfront agreement with a regulator about the details of their access arrangement...</w:t>
      </w:r>
    </w:p>
    <w:p w14:paraId="17DF81B3" w14:textId="77777777" w:rsidR="00F323B2" w:rsidRPr="006C7C89" w:rsidRDefault="00F323B2" w:rsidP="00142766">
      <w:pPr>
        <w:pStyle w:val="FootnoteText"/>
        <w:spacing w:after="0"/>
        <w:rPr>
          <w:rFonts w:asciiTheme="majorHAnsi" w:hAnsiTheme="majorHAnsi" w:cstheme="majorHAnsi"/>
          <w:i/>
          <w:iCs/>
          <w:szCs w:val="16"/>
          <w:lang w:eastAsia="en-US"/>
        </w:rPr>
      </w:pPr>
      <w:r>
        <w:rPr>
          <w:rFonts w:asciiTheme="majorHAnsi" w:hAnsiTheme="majorHAnsi" w:cstheme="majorHAnsi"/>
          <w:i/>
          <w:iCs/>
          <w:szCs w:val="16"/>
          <w:lang w:eastAsia="en-US"/>
        </w:rPr>
        <w:tab/>
      </w:r>
      <w:r w:rsidRPr="006C7C89">
        <w:rPr>
          <w:rFonts w:asciiTheme="majorHAnsi" w:hAnsiTheme="majorHAnsi" w:cstheme="majorHAnsi"/>
          <w:i/>
          <w:iCs/>
          <w:szCs w:val="16"/>
          <w:lang w:eastAsia="en-US"/>
        </w:rPr>
        <w:t>However, investors are unlikely to volunteer to be subject to cost-based price regulation….”</w:t>
      </w:r>
    </w:p>
    <w:p w14:paraId="747F69B8" w14:textId="77777777" w:rsidR="00F323B2" w:rsidRDefault="00F323B2" w:rsidP="00142766">
      <w:pPr>
        <w:pStyle w:val="FootnoteText"/>
        <w:spacing w:after="0"/>
      </w:pPr>
      <w:r>
        <w:rPr>
          <w:rFonts w:asciiTheme="majorHAnsi" w:hAnsiTheme="majorHAnsi" w:cstheme="majorHAnsi"/>
          <w:szCs w:val="16"/>
        </w:rPr>
        <w:tab/>
      </w:r>
      <w:r w:rsidRPr="006C7C89">
        <w:rPr>
          <w:rFonts w:asciiTheme="majorHAnsi" w:hAnsiTheme="majorHAnsi" w:cstheme="majorHAnsi"/>
          <w:szCs w:val="16"/>
        </w:rPr>
        <w:t>Productivity Commission, Review of the Gas Access Regime, 2003-04, p. 111.</w:t>
      </w:r>
    </w:p>
  </w:footnote>
  <w:footnote w:id="64">
    <w:p w14:paraId="5707B2CD" w14:textId="77777777" w:rsidR="00F323B2" w:rsidRPr="00710DCB" w:rsidRDefault="00F323B2" w:rsidP="00381919">
      <w:pPr>
        <w:pStyle w:val="FootnoteText"/>
        <w:spacing w:before="0" w:after="20"/>
      </w:pPr>
      <w:r w:rsidRPr="00710DCB">
        <w:rPr>
          <w:rStyle w:val="FootnoteReference"/>
        </w:rPr>
        <w:footnoteRef/>
      </w:r>
      <w:r w:rsidRPr="00710DCB">
        <w:t xml:space="preserve"> </w:t>
      </w:r>
      <w:r w:rsidRPr="00710DCB">
        <w:tab/>
      </w:r>
      <w:bookmarkStart w:id="59" w:name="_Hlk14842391"/>
      <w:r w:rsidRPr="00710DCB">
        <w:t xml:space="preserve">The pipelines include: </w:t>
      </w:r>
      <w:r w:rsidRPr="00710DCB">
        <w:rPr>
          <w:rFonts w:eastAsiaTheme="minorHAnsi"/>
        </w:rPr>
        <w:t xml:space="preserve">APA’s Roma to Brisbane Pipeline, Victorian Transmission System and Amadeus Gas Pipeline; </w:t>
      </w:r>
      <w:r w:rsidRPr="00BC431B">
        <w:rPr>
          <w:rFonts w:eastAsiaTheme="minorHAnsi"/>
        </w:rPr>
        <w:t xml:space="preserve">Goldfield Gas Transmission Joint Venture’s Goldfields Gas Pipeline; AGIG’s Dampier to Bunbury Pipeline, </w:t>
      </w:r>
      <w:bookmarkStart w:id="60" w:name="_Hlk14009236"/>
      <w:r w:rsidRPr="00BC431B">
        <w:rPr>
          <w:rFonts w:eastAsiaTheme="minorHAnsi"/>
        </w:rPr>
        <w:t xml:space="preserve">Victorian gas distribution networks (including the distribution network previously owned by Multinet), Albury gas distribution network and South Australian distribution network; </w:t>
      </w:r>
      <w:r w:rsidRPr="00710DCB">
        <w:rPr>
          <w:rFonts w:eastAsiaTheme="minorHAnsi"/>
        </w:rPr>
        <w:t>ATCO’s Mid-West and South-West distribution network</w:t>
      </w:r>
      <w:r>
        <w:rPr>
          <w:rFonts w:eastAsiaTheme="minorHAnsi"/>
        </w:rPr>
        <w:t>;</w:t>
      </w:r>
      <w:r w:rsidRPr="00710DCB">
        <w:rPr>
          <w:rFonts w:eastAsiaTheme="minorHAnsi"/>
        </w:rPr>
        <w:t xml:space="preserve"> AusNet’s Victorian Distribution System; Evoenergy’s ACT distribution network; and Jemena’s NSW distribution network</w:t>
      </w:r>
      <w:bookmarkEnd w:id="60"/>
      <w:r w:rsidRPr="00710DCB">
        <w:rPr>
          <w:rFonts w:eastAsiaTheme="minorHAnsi"/>
        </w:rPr>
        <w:t>.</w:t>
      </w:r>
      <w:r w:rsidRPr="00710DCB">
        <w:t xml:space="preserve"> </w:t>
      </w:r>
    </w:p>
    <w:bookmarkEnd w:id="59"/>
  </w:footnote>
  <w:footnote w:id="65">
    <w:p w14:paraId="5D633F28" w14:textId="77777777" w:rsidR="00F323B2" w:rsidRPr="00710DCB" w:rsidRDefault="00F323B2" w:rsidP="00381919">
      <w:pPr>
        <w:pStyle w:val="FootnoteText"/>
        <w:spacing w:before="0" w:after="20"/>
      </w:pPr>
      <w:r w:rsidRPr="00710DCB">
        <w:rPr>
          <w:rStyle w:val="FootnoteReference"/>
        </w:rPr>
        <w:footnoteRef/>
      </w:r>
      <w:r w:rsidRPr="00710DCB">
        <w:t xml:space="preserve"> </w:t>
      </w:r>
      <w:r w:rsidRPr="00710DCB">
        <w:tab/>
        <w:t xml:space="preserve">The pipelines include: </w:t>
      </w:r>
      <w:bookmarkStart w:id="61" w:name="_Hlk14842883"/>
      <w:r w:rsidRPr="00710DCB">
        <w:rPr>
          <w:rFonts w:eastAsiaTheme="minorHAnsi"/>
        </w:rPr>
        <w:t>APA’s Moomba to Sydney Pipeline between Marsden and Sydney, Carpentaria Gas Pipeline, Central West Pipeline, and Kalgoorlie to Kambalda Pipeline; AGIG’s Queensland gas distribution network; and Allgas’ Queensland gas distribution network.</w:t>
      </w:r>
      <w:bookmarkEnd w:id="61"/>
      <w:r w:rsidRPr="00710DCB">
        <w:rPr>
          <w:rFonts w:eastAsiaTheme="minorHAnsi"/>
        </w:rPr>
        <w:t xml:space="preserve"> Note in 2008 a derogation was implemented in Queensland, which resulted in the Carpentaria Gas Pipeline being subject to light regulation until May 2023. National Gas (Queensland) Regulation 2008.</w:t>
      </w:r>
    </w:p>
  </w:footnote>
  <w:footnote w:id="66">
    <w:p w14:paraId="437AD5D2" w14:textId="77777777" w:rsidR="00F323B2" w:rsidRPr="00710DCB" w:rsidRDefault="00F323B2" w:rsidP="00381919">
      <w:pPr>
        <w:pStyle w:val="FootnoteText"/>
        <w:spacing w:before="0" w:after="20"/>
      </w:pPr>
      <w:r w:rsidRPr="00710DCB">
        <w:rPr>
          <w:rStyle w:val="FootnoteReference"/>
        </w:rPr>
        <w:footnoteRef/>
      </w:r>
      <w:r w:rsidRPr="00710DCB">
        <w:t xml:space="preserve"> </w:t>
      </w:r>
      <w:r w:rsidRPr="00710DCB">
        <w:tab/>
        <w:t xml:space="preserve">The Northern Gas Pipeline is subject to a 15 year derogation from Part 23 under the NGR. </w:t>
      </w:r>
    </w:p>
  </w:footnote>
  <w:footnote w:id="67">
    <w:p w14:paraId="5A69AF88" w14:textId="77777777" w:rsidR="00F323B2" w:rsidRPr="009061CA" w:rsidRDefault="00F323B2" w:rsidP="004122BD">
      <w:pPr>
        <w:pStyle w:val="FootnoteText"/>
        <w:spacing w:before="20" w:after="20"/>
        <w:rPr>
          <w:rFonts w:asciiTheme="majorHAnsi" w:hAnsiTheme="majorHAnsi" w:cstheme="majorHAnsi"/>
          <w:szCs w:val="16"/>
        </w:rPr>
      </w:pPr>
      <w:r>
        <w:rPr>
          <w:rStyle w:val="FootnoteReference"/>
        </w:rPr>
        <w:footnoteRef/>
      </w:r>
      <w:r>
        <w:t xml:space="preserve"> </w:t>
      </w:r>
      <w:r w:rsidRPr="009A4C5C">
        <w:rPr>
          <w:szCs w:val="16"/>
        </w:rPr>
        <w:tab/>
        <w:t xml:space="preserve">For intra-state pipelines in the US, </w:t>
      </w:r>
      <w:r w:rsidRPr="009A4C5C">
        <w:rPr>
          <w:rFonts w:asciiTheme="majorHAnsi" w:hAnsiTheme="majorHAnsi" w:cstheme="majorHAnsi"/>
          <w:color w:val="252525"/>
          <w:szCs w:val="16"/>
          <w:shd w:val="clear" w:color="auto" w:fill="FFFFFF"/>
        </w:rPr>
        <w:t>if the pipeline is</w:t>
      </w:r>
      <w:r w:rsidRPr="009A4C5C">
        <w:rPr>
          <w:rFonts w:asciiTheme="majorHAnsi" w:hAnsiTheme="majorHAnsi" w:cstheme="majorHAnsi"/>
          <w:b/>
          <w:bCs/>
          <w:color w:val="252525"/>
          <w:szCs w:val="16"/>
          <w:shd w:val="clear" w:color="auto" w:fill="FFFFFF"/>
        </w:rPr>
        <w:t xml:space="preserve"> </w:t>
      </w:r>
      <w:r w:rsidRPr="009A4C5C">
        <w:rPr>
          <w:rFonts w:asciiTheme="majorHAnsi" w:hAnsiTheme="majorHAnsi" w:cstheme="majorHAnsi"/>
          <w:color w:val="252525"/>
          <w:szCs w:val="16"/>
          <w:shd w:val="clear" w:color="auto" w:fill="FFFFFF"/>
        </w:rPr>
        <w:t>built based on a showing of public use and necessity, third parties can obtain access to the pipelines, as long as their use will not interrupt the transportation of product for existing customers. Note though that not all pipelines are built based on "public use and necessity" and so are not required to provide third party access.</w:t>
      </w:r>
      <w:r>
        <w:rPr>
          <w:rFonts w:asciiTheme="majorHAnsi" w:hAnsiTheme="majorHAnsi" w:cstheme="majorHAnsi"/>
          <w:color w:val="252525"/>
          <w:szCs w:val="16"/>
          <w:shd w:val="clear" w:color="auto" w:fill="FFFFFF"/>
        </w:rPr>
        <w:t xml:space="preserve"> </w:t>
      </w:r>
      <w:r>
        <w:rPr>
          <w:rFonts w:asciiTheme="majorHAnsi" w:hAnsiTheme="majorHAnsi" w:cstheme="majorHAnsi"/>
          <w:color w:val="252525"/>
          <w:szCs w:val="16"/>
          <w:shd w:val="clear" w:color="auto" w:fill="FFFFFF"/>
        </w:rPr>
        <w:br/>
        <w:t xml:space="preserve">See </w:t>
      </w:r>
      <w:r w:rsidRPr="00C662E8">
        <w:rPr>
          <w:rFonts w:asciiTheme="majorHAnsi" w:hAnsiTheme="majorHAnsi" w:cstheme="majorHAnsi"/>
          <w:szCs w:val="16"/>
        </w:rPr>
        <w:t>Joy, M., and Dimitroff, S., Oil and gas regulation in the United States: overview, June 201</w:t>
      </w:r>
      <w:r>
        <w:rPr>
          <w:rFonts w:asciiTheme="majorHAnsi" w:hAnsiTheme="majorHAnsi" w:cstheme="majorHAnsi"/>
          <w:szCs w:val="16"/>
        </w:rPr>
        <w:t>6.</w:t>
      </w:r>
    </w:p>
  </w:footnote>
  <w:footnote w:id="68">
    <w:p w14:paraId="237FD0DF" w14:textId="77777777" w:rsidR="00F323B2" w:rsidRPr="00710DCB" w:rsidRDefault="00F323B2" w:rsidP="003B5A36">
      <w:pPr>
        <w:pStyle w:val="FootnoteText"/>
      </w:pPr>
      <w:r w:rsidRPr="00710DCB">
        <w:rPr>
          <w:rStyle w:val="FootnoteReference"/>
        </w:rPr>
        <w:footnoteRef/>
      </w:r>
      <w:r w:rsidRPr="00710DCB">
        <w:t xml:space="preserve"> </w:t>
      </w:r>
      <w:r w:rsidRPr="00710DCB">
        <w:tab/>
        <w:t>This requirement is set out in FERC Order 636, 8 April 1992.</w:t>
      </w:r>
    </w:p>
  </w:footnote>
  <w:footnote w:id="69">
    <w:p w14:paraId="797CB407" w14:textId="77777777" w:rsidR="00F323B2" w:rsidRPr="00710DCB" w:rsidRDefault="00F323B2" w:rsidP="003B5A36">
      <w:pPr>
        <w:pStyle w:val="FootnoteText"/>
      </w:pPr>
      <w:r w:rsidRPr="00710DCB">
        <w:rPr>
          <w:rStyle w:val="FootnoteReference"/>
        </w:rPr>
        <w:footnoteRef/>
      </w:r>
      <w:r w:rsidRPr="00710DCB">
        <w:t xml:space="preserve"> </w:t>
      </w:r>
      <w:r w:rsidRPr="00710DCB">
        <w:tab/>
        <w:t>See US Code of Federal Regulations, regulation 284.7(b)</w:t>
      </w:r>
    </w:p>
  </w:footnote>
  <w:footnote w:id="70">
    <w:p w14:paraId="40137983" w14:textId="77777777" w:rsidR="00F323B2" w:rsidRPr="00710DCB" w:rsidRDefault="00F323B2" w:rsidP="003B5A36">
      <w:pPr>
        <w:pStyle w:val="FootnoteText"/>
      </w:pPr>
      <w:r w:rsidRPr="00710DCB">
        <w:rPr>
          <w:rStyle w:val="FootnoteReference"/>
        </w:rPr>
        <w:footnoteRef/>
      </w:r>
      <w:r w:rsidRPr="00710DCB">
        <w:t xml:space="preserve"> </w:t>
      </w:r>
      <w:r w:rsidRPr="00710DCB">
        <w:tab/>
        <w:t>See National Energy Board Act 1985 (Canada), section 97.</w:t>
      </w:r>
    </w:p>
  </w:footnote>
  <w:footnote w:id="71">
    <w:p w14:paraId="462971ED" w14:textId="77777777" w:rsidR="00F323B2" w:rsidRPr="00710DCB" w:rsidRDefault="00F323B2" w:rsidP="003B5A36">
      <w:pPr>
        <w:pStyle w:val="FootnoteText"/>
      </w:pPr>
      <w:r w:rsidRPr="00710DCB">
        <w:rPr>
          <w:rStyle w:val="FootnoteReference"/>
        </w:rPr>
        <w:footnoteRef/>
      </w:r>
      <w:r w:rsidRPr="00710DCB">
        <w:t xml:space="preserve"> </w:t>
      </w:r>
      <w:r w:rsidRPr="00710DCB">
        <w:tab/>
        <w:t>National Energy Board, Canada’s Pipeline Transportation System, 2016, p. 21</w:t>
      </w:r>
    </w:p>
  </w:footnote>
  <w:footnote w:id="72">
    <w:p w14:paraId="3F047B0C" w14:textId="77777777" w:rsidR="00F323B2" w:rsidRDefault="00F323B2">
      <w:pPr>
        <w:pStyle w:val="FootnoteText"/>
      </w:pPr>
      <w:r>
        <w:rPr>
          <w:rStyle w:val="FootnoteReference"/>
        </w:rPr>
        <w:footnoteRef/>
      </w:r>
      <w:r>
        <w:t xml:space="preserve"> </w:t>
      </w:r>
      <w:r>
        <w:tab/>
      </w:r>
      <w:r>
        <w:rPr>
          <w:szCs w:val="16"/>
        </w:rPr>
        <w:t xml:space="preserve">The term under-regulation is used to refer to a situation where the level of regulation applied does not limit a service provider’s ability to exercise market power. </w:t>
      </w:r>
      <w:r>
        <w:t xml:space="preserve"> </w:t>
      </w:r>
    </w:p>
  </w:footnote>
  <w:footnote w:id="73">
    <w:p w14:paraId="29F14F0E" w14:textId="77777777" w:rsidR="00F323B2" w:rsidRPr="006D62F0" w:rsidRDefault="00F323B2" w:rsidP="006D62F0">
      <w:pPr>
        <w:pStyle w:val="FootnoteText"/>
        <w:spacing w:before="40" w:after="40"/>
        <w:rPr>
          <w:szCs w:val="16"/>
        </w:rPr>
      </w:pPr>
      <w:r w:rsidRPr="006D62F0">
        <w:rPr>
          <w:rStyle w:val="FootnoteReference"/>
          <w:szCs w:val="16"/>
        </w:rPr>
        <w:footnoteRef/>
      </w:r>
      <w:r w:rsidRPr="006D62F0">
        <w:rPr>
          <w:szCs w:val="16"/>
        </w:rPr>
        <w:t xml:space="preserve"> </w:t>
      </w:r>
      <w:r w:rsidRPr="006D62F0">
        <w:rPr>
          <w:szCs w:val="16"/>
        </w:rPr>
        <w:tab/>
        <w:t xml:space="preserve">The Consultation RIS identified two other </w:t>
      </w:r>
      <w:r w:rsidRPr="006D62F0">
        <w:rPr>
          <w:i/>
          <w:iCs/>
          <w:szCs w:val="16"/>
        </w:rPr>
        <w:t>potential</w:t>
      </w:r>
      <w:r w:rsidRPr="006D62F0">
        <w:rPr>
          <w:szCs w:val="16"/>
        </w:rPr>
        <w:t xml:space="preserve"> problems and sought feedback on whether they were actually problems. The majority of stakeholders were, however, of the view that these do not constitute problems:</w:t>
      </w:r>
    </w:p>
    <w:p w14:paraId="2972A1CE" w14:textId="77777777" w:rsidR="00F323B2" w:rsidRPr="006D62F0" w:rsidRDefault="00F323B2" w:rsidP="006D62F0">
      <w:pPr>
        <w:pStyle w:val="ListBullet"/>
        <w:numPr>
          <w:ilvl w:val="0"/>
          <w:numId w:val="82"/>
        </w:numPr>
        <w:spacing w:before="40" w:after="40"/>
        <w:rPr>
          <w:sz w:val="16"/>
          <w:szCs w:val="16"/>
        </w:rPr>
      </w:pPr>
      <w:r w:rsidRPr="006D62F0">
        <w:rPr>
          <w:sz w:val="16"/>
          <w:szCs w:val="16"/>
        </w:rPr>
        <w:t>the threshold adopted for economic regulation (i.e. all pipelines providing third party access) may result in over-regulation and give rise to unnecessary costs and risks; and</w:t>
      </w:r>
    </w:p>
    <w:p w14:paraId="2DB62DE2" w14:textId="77777777" w:rsidR="00F323B2" w:rsidRDefault="00F323B2" w:rsidP="006D62F0">
      <w:pPr>
        <w:pStyle w:val="ListBullet"/>
        <w:numPr>
          <w:ilvl w:val="0"/>
          <w:numId w:val="82"/>
        </w:numPr>
        <w:spacing w:before="40" w:after="40"/>
      </w:pPr>
      <w:r w:rsidRPr="006D62F0">
        <w:rPr>
          <w:sz w:val="16"/>
          <w:szCs w:val="16"/>
        </w:rPr>
        <w:t>the application of regulation to pipelines with a greenfield exemption may distort the incentives service providers have to invest in new pipelines;</w:t>
      </w:r>
      <w:r w:rsidRPr="00EF10FD">
        <w:t xml:space="preserve"> </w:t>
      </w:r>
    </w:p>
  </w:footnote>
  <w:footnote w:id="74">
    <w:p w14:paraId="16E69BCE" w14:textId="77777777" w:rsidR="003C22B4" w:rsidRDefault="003C22B4" w:rsidP="003C22B4">
      <w:pPr>
        <w:pStyle w:val="FootnoteText"/>
      </w:pPr>
      <w:r>
        <w:rPr>
          <w:rStyle w:val="FootnoteReference"/>
        </w:rPr>
        <w:footnoteRef/>
      </w:r>
      <w:r>
        <w:t xml:space="preserve"> </w:t>
      </w:r>
      <w:r>
        <w:tab/>
        <w:t xml:space="preserve">This may occur because of under-regulation, or because the threat of a stronger form of regulation being applied or the dispute mechanism being triggered is not credible. </w:t>
      </w:r>
    </w:p>
  </w:footnote>
  <w:footnote w:id="75">
    <w:p w14:paraId="410B0CF8" w14:textId="77777777" w:rsidR="00F323B2" w:rsidRPr="009B63BA" w:rsidRDefault="00F323B2" w:rsidP="00FC5192">
      <w:pPr>
        <w:pStyle w:val="FootnoteText"/>
        <w:spacing w:beforeLines="20" w:before="48" w:after="0"/>
        <w:rPr>
          <w:szCs w:val="16"/>
          <w:u w:val="single"/>
        </w:rPr>
      </w:pPr>
      <w:r w:rsidRPr="009B63BA">
        <w:rPr>
          <w:rStyle w:val="FootnoteReference"/>
          <w:szCs w:val="16"/>
        </w:rPr>
        <w:footnoteRef/>
      </w:r>
      <w:r w:rsidRPr="009B63BA">
        <w:rPr>
          <w:szCs w:val="16"/>
        </w:rPr>
        <w:t xml:space="preserve"> </w:t>
      </w:r>
      <w:r w:rsidRPr="009B63BA">
        <w:rPr>
          <w:szCs w:val="16"/>
        </w:rPr>
        <w:tab/>
      </w:r>
      <w:r w:rsidRPr="00807EA1">
        <w:t xml:space="preserve">Energy </w:t>
      </w:r>
      <w:r>
        <w:t>Ministers</w:t>
      </w:r>
      <w:r w:rsidRPr="009B63BA">
        <w:rPr>
          <w:szCs w:val="16"/>
        </w:rPr>
        <w:t xml:space="preserve">, Australian Gas Market Vision, December 2014 </w:t>
      </w:r>
      <w:r>
        <w:rPr>
          <w:szCs w:val="16"/>
        </w:rPr>
        <w:br/>
      </w:r>
      <w:r w:rsidRPr="009B63BA">
        <w:rPr>
          <w:szCs w:val="16"/>
        </w:rPr>
        <w:t xml:space="preserve">See </w:t>
      </w:r>
      <w:hyperlink r:id="rId2" w:history="1">
        <w:r w:rsidRPr="009B63BA">
          <w:rPr>
            <w:rStyle w:val="Hyperlink"/>
            <w:u w:val="none"/>
          </w:rPr>
          <w:t>http://www.coagenergycouncil.gov.au/sites/prod.energycouncil/files/publications/documents/COAG-Energy-Council-Australian-Gas-Market-Vision-Dec-2014-FINAL.pdf</w:t>
        </w:r>
      </w:hyperlink>
      <w:r w:rsidRPr="009B63BA">
        <w:t xml:space="preserve"> </w:t>
      </w:r>
    </w:p>
  </w:footnote>
  <w:footnote w:id="76">
    <w:p w14:paraId="5FFD6613" w14:textId="77777777" w:rsidR="00F323B2" w:rsidRPr="00983327" w:rsidRDefault="00F323B2" w:rsidP="00B839F0">
      <w:pPr>
        <w:pStyle w:val="FootnoteText"/>
        <w:rPr>
          <w:szCs w:val="16"/>
        </w:rPr>
      </w:pPr>
      <w:r w:rsidRPr="00983327">
        <w:rPr>
          <w:rStyle w:val="FootnoteReference"/>
          <w:szCs w:val="16"/>
        </w:rPr>
        <w:footnoteRef/>
      </w:r>
      <w:r w:rsidRPr="00983327">
        <w:rPr>
          <w:szCs w:val="16"/>
        </w:rPr>
        <w:t xml:space="preserve"> </w:t>
      </w:r>
      <w:r w:rsidRPr="00983327">
        <w:rPr>
          <w:szCs w:val="16"/>
        </w:rPr>
        <w:tab/>
      </w:r>
      <w:r>
        <w:rPr>
          <w:szCs w:val="16"/>
        </w:rPr>
        <w:t>ibid.</w:t>
      </w:r>
      <w:r>
        <w:t xml:space="preserve"> </w:t>
      </w:r>
    </w:p>
  </w:footnote>
  <w:footnote w:id="77">
    <w:p w14:paraId="1741DAE5" w14:textId="77777777" w:rsidR="00F323B2" w:rsidRPr="00710DCB" w:rsidRDefault="00F323B2" w:rsidP="00380B72">
      <w:pPr>
        <w:pStyle w:val="FootnoteText"/>
        <w:rPr>
          <w:szCs w:val="16"/>
        </w:rPr>
      </w:pPr>
      <w:r w:rsidRPr="00710DCB">
        <w:rPr>
          <w:rStyle w:val="FootnoteReference"/>
        </w:rPr>
        <w:footnoteRef/>
      </w:r>
      <w:r w:rsidRPr="00710DCB">
        <w:t xml:space="preserve"> </w:t>
      </w:r>
      <w:r w:rsidRPr="00710DCB">
        <w:tab/>
      </w:r>
      <w:r>
        <w:t>A</w:t>
      </w:r>
      <w:r w:rsidRPr="00710DCB">
        <w:t xml:space="preserve"> pipeline could also become subject to regulation if they decided to submit a voluntary full AA or if the pipeline was built through a CTP process approved under the Gas Code or the NGR and there was an approved CT</w:t>
      </w:r>
      <w:r>
        <w:t>P</w:t>
      </w:r>
      <w:r w:rsidRPr="00710DCB">
        <w:t xml:space="preserve"> AA in place. </w:t>
      </w:r>
    </w:p>
  </w:footnote>
  <w:footnote w:id="78">
    <w:p w14:paraId="54773D8F" w14:textId="77777777" w:rsidR="00F323B2" w:rsidRPr="00710DCB" w:rsidRDefault="00F323B2" w:rsidP="00380B72">
      <w:pPr>
        <w:pStyle w:val="FootnoteText"/>
      </w:pPr>
      <w:r w:rsidRPr="00710DCB">
        <w:rPr>
          <w:rStyle w:val="FootnoteReference"/>
        </w:rPr>
        <w:footnoteRef/>
      </w:r>
      <w:r w:rsidRPr="00710DCB">
        <w:t xml:space="preserve"> </w:t>
      </w:r>
      <w:r w:rsidRPr="00710DCB">
        <w:tab/>
        <w:t>ACCC, Inquiry into the east coast gas market, April 2016, pp. 10-11 and AEMC, Stage 2 Final Report: East Coast Wholesale Gas Markets and Pipeline Frameworks Review, 23 May 2016, p. 112.</w:t>
      </w:r>
    </w:p>
  </w:footnote>
  <w:footnote w:id="79">
    <w:p w14:paraId="7D8183E4" w14:textId="77777777" w:rsidR="00F323B2" w:rsidRPr="00710DCB" w:rsidRDefault="00F323B2" w:rsidP="00380B72">
      <w:pPr>
        <w:pStyle w:val="FootnoteText"/>
      </w:pPr>
      <w:r w:rsidRPr="00710DCB">
        <w:rPr>
          <w:rStyle w:val="FootnoteReference"/>
        </w:rPr>
        <w:footnoteRef/>
      </w:r>
      <w:r w:rsidRPr="00710DCB">
        <w:t xml:space="preserve"> </w:t>
      </w:r>
      <w:r w:rsidRPr="00710DCB">
        <w:tab/>
        <w:t>That is, monopoly pricing that results in economic inefficiencies but has little or no effect on competition in other markets.</w:t>
      </w:r>
    </w:p>
  </w:footnote>
  <w:footnote w:id="80">
    <w:p w14:paraId="6CADC613" w14:textId="77777777" w:rsidR="00F323B2" w:rsidRDefault="00F323B2" w:rsidP="00380B72">
      <w:pPr>
        <w:pStyle w:val="FootnoteText"/>
        <w:spacing w:before="20" w:after="20"/>
      </w:pPr>
      <w:r>
        <w:rPr>
          <w:rStyle w:val="FootnoteReference"/>
        </w:rPr>
        <w:footnoteRef/>
      </w:r>
      <w:r>
        <w:t xml:space="preserve"> </w:t>
      </w:r>
      <w:r>
        <w:tab/>
        <w:t>Vertigan, M., Examination of the current test for the regulation of gas pipelines, 14 December 2016, pp. 12-13.</w:t>
      </w:r>
    </w:p>
  </w:footnote>
  <w:footnote w:id="81">
    <w:p w14:paraId="6194B7AB" w14:textId="77777777" w:rsidR="00F323B2" w:rsidRPr="00710DCB" w:rsidRDefault="00F323B2" w:rsidP="00380B72">
      <w:pPr>
        <w:pStyle w:val="FootnoteText"/>
      </w:pPr>
      <w:r w:rsidRPr="00710DCB">
        <w:rPr>
          <w:rStyle w:val="FootnoteReference"/>
        </w:rPr>
        <w:footnoteRef/>
      </w:r>
      <w:r w:rsidRPr="00710DCB">
        <w:t xml:space="preserve"> </w:t>
      </w:r>
      <w:r w:rsidRPr="00710DCB">
        <w:tab/>
      </w:r>
      <w:r>
        <w:t>COAG Energy Council, Meeting Communique, 14 December 2016.</w:t>
      </w:r>
    </w:p>
  </w:footnote>
  <w:footnote w:id="82">
    <w:p w14:paraId="21570333" w14:textId="77777777" w:rsidR="00F323B2" w:rsidRPr="0079218D" w:rsidRDefault="00F323B2" w:rsidP="003D2294">
      <w:pPr>
        <w:pStyle w:val="FootnoteText"/>
        <w:spacing w:before="20" w:after="0"/>
        <w:rPr>
          <w:rFonts w:cs="Arial"/>
        </w:rPr>
      </w:pPr>
      <w:r w:rsidRPr="0079218D">
        <w:rPr>
          <w:rStyle w:val="FootnoteReference"/>
          <w:rFonts w:cs="Arial"/>
        </w:rPr>
        <w:footnoteRef/>
      </w:r>
      <w:r w:rsidRPr="0079218D">
        <w:rPr>
          <w:rFonts w:cs="Arial"/>
        </w:rPr>
        <w:t xml:space="preserve"> </w:t>
      </w:r>
      <w:r w:rsidRPr="0079218D">
        <w:rPr>
          <w:rFonts w:cs="Arial"/>
        </w:rPr>
        <w:tab/>
        <w:t xml:space="preserve">The CTP was used by </w:t>
      </w:r>
      <w:r w:rsidRPr="0079218D">
        <w:rPr>
          <w:rFonts w:cs="Arial"/>
          <w:szCs w:val="16"/>
          <w:lang w:eastAsia="fr-CA"/>
        </w:rPr>
        <w:t>the Central Ranges Pipelines and Central Ranges Gas Network. Another CTP process was also approved for Loddon Murray but no bids were obtained.</w:t>
      </w:r>
    </w:p>
  </w:footnote>
  <w:footnote w:id="83">
    <w:p w14:paraId="22227A78" w14:textId="77777777" w:rsidR="00F323B2" w:rsidRPr="0079218D" w:rsidRDefault="00F323B2" w:rsidP="003D2294">
      <w:pPr>
        <w:pStyle w:val="FootnoteText"/>
        <w:spacing w:before="20" w:after="0"/>
        <w:rPr>
          <w:rFonts w:cs="Arial"/>
        </w:rPr>
      </w:pPr>
      <w:r w:rsidRPr="0079218D">
        <w:rPr>
          <w:rStyle w:val="FootnoteReference"/>
          <w:rFonts w:cs="Arial"/>
        </w:rPr>
        <w:footnoteRef/>
      </w:r>
      <w:r w:rsidRPr="0079218D">
        <w:rPr>
          <w:rFonts w:cs="Arial"/>
        </w:rPr>
        <w:t xml:space="preserve"> </w:t>
      </w:r>
      <w:r w:rsidRPr="0079218D">
        <w:rPr>
          <w:rFonts w:cs="Arial"/>
        </w:rPr>
        <w:tab/>
        <w:t xml:space="preserve">The 15-year no coverage determination provisions have been used by the Queensland LNG producers, to obtain </w:t>
      </w:r>
    </w:p>
  </w:footnote>
  <w:footnote w:id="84">
    <w:p w14:paraId="1FC11740" w14:textId="77777777" w:rsidR="00F323B2" w:rsidRPr="00710DCB" w:rsidRDefault="00F323B2" w:rsidP="003D2294">
      <w:pPr>
        <w:pStyle w:val="FootnoteText"/>
        <w:spacing w:before="20" w:after="0"/>
      </w:pPr>
      <w:r w:rsidRPr="00710DCB">
        <w:rPr>
          <w:rStyle w:val="FootnoteReference"/>
        </w:rPr>
        <w:footnoteRef/>
      </w:r>
      <w:r w:rsidRPr="00710DCB">
        <w:t xml:space="preserve"> </w:t>
      </w:r>
      <w:r w:rsidRPr="00710DCB">
        <w:tab/>
        <w:t xml:space="preserve">Some of the pipelines that have been developed in this period include the QSN Link, the Northern Gas Pipeline, the Darling Downs Pipeline, the Berwyndale to Wallumbilla Pipeline, the Wallumbilla to Reedy Creek Pipeline, the SESA Pipeline, </w:t>
      </w:r>
      <w:r>
        <w:t xml:space="preserve">the Mortlake Pipeline, </w:t>
      </w:r>
      <w:r w:rsidRPr="00710DCB">
        <w:t>the Fortescue River Gas Pipeline</w:t>
      </w:r>
      <w:r>
        <w:t xml:space="preserve">, the </w:t>
      </w:r>
      <w:r w:rsidRPr="00710DCB">
        <w:t>Ashburton Onslow Gas Pipeline</w:t>
      </w:r>
      <w:r>
        <w:t>, the Eastern Goldfields Pipeline,  and, more recently, the Tanami Gas Pipeline</w:t>
      </w:r>
      <w:r w:rsidRPr="00710DCB">
        <w:t xml:space="preserve">. </w:t>
      </w:r>
    </w:p>
  </w:footnote>
  <w:footnote w:id="85">
    <w:p w14:paraId="4DA5BAEE" w14:textId="77777777" w:rsidR="00F323B2" w:rsidRPr="00371685" w:rsidRDefault="00F323B2" w:rsidP="003306BB">
      <w:pPr>
        <w:pStyle w:val="FootnoteText"/>
        <w:spacing w:before="20" w:after="20"/>
        <w:rPr>
          <w:szCs w:val="16"/>
        </w:rPr>
      </w:pPr>
      <w:r w:rsidRPr="00371685">
        <w:rPr>
          <w:rStyle w:val="FootnoteReference"/>
          <w:szCs w:val="16"/>
        </w:rPr>
        <w:footnoteRef/>
      </w:r>
      <w:r w:rsidRPr="00371685">
        <w:rPr>
          <w:szCs w:val="16"/>
        </w:rPr>
        <w:t xml:space="preserve"> </w:t>
      </w:r>
      <w:r w:rsidRPr="00371685">
        <w:rPr>
          <w:szCs w:val="16"/>
        </w:rPr>
        <w:tab/>
        <w:t xml:space="preserve">This potential problem was identified in the AEMC’s 2017-18 Economic regulation review. See </w:t>
      </w:r>
      <w:r>
        <w:rPr>
          <w:szCs w:val="16"/>
        </w:rPr>
        <w:t xml:space="preserve">AEMC, </w:t>
      </w:r>
      <w:r w:rsidRPr="00371685">
        <w:rPr>
          <w:szCs w:val="16"/>
        </w:rPr>
        <w:t xml:space="preserve">Final Report: </w:t>
      </w:r>
      <w:r w:rsidRPr="00371685">
        <w:rPr>
          <w:rFonts w:cs="Arial"/>
          <w:szCs w:val="16"/>
        </w:rPr>
        <w:t>Review into scope of economic regulation applied to covered pipelines</w:t>
      </w:r>
      <w:r w:rsidRPr="00371685">
        <w:rPr>
          <w:szCs w:val="16"/>
        </w:rPr>
        <w:t>, 3 July 2018, pp. 43-45.</w:t>
      </w:r>
    </w:p>
    <w:p w14:paraId="6A011DA4" w14:textId="77777777" w:rsidR="00F323B2" w:rsidRPr="00710DCB" w:rsidRDefault="00F323B2" w:rsidP="003306BB">
      <w:pPr>
        <w:pStyle w:val="FootnoteText"/>
        <w:spacing w:before="20" w:after="20"/>
      </w:pPr>
      <w:r>
        <w:rPr>
          <w:rFonts w:asciiTheme="majorHAnsi" w:hAnsiTheme="majorHAnsi" w:cstheme="majorHAnsi"/>
          <w:szCs w:val="16"/>
        </w:rPr>
        <w:tab/>
      </w:r>
      <w:r w:rsidRPr="00710DCB">
        <w:rPr>
          <w:rFonts w:asciiTheme="majorHAnsi" w:hAnsiTheme="majorHAnsi" w:cstheme="majorHAnsi"/>
          <w:szCs w:val="16"/>
        </w:rPr>
        <w:t xml:space="preserve">A similar view was also expressed by the NCC in its submission to the AEMC’s Economic regulation review. See, </w:t>
      </w:r>
      <w:r>
        <w:rPr>
          <w:rFonts w:asciiTheme="majorHAnsi" w:hAnsiTheme="majorHAnsi" w:cstheme="majorHAnsi"/>
          <w:szCs w:val="16"/>
        </w:rPr>
        <w:t xml:space="preserve">NCC, </w:t>
      </w:r>
      <w:r w:rsidRPr="00710DCB">
        <w:rPr>
          <w:rFonts w:asciiTheme="majorHAnsi" w:hAnsiTheme="majorHAnsi" w:cstheme="majorHAnsi"/>
          <w:szCs w:val="16"/>
        </w:rPr>
        <w:t>Submission to AEMC draft report – Review into the scope of economic regulation applied to covered pipelines, 10 April 2018, p. 5.</w:t>
      </w:r>
    </w:p>
  </w:footnote>
  <w:footnote w:id="86">
    <w:p w14:paraId="47DB0CF8" w14:textId="77777777" w:rsidR="00F323B2" w:rsidRPr="00710DCB" w:rsidRDefault="00F323B2" w:rsidP="003306BB">
      <w:pPr>
        <w:pStyle w:val="FootnoteText"/>
        <w:spacing w:before="20" w:after="20"/>
      </w:pPr>
      <w:r w:rsidRPr="00710DCB">
        <w:rPr>
          <w:rStyle w:val="FootnoteReference"/>
        </w:rPr>
        <w:footnoteRef/>
      </w:r>
      <w:r w:rsidRPr="00710DCB">
        <w:t xml:space="preserve"> </w:t>
      </w:r>
      <w:r w:rsidRPr="00710DCB">
        <w:tab/>
      </w:r>
      <w:r>
        <w:t xml:space="preserve">This potential problem was also identified </w:t>
      </w:r>
      <w:r w:rsidRPr="006B4639">
        <w:t>in the AEMC’s 2017-18 Economic regulation review</w:t>
      </w:r>
      <w:r>
        <w:t xml:space="preserve">. See </w:t>
      </w:r>
      <w:r w:rsidRPr="0044337E">
        <w:rPr>
          <w:szCs w:val="16"/>
        </w:rPr>
        <w:t xml:space="preserve">AEMC, Final Report: </w:t>
      </w:r>
      <w:r w:rsidRPr="0044337E">
        <w:rPr>
          <w:rFonts w:cs="Arial"/>
          <w:szCs w:val="16"/>
        </w:rPr>
        <w:t>Review into scope of economic regulation applied to covered pipelines</w:t>
      </w:r>
      <w:r w:rsidRPr="0044337E">
        <w:rPr>
          <w:szCs w:val="16"/>
        </w:rPr>
        <w:t>, 3 July 2018</w:t>
      </w:r>
      <w:r>
        <w:rPr>
          <w:szCs w:val="16"/>
        </w:rPr>
        <w:t xml:space="preserve">, </w:t>
      </w:r>
      <w:r w:rsidRPr="00710DCB">
        <w:t>p. 44.</w:t>
      </w:r>
    </w:p>
  </w:footnote>
  <w:footnote w:id="87">
    <w:p w14:paraId="398D719E" w14:textId="77777777" w:rsidR="00F323B2" w:rsidRDefault="00F323B2" w:rsidP="003306BB">
      <w:pPr>
        <w:pStyle w:val="FootnoteText"/>
        <w:spacing w:before="20" w:after="20"/>
      </w:pPr>
      <w:r>
        <w:rPr>
          <w:rStyle w:val="FootnoteReference"/>
        </w:rPr>
        <w:footnoteRef/>
      </w:r>
      <w:r>
        <w:t xml:space="preserve"> </w:t>
      </w:r>
      <w:r>
        <w:tab/>
        <w:t xml:space="preserve">This potential problem was identified through </w:t>
      </w:r>
      <w:r w:rsidRPr="00D66205">
        <w:rPr>
          <w:sz w:val="17"/>
          <w:szCs w:val="17"/>
        </w:rPr>
        <w:t>NERA’s international review</w:t>
      </w:r>
      <w:r>
        <w:rPr>
          <w:sz w:val="17"/>
          <w:szCs w:val="17"/>
        </w:rPr>
        <w:t xml:space="preserve"> of pipeline regulation. </w:t>
      </w:r>
      <w:r w:rsidRPr="00BE126B">
        <w:rPr>
          <w:szCs w:val="16"/>
        </w:rPr>
        <w:t>NERA Economic Consulting, International Review of Pipeline Regulation: Vol. 1 – Synthesis and Reform Options, 28 June 2019.</w:t>
      </w:r>
    </w:p>
  </w:footnote>
  <w:footnote w:id="88">
    <w:p w14:paraId="024C86FB" w14:textId="77777777" w:rsidR="00F323B2" w:rsidRDefault="00F323B2" w:rsidP="003306BB">
      <w:pPr>
        <w:pStyle w:val="FootnoteText"/>
        <w:spacing w:before="20" w:after="20"/>
      </w:pPr>
      <w:r>
        <w:rPr>
          <w:rStyle w:val="FootnoteReference"/>
        </w:rPr>
        <w:footnoteRef/>
      </w:r>
      <w:r>
        <w:t xml:space="preserve"> </w:t>
      </w:r>
      <w:r>
        <w:tab/>
      </w:r>
      <w:r>
        <w:rPr>
          <w:sz w:val="17"/>
          <w:szCs w:val="17"/>
        </w:rPr>
        <w:t xml:space="preserve">This potential problem was touched on in the AEMC’s </w:t>
      </w:r>
      <w:r w:rsidRPr="00D66205">
        <w:rPr>
          <w:sz w:val="17"/>
          <w:szCs w:val="17"/>
        </w:rPr>
        <w:t>2017-18 Review into the scope of economic regulation</w:t>
      </w:r>
      <w:r>
        <w:rPr>
          <w:sz w:val="17"/>
          <w:szCs w:val="17"/>
        </w:rPr>
        <w:t xml:space="preserve">. See </w:t>
      </w:r>
      <w:r w:rsidRPr="0044337E">
        <w:rPr>
          <w:szCs w:val="16"/>
        </w:rPr>
        <w:t xml:space="preserve">AEMC, Final Report: </w:t>
      </w:r>
      <w:r w:rsidRPr="0044337E">
        <w:rPr>
          <w:rFonts w:cs="Arial"/>
          <w:szCs w:val="16"/>
        </w:rPr>
        <w:t>Review into scope of economic regulation applied to covered pipelines</w:t>
      </w:r>
      <w:r w:rsidRPr="0044337E">
        <w:rPr>
          <w:szCs w:val="16"/>
        </w:rPr>
        <w:t xml:space="preserve">, 3 July 2018, p. </w:t>
      </w:r>
      <w:r>
        <w:rPr>
          <w:szCs w:val="16"/>
        </w:rPr>
        <w:t>49</w:t>
      </w:r>
      <w:r w:rsidRPr="0044337E">
        <w:rPr>
          <w:szCs w:val="16"/>
        </w:rPr>
        <w:t>.</w:t>
      </w:r>
    </w:p>
  </w:footnote>
  <w:footnote w:id="89">
    <w:p w14:paraId="4CE2F0B9" w14:textId="77777777" w:rsidR="00F323B2" w:rsidRDefault="00F323B2" w:rsidP="003306BB">
      <w:pPr>
        <w:pStyle w:val="FootnoteText"/>
        <w:spacing w:before="20" w:after="20"/>
      </w:pPr>
      <w:r>
        <w:rPr>
          <w:rStyle w:val="FootnoteReference"/>
        </w:rPr>
        <w:footnoteRef/>
      </w:r>
      <w:r>
        <w:t xml:space="preserve"> </w:t>
      </w:r>
      <w:r>
        <w:tab/>
        <w:t>Note that stakeholders were asked if there were any other problems with this aspect of the current framework, but no other problems were identified.</w:t>
      </w:r>
    </w:p>
  </w:footnote>
  <w:footnote w:id="90">
    <w:p w14:paraId="3939C320" w14:textId="77777777" w:rsidR="00F323B2" w:rsidRPr="0044337E" w:rsidRDefault="00F323B2" w:rsidP="00B6377C">
      <w:pPr>
        <w:pStyle w:val="FootnoteText"/>
        <w:spacing w:before="20" w:after="20"/>
        <w:rPr>
          <w:szCs w:val="16"/>
        </w:rPr>
      </w:pPr>
      <w:r w:rsidRPr="0044337E">
        <w:rPr>
          <w:rStyle w:val="FootnoteReference"/>
          <w:szCs w:val="16"/>
        </w:rPr>
        <w:footnoteRef/>
      </w:r>
      <w:r w:rsidRPr="0044337E">
        <w:rPr>
          <w:szCs w:val="16"/>
        </w:rPr>
        <w:t xml:space="preserve"> </w:t>
      </w:r>
      <w:r w:rsidRPr="0044337E">
        <w:rPr>
          <w:szCs w:val="16"/>
        </w:rPr>
        <w:tab/>
        <w:t xml:space="preserve">AEMC, Final Report: </w:t>
      </w:r>
      <w:r w:rsidRPr="0044337E">
        <w:rPr>
          <w:rFonts w:cs="Arial"/>
          <w:szCs w:val="16"/>
        </w:rPr>
        <w:t>Review into scope of economic regulation applied to covered pipelines</w:t>
      </w:r>
      <w:r w:rsidRPr="0044337E">
        <w:rPr>
          <w:szCs w:val="16"/>
        </w:rPr>
        <w:t xml:space="preserve">, 3 July 2018, p. </w:t>
      </w:r>
      <w:r>
        <w:rPr>
          <w:szCs w:val="16"/>
        </w:rPr>
        <w:t>44</w:t>
      </w:r>
      <w:r w:rsidRPr="0044337E">
        <w:rPr>
          <w:szCs w:val="16"/>
        </w:rPr>
        <w:t>.</w:t>
      </w:r>
    </w:p>
  </w:footnote>
  <w:footnote w:id="91">
    <w:p w14:paraId="77FF6BE7" w14:textId="77777777" w:rsidR="00F323B2" w:rsidRPr="0044337E" w:rsidRDefault="00F323B2" w:rsidP="0047043E">
      <w:pPr>
        <w:pStyle w:val="FootnoteText"/>
        <w:spacing w:before="20" w:after="20"/>
        <w:rPr>
          <w:szCs w:val="16"/>
        </w:rPr>
      </w:pPr>
      <w:r w:rsidRPr="0044337E">
        <w:rPr>
          <w:rStyle w:val="FootnoteReference"/>
          <w:szCs w:val="16"/>
        </w:rPr>
        <w:footnoteRef/>
      </w:r>
      <w:r w:rsidRPr="0044337E">
        <w:rPr>
          <w:szCs w:val="16"/>
        </w:rPr>
        <w:t xml:space="preserve"> </w:t>
      </w:r>
      <w:r w:rsidRPr="0044337E">
        <w:rPr>
          <w:szCs w:val="16"/>
        </w:rPr>
        <w:tab/>
      </w:r>
      <w:r>
        <w:rPr>
          <w:szCs w:val="16"/>
        </w:rPr>
        <w:t>ibid, p. 45.</w:t>
      </w:r>
    </w:p>
  </w:footnote>
  <w:footnote w:id="92">
    <w:p w14:paraId="1CDB6F7C" w14:textId="77777777" w:rsidR="00F323B2" w:rsidRPr="00710DCB" w:rsidRDefault="00F323B2" w:rsidP="00B6377C">
      <w:pPr>
        <w:pStyle w:val="FootnoteText"/>
        <w:spacing w:before="20" w:after="20"/>
      </w:pPr>
      <w:r w:rsidRPr="00710DCB">
        <w:rPr>
          <w:rStyle w:val="FootnoteReference"/>
        </w:rPr>
        <w:footnoteRef/>
      </w:r>
      <w:r w:rsidRPr="00710DCB">
        <w:t xml:space="preserve"> </w:t>
      </w:r>
      <w:r w:rsidRPr="00710DCB">
        <w:tab/>
      </w:r>
      <w:r w:rsidRPr="0044337E">
        <w:rPr>
          <w:szCs w:val="16"/>
        </w:rPr>
        <w:t xml:space="preserve">AEMC, Final Report: </w:t>
      </w:r>
      <w:r w:rsidRPr="0044337E">
        <w:rPr>
          <w:rFonts w:cs="Arial"/>
          <w:szCs w:val="16"/>
        </w:rPr>
        <w:t>Review into scope of economic regulation applied to covered pipelines</w:t>
      </w:r>
      <w:r w:rsidRPr="0044337E">
        <w:rPr>
          <w:szCs w:val="16"/>
        </w:rPr>
        <w:t>, 3 July 2018</w:t>
      </w:r>
      <w:r>
        <w:rPr>
          <w:szCs w:val="16"/>
        </w:rPr>
        <w:t xml:space="preserve">, </w:t>
      </w:r>
      <w:r w:rsidRPr="00710DCB">
        <w:t>p. 44.</w:t>
      </w:r>
    </w:p>
  </w:footnote>
  <w:footnote w:id="93">
    <w:p w14:paraId="2950B78C" w14:textId="77777777" w:rsidR="00F323B2" w:rsidRDefault="00F323B2" w:rsidP="00B6377C">
      <w:pPr>
        <w:pStyle w:val="FootnoteText"/>
        <w:spacing w:before="20" w:after="20"/>
      </w:pPr>
      <w:r>
        <w:rPr>
          <w:rStyle w:val="FootnoteReference"/>
        </w:rPr>
        <w:footnoteRef/>
      </w:r>
      <w:r>
        <w:t xml:space="preserve"> </w:t>
      </w:r>
      <w:r>
        <w:tab/>
        <w:t>ibid, p. 45.</w:t>
      </w:r>
    </w:p>
  </w:footnote>
  <w:footnote w:id="94">
    <w:p w14:paraId="189E44FD" w14:textId="77777777" w:rsidR="00F323B2" w:rsidRPr="00BE126B" w:rsidRDefault="00F323B2" w:rsidP="00A30EC0">
      <w:pPr>
        <w:pStyle w:val="BodyText"/>
        <w:spacing w:before="0" w:after="0"/>
        <w:ind w:left="357" w:hanging="357"/>
        <w:rPr>
          <w:color w:val="0000FF"/>
          <w:sz w:val="16"/>
          <w:szCs w:val="16"/>
        </w:rPr>
      </w:pPr>
      <w:r w:rsidRPr="00BE126B">
        <w:rPr>
          <w:rStyle w:val="FootnoteReference"/>
          <w:sz w:val="16"/>
          <w:szCs w:val="16"/>
        </w:rPr>
        <w:footnoteRef/>
      </w:r>
      <w:r w:rsidRPr="00BE126B">
        <w:rPr>
          <w:sz w:val="16"/>
          <w:szCs w:val="16"/>
        </w:rPr>
        <w:t xml:space="preserve"> </w:t>
      </w:r>
      <w:r>
        <w:rPr>
          <w:sz w:val="16"/>
          <w:szCs w:val="16"/>
        </w:rPr>
        <w:tab/>
      </w:r>
      <w:r w:rsidRPr="00BE126B">
        <w:rPr>
          <w:sz w:val="16"/>
          <w:szCs w:val="16"/>
        </w:rPr>
        <w:t xml:space="preserve">NERA Economic Consulting, International Review of Pipeline Regulation: Vol. 1 – Synthesis and Reform Options, 28 June 2019. </w:t>
      </w:r>
    </w:p>
  </w:footnote>
  <w:footnote w:id="95">
    <w:p w14:paraId="0AC94A32" w14:textId="77777777" w:rsidR="00F323B2" w:rsidRDefault="00F323B2" w:rsidP="00433C7D">
      <w:pPr>
        <w:pStyle w:val="FootnoteText"/>
        <w:spacing w:before="0" w:after="0"/>
      </w:pPr>
      <w:r>
        <w:rPr>
          <w:rStyle w:val="FootnoteReference"/>
        </w:rPr>
        <w:footnoteRef/>
      </w:r>
      <w:r>
        <w:t xml:space="preserve"> </w:t>
      </w:r>
      <w:r>
        <w:tab/>
      </w:r>
      <w:r>
        <w:rPr>
          <w:szCs w:val="16"/>
        </w:rPr>
        <w:t>ibid</w:t>
      </w:r>
      <w:r w:rsidRPr="0044337E">
        <w:rPr>
          <w:szCs w:val="16"/>
        </w:rPr>
        <w:t xml:space="preserve">, p. </w:t>
      </w:r>
      <w:r>
        <w:rPr>
          <w:szCs w:val="16"/>
        </w:rPr>
        <w:t>49</w:t>
      </w:r>
      <w:r w:rsidRPr="0044337E">
        <w:rPr>
          <w:szCs w:val="16"/>
        </w:rPr>
        <w:t>.</w:t>
      </w:r>
    </w:p>
  </w:footnote>
  <w:footnote w:id="96">
    <w:p w14:paraId="6730210D" w14:textId="77777777" w:rsidR="00F323B2" w:rsidRDefault="00F323B2" w:rsidP="002E5866">
      <w:pPr>
        <w:pStyle w:val="FootnoteText"/>
        <w:spacing w:before="20" w:after="20"/>
      </w:pPr>
      <w:r>
        <w:rPr>
          <w:rStyle w:val="FootnoteReference"/>
        </w:rPr>
        <w:footnoteRef/>
      </w:r>
      <w:r>
        <w:t xml:space="preserve"> </w:t>
      </w:r>
      <w:r>
        <w:tab/>
        <w:t xml:space="preserve">A similar observation has been made by both the ACCC and Productivity Commission. </w:t>
      </w:r>
    </w:p>
    <w:p w14:paraId="3C70D51A" w14:textId="77777777" w:rsidR="00F323B2" w:rsidRDefault="00F323B2" w:rsidP="002E5866">
      <w:pPr>
        <w:pStyle w:val="FootnoteText"/>
        <w:spacing w:before="20" w:after="20"/>
      </w:pPr>
      <w:r>
        <w:tab/>
        <w:t>See</w:t>
      </w:r>
      <w:r w:rsidRPr="00B02EC9">
        <w:rPr>
          <w:szCs w:val="16"/>
        </w:rPr>
        <w:t xml:space="preserve"> </w:t>
      </w:r>
      <w:r w:rsidRPr="00710DCB">
        <w:rPr>
          <w:szCs w:val="16"/>
        </w:rPr>
        <w:t>ACCC, Inquiry into the east coast gas market, April 2016, p. 130</w:t>
      </w:r>
      <w:r>
        <w:rPr>
          <w:szCs w:val="16"/>
        </w:rPr>
        <w:t xml:space="preserve"> and </w:t>
      </w:r>
      <w:r>
        <w:t xml:space="preserve"> </w:t>
      </w:r>
      <w:r w:rsidRPr="00710DCB">
        <w:rPr>
          <w:rFonts w:cs="Gotham Light"/>
          <w:color w:val="000000"/>
          <w:szCs w:val="16"/>
        </w:rPr>
        <w:t>Productivity Commission, Final Report—National Access Regime, 25 October 2013, p</w:t>
      </w:r>
      <w:r>
        <w:rPr>
          <w:rFonts w:cs="Gotham Light"/>
          <w:color w:val="000000"/>
          <w:szCs w:val="16"/>
        </w:rPr>
        <w:t xml:space="preserve">. </w:t>
      </w:r>
      <w:r w:rsidRPr="00710DCB">
        <w:rPr>
          <w:rFonts w:cs="Gotham Light"/>
          <w:color w:val="000000"/>
          <w:szCs w:val="16"/>
        </w:rPr>
        <w:t xml:space="preserve">173  and Productivity Commission, Draft Report—National Access Regime, May 2013, p. 178. </w:t>
      </w:r>
      <w:r w:rsidRPr="00710DCB">
        <w:rPr>
          <w:szCs w:val="16"/>
        </w:rPr>
        <w:t xml:space="preserve"> </w:t>
      </w:r>
    </w:p>
  </w:footnote>
  <w:footnote w:id="97">
    <w:p w14:paraId="4FAC1711" w14:textId="77777777" w:rsidR="00F323B2" w:rsidRDefault="00F323B2" w:rsidP="002E5866">
      <w:pPr>
        <w:pStyle w:val="FootnoteText"/>
        <w:spacing w:before="20" w:after="20"/>
      </w:pPr>
      <w:r>
        <w:rPr>
          <w:rStyle w:val="FootnoteReference"/>
        </w:rPr>
        <w:footnoteRef/>
      </w:r>
      <w:r>
        <w:t xml:space="preserve"> </w:t>
      </w:r>
      <w:r>
        <w:tab/>
      </w:r>
      <w:r w:rsidRPr="001F02D9">
        <w:rPr>
          <w:szCs w:val="16"/>
        </w:rPr>
        <w:t>This can be seen in the following example, which assumes that a producer in the Galilee Basin develops a pipeline to connect its gas fields to Wallumbilla. If, in this example, the producer decided not to provide third party access and smaller producers in the region wanted to obtain access then they would have to be able to demonstrate that all of the coverage criteria are met.</w:t>
      </w:r>
      <w:r>
        <w:rPr>
          <w:szCs w:val="16"/>
        </w:rPr>
        <w:t xml:space="preserve"> </w:t>
      </w:r>
      <w:r w:rsidRPr="001F02D9">
        <w:rPr>
          <w:szCs w:val="16"/>
        </w:rPr>
        <w:t xml:space="preserve">They would, for example, have to demonstrate that their access to the pipeline would promote a </w:t>
      </w:r>
      <w:r w:rsidRPr="001F02D9">
        <w:rPr>
          <w:i/>
          <w:iCs/>
          <w:szCs w:val="16"/>
        </w:rPr>
        <w:t>material increase</w:t>
      </w:r>
      <w:r w:rsidRPr="001F02D9">
        <w:rPr>
          <w:szCs w:val="16"/>
        </w:rPr>
        <w:t xml:space="preserve"> in competition in at least one other market, which is likely to be quite difficult to do given there are already a number of producers competing in this market. Third party access to the pipeline in this example is therefore unlikely to occur, even though the use of </w:t>
      </w:r>
      <w:r w:rsidRPr="001F02D9">
        <w:rPr>
          <w:rFonts w:cs="Arial"/>
          <w:szCs w:val="16"/>
        </w:rPr>
        <w:t>this pipeline by the smaller producers’ may be the most efficient outcome and be in the long-term interest of gas consumers, because it would result in more gas being brought to market and result in more efficient investment in and use of existing infrastructure.</w:t>
      </w:r>
    </w:p>
  </w:footnote>
  <w:footnote w:id="98">
    <w:p w14:paraId="17FDD21A" w14:textId="77777777" w:rsidR="00F323B2" w:rsidRDefault="00F323B2" w:rsidP="00282112">
      <w:pPr>
        <w:pStyle w:val="FootnoteText"/>
        <w:spacing w:before="20" w:after="20"/>
      </w:pPr>
      <w:r>
        <w:rPr>
          <w:rStyle w:val="FootnoteReference"/>
        </w:rPr>
        <w:footnoteRef/>
      </w:r>
      <w:r>
        <w:t xml:space="preserve"> </w:t>
      </w:r>
      <w:r>
        <w:tab/>
      </w:r>
      <w:r w:rsidRPr="006B4639">
        <w:t xml:space="preserve">That is, while the information disclosure element </w:t>
      </w:r>
      <w:r>
        <w:t xml:space="preserve">of Part 23 </w:t>
      </w:r>
      <w:r w:rsidRPr="006B4639">
        <w:t>may impose some costs</w:t>
      </w:r>
      <w:r w:rsidRPr="00442221">
        <w:t xml:space="preserve"> </w:t>
      </w:r>
      <w:r w:rsidRPr="006B4639">
        <w:t xml:space="preserve">on service providers, the costs and risks associated with </w:t>
      </w:r>
      <w:r>
        <w:t xml:space="preserve">the </w:t>
      </w:r>
      <w:r w:rsidRPr="006B4639">
        <w:t xml:space="preserve">arbitration </w:t>
      </w:r>
      <w:r>
        <w:t xml:space="preserve">mechanism </w:t>
      </w:r>
      <w:r w:rsidRPr="006B4639">
        <w:t>are likely to be very low if market power is not being exercised</w:t>
      </w:r>
      <w:r>
        <w:t xml:space="preserve">. Note too that for </w:t>
      </w:r>
      <w:r w:rsidRPr="00710DCB">
        <w:t>those pipelines that are already subject to Part 23 and have not received an exemption, the initial costs of setting up the systems to enable reporting to occur have already been incurred</w:t>
      </w:r>
      <w:r>
        <w:t>.</w:t>
      </w:r>
    </w:p>
  </w:footnote>
  <w:footnote w:id="99">
    <w:p w14:paraId="7F71EAA3" w14:textId="77777777" w:rsidR="00F323B2" w:rsidRDefault="00F323B2" w:rsidP="00282112">
      <w:pPr>
        <w:pStyle w:val="FootnoteText"/>
        <w:spacing w:before="20" w:after="20"/>
      </w:pPr>
      <w:r>
        <w:rPr>
          <w:rStyle w:val="FootnoteReference"/>
        </w:rPr>
        <w:footnoteRef/>
      </w:r>
      <w:r>
        <w:t xml:space="preserve"> </w:t>
      </w:r>
      <w:r>
        <w:tab/>
        <w:t>See ACCC, Inquiry into the east coast gas market, April 2016 and Vertigan, M,. Examination of the current test for the regulation of gas pipelines, 14 December 2016.</w:t>
      </w:r>
    </w:p>
  </w:footnote>
  <w:footnote w:id="100">
    <w:p w14:paraId="50435C16" w14:textId="77777777" w:rsidR="00F323B2" w:rsidRDefault="00F323B2" w:rsidP="00E84D59">
      <w:pPr>
        <w:pStyle w:val="FootnoteText"/>
        <w:spacing w:before="20" w:after="20"/>
      </w:pPr>
      <w:r>
        <w:rPr>
          <w:rStyle w:val="FootnoteReference"/>
        </w:rPr>
        <w:footnoteRef/>
      </w:r>
      <w:r>
        <w:t xml:space="preserve"> </w:t>
      </w:r>
      <w:r>
        <w:tab/>
      </w:r>
      <w:r w:rsidRPr="0044337E">
        <w:rPr>
          <w:szCs w:val="16"/>
        </w:rPr>
        <w:t xml:space="preserve">AEMC, Final Report: </w:t>
      </w:r>
      <w:r w:rsidRPr="0044337E">
        <w:rPr>
          <w:rFonts w:cs="Arial"/>
          <w:szCs w:val="16"/>
        </w:rPr>
        <w:t>Review into scope of economic regulation applied to covered pipelines</w:t>
      </w:r>
      <w:r w:rsidRPr="0044337E">
        <w:rPr>
          <w:szCs w:val="16"/>
        </w:rPr>
        <w:t>, 3 July 2018</w:t>
      </w:r>
      <w:r>
        <w:rPr>
          <w:szCs w:val="16"/>
        </w:rPr>
        <w:t xml:space="preserve">, </w:t>
      </w:r>
      <w:r w:rsidRPr="00710DCB">
        <w:t>p. 4</w:t>
      </w:r>
      <w:r>
        <w:t>5</w:t>
      </w:r>
      <w:r w:rsidRPr="00710DCB">
        <w:t>.</w:t>
      </w:r>
    </w:p>
  </w:footnote>
  <w:footnote w:id="101">
    <w:p w14:paraId="43308EFC" w14:textId="77777777" w:rsidR="00F323B2" w:rsidRDefault="00F323B2" w:rsidP="00AA7246">
      <w:pPr>
        <w:pStyle w:val="FootnoteText"/>
        <w:spacing w:before="0" w:after="0"/>
      </w:pPr>
      <w:r>
        <w:rPr>
          <w:rStyle w:val="FootnoteReference"/>
        </w:rPr>
        <w:footnoteRef/>
      </w:r>
      <w:r>
        <w:t xml:space="preserve"> </w:t>
      </w:r>
      <w:r>
        <w:tab/>
        <w:t>ACCC, Gas Inquiry 2017-2020 Interim report, July 2019, pp. 159-160.</w:t>
      </w:r>
    </w:p>
  </w:footnote>
  <w:footnote w:id="102">
    <w:p w14:paraId="38EA2EF7" w14:textId="77777777" w:rsidR="00F323B2" w:rsidRDefault="00F323B2">
      <w:pPr>
        <w:pStyle w:val="FootnoteText"/>
      </w:pPr>
      <w:r>
        <w:rPr>
          <w:rStyle w:val="FootnoteReference"/>
        </w:rPr>
        <w:footnoteRef/>
      </w:r>
      <w:r>
        <w:t xml:space="preserve"> </w:t>
      </w:r>
      <w:r>
        <w:tab/>
        <w:t>ibid.</w:t>
      </w:r>
    </w:p>
  </w:footnote>
  <w:footnote w:id="103">
    <w:p w14:paraId="0B189645" w14:textId="77777777" w:rsidR="00F323B2" w:rsidRDefault="00F323B2">
      <w:pPr>
        <w:pStyle w:val="FootnoteText"/>
      </w:pPr>
      <w:r>
        <w:rPr>
          <w:rStyle w:val="FootnoteReference"/>
        </w:rPr>
        <w:footnoteRef/>
      </w:r>
      <w:r>
        <w:t xml:space="preserve"> </w:t>
      </w:r>
      <w:r>
        <w:tab/>
        <w:t xml:space="preserve">APA has, for example, announced proposals to develop pipelines connecting the Galilee and northern Bowen Basins with the remainder of the east coast and to connect the proposed AIE and AGL LNG import facilities to market. Jemena has similarly announced proposals to connect the Galilee Basin and the Beetaloo sub-basin to the east coast market and to develop a new pipeline connecting the AIE import facility to the Eastern Gas Pipeline. AGIG has also announced a proposal to develop a new pipeline to connect the Amadeus Basin to Moomba. </w:t>
      </w:r>
    </w:p>
  </w:footnote>
  <w:footnote w:id="104">
    <w:p w14:paraId="4949950E" w14:textId="77777777" w:rsidR="00F323B2" w:rsidRPr="00EF420C" w:rsidRDefault="00F323B2" w:rsidP="00422305">
      <w:pPr>
        <w:pStyle w:val="FootnoteText"/>
        <w:spacing w:before="40" w:after="40"/>
        <w:rPr>
          <w:szCs w:val="16"/>
        </w:rPr>
      </w:pPr>
      <w:r>
        <w:rPr>
          <w:rStyle w:val="FootnoteReference"/>
        </w:rPr>
        <w:footnoteRef/>
      </w:r>
      <w:r>
        <w:t xml:space="preserve"> </w:t>
      </w:r>
      <w:r>
        <w:tab/>
      </w:r>
      <w:r w:rsidRPr="00EF420C">
        <w:rPr>
          <w:szCs w:val="16"/>
        </w:rPr>
        <w:t xml:space="preserve">In August 2020, APGA submitted a report that was prepared by Synergies Economic Consulting, in consultation with APGA and its members, which set out how a strengthened greenfield exemption could work. Under the proposal, </w:t>
      </w:r>
      <w:r w:rsidRPr="00EF420C">
        <w:rPr>
          <w:rFonts w:cstheme="majorHAnsi"/>
          <w:szCs w:val="16"/>
        </w:rPr>
        <w:t>the holder of a greenfield exemption would be exempt from:</w:t>
      </w:r>
    </w:p>
    <w:p w14:paraId="26E81893" w14:textId="77777777" w:rsidR="00F323B2" w:rsidRPr="00422305" w:rsidRDefault="00F323B2" w:rsidP="00422305">
      <w:pPr>
        <w:pStyle w:val="ListBullet"/>
        <w:spacing w:before="40" w:after="40"/>
        <w:ind w:left="714" w:hanging="357"/>
        <w:rPr>
          <w:sz w:val="16"/>
          <w:szCs w:val="16"/>
        </w:rPr>
      </w:pPr>
      <w:r w:rsidRPr="00422305">
        <w:rPr>
          <w:sz w:val="16"/>
          <w:szCs w:val="16"/>
        </w:rPr>
        <w:t>full regulation and all aspects of Part 23, except some disclosure requirements; and</w:t>
      </w:r>
    </w:p>
    <w:p w14:paraId="310374C1" w14:textId="77777777" w:rsidR="00F323B2" w:rsidRPr="00422305" w:rsidRDefault="00F323B2" w:rsidP="00422305">
      <w:pPr>
        <w:pStyle w:val="ListBullet"/>
        <w:spacing w:before="40" w:after="40"/>
        <w:ind w:left="714" w:hanging="357"/>
        <w:rPr>
          <w:sz w:val="16"/>
          <w:szCs w:val="16"/>
        </w:rPr>
      </w:pPr>
      <w:r w:rsidRPr="00422305">
        <w:rPr>
          <w:sz w:val="16"/>
          <w:szCs w:val="16"/>
        </w:rPr>
        <w:t>the capacity trading reforms (e.g. the day-ahead auction and other measures) if the pipeline is not fully contracted.</w:t>
      </w:r>
    </w:p>
    <w:p w14:paraId="6CA2D02D" w14:textId="77777777" w:rsidR="00F323B2" w:rsidRPr="00EF420C" w:rsidRDefault="00F323B2" w:rsidP="00422305">
      <w:pPr>
        <w:pStyle w:val="TableBullet10"/>
        <w:numPr>
          <w:ilvl w:val="0"/>
          <w:numId w:val="0"/>
        </w:numPr>
        <w:spacing w:before="40" w:after="40"/>
        <w:ind w:left="357"/>
        <w:rPr>
          <w:rFonts w:asciiTheme="majorHAnsi" w:hAnsiTheme="majorHAnsi" w:cstheme="majorHAnsi"/>
          <w:sz w:val="16"/>
          <w:szCs w:val="16"/>
          <w:lang w:eastAsia="fr-CA"/>
        </w:rPr>
      </w:pPr>
      <w:r w:rsidRPr="00EF420C">
        <w:rPr>
          <w:sz w:val="16"/>
          <w:szCs w:val="16"/>
        </w:rPr>
        <w:t>The proposal provides for this exemption to be available:</w:t>
      </w:r>
    </w:p>
    <w:p w14:paraId="3D1933CD" w14:textId="77777777" w:rsidR="00F323B2" w:rsidRPr="00422305" w:rsidRDefault="00F323B2" w:rsidP="00422305">
      <w:pPr>
        <w:pStyle w:val="ListBullet"/>
        <w:spacing w:before="40" w:after="40"/>
        <w:ind w:left="714" w:hanging="357"/>
        <w:rPr>
          <w:sz w:val="16"/>
          <w:szCs w:val="16"/>
        </w:rPr>
      </w:pPr>
      <w:r w:rsidRPr="00422305">
        <w:rPr>
          <w:rFonts w:cstheme="majorHAnsi"/>
          <w:sz w:val="16"/>
          <w:szCs w:val="16"/>
        </w:rPr>
        <w:t xml:space="preserve">Automatically for new pipelines if </w:t>
      </w:r>
      <w:r w:rsidRPr="00422305">
        <w:rPr>
          <w:sz w:val="16"/>
          <w:szCs w:val="16"/>
        </w:rPr>
        <w:t xml:space="preserve">it provides third party access, the service provider will not be vertically integrated with gas production, wholesale or retail, but may own processing facilities, gathering pipelines and other mid-stream assets, and the service provider commits to </w:t>
      </w:r>
      <w:r w:rsidRPr="00422305">
        <w:rPr>
          <w:rFonts w:eastAsia="Calibri"/>
          <w:sz w:val="16"/>
          <w:szCs w:val="16"/>
        </w:rPr>
        <w:t>“offer posted pricing for subsequent non-foundation shippers…with individual shipper contract pricing that is ‘commercially referable’ to foundation contract pricing”.</w:t>
      </w:r>
    </w:p>
    <w:p w14:paraId="0AE51738" w14:textId="77777777" w:rsidR="00F323B2" w:rsidRPr="00422305" w:rsidRDefault="00F323B2" w:rsidP="00422305">
      <w:pPr>
        <w:pStyle w:val="ListBullet"/>
        <w:spacing w:before="40" w:after="40"/>
        <w:ind w:left="714" w:hanging="357"/>
        <w:rPr>
          <w:sz w:val="16"/>
          <w:szCs w:val="16"/>
        </w:rPr>
      </w:pPr>
      <w:r w:rsidRPr="00422305">
        <w:rPr>
          <w:sz w:val="16"/>
          <w:szCs w:val="16"/>
        </w:rPr>
        <w:t xml:space="preserve">On application for extensions and expansions, and other cases where the eligibility criteria are not met, but where it can be demonstrated the pipeline is “unlikely to possess market power”.  </w:t>
      </w:r>
    </w:p>
    <w:p w14:paraId="11B8675C" w14:textId="77777777" w:rsidR="00F323B2" w:rsidRPr="00422305" w:rsidRDefault="00F323B2" w:rsidP="00422305">
      <w:pPr>
        <w:pStyle w:val="ListBullet"/>
        <w:numPr>
          <w:ilvl w:val="0"/>
          <w:numId w:val="0"/>
        </w:numPr>
        <w:spacing w:before="40" w:after="40"/>
        <w:ind w:left="357"/>
        <w:rPr>
          <w:sz w:val="16"/>
          <w:szCs w:val="16"/>
        </w:rPr>
      </w:pPr>
      <w:r w:rsidRPr="00422305">
        <w:rPr>
          <w:rFonts w:cstheme="majorHAnsi"/>
          <w:sz w:val="16"/>
          <w:szCs w:val="16"/>
        </w:rPr>
        <w:t xml:space="preserve">This process is assumed to be </w:t>
      </w:r>
      <w:r w:rsidRPr="00422305">
        <w:rPr>
          <w:sz w:val="16"/>
          <w:szCs w:val="16"/>
        </w:rPr>
        <w:t xml:space="preserve">conducted on a ‘confidential’ and ‘expeditious’ basis and potentially with the assistance of an arbitrator and would not involve any assessment of the </w:t>
      </w:r>
      <w:r w:rsidRPr="00422305">
        <w:rPr>
          <w:rFonts w:cstheme="majorHAnsi"/>
          <w:sz w:val="16"/>
          <w:szCs w:val="16"/>
        </w:rPr>
        <w:t xml:space="preserve">competitiveness of the procurement process. </w:t>
      </w:r>
    </w:p>
    <w:p w14:paraId="6A61E7BF" w14:textId="77777777" w:rsidR="00F323B2" w:rsidRDefault="00F323B2" w:rsidP="00422305">
      <w:pPr>
        <w:pStyle w:val="FootnoteText"/>
        <w:spacing w:before="40" w:after="40"/>
      </w:pPr>
      <w:r>
        <w:rPr>
          <w:rFonts w:asciiTheme="majorHAnsi" w:hAnsiTheme="majorHAnsi" w:cstheme="majorHAnsi"/>
          <w:szCs w:val="16"/>
        </w:rPr>
        <w:tab/>
      </w:r>
      <w:r w:rsidRPr="00EF420C">
        <w:rPr>
          <w:rFonts w:eastAsia="Calibri" w:cstheme="majorHAnsi"/>
          <w:szCs w:val="16"/>
        </w:rPr>
        <w:t>At the end of the exemption period, the pipeline would become subject to Part 23, but the arbitrator would be prevented from using the recovered capital value in a dispute. The arbitrator would instead only be able to apply a “forward-looking valuation methodology having regard to foundation contract terms and prevailing market circumstances”.</w:t>
      </w:r>
      <w:r>
        <w:rPr>
          <w:rFonts w:eastAsia="Calibri" w:cstheme="majorHAnsi"/>
          <w:szCs w:val="16"/>
        </w:rPr>
        <w:t xml:space="preserve"> </w:t>
      </w:r>
      <w:r>
        <w:rPr>
          <w:rFonts w:eastAsia="Calibri" w:cstheme="majorHAnsi"/>
          <w:szCs w:val="16"/>
        </w:rPr>
        <w:br/>
      </w:r>
      <w:r>
        <w:rPr>
          <w:rFonts w:asciiTheme="majorHAnsi" w:hAnsiTheme="majorHAnsi" w:cstheme="majorHAnsi"/>
          <w:szCs w:val="16"/>
        </w:rPr>
        <w:t xml:space="preserve">See </w:t>
      </w:r>
      <w:r w:rsidRPr="00D87D40">
        <w:rPr>
          <w:rFonts w:asciiTheme="majorHAnsi" w:hAnsiTheme="majorHAnsi" w:cstheme="majorHAnsi"/>
          <w:szCs w:val="16"/>
        </w:rPr>
        <w:t xml:space="preserve">Synergies, </w:t>
      </w:r>
      <w:r w:rsidRPr="00D87D40">
        <w:rPr>
          <w:rFonts w:asciiTheme="majorHAnsi" w:hAnsiTheme="majorHAnsi" w:cstheme="majorHAnsi"/>
          <w:i/>
          <w:iCs/>
          <w:szCs w:val="16"/>
        </w:rPr>
        <w:t>Proposed modified greenfield exemption provisions in National Gas Law</w:t>
      </w:r>
      <w:r w:rsidRPr="00D87D40">
        <w:rPr>
          <w:rFonts w:asciiTheme="majorHAnsi" w:hAnsiTheme="majorHAnsi" w:cstheme="majorHAnsi"/>
          <w:szCs w:val="16"/>
        </w:rPr>
        <w:t>, July 2020.</w:t>
      </w:r>
    </w:p>
  </w:footnote>
  <w:footnote w:id="105">
    <w:p w14:paraId="4904747C" w14:textId="77777777" w:rsidR="00F323B2" w:rsidRDefault="00F323B2" w:rsidP="008D1601">
      <w:pPr>
        <w:pStyle w:val="FootnoteText"/>
      </w:pPr>
      <w:r>
        <w:rPr>
          <w:rStyle w:val="FootnoteReference"/>
        </w:rPr>
        <w:footnoteRef/>
      </w:r>
      <w:r>
        <w:t xml:space="preserve"> </w:t>
      </w:r>
      <w:r>
        <w:tab/>
        <w:t>That is until 2030 for the APLNG pipeline and the GLNG GTP and Comet Ridge to Wallumbilla Pipeline.</w:t>
      </w:r>
    </w:p>
  </w:footnote>
  <w:footnote w:id="106">
    <w:p w14:paraId="4AF59AAE" w14:textId="77777777" w:rsidR="00F323B2" w:rsidRDefault="00F323B2">
      <w:pPr>
        <w:pStyle w:val="FootnoteText"/>
      </w:pPr>
      <w:r>
        <w:rPr>
          <w:rStyle w:val="FootnoteReference"/>
        </w:rPr>
        <w:footnoteRef/>
      </w:r>
      <w:r>
        <w:t xml:space="preserve"> </w:t>
      </w:r>
      <w:r>
        <w:tab/>
        <w:t xml:space="preserve">These costs could include the potential loss of operational flexibility for the service provider, which could result in lost production or other inefficiencies. </w:t>
      </w:r>
    </w:p>
  </w:footnote>
  <w:footnote w:id="107">
    <w:p w14:paraId="6015D8E0" w14:textId="77777777" w:rsidR="00212586" w:rsidRPr="00523544" w:rsidRDefault="00212586" w:rsidP="00212586">
      <w:pPr>
        <w:pStyle w:val="FootnoteText"/>
        <w:spacing w:before="0" w:after="0"/>
        <w:rPr>
          <w:rFonts w:asciiTheme="minorHAnsi" w:hAnsiTheme="minorHAnsi" w:cstheme="minorHAnsi"/>
        </w:rPr>
      </w:pPr>
      <w:r w:rsidRPr="00523544">
        <w:rPr>
          <w:rStyle w:val="FootnoteReference"/>
          <w:rFonts w:asciiTheme="minorHAnsi" w:hAnsiTheme="minorHAnsi" w:cstheme="minorHAnsi"/>
        </w:rPr>
        <w:footnoteRef/>
      </w:r>
      <w:r w:rsidRPr="00523544">
        <w:rPr>
          <w:rFonts w:asciiTheme="minorHAnsi" w:hAnsiTheme="minorHAnsi" w:cstheme="minorHAnsi"/>
        </w:rPr>
        <w:t xml:space="preserve"> </w:t>
      </w:r>
      <w:r w:rsidRPr="00523544">
        <w:rPr>
          <w:rFonts w:asciiTheme="minorHAnsi" w:hAnsiTheme="minorHAnsi" w:cstheme="minorHAnsi"/>
        </w:rPr>
        <w:tab/>
      </w:r>
      <w:r w:rsidRPr="00C53ADB">
        <w:rPr>
          <w:rFonts w:asciiTheme="majorHAnsi" w:hAnsiTheme="majorHAnsi" w:cstheme="majorHAnsi"/>
        </w:rPr>
        <w:t>Note that only five pipelines have sought a 15-year no coverage determination since it was implemented in 2006, all of which were under development when they were granted the determination. A large number of other pipelines have been developed in the intervening period that have not sought any form of greenfield exemption.</w:t>
      </w:r>
      <w:r w:rsidRPr="00523544">
        <w:rPr>
          <w:rFonts w:asciiTheme="minorHAnsi" w:hAnsiTheme="minorHAnsi" w:cstheme="minorHAnsi"/>
        </w:rPr>
        <w:t xml:space="preserve"> </w:t>
      </w:r>
    </w:p>
  </w:footnote>
  <w:footnote w:id="108">
    <w:p w14:paraId="412DF951" w14:textId="77777777" w:rsidR="00212586" w:rsidRPr="00E95973" w:rsidRDefault="00212586" w:rsidP="00212586">
      <w:pPr>
        <w:pStyle w:val="FootnoteText"/>
        <w:rPr>
          <w:rFonts w:asciiTheme="majorHAnsi" w:hAnsiTheme="majorHAnsi" w:cstheme="majorHAnsi"/>
          <w:color w:val="000000"/>
          <w:szCs w:val="16"/>
        </w:rPr>
      </w:pPr>
      <w:r>
        <w:rPr>
          <w:rStyle w:val="FootnoteReference"/>
        </w:rPr>
        <w:footnoteRef/>
      </w:r>
      <w:r>
        <w:t xml:space="preserve"> </w:t>
      </w:r>
      <w:r>
        <w:tab/>
        <w:t xml:space="preserve">In </w:t>
      </w:r>
      <w:r w:rsidRPr="00E95973">
        <w:rPr>
          <w:szCs w:val="16"/>
        </w:rPr>
        <w:t>this regard, it is worth noting that when the Productivity Commission originally proposed the introduction of a greenfield exemption, it did consider whether the exemption should be automatically available to all new pipelines</w:t>
      </w:r>
      <w:r>
        <w:rPr>
          <w:szCs w:val="16"/>
        </w:rPr>
        <w:t>. It concluded, however, that individual assessments should be undertaken given the potential for the pipeline to have market power, as reflected in the following statement</w:t>
      </w:r>
      <w:r w:rsidRPr="00E95973">
        <w:rPr>
          <w:szCs w:val="16"/>
        </w:rPr>
        <w:t>:</w:t>
      </w:r>
      <w:r w:rsidRPr="00E95973">
        <w:rPr>
          <w:rFonts w:asciiTheme="majorHAnsi" w:hAnsiTheme="majorHAnsi" w:cstheme="majorHAnsi"/>
          <w:color w:val="000000"/>
          <w:szCs w:val="16"/>
        </w:rPr>
        <w:t xml:space="preserve"> </w:t>
      </w:r>
    </w:p>
    <w:p w14:paraId="1BC28081" w14:textId="77777777" w:rsidR="00212586" w:rsidRPr="00E95973" w:rsidRDefault="00212586" w:rsidP="00212586">
      <w:pPr>
        <w:pStyle w:val="FootnoteText"/>
        <w:rPr>
          <w:i/>
          <w:iCs/>
          <w:sz w:val="15"/>
          <w:szCs w:val="15"/>
        </w:rPr>
      </w:pPr>
      <w:r w:rsidRPr="00E95973">
        <w:rPr>
          <w:rFonts w:asciiTheme="majorHAnsi" w:hAnsiTheme="majorHAnsi" w:cstheme="majorHAnsi"/>
          <w:color w:val="000000"/>
          <w:szCs w:val="16"/>
        </w:rPr>
        <w:tab/>
      </w:r>
      <w:r w:rsidRPr="00E95973">
        <w:rPr>
          <w:rFonts w:asciiTheme="majorHAnsi" w:hAnsiTheme="majorHAnsi" w:cstheme="majorHAnsi"/>
          <w:i/>
          <w:iCs/>
          <w:color w:val="000000"/>
          <w:sz w:val="15"/>
          <w:szCs w:val="15"/>
        </w:rPr>
        <w:t>“…introducing such an approach non-discriminately has the potential to impose costs in cases where the service provider has market power and is able to limit upstream and downstream competition for the duration of the regulation free period.”</w:t>
      </w:r>
    </w:p>
    <w:p w14:paraId="0FC893CE" w14:textId="77777777" w:rsidR="00212586" w:rsidRPr="00DB65D4" w:rsidRDefault="00212586" w:rsidP="00212586">
      <w:pPr>
        <w:pStyle w:val="FootnoteText"/>
        <w:rPr>
          <w:szCs w:val="16"/>
        </w:rPr>
      </w:pPr>
      <w:r w:rsidRPr="00DB65D4">
        <w:rPr>
          <w:szCs w:val="16"/>
        </w:rPr>
        <w:tab/>
        <w:t>See Productivity Commission, Review of the Gas Access Regime, 2004, p. 432.</w:t>
      </w:r>
    </w:p>
  </w:footnote>
  <w:footnote w:id="109">
    <w:p w14:paraId="1CDB0F7E" w14:textId="77777777" w:rsidR="00212586" w:rsidRDefault="00212586" w:rsidP="00212586">
      <w:pPr>
        <w:pStyle w:val="FootnoteText"/>
      </w:pPr>
      <w:r w:rsidRPr="00DB65D4">
        <w:rPr>
          <w:rStyle w:val="FootnoteReference"/>
          <w:szCs w:val="16"/>
        </w:rPr>
        <w:footnoteRef/>
      </w:r>
      <w:r w:rsidRPr="00DB65D4">
        <w:rPr>
          <w:szCs w:val="16"/>
        </w:rPr>
        <w:t xml:space="preserve"> </w:t>
      </w:r>
      <w:r w:rsidRPr="00DB65D4">
        <w:rPr>
          <w:szCs w:val="16"/>
        </w:rPr>
        <w:tab/>
        <w:t>Such an assessment is likely to be easier in those cases where there has been competition for the development of the pipeline and the outcomes are to be made available to prospective users, so it may be possible to fast track those decisions. However, where a pipeline seeks to rely on the matters set out in (b), the assessment is likely to take longer.</w:t>
      </w:r>
    </w:p>
  </w:footnote>
  <w:footnote w:id="110">
    <w:p w14:paraId="1AEE1D75" w14:textId="77777777" w:rsidR="00212586" w:rsidRPr="008A7ED2" w:rsidRDefault="00212586" w:rsidP="00212586">
      <w:pPr>
        <w:pStyle w:val="FootnoteText"/>
        <w:spacing w:beforeLines="20" w:before="48" w:after="20"/>
        <w:rPr>
          <w:rFonts w:asciiTheme="majorHAnsi" w:hAnsiTheme="majorHAnsi" w:cstheme="majorHAnsi"/>
          <w:szCs w:val="16"/>
        </w:rPr>
      </w:pPr>
      <w:r w:rsidRPr="008A7ED2">
        <w:rPr>
          <w:rStyle w:val="FootnoteReference"/>
          <w:rFonts w:asciiTheme="majorHAnsi" w:eastAsiaTheme="minorEastAsia" w:hAnsiTheme="majorHAnsi" w:cstheme="majorHAnsi"/>
          <w:szCs w:val="16"/>
        </w:rPr>
        <w:footnoteRef/>
      </w:r>
      <w:r w:rsidRPr="008A7ED2">
        <w:rPr>
          <w:rFonts w:asciiTheme="majorHAnsi" w:hAnsiTheme="majorHAnsi" w:cstheme="majorHAnsi"/>
          <w:szCs w:val="16"/>
        </w:rPr>
        <w:t xml:space="preserve"> </w:t>
      </w:r>
      <w:r w:rsidRPr="008A7ED2">
        <w:rPr>
          <w:rFonts w:asciiTheme="majorHAnsi" w:hAnsiTheme="majorHAnsi" w:cstheme="majorHAnsi"/>
          <w:szCs w:val="16"/>
        </w:rPr>
        <w:tab/>
        <w:t>Productivity Commission, Review of the Gas Access Regime, 2003-04, pp. 402-403.</w:t>
      </w:r>
    </w:p>
  </w:footnote>
  <w:footnote w:id="111">
    <w:p w14:paraId="1347871C" w14:textId="77777777" w:rsidR="00F323B2" w:rsidRPr="008705FB" w:rsidRDefault="00F323B2" w:rsidP="00422305">
      <w:pPr>
        <w:pStyle w:val="FootnoteText"/>
        <w:spacing w:before="20" w:after="20"/>
        <w:rPr>
          <w:szCs w:val="16"/>
        </w:rPr>
      </w:pPr>
      <w:r w:rsidRPr="008705FB">
        <w:rPr>
          <w:rStyle w:val="FootnoteReference"/>
          <w:szCs w:val="16"/>
        </w:rPr>
        <w:footnoteRef/>
      </w:r>
      <w:r w:rsidRPr="008705FB">
        <w:rPr>
          <w:szCs w:val="16"/>
        </w:rPr>
        <w:t xml:space="preserve"> </w:t>
      </w:r>
      <w:r w:rsidRPr="008705FB">
        <w:rPr>
          <w:szCs w:val="16"/>
        </w:rPr>
        <w:tab/>
        <w:t>Note that the relevant Minister is currently required to be involved in these two decisions because there is a public interest criterion in the coverage test. If, however, the coverage test is replaced by the market power-NGO test as proposed under options 3A and 3B, then there would be no need for the Minister to be involved in these decisions because the proposed test does not contain a public interest limb.</w:t>
      </w:r>
    </w:p>
  </w:footnote>
  <w:footnote w:id="112">
    <w:p w14:paraId="3A16E808" w14:textId="77777777" w:rsidR="00F323B2" w:rsidRPr="008705FB" w:rsidRDefault="00F323B2" w:rsidP="00422305">
      <w:pPr>
        <w:pStyle w:val="FootnoteText"/>
        <w:spacing w:before="20" w:after="20"/>
        <w:rPr>
          <w:szCs w:val="16"/>
        </w:rPr>
      </w:pPr>
      <w:r w:rsidRPr="008705FB">
        <w:rPr>
          <w:rStyle w:val="FootnoteReference"/>
          <w:szCs w:val="16"/>
        </w:rPr>
        <w:footnoteRef/>
      </w:r>
      <w:r w:rsidRPr="008705FB">
        <w:rPr>
          <w:szCs w:val="16"/>
        </w:rPr>
        <w:t xml:space="preserve"> </w:t>
      </w:r>
      <w:r w:rsidRPr="008705FB">
        <w:rPr>
          <w:szCs w:val="16"/>
        </w:rPr>
        <w:tab/>
        <w:t xml:space="preserve">For example, in the </w:t>
      </w:r>
      <w:r w:rsidRPr="008705FB">
        <w:rPr>
          <w:rFonts w:cstheme="minorHAnsi"/>
          <w:szCs w:val="16"/>
        </w:rPr>
        <w:t xml:space="preserve">telecommunications sector the ACCC is responsible for both declaring services and making access determinations under Part XIC of the CCA. </w:t>
      </w:r>
    </w:p>
  </w:footnote>
  <w:footnote w:id="113">
    <w:p w14:paraId="1BD050DA" w14:textId="77777777" w:rsidR="00F323B2" w:rsidRPr="0079218D" w:rsidRDefault="00F323B2" w:rsidP="00422305">
      <w:pPr>
        <w:pStyle w:val="FootnoteText"/>
        <w:spacing w:before="20" w:after="20"/>
        <w:rPr>
          <w:rFonts w:cs="Arial"/>
        </w:rPr>
      </w:pPr>
      <w:r w:rsidRPr="0079218D">
        <w:rPr>
          <w:rStyle w:val="FootnoteReference"/>
          <w:rFonts w:cs="Arial"/>
        </w:rPr>
        <w:footnoteRef/>
      </w:r>
      <w:r w:rsidRPr="0079218D">
        <w:rPr>
          <w:rFonts w:cs="Arial"/>
        </w:rPr>
        <w:t xml:space="preserve"> </w:t>
      </w:r>
      <w:r w:rsidRPr="0079218D">
        <w:rPr>
          <w:rFonts w:cs="Arial"/>
        </w:rPr>
        <w:tab/>
        <w:t>Harper et al, Final report: Competition Policy Review, March 2015, pp. 80-81.</w:t>
      </w:r>
    </w:p>
  </w:footnote>
  <w:footnote w:id="114">
    <w:p w14:paraId="21BA7BC9" w14:textId="77777777" w:rsidR="00F323B2" w:rsidRPr="00963DD0" w:rsidRDefault="00F323B2" w:rsidP="00963DD0">
      <w:pPr>
        <w:pStyle w:val="BodyText"/>
        <w:spacing w:before="120"/>
        <w:ind w:left="357" w:hanging="357"/>
        <w:rPr>
          <w:sz w:val="16"/>
          <w:szCs w:val="16"/>
        </w:rPr>
      </w:pPr>
      <w:r w:rsidRPr="00963DD0">
        <w:rPr>
          <w:rStyle w:val="FootnoteReference"/>
          <w:sz w:val="16"/>
          <w:szCs w:val="16"/>
        </w:rPr>
        <w:footnoteRef/>
      </w:r>
      <w:r w:rsidRPr="00963DD0">
        <w:rPr>
          <w:sz w:val="16"/>
          <w:szCs w:val="16"/>
        </w:rPr>
        <w:t xml:space="preserve"> </w:t>
      </w:r>
      <w:r w:rsidRPr="00963DD0">
        <w:rPr>
          <w:sz w:val="16"/>
          <w:szCs w:val="16"/>
        </w:rPr>
        <w:tab/>
        <w:t>Expert Panel on Energy Access Pricing, Report to the Ministerial Council on Energy, April 2006.</w:t>
      </w:r>
    </w:p>
  </w:footnote>
  <w:footnote w:id="115">
    <w:p w14:paraId="0A2B9787" w14:textId="77777777" w:rsidR="00F323B2" w:rsidRDefault="00F323B2">
      <w:pPr>
        <w:pStyle w:val="FootnoteText"/>
      </w:pPr>
      <w:r>
        <w:rPr>
          <w:rStyle w:val="FootnoteReference"/>
        </w:rPr>
        <w:footnoteRef/>
      </w:r>
      <w:r>
        <w:t xml:space="preserve"> </w:t>
      </w:r>
      <w:r>
        <w:tab/>
        <w:t>Other safeguards include the queuing requirements (s. 135 of the NGL and rule 103 of the NGR); capacity trading requirements (rule 105 of the NGR), the terms on which changes to receipt and delivery points can occur (rule 106 of the NGR).</w:t>
      </w:r>
    </w:p>
  </w:footnote>
  <w:footnote w:id="116">
    <w:p w14:paraId="4560D0C9" w14:textId="77777777" w:rsidR="00F323B2" w:rsidRDefault="00F323B2">
      <w:pPr>
        <w:pStyle w:val="FootnoteText"/>
      </w:pPr>
      <w:r>
        <w:rPr>
          <w:rStyle w:val="FootnoteReference"/>
        </w:rPr>
        <w:footnoteRef/>
      </w:r>
      <w:r>
        <w:t xml:space="preserve"> </w:t>
      </w:r>
      <w:r>
        <w:tab/>
        <w:t xml:space="preserve">See rule 109 of the NGR and sections 133 and 136 of the NGL. </w:t>
      </w:r>
    </w:p>
  </w:footnote>
  <w:footnote w:id="117">
    <w:p w14:paraId="2E369872" w14:textId="77777777" w:rsidR="00F323B2" w:rsidRDefault="00F323B2">
      <w:pPr>
        <w:pStyle w:val="FootnoteText"/>
      </w:pPr>
      <w:r>
        <w:rPr>
          <w:rStyle w:val="FootnoteReference"/>
        </w:rPr>
        <w:footnoteRef/>
      </w:r>
      <w:r>
        <w:t xml:space="preserve"> </w:t>
      </w:r>
      <w:r>
        <w:tab/>
        <w:t xml:space="preserve">See sections 137-148 of the NGL. </w:t>
      </w:r>
    </w:p>
  </w:footnote>
  <w:footnote w:id="118">
    <w:p w14:paraId="7F8316B1" w14:textId="77777777" w:rsidR="00F323B2" w:rsidRPr="00F4603B" w:rsidRDefault="00F323B2" w:rsidP="006A40F7">
      <w:pPr>
        <w:pStyle w:val="FootnoteText"/>
        <w:rPr>
          <w:lang w:val="en-NZ"/>
        </w:rPr>
      </w:pPr>
      <w:r>
        <w:rPr>
          <w:rStyle w:val="FootnoteReference"/>
        </w:rPr>
        <w:footnoteRef/>
      </w:r>
      <w:r>
        <w:t xml:space="preserve"> </w:t>
      </w:r>
      <w:r>
        <w:rPr>
          <w:lang w:val="en-NZ"/>
        </w:rPr>
        <w:tab/>
        <w:t>Where a new pipeline would require interconnection with an existing pipeline, if the existing pipeline refuses interconnection, or offers unreasonable terms to do so, this may hinder an alternative provider from competing to provide the new pipeline.</w:t>
      </w:r>
    </w:p>
  </w:footnote>
  <w:footnote w:id="119">
    <w:p w14:paraId="630A76DD" w14:textId="77777777" w:rsidR="00F323B2" w:rsidRPr="00F66CB8" w:rsidRDefault="00F323B2" w:rsidP="006A40F7">
      <w:pPr>
        <w:pStyle w:val="FootnoteText"/>
        <w:rPr>
          <w:lang w:val="en-NZ"/>
        </w:rPr>
      </w:pPr>
      <w:r>
        <w:rPr>
          <w:rStyle w:val="FootnoteReference"/>
        </w:rPr>
        <w:footnoteRef/>
      </w:r>
      <w:r>
        <w:t xml:space="preserve"> </w:t>
      </w:r>
      <w:r>
        <w:rPr>
          <w:lang w:val="en-NZ"/>
        </w:rPr>
        <w:tab/>
        <w:t>If existing pipelines can cross subsidise new pipeline capacity by increasing prices to existing users, then alternative providers who are not similarly positioned may be unable to compete with the incumbent.</w:t>
      </w:r>
    </w:p>
  </w:footnote>
  <w:footnote w:id="120">
    <w:p w14:paraId="237EF226" w14:textId="77777777" w:rsidR="00F323B2" w:rsidRDefault="00F323B2" w:rsidP="0003665A">
      <w:pPr>
        <w:pStyle w:val="FootnoteText"/>
        <w:rPr>
          <w:lang w:val="en-NZ"/>
        </w:rPr>
      </w:pPr>
      <w:r>
        <w:rPr>
          <w:rStyle w:val="FootnoteReference"/>
          <w:rFonts w:eastAsia="Cambria"/>
        </w:rPr>
        <w:footnoteRef/>
      </w:r>
      <w:r>
        <w:t xml:space="preserve"> </w:t>
      </w:r>
      <w:r>
        <w:rPr>
          <w:lang w:val="en-NZ"/>
        </w:rPr>
        <w:tab/>
        <w:t>See s. 133 of the NGL.</w:t>
      </w:r>
    </w:p>
  </w:footnote>
  <w:footnote w:id="121">
    <w:p w14:paraId="581C6AEE" w14:textId="77777777" w:rsidR="00F323B2" w:rsidRDefault="00F323B2" w:rsidP="0003665A">
      <w:pPr>
        <w:pStyle w:val="FootnoteText"/>
      </w:pPr>
      <w:r>
        <w:rPr>
          <w:rStyle w:val="FootnoteReference"/>
        </w:rPr>
        <w:footnoteRef/>
      </w:r>
      <w:r>
        <w:t xml:space="preserve"> </w:t>
      </w:r>
      <w:r>
        <w:tab/>
        <w:t xml:space="preserve">Note that this provision is both a civil penalty and conduct provision. </w:t>
      </w:r>
    </w:p>
  </w:footnote>
  <w:footnote w:id="122">
    <w:p w14:paraId="553EFF1B" w14:textId="77777777" w:rsidR="00F323B2" w:rsidRDefault="00F323B2" w:rsidP="0003665A">
      <w:pPr>
        <w:pStyle w:val="FootnoteText"/>
      </w:pPr>
      <w:r>
        <w:rPr>
          <w:rStyle w:val="FootnoteReference"/>
        </w:rPr>
        <w:footnoteRef/>
      </w:r>
      <w:r>
        <w:t xml:space="preserve"> </w:t>
      </w:r>
      <w:r>
        <w:tab/>
        <w:t>Following the recent reforms to broaden the scope of reference services on full regulation pipelines, it is possible that an interconnection service could become a reference service, in which case there would be a cost base reference price for this service on full regulation pipelines that would be approved by the relevant regulator.</w:t>
      </w:r>
    </w:p>
  </w:footnote>
  <w:footnote w:id="123">
    <w:p w14:paraId="6CCD960F" w14:textId="77777777" w:rsidR="00F323B2" w:rsidRDefault="00F323B2" w:rsidP="0003665A">
      <w:pPr>
        <w:pStyle w:val="FootnoteText"/>
      </w:pPr>
      <w:r>
        <w:rPr>
          <w:rStyle w:val="FootnoteReference"/>
        </w:rPr>
        <w:footnoteRef/>
      </w:r>
      <w:r>
        <w:t xml:space="preserve"> </w:t>
      </w:r>
      <w:r>
        <w:tab/>
        <w:t>See rule 570 of the NGR.</w:t>
      </w:r>
    </w:p>
  </w:footnote>
  <w:footnote w:id="124">
    <w:p w14:paraId="2602A2D4" w14:textId="77777777" w:rsidR="00F323B2" w:rsidRPr="006A4A6E" w:rsidRDefault="00F323B2" w:rsidP="006A4A6E">
      <w:pPr>
        <w:pStyle w:val="FootnoteText"/>
        <w:rPr>
          <w:szCs w:val="16"/>
        </w:rPr>
      </w:pPr>
      <w:r w:rsidRPr="006A4A6E">
        <w:rPr>
          <w:rStyle w:val="FootnoteReference"/>
          <w:szCs w:val="16"/>
        </w:rPr>
        <w:footnoteRef/>
      </w:r>
      <w:r w:rsidRPr="006A4A6E">
        <w:rPr>
          <w:szCs w:val="16"/>
        </w:rPr>
        <w:t xml:space="preserve"> </w:t>
      </w:r>
      <w:r w:rsidRPr="006A4A6E">
        <w:rPr>
          <w:szCs w:val="16"/>
        </w:rPr>
        <w:tab/>
        <w:t xml:space="preserve">The difference between these three can be seen in the following examples, which assume that a pipeline transports 100 PJ p.a. of gas and has total annual costs of $100 million (including annualised capital costs). The average cost per GJ is $1, and so is the transportation charge. </w:t>
      </w:r>
    </w:p>
    <w:p w14:paraId="4E2D6FB6" w14:textId="77777777" w:rsidR="00F323B2" w:rsidRPr="006A4A6E" w:rsidRDefault="00F323B2" w:rsidP="006A4A6E">
      <w:pPr>
        <w:pStyle w:val="TableBullet10"/>
        <w:numPr>
          <w:ilvl w:val="0"/>
          <w:numId w:val="0"/>
        </w:numPr>
        <w:tabs>
          <w:tab w:val="left" w:pos="720"/>
        </w:tabs>
        <w:spacing w:before="20" w:afterLines="20" w:after="48"/>
        <w:ind w:left="357"/>
        <w:rPr>
          <w:rFonts w:cs="Times New Roman"/>
          <w:bCs/>
          <w:sz w:val="16"/>
          <w:szCs w:val="16"/>
          <w:u w:val="single"/>
        </w:rPr>
      </w:pPr>
      <w:r w:rsidRPr="006A4A6E">
        <w:rPr>
          <w:rFonts w:cs="Times New Roman"/>
          <w:bCs/>
          <w:sz w:val="16"/>
          <w:szCs w:val="16"/>
          <w:u w:val="single"/>
        </w:rPr>
        <w:t>Expansion is more expensive than existing capacity</w:t>
      </w:r>
    </w:p>
    <w:p w14:paraId="40238B02" w14:textId="77777777" w:rsidR="00F323B2" w:rsidRPr="006A4A6E" w:rsidRDefault="00F323B2" w:rsidP="006A4A6E">
      <w:pPr>
        <w:pStyle w:val="TableBullet10"/>
        <w:numPr>
          <w:ilvl w:val="0"/>
          <w:numId w:val="0"/>
        </w:numPr>
        <w:tabs>
          <w:tab w:val="left" w:pos="720"/>
        </w:tabs>
        <w:spacing w:before="20" w:afterLines="20" w:after="48"/>
        <w:ind w:left="357"/>
        <w:rPr>
          <w:rFonts w:cs="Times New Roman"/>
          <w:bCs/>
          <w:sz w:val="16"/>
          <w:szCs w:val="16"/>
        </w:rPr>
      </w:pPr>
      <w:r>
        <w:rPr>
          <w:rFonts w:cs="Times New Roman"/>
          <w:bCs/>
          <w:sz w:val="16"/>
          <w:szCs w:val="16"/>
        </w:rPr>
        <w:t xml:space="preserve">If </w:t>
      </w:r>
      <w:r w:rsidRPr="006A4A6E">
        <w:rPr>
          <w:rFonts w:cs="Times New Roman"/>
          <w:bCs/>
          <w:sz w:val="16"/>
          <w:szCs w:val="16"/>
        </w:rPr>
        <w:t xml:space="preserve">an expansion is proposed </w:t>
      </w:r>
      <w:r>
        <w:rPr>
          <w:rFonts w:cs="Times New Roman"/>
          <w:bCs/>
          <w:sz w:val="16"/>
          <w:szCs w:val="16"/>
        </w:rPr>
        <w:t xml:space="preserve">that would </w:t>
      </w:r>
      <w:r w:rsidRPr="006A4A6E">
        <w:rPr>
          <w:rFonts w:cs="Times New Roman"/>
          <w:bCs/>
          <w:sz w:val="16"/>
          <w:szCs w:val="16"/>
        </w:rPr>
        <w:t>add 20 PJ of capacity at an annual average cost of $50 million (cost $2.50/ GJ)</w:t>
      </w:r>
      <w:r>
        <w:rPr>
          <w:rFonts w:cs="Times New Roman"/>
          <w:bCs/>
          <w:sz w:val="16"/>
          <w:szCs w:val="16"/>
        </w:rPr>
        <w:t>, then the charges would be as follows under the three alternatives</w:t>
      </w:r>
      <w:r w:rsidRPr="006A4A6E">
        <w:rPr>
          <w:rFonts w:cs="Times New Roman"/>
          <w:bCs/>
          <w:sz w:val="16"/>
          <w:szCs w:val="16"/>
        </w:rPr>
        <w:t>:</w:t>
      </w:r>
    </w:p>
    <w:p w14:paraId="2E98A92A" w14:textId="77777777" w:rsidR="00F323B2" w:rsidRPr="006A4A6E" w:rsidRDefault="00F323B2" w:rsidP="006A4A6E">
      <w:pPr>
        <w:pStyle w:val="TableBullet10"/>
        <w:numPr>
          <w:ilvl w:val="0"/>
          <w:numId w:val="0"/>
        </w:numPr>
        <w:tabs>
          <w:tab w:val="left" w:pos="720"/>
        </w:tabs>
        <w:spacing w:before="20" w:afterLines="20" w:after="48"/>
        <w:ind w:left="357"/>
        <w:rPr>
          <w:rFonts w:cs="Times New Roman"/>
          <w:bCs/>
          <w:sz w:val="16"/>
          <w:szCs w:val="16"/>
        </w:rPr>
      </w:pPr>
      <w:r w:rsidRPr="006A4A6E">
        <w:rPr>
          <w:rFonts w:cs="Times New Roman"/>
          <w:bCs/>
          <w:sz w:val="16"/>
          <w:szCs w:val="16"/>
        </w:rPr>
        <w:t>Incremental pricing: The new capacity would be charged at its incremental cost of $2.50/GJ.  This would be more than the cost of, and charge for, existing capacity of $1.</w:t>
      </w:r>
    </w:p>
    <w:p w14:paraId="319E7724" w14:textId="77777777" w:rsidR="00F323B2" w:rsidRPr="006A4A6E" w:rsidRDefault="00F323B2" w:rsidP="006A4A6E">
      <w:pPr>
        <w:pStyle w:val="TableBullet10"/>
        <w:numPr>
          <w:ilvl w:val="0"/>
          <w:numId w:val="0"/>
        </w:numPr>
        <w:tabs>
          <w:tab w:val="left" w:pos="720"/>
        </w:tabs>
        <w:spacing w:before="20" w:afterLines="20" w:after="48"/>
        <w:ind w:left="357"/>
        <w:rPr>
          <w:rFonts w:cs="Times New Roman"/>
          <w:bCs/>
          <w:sz w:val="16"/>
          <w:szCs w:val="16"/>
        </w:rPr>
      </w:pPr>
      <w:r w:rsidRPr="006A4A6E">
        <w:rPr>
          <w:rFonts w:cs="Times New Roman"/>
          <w:bCs/>
          <w:sz w:val="16"/>
          <w:szCs w:val="16"/>
        </w:rPr>
        <w:t xml:space="preserve">Rolled-in pricing: With the expansion, the total annual costs of the pipeline are $150 million and the pipeline transports 120 PJ of gas per year.  The average cost per unit of gas is therefore $1.25/GJ. Under rolled-in pricing, the charge to all users would $1.25/GJ.  </w:t>
      </w:r>
    </w:p>
    <w:p w14:paraId="274D737A" w14:textId="77777777" w:rsidR="00F323B2" w:rsidRPr="006A4A6E" w:rsidRDefault="00F323B2" w:rsidP="006A4A6E">
      <w:pPr>
        <w:pStyle w:val="TableBullet10"/>
        <w:numPr>
          <w:ilvl w:val="0"/>
          <w:numId w:val="0"/>
        </w:numPr>
        <w:tabs>
          <w:tab w:val="left" w:pos="720"/>
        </w:tabs>
        <w:spacing w:before="20" w:afterLines="20" w:after="48"/>
        <w:ind w:left="357"/>
        <w:rPr>
          <w:rFonts w:cs="Times New Roman"/>
          <w:bCs/>
          <w:sz w:val="16"/>
          <w:szCs w:val="16"/>
        </w:rPr>
      </w:pPr>
      <w:r w:rsidRPr="006A4A6E">
        <w:rPr>
          <w:rFonts w:cs="Times New Roman"/>
          <w:bCs/>
          <w:sz w:val="16"/>
          <w:szCs w:val="16"/>
        </w:rPr>
        <w:t>Hybrid pricing: Users of the new capacity would pay the existing tariff of $1 and a surcharge of $1.50.  Users of existing capacity will continue to pay $1.</w:t>
      </w:r>
    </w:p>
    <w:p w14:paraId="6153C92A" w14:textId="77777777" w:rsidR="00F323B2" w:rsidRPr="006A4A6E" w:rsidRDefault="00F323B2" w:rsidP="006A4A6E">
      <w:pPr>
        <w:pStyle w:val="TableBullet10"/>
        <w:numPr>
          <w:ilvl w:val="0"/>
          <w:numId w:val="0"/>
        </w:numPr>
        <w:tabs>
          <w:tab w:val="left" w:pos="720"/>
        </w:tabs>
        <w:spacing w:before="20" w:afterLines="20" w:after="48"/>
        <w:ind w:left="357"/>
        <w:rPr>
          <w:rFonts w:cs="Times New Roman"/>
          <w:bCs/>
          <w:sz w:val="16"/>
          <w:szCs w:val="16"/>
          <w:u w:val="single"/>
        </w:rPr>
      </w:pPr>
      <w:r w:rsidRPr="006A4A6E">
        <w:rPr>
          <w:rFonts w:cs="Times New Roman"/>
          <w:bCs/>
          <w:sz w:val="16"/>
          <w:szCs w:val="16"/>
          <w:u w:val="single"/>
        </w:rPr>
        <w:t>Expansion is less expensive than existing capacity</w:t>
      </w:r>
    </w:p>
    <w:p w14:paraId="665932C9" w14:textId="77777777" w:rsidR="00F323B2" w:rsidRPr="006A4A6E" w:rsidRDefault="00F323B2" w:rsidP="006A4A6E">
      <w:pPr>
        <w:pStyle w:val="TableBullet10"/>
        <w:numPr>
          <w:ilvl w:val="0"/>
          <w:numId w:val="0"/>
        </w:numPr>
        <w:tabs>
          <w:tab w:val="left" w:pos="720"/>
        </w:tabs>
        <w:spacing w:before="20" w:afterLines="20" w:after="48"/>
        <w:ind w:left="357"/>
        <w:rPr>
          <w:rFonts w:cs="Times New Roman"/>
          <w:bCs/>
          <w:sz w:val="16"/>
          <w:szCs w:val="16"/>
        </w:rPr>
      </w:pPr>
      <w:r>
        <w:rPr>
          <w:rFonts w:cs="Times New Roman"/>
          <w:bCs/>
          <w:sz w:val="16"/>
          <w:szCs w:val="16"/>
        </w:rPr>
        <w:t>If</w:t>
      </w:r>
      <w:r w:rsidRPr="006A4A6E">
        <w:rPr>
          <w:rFonts w:cs="Times New Roman"/>
          <w:bCs/>
          <w:sz w:val="16"/>
          <w:szCs w:val="16"/>
        </w:rPr>
        <w:t xml:space="preserve"> an expansion is proposed that would add 20 PJ of capacity at an annual average cost of $18 million (cost $0.90/GJ)</w:t>
      </w:r>
      <w:r>
        <w:rPr>
          <w:rFonts w:cs="Times New Roman"/>
          <w:bCs/>
          <w:sz w:val="16"/>
          <w:szCs w:val="16"/>
        </w:rPr>
        <w:t>, the charges would be as follows under the three alternatives</w:t>
      </w:r>
      <w:r w:rsidRPr="006A4A6E">
        <w:rPr>
          <w:rFonts w:cs="Times New Roman"/>
          <w:bCs/>
          <w:sz w:val="16"/>
          <w:szCs w:val="16"/>
        </w:rPr>
        <w:t>:</w:t>
      </w:r>
    </w:p>
    <w:p w14:paraId="06FE43C2" w14:textId="77777777" w:rsidR="00F323B2" w:rsidRPr="006A4A6E" w:rsidRDefault="00F323B2" w:rsidP="006A4A6E">
      <w:pPr>
        <w:pStyle w:val="TableBullet10"/>
        <w:numPr>
          <w:ilvl w:val="0"/>
          <w:numId w:val="0"/>
        </w:numPr>
        <w:tabs>
          <w:tab w:val="left" w:pos="720"/>
        </w:tabs>
        <w:spacing w:before="20" w:afterLines="20" w:after="48"/>
        <w:ind w:left="357"/>
        <w:rPr>
          <w:rFonts w:cs="Times New Roman"/>
          <w:bCs/>
          <w:sz w:val="16"/>
          <w:szCs w:val="16"/>
        </w:rPr>
      </w:pPr>
      <w:r w:rsidRPr="006A4A6E">
        <w:rPr>
          <w:rFonts w:cs="Times New Roman"/>
          <w:bCs/>
          <w:sz w:val="16"/>
          <w:szCs w:val="16"/>
        </w:rPr>
        <w:t xml:space="preserve">Incremental pricing: The new capacity would be charged at its incremental cost of $0.90/GJ, which would be </w:t>
      </w:r>
      <w:r w:rsidRPr="006A4A6E">
        <w:rPr>
          <w:rFonts w:cs="Times New Roman"/>
          <w:bCs/>
          <w:i/>
          <w:sz w:val="16"/>
          <w:szCs w:val="16"/>
        </w:rPr>
        <w:t>less</w:t>
      </w:r>
      <w:r w:rsidRPr="006A4A6E">
        <w:rPr>
          <w:rFonts w:cs="Times New Roman"/>
          <w:bCs/>
          <w:sz w:val="16"/>
          <w:szCs w:val="16"/>
        </w:rPr>
        <w:t xml:space="preserve"> than the cost of, and charge for, existing capacity of $1.</w:t>
      </w:r>
    </w:p>
    <w:p w14:paraId="637A0AD1" w14:textId="77777777" w:rsidR="00F323B2" w:rsidRPr="006A4A6E" w:rsidRDefault="00F323B2" w:rsidP="006A4A6E">
      <w:pPr>
        <w:pStyle w:val="TableBullet10"/>
        <w:numPr>
          <w:ilvl w:val="0"/>
          <w:numId w:val="0"/>
        </w:numPr>
        <w:tabs>
          <w:tab w:val="left" w:pos="720"/>
        </w:tabs>
        <w:spacing w:before="20" w:afterLines="20" w:after="48"/>
        <w:ind w:left="357"/>
        <w:rPr>
          <w:rFonts w:cs="Times New Roman"/>
          <w:bCs/>
          <w:sz w:val="16"/>
          <w:szCs w:val="16"/>
        </w:rPr>
      </w:pPr>
      <w:r w:rsidRPr="006A4A6E">
        <w:rPr>
          <w:rFonts w:cs="Times New Roman"/>
          <w:bCs/>
          <w:sz w:val="16"/>
          <w:szCs w:val="16"/>
        </w:rPr>
        <w:t xml:space="preserve">Rolled-in pricing: With the expansion, the total annual costs of the pipeline are $118 million and the pipeline transports 120 PJ </w:t>
      </w:r>
      <w:r>
        <w:rPr>
          <w:rFonts w:cs="Times New Roman"/>
          <w:bCs/>
          <w:sz w:val="16"/>
          <w:szCs w:val="16"/>
        </w:rPr>
        <w:t xml:space="preserve">p.a. </w:t>
      </w:r>
      <w:r w:rsidRPr="006A4A6E">
        <w:rPr>
          <w:rFonts w:cs="Times New Roman"/>
          <w:bCs/>
          <w:sz w:val="16"/>
          <w:szCs w:val="16"/>
        </w:rPr>
        <w:t xml:space="preserve">of gas.  The average cost per unit of gas is therefore $0.98/GJ, which would be the new price for all.  </w:t>
      </w:r>
    </w:p>
    <w:p w14:paraId="5BFDED9C" w14:textId="77777777" w:rsidR="00F323B2" w:rsidRDefault="00F323B2" w:rsidP="006A4A6E">
      <w:pPr>
        <w:pStyle w:val="FootnoteText"/>
        <w:spacing w:before="20" w:afterLines="20" w:after="48"/>
        <w:ind w:left="357"/>
      </w:pPr>
      <w:r>
        <w:rPr>
          <w:bCs/>
          <w:szCs w:val="16"/>
        </w:rPr>
        <w:tab/>
      </w:r>
      <w:r w:rsidRPr="006A4A6E">
        <w:rPr>
          <w:bCs/>
          <w:szCs w:val="16"/>
        </w:rPr>
        <w:t>Hybrid pricing: All capacity would face the rolled-in tariff of $0.98/GJ.</w:t>
      </w:r>
      <w:r>
        <w:rPr>
          <w:bCs/>
          <w:szCs w:val="16"/>
        </w:rPr>
        <w:t xml:space="preserve"> </w:t>
      </w:r>
    </w:p>
  </w:footnote>
  <w:footnote w:id="125">
    <w:p w14:paraId="379152EA" w14:textId="77777777" w:rsidR="00F323B2" w:rsidRDefault="00F323B2" w:rsidP="005C6EBE">
      <w:pPr>
        <w:pStyle w:val="FootnoteText"/>
        <w:rPr>
          <w:lang w:val="en-NZ"/>
        </w:rPr>
      </w:pPr>
      <w:r>
        <w:rPr>
          <w:rStyle w:val="FootnoteReference"/>
          <w:rFonts w:eastAsiaTheme="minorHAnsi"/>
        </w:rPr>
        <w:footnoteRef/>
      </w:r>
      <w:r>
        <w:t xml:space="preserve"> </w:t>
      </w:r>
      <w:r>
        <w:tab/>
      </w:r>
      <w:r>
        <w:rPr>
          <w:lang w:val="en-NZ"/>
        </w:rPr>
        <w:t>On the Northern Gas Pipeline, this takes the form of a surcharge.</w:t>
      </w:r>
    </w:p>
  </w:footnote>
  <w:footnote w:id="126">
    <w:p w14:paraId="5D269B4B" w14:textId="77777777" w:rsidR="00F323B2" w:rsidRDefault="00F323B2" w:rsidP="00C26F75">
      <w:pPr>
        <w:pStyle w:val="FootnoteText"/>
      </w:pPr>
      <w:r>
        <w:rPr>
          <w:rStyle w:val="FootnoteReference"/>
          <w:rFonts w:eastAsia="Cambria"/>
        </w:rPr>
        <w:footnoteRef/>
      </w:r>
      <w:r>
        <w:t xml:space="preserve"> </w:t>
      </w:r>
      <w:r>
        <w:tab/>
        <w:t>There are also some constraints on the use of the rolled-in approach embodied in rules 93 and 95 of the NGR.</w:t>
      </w:r>
    </w:p>
  </w:footnote>
  <w:footnote w:id="127">
    <w:p w14:paraId="2D20869B" w14:textId="77777777" w:rsidR="00F323B2" w:rsidRDefault="00F323B2" w:rsidP="00C26F75">
      <w:pPr>
        <w:pStyle w:val="FootnoteText"/>
        <w:rPr>
          <w:lang w:val="en-NZ"/>
        </w:rPr>
      </w:pPr>
      <w:r>
        <w:rPr>
          <w:rStyle w:val="FootnoteReference"/>
          <w:rFonts w:eastAsia="Cambria"/>
        </w:rPr>
        <w:footnoteRef/>
      </w:r>
      <w:r>
        <w:t xml:space="preserve"> </w:t>
      </w:r>
      <w:r>
        <w:rPr>
          <w:lang w:val="en-NZ"/>
        </w:rPr>
        <w:tab/>
        <w:t xml:space="preserve">Specifically, capex is “conforming” when any of the limbs of rule 79 (2) are satisfied.  Rule 79 (2)(b) is that the incremental revenues associated with an expansion exceed the incremental costs. This essentially requires incremental pricing unless one of the limbs of rule 79 (2) are satisfied.   </w:t>
      </w:r>
    </w:p>
  </w:footnote>
  <w:footnote w:id="128">
    <w:p w14:paraId="53D8B389" w14:textId="77777777" w:rsidR="00F323B2" w:rsidRDefault="00F323B2" w:rsidP="0077337A">
      <w:pPr>
        <w:pStyle w:val="FootnoteText"/>
        <w:spacing w:before="20" w:after="20"/>
      </w:pPr>
      <w:r>
        <w:rPr>
          <w:rStyle w:val="FootnoteReference"/>
        </w:rPr>
        <w:footnoteRef/>
      </w:r>
      <w:r>
        <w:t xml:space="preserve"> </w:t>
      </w:r>
      <w:r>
        <w:tab/>
        <w:t xml:space="preserve">This potential problem was identified by the GMRG.  See GMRG, Advice to the former COAG Energy Council on the retention of light regulation, February 2018. </w:t>
      </w:r>
    </w:p>
  </w:footnote>
  <w:footnote w:id="129">
    <w:p w14:paraId="3B6C76B2" w14:textId="77777777" w:rsidR="00F323B2" w:rsidRDefault="00F323B2" w:rsidP="0077337A">
      <w:pPr>
        <w:pStyle w:val="FootnoteText"/>
        <w:spacing w:before="20" w:after="20"/>
      </w:pPr>
      <w:r>
        <w:rPr>
          <w:rStyle w:val="FootnoteReference"/>
        </w:rPr>
        <w:footnoteRef/>
      </w:r>
      <w:r>
        <w:t xml:space="preserve"> </w:t>
      </w:r>
      <w:r>
        <w:tab/>
        <w:t xml:space="preserve">This potential problem was identified </w:t>
      </w:r>
      <w:r w:rsidRPr="006B4639">
        <w:t>in the AEMC’s 2017-18 Economic regulation review, with the AEMC noting the potential for the current order and construction of tests used to determine the form of regulation to apply to a pipeline to result in under-regulation</w:t>
      </w:r>
      <w:r>
        <w:t>.</w:t>
      </w:r>
      <w:r>
        <w:tab/>
        <w:t xml:space="preserve">See </w:t>
      </w:r>
      <w:r w:rsidRPr="00710DCB">
        <w:t>AEMC, Final Report: Review into the scope of economic regulation applied to covered pipelines, 3 July 2018, p.</w:t>
      </w:r>
      <w:r>
        <w:t xml:space="preserve"> iv</w:t>
      </w:r>
      <w:r w:rsidRPr="00710DCB">
        <w:t>.</w:t>
      </w:r>
    </w:p>
  </w:footnote>
  <w:footnote w:id="130">
    <w:p w14:paraId="4B126208" w14:textId="77777777" w:rsidR="00F323B2" w:rsidRDefault="00F323B2" w:rsidP="00C90817">
      <w:pPr>
        <w:pStyle w:val="FootnoteText"/>
        <w:spacing w:before="20" w:after="20"/>
      </w:pPr>
      <w:r>
        <w:rPr>
          <w:rStyle w:val="FootnoteReference"/>
        </w:rPr>
        <w:footnoteRef/>
      </w:r>
      <w:r>
        <w:t xml:space="preserve"> </w:t>
      </w:r>
      <w:r>
        <w:tab/>
        <w:t>Note that stakeholders were also asked if there were any other problems with this aspect of the current framework, but no additional problems were identified.</w:t>
      </w:r>
    </w:p>
  </w:footnote>
  <w:footnote w:id="131">
    <w:p w14:paraId="1B479ECE" w14:textId="77777777" w:rsidR="00F323B2" w:rsidRDefault="00F323B2" w:rsidP="00EC4B19">
      <w:pPr>
        <w:pStyle w:val="FootnoteText"/>
        <w:spacing w:before="0" w:after="0"/>
      </w:pPr>
      <w:r>
        <w:rPr>
          <w:rStyle w:val="FootnoteReference"/>
        </w:rPr>
        <w:footnoteRef/>
      </w:r>
      <w:r>
        <w:t xml:space="preserve"> </w:t>
      </w:r>
      <w:r>
        <w:tab/>
        <w:t xml:space="preserve">GMRG, Advice to the former COAG Energy Council on the retention of light regulation, February 2018. </w:t>
      </w:r>
    </w:p>
  </w:footnote>
  <w:footnote w:id="132">
    <w:p w14:paraId="25A40CC5" w14:textId="77777777" w:rsidR="00F323B2" w:rsidRDefault="00F323B2" w:rsidP="00EC4B19">
      <w:pPr>
        <w:pStyle w:val="FootnoteText"/>
        <w:spacing w:before="0" w:after="0"/>
      </w:pPr>
      <w:r>
        <w:rPr>
          <w:rStyle w:val="FootnoteReference"/>
        </w:rPr>
        <w:footnoteRef/>
      </w:r>
      <w:r>
        <w:t xml:space="preserve"> </w:t>
      </w:r>
      <w:r>
        <w:tab/>
        <w:t>The only substantive differences between the two forms of regulation are the nature of the arbitration mechanisms (i.e. commercially-oriented under Part 23 and regulatory-oriented under light regulation) and the presence of a number of safeguards under light regulation, neither of which is dependent on the degree of market power held by the pipeline.</w:t>
      </w:r>
    </w:p>
  </w:footnote>
  <w:footnote w:id="133">
    <w:p w14:paraId="218AA36E" w14:textId="77777777" w:rsidR="00F323B2" w:rsidRDefault="00F323B2" w:rsidP="00A22BA2">
      <w:pPr>
        <w:pStyle w:val="FootnoteText"/>
        <w:spacing w:before="0" w:after="0"/>
      </w:pPr>
      <w:r>
        <w:rPr>
          <w:rStyle w:val="FootnoteReference"/>
        </w:rPr>
        <w:footnoteRef/>
      </w:r>
      <w:r>
        <w:t xml:space="preserve"> </w:t>
      </w:r>
      <w:r>
        <w:tab/>
      </w:r>
      <w:r w:rsidRPr="00710DCB">
        <w:t>AEMC, Final Report: Review into the scope of economic regulation applied to covered pipelines, 3 July 2018, p.</w:t>
      </w:r>
      <w:r>
        <w:t xml:space="preserve"> iv</w:t>
      </w:r>
      <w:r w:rsidRPr="00710DCB">
        <w:t>.</w:t>
      </w:r>
    </w:p>
  </w:footnote>
  <w:footnote w:id="134">
    <w:p w14:paraId="5EAC7FD6" w14:textId="77777777" w:rsidR="00F323B2" w:rsidRDefault="00F323B2" w:rsidP="00701175">
      <w:pPr>
        <w:pStyle w:val="FootnoteText"/>
      </w:pPr>
      <w:r>
        <w:rPr>
          <w:rStyle w:val="FootnoteReference"/>
        </w:rPr>
        <w:footnoteRef/>
      </w:r>
      <w:r>
        <w:t xml:space="preserve"> </w:t>
      </w:r>
      <w:r>
        <w:tab/>
        <w:t>NERA, International Review of Pipeline Regulation: Vol. 1 – Synthesis and Reform Options, 28 June 2019, p. iii.</w:t>
      </w:r>
    </w:p>
  </w:footnote>
  <w:footnote w:id="135">
    <w:p w14:paraId="1AB11C85" w14:textId="77777777" w:rsidR="00F323B2" w:rsidRPr="00710DCB" w:rsidRDefault="00F323B2" w:rsidP="00701175">
      <w:pPr>
        <w:pStyle w:val="FootnoteText"/>
      </w:pPr>
      <w:r w:rsidRPr="00710DCB">
        <w:rPr>
          <w:rStyle w:val="FootnoteReference"/>
        </w:rPr>
        <w:footnoteRef/>
      </w:r>
      <w:r w:rsidRPr="00710DCB">
        <w:t xml:space="preserve"> </w:t>
      </w:r>
      <w:r w:rsidRPr="00710DCB">
        <w:tab/>
        <w:t>This problem was exhibited on the Wilton to Horsley Park section of the EGP, which may not have been necessary if EGP had been able to gain the type of transportation access rights it sought from the NSW Gas Distribution Network, which at the time was owned by AGL.</w:t>
      </w:r>
    </w:p>
  </w:footnote>
  <w:footnote w:id="136">
    <w:p w14:paraId="179FE3C0" w14:textId="77777777" w:rsidR="00F323B2" w:rsidRDefault="00F323B2">
      <w:pPr>
        <w:pStyle w:val="FootnoteText"/>
      </w:pPr>
      <w:r>
        <w:rPr>
          <w:rStyle w:val="FootnoteReference"/>
        </w:rPr>
        <w:footnoteRef/>
      </w:r>
      <w:r>
        <w:t xml:space="preserve"> </w:t>
      </w:r>
      <w:r>
        <w:tab/>
        <w:t xml:space="preserve">The exceptions to this were the MEU and COPA, who suggested that a single form of regulation be adopted. The problem with this suggestion is that it could, depending on the form that regulation takes, result in either over-regulation (i.e. if a stronger form of regulation is applied to all pipelines, including those that face some constraints on their market power) or under-regulation (i.e. if a lighter form of regulation is applied to all pipelines, including to those that don’t face any real constraints on their market power). </w:t>
      </w:r>
    </w:p>
    <w:p w14:paraId="6BF0F086" w14:textId="77777777" w:rsidR="00F323B2" w:rsidRDefault="00F323B2">
      <w:pPr>
        <w:pStyle w:val="FootnoteText"/>
      </w:pPr>
      <w:r>
        <w:tab/>
        <w:t xml:space="preserve">ATCO also suggested that separate forms of regulation be applied to distribution and transmission pipelines, with distribution pipelines subject to a lighter handed form of regulation. The problem with this proposal is that it would add considerable complexity to the regulatory framework, which does not currently distinguish between transmission and distribution pipelines. It could also result in under-regulation of distribution pipelines if, contrary to ATCO’s claim, distribution pipelines are not subject to effective constraints. </w:t>
      </w:r>
    </w:p>
  </w:footnote>
  <w:footnote w:id="137">
    <w:p w14:paraId="1548323A" w14:textId="77777777" w:rsidR="00F323B2" w:rsidRPr="002227C9" w:rsidRDefault="00F323B2" w:rsidP="002227C9">
      <w:pPr>
        <w:pStyle w:val="FootnoteText"/>
        <w:spacing w:before="0" w:after="0"/>
        <w:rPr>
          <w:szCs w:val="16"/>
        </w:rPr>
      </w:pPr>
      <w:r w:rsidRPr="002227C9">
        <w:rPr>
          <w:rStyle w:val="FootnoteReference"/>
          <w:szCs w:val="16"/>
        </w:rPr>
        <w:footnoteRef/>
      </w:r>
      <w:r w:rsidRPr="002227C9">
        <w:rPr>
          <w:szCs w:val="16"/>
        </w:rPr>
        <w:t xml:space="preserve"> </w:t>
      </w:r>
      <w:r w:rsidRPr="002227C9">
        <w:rPr>
          <w:szCs w:val="16"/>
        </w:rPr>
        <w:tab/>
        <w:t>For other expansions it will usually be cheaper to expand the existing pipeline than to build another pipeline.</w:t>
      </w:r>
    </w:p>
  </w:footnote>
  <w:footnote w:id="138">
    <w:p w14:paraId="0DBBA421" w14:textId="77777777" w:rsidR="00F323B2" w:rsidRDefault="00F323B2" w:rsidP="002227C9">
      <w:pPr>
        <w:pStyle w:val="FootnoteText"/>
        <w:spacing w:before="0" w:after="0"/>
      </w:pPr>
      <w:r w:rsidRPr="002227C9">
        <w:rPr>
          <w:rStyle w:val="FootnoteReference"/>
          <w:szCs w:val="16"/>
        </w:rPr>
        <w:footnoteRef/>
      </w:r>
      <w:r w:rsidRPr="002227C9">
        <w:rPr>
          <w:szCs w:val="16"/>
        </w:rPr>
        <w:t xml:space="preserve"> </w:t>
      </w:r>
      <w:r w:rsidRPr="002227C9">
        <w:rPr>
          <w:szCs w:val="16"/>
        </w:rPr>
        <w:tab/>
      </w:r>
      <w:r w:rsidRPr="002227C9">
        <w:rPr>
          <w:rFonts w:cs="Arial"/>
          <w:szCs w:val="16"/>
        </w:rPr>
        <w:t>This caveat is required because there may be circumstances where existing users will benefit from the augmentation (e.g. where it is required to improve the security of services) and should therefore make a contribute to the expenditure.</w:t>
      </w:r>
    </w:p>
  </w:footnote>
  <w:footnote w:id="139">
    <w:p w14:paraId="72943D48" w14:textId="77777777" w:rsidR="00F323B2" w:rsidRDefault="00F323B2" w:rsidP="005E580F">
      <w:pPr>
        <w:pStyle w:val="FootnoteText"/>
        <w:spacing w:before="0" w:after="0"/>
      </w:pPr>
      <w:r>
        <w:rPr>
          <w:rStyle w:val="FootnoteReference"/>
        </w:rPr>
        <w:footnoteRef/>
      </w:r>
      <w:r>
        <w:t xml:space="preserve"> </w:t>
      </w:r>
      <w:r>
        <w:tab/>
        <w:t xml:space="preserve">For example, service providers can submit a voluntary AA and then be subject to the stronger form of regulation. </w:t>
      </w:r>
    </w:p>
  </w:footnote>
  <w:footnote w:id="140">
    <w:p w14:paraId="3BFFF54F" w14:textId="77777777" w:rsidR="00F323B2" w:rsidRPr="00934914" w:rsidRDefault="00F323B2" w:rsidP="001B1FBF">
      <w:pPr>
        <w:pStyle w:val="FootnoteText"/>
        <w:rPr>
          <w:rFonts w:cstheme="minorHAnsi"/>
          <w:szCs w:val="16"/>
        </w:rPr>
      </w:pPr>
      <w:r>
        <w:rPr>
          <w:rStyle w:val="FootnoteReference"/>
        </w:rPr>
        <w:footnoteRef/>
      </w:r>
      <w:r>
        <w:t xml:space="preserve"> </w:t>
      </w:r>
      <w:r>
        <w:tab/>
        <w:t xml:space="preserve">For example, under options 3A and 3B it would be amended to </w:t>
      </w:r>
      <w:r>
        <w:rPr>
          <w:rFonts w:cstheme="minorHAnsi"/>
          <w:szCs w:val="16"/>
        </w:rPr>
        <w:t xml:space="preserve">allow the decision-maker to have regard to the results of the regulator’s monitoring of the service provider’s behaviour; and to </w:t>
      </w:r>
      <w:r w:rsidRPr="00934914">
        <w:rPr>
          <w:rFonts w:cstheme="minorHAnsi"/>
          <w:szCs w:val="16"/>
        </w:rPr>
        <w:t xml:space="preserve">remove the requirement </w:t>
      </w:r>
      <w:r w:rsidRPr="00CB3245">
        <w:t xml:space="preserve">to consider whether </w:t>
      </w:r>
      <w:r>
        <w:t xml:space="preserve">adequate </w:t>
      </w:r>
      <w:r w:rsidRPr="00CB3245">
        <w:t xml:space="preserve">information is available to shippers </w:t>
      </w:r>
      <w:r>
        <w:t xml:space="preserve">to enable them to negotiate </w:t>
      </w:r>
      <w:r w:rsidRPr="00CB3245">
        <w:t>be removed</w:t>
      </w:r>
      <w:r>
        <w:t>.</w:t>
      </w:r>
    </w:p>
  </w:footnote>
  <w:footnote w:id="141">
    <w:p w14:paraId="64064FC9" w14:textId="77777777" w:rsidR="00192851" w:rsidRDefault="00192851" w:rsidP="005E50BE">
      <w:pPr>
        <w:pStyle w:val="FootnoteText"/>
        <w:spacing w:before="0" w:after="0"/>
      </w:pPr>
      <w:r>
        <w:rPr>
          <w:rStyle w:val="FootnoteReference"/>
        </w:rPr>
        <w:footnoteRef/>
      </w:r>
      <w:r>
        <w:t xml:space="preserve"> </w:t>
      </w:r>
      <w:r>
        <w:tab/>
        <w:t xml:space="preserve">The Bulletin Board that applies in the east coast and the Northern Territory is formally referred to as the </w:t>
      </w:r>
      <w:r w:rsidRPr="004508FA">
        <w:t xml:space="preserve">Natural Gas Services Bulletin Board </w:t>
      </w:r>
      <w:r>
        <w:t xml:space="preserve">and is </w:t>
      </w:r>
      <w:r w:rsidRPr="004508FA">
        <w:t>given effect through the NGL</w:t>
      </w:r>
      <w:r>
        <w:t>, the Regulations</w:t>
      </w:r>
      <w:r w:rsidRPr="004508FA">
        <w:t xml:space="preserve"> and Part 18 of the NGR</w:t>
      </w:r>
      <w:r>
        <w:t>.</w:t>
      </w:r>
    </w:p>
  </w:footnote>
  <w:footnote w:id="142">
    <w:p w14:paraId="612FAFAE" w14:textId="77777777" w:rsidR="00192851" w:rsidRDefault="00192851" w:rsidP="005E50BE">
      <w:pPr>
        <w:pStyle w:val="FootnoteText"/>
        <w:spacing w:before="0" w:after="0"/>
      </w:pPr>
      <w:r>
        <w:rPr>
          <w:rStyle w:val="FootnoteReference"/>
        </w:rPr>
        <w:footnoteRef/>
      </w:r>
      <w:r>
        <w:t xml:space="preserve"> </w:t>
      </w:r>
      <w:r>
        <w:tab/>
        <w:t xml:space="preserve">The Gas Bulletin Board that applies in Western Australia is given effect through the </w:t>
      </w:r>
      <w:r w:rsidRPr="00EF7DBD">
        <w:rPr>
          <w:i/>
          <w:iCs/>
        </w:rPr>
        <w:t>Gas Services Information Act 2012</w:t>
      </w:r>
      <w:r>
        <w:rPr>
          <w:i/>
          <w:iCs/>
        </w:rPr>
        <w:t xml:space="preserve"> </w:t>
      </w:r>
      <w:r>
        <w:t>(WA), the Gas Services Information Regulations 2012 (WA) and the Gas Services Information Rules.</w:t>
      </w:r>
    </w:p>
  </w:footnote>
  <w:footnote w:id="143">
    <w:p w14:paraId="65729ECE" w14:textId="77777777" w:rsidR="00F323B2" w:rsidRDefault="00F323B2">
      <w:pPr>
        <w:pStyle w:val="FootnoteText"/>
      </w:pPr>
      <w:r>
        <w:rPr>
          <w:rStyle w:val="FootnoteReference"/>
        </w:rPr>
        <w:footnoteRef/>
      </w:r>
      <w:r>
        <w:t xml:space="preserve"> </w:t>
      </w:r>
      <w:r>
        <w:tab/>
        <w:t xml:space="preserve">Note that an exemption may be obtained if there are less than two shippers using the service. </w:t>
      </w:r>
    </w:p>
  </w:footnote>
  <w:footnote w:id="144">
    <w:p w14:paraId="79432D22" w14:textId="77777777" w:rsidR="00F323B2" w:rsidRPr="00710DCB" w:rsidRDefault="00F323B2">
      <w:pPr>
        <w:pStyle w:val="FootnoteText"/>
      </w:pPr>
      <w:r w:rsidRPr="00710DCB">
        <w:rPr>
          <w:rStyle w:val="FootnoteReference"/>
        </w:rPr>
        <w:footnoteRef/>
      </w:r>
      <w:r w:rsidRPr="00710DCB">
        <w:t xml:space="preserve"> </w:t>
      </w:r>
      <w:r w:rsidRPr="00710DCB">
        <w:tab/>
        <w:t xml:space="preserve">One potential problem with relying on the regulator’s regulatory information notice power to obtain information that shippers may require to negotiate more effectively with service providers is that this power can only be exercised if the regulator considers it reasonably necessary for the performance or exercise of its functions or powers under the NGL or NGR. It may therefore be difficult for the relevant regulator to issue a notice on this basis. </w:t>
      </w:r>
    </w:p>
  </w:footnote>
  <w:footnote w:id="145">
    <w:p w14:paraId="21276B90" w14:textId="77777777" w:rsidR="00F323B2" w:rsidRDefault="00F323B2">
      <w:pPr>
        <w:pStyle w:val="FootnoteText"/>
      </w:pPr>
      <w:r>
        <w:rPr>
          <w:rStyle w:val="FootnoteReference"/>
        </w:rPr>
        <w:footnoteRef/>
      </w:r>
      <w:r>
        <w:t xml:space="preserve"> </w:t>
      </w:r>
      <w:r>
        <w:tab/>
        <w:t>Note that through the Consultation RIS stakeholders were asked if there were any other problems with this aspect of the current framework, but no additional problems were identified.</w:t>
      </w:r>
    </w:p>
  </w:footnote>
  <w:footnote w:id="146">
    <w:p w14:paraId="005630AF" w14:textId="77777777" w:rsidR="00F323B2" w:rsidRPr="00710DCB" w:rsidRDefault="00F323B2" w:rsidP="00471200">
      <w:pPr>
        <w:pStyle w:val="FootnoteText"/>
      </w:pPr>
      <w:r w:rsidRPr="00710DCB">
        <w:rPr>
          <w:rStyle w:val="FootnoteReference"/>
        </w:rPr>
        <w:footnoteRef/>
      </w:r>
      <w:r w:rsidRPr="00710DCB">
        <w:t xml:space="preserve"> </w:t>
      </w:r>
      <w:r w:rsidRPr="00710DCB">
        <w:tab/>
        <w:t>This is particularly the case for financial information, where costs and revenues could, for example, be shifted between pipelines to artificially lower the reported rates of return.</w:t>
      </w:r>
      <w:r>
        <w:t xml:space="preserve"> </w:t>
      </w:r>
    </w:p>
  </w:footnote>
  <w:footnote w:id="147">
    <w:p w14:paraId="059653FD" w14:textId="77777777" w:rsidR="00F323B2" w:rsidRPr="008C02CC" w:rsidRDefault="00F323B2" w:rsidP="003C1097">
      <w:pPr>
        <w:pStyle w:val="FootnoteText"/>
        <w:spacing w:before="20" w:after="20"/>
        <w:rPr>
          <w:rFonts w:asciiTheme="majorHAnsi" w:hAnsiTheme="majorHAnsi" w:cstheme="majorHAnsi"/>
          <w:szCs w:val="16"/>
        </w:rPr>
      </w:pPr>
      <w:r w:rsidRPr="008C02CC">
        <w:rPr>
          <w:rStyle w:val="FootnoteReference"/>
          <w:rFonts w:asciiTheme="majorHAnsi" w:hAnsiTheme="majorHAnsi" w:cstheme="majorHAnsi"/>
          <w:szCs w:val="16"/>
        </w:rPr>
        <w:footnoteRef/>
      </w:r>
      <w:r w:rsidRPr="008C02CC">
        <w:rPr>
          <w:rFonts w:asciiTheme="majorHAnsi" w:hAnsiTheme="majorHAnsi" w:cstheme="majorHAnsi"/>
          <w:szCs w:val="16"/>
        </w:rPr>
        <w:t xml:space="preserve"> </w:t>
      </w:r>
      <w:r w:rsidRPr="008C02CC">
        <w:rPr>
          <w:rFonts w:asciiTheme="majorHAnsi" w:hAnsiTheme="majorHAnsi" w:cstheme="majorHAnsi"/>
          <w:szCs w:val="16"/>
        </w:rPr>
        <w:tab/>
        <w:t>Note that while the EUAA and Chemistry Australia agreed that consolidation should occur, they did not express a view on any of the options presented in the C</w:t>
      </w:r>
      <w:r>
        <w:rPr>
          <w:rFonts w:asciiTheme="majorHAnsi" w:hAnsiTheme="majorHAnsi" w:cstheme="majorHAnsi"/>
          <w:szCs w:val="16"/>
        </w:rPr>
        <w:t xml:space="preserve">onsultation </w:t>
      </w:r>
      <w:r w:rsidRPr="008C02CC">
        <w:rPr>
          <w:rFonts w:asciiTheme="majorHAnsi" w:hAnsiTheme="majorHAnsi" w:cstheme="majorHAnsi"/>
          <w:szCs w:val="16"/>
        </w:rPr>
        <w:t xml:space="preserve">RIS. </w:t>
      </w:r>
    </w:p>
  </w:footnote>
  <w:footnote w:id="148">
    <w:p w14:paraId="7320BD0B" w14:textId="77777777" w:rsidR="00F323B2" w:rsidRPr="00E02E1E" w:rsidRDefault="00F323B2" w:rsidP="00BA40F9">
      <w:pPr>
        <w:pStyle w:val="FootnoteText"/>
        <w:rPr>
          <w:szCs w:val="16"/>
        </w:rPr>
      </w:pPr>
      <w:r w:rsidRPr="00E02E1E">
        <w:rPr>
          <w:rStyle w:val="FootnoteReference"/>
          <w:szCs w:val="16"/>
        </w:rPr>
        <w:footnoteRef/>
      </w:r>
      <w:r w:rsidRPr="00E02E1E">
        <w:rPr>
          <w:szCs w:val="16"/>
        </w:rPr>
        <w:t xml:space="preserve"> </w:t>
      </w:r>
      <w:r w:rsidRPr="00E02E1E">
        <w:rPr>
          <w:szCs w:val="16"/>
        </w:rPr>
        <w:tab/>
        <w:t xml:space="preserve">Since making this submission </w:t>
      </w:r>
      <w:r w:rsidRPr="00E02E1E">
        <w:rPr>
          <w:rFonts w:cstheme="majorHAnsi"/>
          <w:szCs w:val="16"/>
        </w:rPr>
        <w:t xml:space="preserve">APGA has published links to the information on its website see </w:t>
      </w:r>
      <w:r w:rsidRPr="00E02E1E">
        <w:rPr>
          <w:szCs w:val="16"/>
        </w:rPr>
        <w:t>https://www.apga.org.au/pipeline-information-users</w:t>
      </w:r>
    </w:p>
  </w:footnote>
  <w:footnote w:id="149">
    <w:p w14:paraId="4A0136AF" w14:textId="77777777" w:rsidR="00F323B2" w:rsidRDefault="00F323B2" w:rsidP="005D067E">
      <w:pPr>
        <w:pStyle w:val="FootnoteText"/>
      </w:pPr>
      <w:r>
        <w:rPr>
          <w:rStyle w:val="FootnoteReference"/>
        </w:rPr>
        <w:footnoteRef/>
      </w:r>
      <w:r>
        <w:t xml:space="preserve">  APA described the initiative in its submission as follows:</w:t>
      </w:r>
    </w:p>
    <w:p w14:paraId="2B9BA99F" w14:textId="77777777" w:rsidR="00F323B2" w:rsidRPr="00167AC5" w:rsidRDefault="00F323B2" w:rsidP="005D067E">
      <w:pPr>
        <w:pStyle w:val="Quote"/>
        <w:spacing w:before="40" w:after="40"/>
        <w:rPr>
          <w:rFonts w:asciiTheme="majorHAnsi" w:hAnsiTheme="majorHAnsi" w:cstheme="majorHAnsi"/>
          <w:sz w:val="16"/>
          <w:szCs w:val="16"/>
        </w:rPr>
      </w:pPr>
      <w:r w:rsidRPr="00167AC5">
        <w:rPr>
          <w:rFonts w:asciiTheme="majorHAnsi" w:hAnsiTheme="majorHAnsi" w:cstheme="majorHAnsi"/>
          <w:sz w:val="16"/>
          <w:szCs w:val="16"/>
        </w:rPr>
        <w:t xml:space="preserve">In the context of the “Better Together” initiative, leading members of the pipeline industry propose that a series of workshops be undertaken with shippers, pipeliners, and other stakeholders, to: </w:t>
      </w:r>
    </w:p>
    <w:p w14:paraId="0DC70EA2" w14:textId="77777777" w:rsidR="00F323B2" w:rsidRPr="00167AC5" w:rsidRDefault="00F323B2" w:rsidP="000A3668">
      <w:pPr>
        <w:pStyle w:val="Quote"/>
        <w:numPr>
          <w:ilvl w:val="0"/>
          <w:numId w:val="104"/>
        </w:numPr>
        <w:spacing w:before="40" w:after="40"/>
        <w:ind w:left="714" w:hanging="357"/>
        <w:rPr>
          <w:rFonts w:asciiTheme="majorHAnsi" w:hAnsiTheme="majorHAnsi" w:cstheme="majorHAnsi"/>
          <w:sz w:val="16"/>
          <w:szCs w:val="16"/>
        </w:rPr>
      </w:pPr>
      <w:r w:rsidRPr="00167AC5">
        <w:rPr>
          <w:rFonts w:asciiTheme="majorHAnsi" w:hAnsiTheme="majorHAnsi" w:cstheme="majorHAnsi"/>
          <w:sz w:val="16"/>
          <w:szCs w:val="16"/>
        </w:rPr>
        <w:t xml:space="preserve">understand the information needs of access seekers; </w:t>
      </w:r>
    </w:p>
    <w:p w14:paraId="28891679" w14:textId="77777777" w:rsidR="00F323B2" w:rsidRPr="00167AC5" w:rsidRDefault="00F323B2" w:rsidP="000A3668">
      <w:pPr>
        <w:pStyle w:val="Quote"/>
        <w:numPr>
          <w:ilvl w:val="0"/>
          <w:numId w:val="104"/>
        </w:numPr>
        <w:spacing w:before="40" w:after="40"/>
        <w:ind w:left="714" w:hanging="357"/>
        <w:rPr>
          <w:rFonts w:asciiTheme="majorHAnsi" w:hAnsiTheme="majorHAnsi" w:cstheme="majorHAnsi"/>
          <w:sz w:val="16"/>
          <w:szCs w:val="16"/>
        </w:rPr>
      </w:pPr>
      <w:r w:rsidRPr="00167AC5">
        <w:rPr>
          <w:rFonts w:asciiTheme="majorHAnsi" w:hAnsiTheme="majorHAnsi" w:cstheme="majorHAnsi"/>
          <w:sz w:val="16"/>
          <w:szCs w:val="16"/>
        </w:rPr>
        <w:t xml:space="preserve">understand the information currently available and how to access it; </w:t>
      </w:r>
    </w:p>
    <w:p w14:paraId="2E2FED96" w14:textId="77777777" w:rsidR="00F323B2" w:rsidRPr="00167AC5" w:rsidRDefault="00F323B2" w:rsidP="000A3668">
      <w:pPr>
        <w:pStyle w:val="Quote"/>
        <w:numPr>
          <w:ilvl w:val="0"/>
          <w:numId w:val="104"/>
        </w:numPr>
        <w:spacing w:before="40" w:after="40"/>
        <w:ind w:left="714" w:hanging="357"/>
        <w:rPr>
          <w:rFonts w:asciiTheme="majorHAnsi" w:hAnsiTheme="majorHAnsi" w:cstheme="majorHAnsi"/>
          <w:sz w:val="16"/>
          <w:szCs w:val="16"/>
        </w:rPr>
      </w:pPr>
      <w:r w:rsidRPr="00167AC5">
        <w:rPr>
          <w:rFonts w:asciiTheme="majorHAnsi" w:hAnsiTheme="majorHAnsi" w:cstheme="majorHAnsi"/>
          <w:sz w:val="16"/>
          <w:szCs w:val="16"/>
        </w:rPr>
        <w:t xml:space="preserve">identify any gaps between information needs and information currently available; and </w:t>
      </w:r>
    </w:p>
    <w:p w14:paraId="7FBA4DDC" w14:textId="77777777" w:rsidR="00F323B2" w:rsidRPr="00167AC5" w:rsidRDefault="00F323B2" w:rsidP="000A3668">
      <w:pPr>
        <w:pStyle w:val="Quote"/>
        <w:numPr>
          <w:ilvl w:val="0"/>
          <w:numId w:val="104"/>
        </w:numPr>
        <w:spacing w:before="40" w:after="40"/>
        <w:ind w:left="714" w:hanging="357"/>
        <w:rPr>
          <w:rFonts w:asciiTheme="majorHAnsi" w:hAnsiTheme="majorHAnsi" w:cstheme="majorHAnsi"/>
          <w:sz w:val="16"/>
          <w:szCs w:val="16"/>
        </w:rPr>
      </w:pPr>
      <w:r w:rsidRPr="00167AC5">
        <w:rPr>
          <w:rFonts w:asciiTheme="majorHAnsi" w:hAnsiTheme="majorHAnsi" w:cstheme="majorHAnsi"/>
          <w:sz w:val="16"/>
          <w:szCs w:val="16"/>
        </w:rPr>
        <w:t xml:space="preserve">develop a collaborative way forward to address any gaps identified. </w:t>
      </w:r>
    </w:p>
    <w:p w14:paraId="2949DDDF" w14:textId="77777777" w:rsidR="00F323B2" w:rsidRPr="002D2982" w:rsidRDefault="00F323B2" w:rsidP="005D067E">
      <w:pPr>
        <w:pStyle w:val="FootnoteText"/>
        <w:spacing w:before="40" w:after="40"/>
        <w:rPr>
          <w:i/>
          <w:iCs/>
        </w:rPr>
      </w:pPr>
      <w:r w:rsidRPr="002D2982">
        <w:rPr>
          <w:rFonts w:asciiTheme="majorHAnsi" w:hAnsiTheme="majorHAnsi" w:cstheme="majorHAnsi"/>
          <w:i/>
          <w:iCs/>
          <w:szCs w:val="16"/>
        </w:rPr>
        <w:tab/>
        <w:t>This approach will benefit from the Energy Charter’s advantages of collaboration, co-design, flexibility, buy-in and peer pressure. Pipeline service providers would voluntarily disclose additional information in response to the feedback received.”</w:t>
      </w:r>
    </w:p>
  </w:footnote>
  <w:footnote w:id="150">
    <w:p w14:paraId="11D16BB0" w14:textId="77777777" w:rsidR="00F323B2" w:rsidRPr="00567876" w:rsidRDefault="00F323B2" w:rsidP="00C50A6F">
      <w:pPr>
        <w:pStyle w:val="FootnoteText"/>
        <w:spacing w:beforeLines="20" w:before="48" w:afterLines="20" w:after="48"/>
        <w:rPr>
          <w:rFonts w:cs="Arial"/>
          <w:szCs w:val="16"/>
        </w:rPr>
      </w:pPr>
      <w:r>
        <w:rPr>
          <w:rStyle w:val="FootnoteReference"/>
        </w:rPr>
        <w:footnoteRef/>
      </w:r>
      <w:r>
        <w:t xml:space="preserve"> </w:t>
      </w:r>
      <w:r>
        <w:tab/>
        <w:t xml:space="preserve">Specifically, </w:t>
      </w:r>
      <w:r w:rsidRPr="00567876">
        <w:rPr>
          <w:rFonts w:cs="Arial"/>
          <w:szCs w:val="16"/>
        </w:rPr>
        <w:t xml:space="preserve">all interstate pipelines in the US are required to publish: </w:t>
      </w:r>
    </w:p>
    <w:p w14:paraId="2A1CF0D7" w14:textId="77777777" w:rsidR="00F323B2" w:rsidRPr="00C50A6F" w:rsidRDefault="00F323B2" w:rsidP="00C50A6F">
      <w:pPr>
        <w:pStyle w:val="ListBullet"/>
        <w:numPr>
          <w:ilvl w:val="0"/>
          <w:numId w:val="142"/>
        </w:numPr>
        <w:spacing w:beforeLines="20" w:before="48" w:afterLines="20" w:after="48"/>
        <w:rPr>
          <w:sz w:val="16"/>
          <w:szCs w:val="16"/>
        </w:rPr>
      </w:pPr>
      <w:r w:rsidRPr="00C50A6F">
        <w:rPr>
          <w:sz w:val="16"/>
          <w:szCs w:val="16"/>
        </w:rPr>
        <w:t>An index of customers that lists all of their transportation contracts, including details of the shipper, the reserved quantities, the term, the receipt and delivery points and other key terms specified in those contracts.</w:t>
      </w:r>
    </w:p>
    <w:p w14:paraId="335040E6" w14:textId="77777777" w:rsidR="00F323B2" w:rsidRPr="00567876" w:rsidRDefault="00F323B2" w:rsidP="00C50A6F">
      <w:pPr>
        <w:pStyle w:val="FootnoteText"/>
        <w:numPr>
          <w:ilvl w:val="0"/>
          <w:numId w:val="142"/>
        </w:numPr>
        <w:spacing w:beforeLines="20" w:before="48" w:afterLines="20" w:after="48"/>
        <w:rPr>
          <w:szCs w:val="16"/>
        </w:rPr>
      </w:pPr>
      <w:r w:rsidRPr="00567876">
        <w:rPr>
          <w:szCs w:val="16"/>
        </w:rPr>
        <w:t>Details of non-standard contracts, including information on the shipper, the tariff payable by the shipper, contracted quantities, receipt and delivery points, contract duration and information on any affiliation between the shipper and pipeline, for 90 days after the shipper first uses the contract. Brattle also noted that various data vendors compile this information so shippers can still access it after the reporting period has lapsed.</w:t>
      </w:r>
    </w:p>
  </w:footnote>
  <w:footnote w:id="151">
    <w:p w14:paraId="28D67466" w14:textId="77777777" w:rsidR="00F323B2" w:rsidRDefault="00F323B2" w:rsidP="0052381D">
      <w:pPr>
        <w:pStyle w:val="FootnoteText"/>
        <w:spacing w:before="0" w:after="0"/>
      </w:pPr>
      <w:r>
        <w:rPr>
          <w:rStyle w:val="FootnoteReference"/>
        </w:rPr>
        <w:footnoteRef/>
      </w:r>
      <w:r>
        <w:t xml:space="preserve"> </w:t>
      </w:r>
      <w:r>
        <w:tab/>
        <w:t xml:space="preserve">For example, the contract term, the service provided (including the priority of the service), the price escalation mechanism and, where relevant, the receipt and delivery points (or zones) between which services are provided, the contract quantity (e.g. the maximum daily quantity for firm forward haul service or the park and/or loan allowance for storage services), the maximum hourly quantity, imbalance and variance allowances, the rates payable for imbalances, overruns, variances and renominations and liability caps. </w:t>
      </w:r>
    </w:p>
  </w:footnote>
  <w:footnote w:id="152">
    <w:p w14:paraId="463C336A" w14:textId="55133E62" w:rsidR="00F323B2" w:rsidRDefault="00F323B2" w:rsidP="00FE6015">
      <w:pPr>
        <w:pStyle w:val="FootnoteText"/>
      </w:pPr>
      <w:r>
        <w:rPr>
          <w:rStyle w:val="FootnoteReference"/>
        </w:rPr>
        <w:footnoteRef/>
      </w:r>
      <w:r>
        <w:t xml:space="preserve"> </w:t>
      </w:r>
      <w:r>
        <w:tab/>
        <w:t xml:space="preserve">There may also be value in publishing links to the AEMC’s pipeline register on the </w:t>
      </w:r>
      <w:r w:rsidR="00AF663F">
        <w:t xml:space="preserve">BB/GBB </w:t>
      </w:r>
      <w:r>
        <w:t xml:space="preserve">and the AER’s website. </w:t>
      </w:r>
    </w:p>
  </w:footnote>
  <w:footnote w:id="153">
    <w:p w14:paraId="0E8D327E" w14:textId="77777777" w:rsidR="00F323B2" w:rsidRDefault="00F323B2" w:rsidP="00D733AC">
      <w:pPr>
        <w:pStyle w:val="FootnoteText"/>
      </w:pPr>
      <w:r>
        <w:rPr>
          <w:rStyle w:val="FootnoteReference"/>
        </w:rPr>
        <w:footnoteRef/>
      </w:r>
      <w:r>
        <w:t xml:space="preserve"> </w:t>
      </w:r>
      <w:r>
        <w:tab/>
        <w:t>If required, this could be supplemented with a pressure based threshold for distribution as has been adopted for light regulation.</w:t>
      </w:r>
    </w:p>
  </w:footnote>
  <w:footnote w:id="154">
    <w:p w14:paraId="59D6BC1A" w14:textId="77777777" w:rsidR="00F323B2" w:rsidRDefault="00F323B2" w:rsidP="00FE6015">
      <w:pPr>
        <w:pStyle w:val="FootnoteText"/>
        <w:spacing w:before="0" w:after="0"/>
      </w:pPr>
      <w:r>
        <w:rPr>
          <w:rStyle w:val="FootnoteReference"/>
        </w:rPr>
        <w:footnoteRef/>
      </w:r>
      <w:r>
        <w:t xml:space="preserve"> </w:t>
      </w:r>
      <w:r>
        <w:tab/>
        <w:t xml:space="preserve">This is because, in contrast to a financial reporting guideline where all service providers can be required to provide information on a uniform basis, RINs tend to reflect the systems and processes that individual service providers have in place, which can differ markedly across service providers. </w:t>
      </w:r>
    </w:p>
  </w:footnote>
  <w:footnote w:id="155">
    <w:p w14:paraId="1DFB115B" w14:textId="77777777" w:rsidR="00F323B2" w:rsidRDefault="00F323B2">
      <w:pPr>
        <w:pStyle w:val="FootnoteText"/>
      </w:pPr>
      <w:r>
        <w:rPr>
          <w:rStyle w:val="FootnoteReference"/>
        </w:rPr>
        <w:footnoteRef/>
      </w:r>
      <w:r>
        <w:t xml:space="preserve"> </w:t>
      </w:r>
      <w:r>
        <w:tab/>
        <w:t>If required, this could be supplemented with a pressure based threshold for distribution as has been adopted for light regulation.</w:t>
      </w:r>
    </w:p>
  </w:footnote>
  <w:footnote w:id="156">
    <w:p w14:paraId="43D596B7" w14:textId="77777777" w:rsidR="00F323B2" w:rsidRDefault="00F323B2">
      <w:pPr>
        <w:pStyle w:val="FootnoteText"/>
      </w:pPr>
      <w:r>
        <w:rPr>
          <w:rStyle w:val="FootnoteReference"/>
        </w:rPr>
        <w:footnoteRef/>
      </w:r>
      <w:r>
        <w:t xml:space="preserve"> </w:t>
      </w:r>
      <w:r>
        <w:tab/>
        <w:t xml:space="preserve">GMRG, Final Design Recommendation: Gas Pipeline Information Disclosure and Arbitration Framework, June 2017, pp. 9-10. </w:t>
      </w:r>
    </w:p>
  </w:footnote>
  <w:footnote w:id="157">
    <w:p w14:paraId="7403CF55" w14:textId="77777777" w:rsidR="00F323B2" w:rsidRPr="00710DCB" w:rsidRDefault="00F323B2">
      <w:pPr>
        <w:pStyle w:val="FootnoteText"/>
      </w:pPr>
      <w:r w:rsidRPr="00710DCB">
        <w:rPr>
          <w:rStyle w:val="FootnoteReference"/>
        </w:rPr>
        <w:footnoteRef/>
      </w:r>
      <w:r w:rsidRPr="00710DCB">
        <w:t xml:space="preserve"> </w:t>
      </w:r>
      <w:r w:rsidRPr="00710DCB">
        <w:tab/>
      </w:r>
      <w:r w:rsidRPr="00710DCB">
        <w:rPr>
          <w:szCs w:val="16"/>
        </w:rPr>
        <w:t xml:space="preserve">Vertigan, M., Examination of the current test for the regulation of gas pipelines, 14 December 2016, p. 78 </w:t>
      </w:r>
      <w:r w:rsidRPr="00710DCB">
        <w:t xml:space="preserve"> </w:t>
      </w:r>
    </w:p>
  </w:footnote>
  <w:footnote w:id="158">
    <w:p w14:paraId="5135DC73" w14:textId="77777777" w:rsidR="00F323B2" w:rsidRPr="00710DCB" w:rsidRDefault="00F323B2">
      <w:pPr>
        <w:pStyle w:val="FootnoteText"/>
      </w:pPr>
      <w:r w:rsidRPr="00710DCB">
        <w:rPr>
          <w:rStyle w:val="FootnoteReference"/>
        </w:rPr>
        <w:footnoteRef/>
      </w:r>
      <w:r w:rsidRPr="00710DCB">
        <w:t xml:space="preserve"> </w:t>
      </w:r>
      <w:r w:rsidRPr="00710DCB">
        <w:tab/>
        <w:t xml:space="preserve">COAG Energy Council, Meeting Communique, 14 December 2016. </w:t>
      </w:r>
    </w:p>
  </w:footnote>
  <w:footnote w:id="159">
    <w:p w14:paraId="1A570943" w14:textId="77777777" w:rsidR="00F323B2" w:rsidRPr="00F3304B" w:rsidRDefault="00F323B2" w:rsidP="00F3304B">
      <w:pPr>
        <w:pStyle w:val="FootnoteText"/>
        <w:rPr>
          <w:szCs w:val="16"/>
        </w:rPr>
      </w:pPr>
      <w:r>
        <w:rPr>
          <w:rStyle w:val="FootnoteReference"/>
        </w:rPr>
        <w:footnoteRef/>
      </w:r>
      <w:r>
        <w:t xml:space="preserve"> </w:t>
      </w:r>
      <w:r>
        <w:tab/>
      </w:r>
      <w:r w:rsidRPr="00F3304B">
        <w:rPr>
          <w:szCs w:val="16"/>
        </w:rPr>
        <w:t>In 2004, the Productivity Commission recommended the introduction of a lighter form of regulation and that service providers subject to this new form of regulation would be required to disclose a range of information and be subject to a binding commercial arbitration mechanism. In doing so, the Productivity Commission noted that:</w:t>
      </w:r>
      <w:r w:rsidRPr="00F3304B">
        <w:rPr>
          <w:rStyle w:val="FootnoteReference"/>
          <w:rFonts w:cs="Arial"/>
          <w:color w:val="000000"/>
          <w:szCs w:val="16"/>
        </w:rPr>
        <w:t xml:space="preserve"> </w:t>
      </w:r>
      <w:r w:rsidRPr="00F3304B">
        <w:rPr>
          <w:rStyle w:val="FootnoteReference"/>
          <w:rFonts w:cs="Arial"/>
          <w:color w:val="000000"/>
          <w:szCs w:val="16"/>
        </w:rPr>
        <w:footnoteRef/>
      </w:r>
    </w:p>
    <w:p w14:paraId="180B0EE2" w14:textId="77777777" w:rsidR="00F323B2" w:rsidRPr="00F3304B" w:rsidRDefault="00F323B2" w:rsidP="00F3304B">
      <w:pPr>
        <w:pStyle w:val="Quote"/>
        <w:spacing w:before="120" w:after="60"/>
        <w:rPr>
          <w:sz w:val="16"/>
          <w:szCs w:val="16"/>
        </w:rPr>
      </w:pPr>
      <w:r w:rsidRPr="00F3304B">
        <w:rPr>
          <w:sz w:val="16"/>
          <w:szCs w:val="16"/>
        </w:rPr>
        <w:t xml:space="preserve">“Commercial arbitration is likely to avoid the costs and delays associated with a costly building block approach because: </w:t>
      </w:r>
    </w:p>
    <w:p w14:paraId="7B46A8C6" w14:textId="77777777" w:rsidR="00F323B2" w:rsidRPr="00F3304B" w:rsidRDefault="00F323B2" w:rsidP="000A3668">
      <w:pPr>
        <w:pStyle w:val="BodyText"/>
        <w:numPr>
          <w:ilvl w:val="0"/>
          <w:numId w:val="111"/>
        </w:numPr>
        <w:spacing w:before="120" w:after="60"/>
        <w:rPr>
          <w:i/>
          <w:iCs/>
          <w:sz w:val="16"/>
          <w:szCs w:val="16"/>
        </w:rPr>
      </w:pPr>
      <w:r w:rsidRPr="00F3304B">
        <w:rPr>
          <w:i/>
          <w:iCs/>
          <w:sz w:val="16"/>
          <w:szCs w:val="16"/>
        </w:rPr>
        <w:t xml:space="preserve">the rules governing arbitration are those used in commercial circumstances (perhaps according to a commercial arbitration act and/or through an arbitration and mediation organisation) </w:t>
      </w:r>
    </w:p>
    <w:p w14:paraId="60C5A85E" w14:textId="77777777" w:rsidR="00F323B2" w:rsidRPr="00F3304B" w:rsidRDefault="00F323B2" w:rsidP="000A3668">
      <w:pPr>
        <w:pStyle w:val="BodyText"/>
        <w:numPr>
          <w:ilvl w:val="0"/>
          <w:numId w:val="111"/>
        </w:numPr>
        <w:spacing w:before="120" w:after="60"/>
        <w:rPr>
          <w:i/>
          <w:iCs/>
          <w:sz w:val="16"/>
          <w:szCs w:val="16"/>
        </w:rPr>
      </w:pPr>
      <w:r w:rsidRPr="00F3304B">
        <w:rPr>
          <w:i/>
          <w:iCs/>
          <w:sz w:val="16"/>
          <w:szCs w:val="16"/>
        </w:rPr>
        <w:t xml:space="preserve">the incentives facing parties are different to those when the regulator is arbitrating according to a complex set of pricing principles.” </w:t>
      </w:r>
    </w:p>
    <w:p w14:paraId="19D9027B" w14:textId="77777777" w:rsidR="00F323B2" w:rsidRDefault="00F323B2" w:rsidP="00F3304B">
      <w:pPr>
        <w:pStyle w:val="FootnoteText"/>
        <w:rPr>
          <w:szCs w:val="16"/>
        </w:rPr>
      </w:pPr>
      <w:r>
        <w:rPr>
          <w:szCs w:val="16"/>
        </w:rPr>
        <w:tab/>
      </w:r>
      <w:r w:rsidRPr="00F3304B">
        <w:rPr>
          <w:szCs w:val="16"/>
        </w:rPr>
        <w:t>While the Productivity Commission advocated the use of a commercially-oriented mechanism, the MCE decided in 2006 to utilise the existing dispute resolution mechanism in the Gas Code for the lighter option. This resulted in the application of a regulatory-oriented dispute resolution mechanism</w:t>
      </w:r>
      <w:r>
        <w:rPr>
          <w:szCs w:val="16"/>
        </w:rPr>
        <w:t>.</w:t>
      </w:r>
    </w:p>
    <w:p w14:paraId="3540E47A" w14:textId="77777777" w:rsidR="00F323B2" w:rsidRPr="007B25B0" w:rsidRDefault="00F323B2" w:rsidP="007B25B0">
      <w:pPr>
        <w:pStyle w:val="FootnoteText"/>
      </w:pPr>
      <w:r>
        <w:rPr>
          <w:szCs w:val="16"/>
        </w:rPr>
        <w:tab/>
        <w:t xml:space="preserve">See </w:t>
      </w:r>
      <w:r w:rsidRPr="005E0764">
        <w:rPr>
          <w:rFonts w:cs="Arial"/>
          <w:color w:val="000000"/>
          <w:szCs w:val="16"/>
        </w:rPr>
        <w:t>Productivity Commission, Review of the Gas Access Regime, 11 June 2004, p. 33</w:t>
      </w:r>
      <w:r>
        <w:rPr>
          <w:rFonts w:cs="Arial"/>
          <w:color w:val="000000"/>
          <w:szCs w:val="16"/>
        </w:rPr>
        <w:t xml:space="preserve">6 and </w:t>
      </w:r>
      <w:r>
        <w:t>MCE, Review of the National Gas Pipelines Access Regime, May 2006, p. 13.</w:t>
      </w:r>
    </w:p>
  </w:footnote>
  <w:footnote w:id="160">
    <w:p w14:paraId="1589F437" w14:textId="77777777" w:rsidR="00F323B2" w:rsidRPr="00710DCB" w:rsidRDefault="00F323B2">
      <w:pPr>
        <w:pStyle w:val="FootnoteText"/>
      </w:pPr>
      <w:r w:rsidRPr="00710DCB">
        <w:rPr>
          <w:rStyle w:val="FootnoteReference"/>
        </w:rPr>
        <w:footnoteRef/>
      </w:r>
      <w:r w:rsidRPr="00710DCB">
        <w:t xml:space="preserve"> </w:t>
      </w:r>
      <w:r w:rsidRPr="00710DCB">
        <w:tab/>
        <w:t xml:space="preserve">Note that in commercial arbitrations the arbitrator’s decisions are not typically made public. </w:t>
      </w:r>
    </w:p>
  </w:footnote>
  <w:footnote w:id="161">
    <w:p w14:paraId="686A97ED" w14:textId="77777777" w:rsidR="00F323B2" w:rsidRPr="00710DCB" w:rsidRDefault="00F323B2" w:rsidP="00C60185">
      <w:pPr>
        <w:pStyle w:val="FootnoteText"/>
        <w:spacing w:before="0" w:after="0"/>
      </w:pPr>
      <w:r w:rsidRPr="0034535B">
        <w:rPr>
          <w:rStyle w:val="FootnoteReference"/>
        </w:rPr>
        <w:footnoteRef/>
      </w:r>
      <w:r w:rsidRPr="0034535B">
        <w:t xml:space="preserve"> </w:t>
      </w:r>
      <w:r w:rsidRPr="0034535B">
        <w:tab/>
        <w:t>ACCC, Gas inquiry 2017-2020 Interim report, July 2019, p. 156.</w:t>
      </w:r>
    </w:p>
  </w:footnote>
  <w:footnote w:id="162">
    <w:p w14:paraId="5C5356E8" w14:textId="77777777" w:rsidR="00F323B2" w:rsidRPr="00710DCB" w:rsidRDefault="00F323B2" w:rsidP="00C60185">
      <w:pPr>
        <w:pStyle w:val="FootnoteText"/>
        <w:spacing w:before="0" w:after="0"/>
      </w:pPr>
      <w:r w:rsidRPr="00710DCB">
        <w:rPr>
          <w:rStyle w:val="FootnoteReference"/>
        </w:rPr>
        <w:footnoteRef/>
      </w:r>
      <w:r w:rsidRPr="00710DCB">
        <w:t xml:space="preserve"> </w:t>
      </w:r>
      <w:r w:rsidRPr="00710DCB">
        <w:tab/>
      </w:r>
      <w:bookmarkStart w:id="158" w:name="_Hlk17715725"/>
      <w:r>
        <w:t xml:space="preserve">ibid, p. </w:t>
      </w:r>
      <w:r w:rsidRPr="00710DCB">
        <w:t>157.</w:t>
      </w:r>
      <w:bookmarkEnd w:id="158"/>
    </w:p>
  </w:footnote>
  <w:footnote w:id="163">
    <w:p w14:paraId="0439ED22" w14:textId="77777777" w:rsidR="00F323B2" w:rsidRPr="00710DCB" w:rsidRDefault="00F323B2" w:rsidP="00C60185">
      <w:pPr>
        <w:pStyle w:val="FootnoteText"/>
        <w:spacing w:before="0" w:after="0"/>
      </w:pPr>
      <w:r w:rsidRPr="00710DCB">
        <w:rPr>
          <w:rStyle w:val="FootnoteReference"/>
        </w:rPr>
        <w:footnoteRef/>
      </w:r>
      <w:r w:rsidRPr="00710DCB">
        <w:t xml:space="preserve"> </w:t>
      </w:r>
      <w:r w:rsidRPr="00710DCB">
        <w:tab/>
      </w:r>
      <w:r>
        <w:t>ibid</w:t>
      </w:r>
      <w:r w:rsidRPr="00710DCB">
        <w:t>.</w:t>
      </w:r>
    </w:p>
  </w:footnote>
  <w:footnote w:id="164">
    <w:p w14:paraId="3D4AE594" w14:textId="77777777" w:rsidR="00F323B2" w:rsidRDefault="00F323B2" w:rsidP="00C60185">
      <w:pPr>
        <w:pStyle w:val="FootnoteText"/>
        <w:spacing w:before="0" w:after="0"/>
      </w:pPr>
      <w:r>
        <w:rPr>
          <w:rStyle w:val="FootnoteReference"/>
        </w:rPr>
        <w:footnoteRef/>
      </w:r>
      <w:r>
        <w:t xml:space="preserve"> </w:t>
      </w:r>
      <w:r>
        <w:tab/>
      </w:r>
      <w:r w:rsidRPr="00710DCB">
        <w:rPr>
          <w:szCs w:val="16"/>
          <w:lang w:eastAsia="fr-CA"/>
        </w:rPr>
        <w:t xml:space="preserve">AEMC, Final Report: Review into the scope of economic regulation applied to covered pipelines, 3 July 2018, </w:t>
      </w:r>
      <w:r>
        <w:t>pp. 205-220.</w:t>
      </w:r>
    </w:p>
  </w:footnote>
  <w:footnote w:id="165">
    <w:p w14:paraId="7D562964" w14:textId="77777777" w:rsidR="00F323B2" w:rsidRDefault="00F323B2" w:rsidP="00C60185">
      <w:pPr>
        <w:pStyle w:val="FootnoteText"/>
        <w:spacing w:before="0" w:after="0"/>
      </w:pPr>
      <w:r>
        <w:rPr>
          <w:rStyle w:val="FootnoteReference"/>
        </w:rPr>
        <w:footnoteRef/>
      </w:r>
      <w:r>
        <w:t xml:space="preserve"> </w:t>
      </w:r>
      <w:r>
        <w:tab/>
        <w:t>See s. 195 of the NGL.</w:t>
      </w:r>
    </w:p>
  </w:footnote>
  <w:footnote w:id="166">
    <w:p w14:paraId="6D7EDE3B" w14:textId="77777777" w:rsidR="00F323B2" w:rsidRPr="00710DCB" w:rsidRDefault="00F323B2" w:rsidP="00C60185">
      <w:pPr>
        <w:pStyle w:val="FootnoteText"/>
        <w:spacing w:before="0" w:after="0"/>
      </w:pPr>
      <w:r w:rsidRPr="001E361D">
        <w:rPr>
          <w:rStyle w:val="FootnoteReference"/>
        </w:rPr>
        <w:footnoteRef/>
      </w:r>
      <w:r w:rsidRPr="001E361D">
        <w:t xml:space="preserve"> </w:t>
      </w:r>
      <w:r w:rsidRPr="001E361D">
        <w:tab/>
        <w:t>GMRG, Gas Pipeline Information Disclosure and Arbitration Framework: Implementation Options Paper, March 2017, p. 69.</w:t>
      </w:r>
    </w:p>
  </w:footnote>
  <w:footnote w:id="167">
    <w:p w14:paraId="372075D8" w14:textId="77777777" w:rsidR="00F323B2" w:rsidRDefault="00F323B2" w:rsidP="00C60185">
      <w:pPr>
        <w:pStyle w:val="FootnoteText"/>
        <w:spacing w:before="0" w:after="0"/>
      </w:pPr>
      <w:r>
        <w:rPr>
          <w:rStyle w:val="FootnoteReference"/>
        </w:rPr>
        <w:footnoteRef/>
      </w:r>
      <w:r>
        <w:t xml:space="preserve"> </w:t>
      </w:r>
      <w:r>
        <w:tab/>
        <w:t xml:space="preserve">See s. 195 of the NGL. </w:t>
      </w:r>
    </w:p>
  </w:footnote>
  <w:footnote w:id="168">
    <w:p w14:paraId="7355B569" w14:textId="77777777" w:rsidR="00F323B2" w:rsidRDefault="00F323B2" w:rsidP="00AA0ADF">
      <w:pPr>
        <w:pStyle w:val="FootnoteText"/>
      </w:pPr>
      <w:r w:rsidRPr="006C0426">
        <w:rPr>
          <w:rStyle w:val="FootnoteReference"/>
        </w:rPr>
        <w:footnoteRef/>
      </w:r>
      <w:r w:rsidRPr="006C0426">
        <w:t xml:space="preserve"> </w:t>
      </w:r>
      <w:r w:rsidRPr="006C0426">
        <w:tab/>
        <w:t>The principles were used in Tasmanian Gas Pipeline and Hydro Tasmania arbitration.</w:t>
      </w:r>
      <w:r>
        <w:t xml:space="preserve"> </w:t>
      </w:r>
    </w:p>
  </w:footnote>
  <w:footnote w:id="169">
    <w:p w14:paraId="3A1D6419" w14:textId="77777777" w:rsidR="00F323B2" w:rsidRDefault="00F323B2">
      <w:pPr>
        <w:pStyle w:val="FootnoteText"/>
      </w:pPr>
      <w:r>
        <w:rPr>
          <w:rStyle w:val="FootnoteReference"/>
        </w:rPr>
        <w:footnoteRef/>
      </w:r>
      <w:r>
        <w:t xml:space="preserve"> </w:t>
      </w:r>
      <w:r>
        <w:tab/>
      </w:r>
      <w:r w:rsidRPr="005778D9">
        <w:rPr>
          <w:rFonts w:cs="Arial"/>
          <w:szCs w:val="16"/>
        </w:rPr>
        <w:t>The proposal to publish this information was based on the recommendations contained in the AEMC’s 2017-18 Economic regulatory review, which noted that “enhanced transparency in dispute resolution increases accountability of all parties involved, and enhances the precedent value of dispute resolution proceedings and outcomes”. While advocating greater transparency, the AEMC also recognised that some information may be commercially sensitive. It therefore suggested that before publishing the outcomes of the arbitration, the dispute resolution body consider claims for confidentiality having regard to the matters set out in s. 329 of the NG</w:t>
      </w:r>
      <w:r>
        <w:rPr>
          <w:rFonts w:cs="Arial"/>
          <w:szCs w:val="16"/>
        </w:rPr>
        <w:t>L.</w:t>
      </w:r>
      <w:r>
        <w:rPr>
          <w:rFonts w:cs="Arial"/>
          <w:szCs w:val="16"/>
        </w:rPr>
        <w:tab/>
      </w:r>
      <w:r w:rsidRPr="005778D9">
        <w:rPr>
          <w:rFonts w:cs="Arial"/>
          <w:szCs w:val="16"/>
        </w:rPr>
        <w:t xml:space="preserve">The requirement for the dispute resolution body to consider confidentiality claims </w:t>
      </w:r>
      <w:r>
        <w:rPr>
          <w:rFonts w:cs="Arial"/>
          <w:szCs w:val="16"/>
        </w:rPr>
        <w:t xml:space="preserve">prior to publication is expected to </w:t>
      </w:r>
      <w:r w:rsidRPr="005778D9">
        <w:rPr>
          <w:rFonts w:cs="Arial"/>
          <w:szCs w:val="16"/>
        </w:rPr>
        <w:t>address the concerns that APA has raised. No further consideration has therefore been given to this issue.</w:t>
      </w:r>
    </w:p>
  </w:footnote>
  <w:footnote w:id="170">
    <w:p w14:paraId="1495DCBD" w14:textId="77777777" w:rsidR="00F323B2" w:rsidRDefault="00F323B2">
      <w:pPr>
        <w:pStyle w:val="FootnoteText"/>
      </w:pPr>
      <w:r>
        <w:rPr>
          <w:rStyle w:val="FootnoteReference"/>
        </w:rPr>
        <w:footnoteRef/>
      </w:r>
      <w:r>
        <w:t xml:space="preserve"> </w:t>
      </w:r>
      <w:r>
        <w:tab/>
      </w:r>
      <w:r w:rsidRPr="008D2770">
        <w:rPr>
          <w:sz w:val="17"/>
          <w:szCs w:val="17"/>
        </w:rPr>
        <w:t>Consistent with the rules currently applying under Part 23, the only circumstance in which a service provider would not be required to make an offer under the single negotiation framework is if it is not technically feasible or consistent with the safe and reliable operation to provide the service.</w:t>
      </w:r>
    </w:p>
  </w:footnote>
  <w:footnote w:id="171">
    <w:p w14:paraId="54420757" w14:textId="77777777" w:rsidR="00F323B2" w:rsidRDefault="00F323B2" w:rsidP="0023428B">
      <w:pPr>
        <w:pStyle w:val="FootnoteText"/>
        <w:spacing w:before="20" w:after="0"/>
      </w:pPr>
      <w:r>
        <w:rPr>
          <w:rStyle w:val="FootnoteReference"/>
        </w:rPr>
        <w:footnoteRef/>
      </w:r>
      <w:r>
        <w:t xml:space="preserve"> </w:t>
      </w:r>
      <w:r>
        <w:tab/>
        <w:t>ACCC, Gas inquiry 2017-2025 interim report, January 2020, p. 117.</w:t>
      </w:r>
    </w:p>
  </w:footnote>
  <w:footnote w:id="172">
    <w:p w14:paraId="042075CB" w14:textId="77777777" w:rsidR="00F323B2" w:rsidRDefault="00F323B2" w:rsidP="0023428B">
      <w:pPr>
        <w:pStyle w:val="FootnoteText"/>
        <w:spacing w:before="20" w:after="20"/>
      </w:pPr>
      <w:r>
        <w:rPr>
          <w:rStyle w:val="FootnoteReference"/>
        </w:rPr>
        <w:footnoteRef/>
      </w:r>
      <w:r>
        <w:t xml:space="preserve"> </w:t>
      </w:r>
      <w:r>
        <w:tab/>
      </w:r>
      <w:r>
        <w:rPr>
          <w:rFonts w:cs="Arial"/>
          <w:szCs w:val="22"/>
        </w:rPr>
        <w:t>The mediation would be ‘compulsory’ in the sense that service providers would be required to participate in the mediation if a smaller shipper requests the mediation and the regulator agrees to refer the matter to mediation. It would also be non-binding, which means that the outcome could not be forced on either party.</w:t>
      </w:r>
    </w:p>
  </w:footnote>
  <w:footnote w:id="173">
    <w:p w14:paraId="6C539069" w14:textId="77777777" w:rsidR="00F323B2" w:rsidRDefault="00F323B2" w:rsidP="0023428B">
      <w:pPr>
        <w:pStyle w:val="FootnoteText"/>
        <w:spacing w:before="20" w:after="20"/>
      </w:pPr>
      <w:r>
        <w:rPr>
          <w:rStyle w:val="FootnoteReference"/>
        </w:rPr>
        <w:footnoteRef/>
      </w:r>
      <w:r>
        <w:t xml:space="preserve"> </w:t>
      </w:r>
      <w:r>
        <w:tab/>
      </w:r>
      <w:r>
        <w:rPr>
          <w:rFonts w:cs="Arial"/>
          <w:szCs w:val="22"/>
        </w:rPr>
        <w:t>Note that this is only required under the lighter handed form of regulation, because the dispute resolution body already has an option under full regulation to refer a dispute to mediation.</w:t>
      </w:r>
    </w:p>
  </w:footnote>
  <w:footnote w:id="174">
    <w:p w14:paraId="5CD7F7AA" w14:textId="77777777" w:rsidR="00F323B2" w:rsidRPr="00F40141" w:rsidRDefault="00F323B2" w:rsidP="0023428B">
      <w:pPr>
        <w:pStyle w:val="FootnoteText"/>
        <w:spacing w:before="20" w:after="20"/>
        <w:rPr>
          <w:szCs w:val="16"/>
        </w:rPr>
      </w:pPr>
      <w:r w:rsidRPr="00F40141">
        <w:rPr>
          <w:rStyle w:val="FootnoteReference"/>
          <w:szCs w:val="16"/>
        </w:rPr>
        <w:footnoteRef/>
      </w:r>
      <w:r w:rsidRPr="00F40141">
        <w:rPr>
          <w:szCs w:val="16"/>
        </w:rPr>
        <w:t xml:space="preserve"> </w:t>
      </w:r>
      <w:r w:rsidRPr="00F40141">
        <w:rPr>
          <w:szCs w:val="16"/>
        </w:rPr>
        <w:tab/>
      </w:r>
      <w:r w:rsidRPr="00F40141">
        <w:rPr>
          <w:rFonts w:cstheme="minorHAnsi"/>
          <w:szCs w:val="16"/>
        </w:rPr>
        <w:t>This alternative is similar in many ways to the mediation mechanism that applies to wholesale market disputes under Part 15C of the NGR and is intended to avoid any perceived conflicts with the regulator being involved in the commercially-oriented dispute resolution mechanism, either as an arbitrator or a mediator.</w:t>
      </w:r>
    </w:p>
  </w:footnote>
  <w:footnote w:id="175">
    <w:p w14:paraId="644527C5" w14:textId="77777777" w:rsidR="00F323B2" w:rsidRPr="000F2EFF" w:rsidRDefault="00F323B2">
      <w:pPr>
        <w:pStyle w:val="FootnoteText"/>
        <w:rPr>
          <w:szCs w:val="16"/>
        </w:rPr>
      </w:pPr>
      <w:r w:rsidRPr="000F2EFF">
        <w:rPr>
          <w:rStyle w:val="FootnoteReference"/>
          <w:szCs w:val="16"/>
        </w:rPr>
        <w:footnoteRef/>
      </w:r>
      <w:r w:rsidRPr="000F2EFF">
        <w:rPr>
          <w:szCs w:val="16"/>
        </w:rPr>
        <w:t xml:space="preserve"> </w:t>
      </w:r>
      <w:r w:rsidRPr="000F2EFF">
        <w:rPr>
          <w:szCs w:val="16"/>
        </w:rPr>
        <w:tab/>
        <w:t>Note that the definition of what constitutes a smaller shipper would be consulted on as part of the legal package.</w:t>
      </w:r>
    </w:p>
  </w:footnote>
  <w:footnote w:id="176">
    <w:p w14:paraId="4C13A9CD" w14:textId="77777777" w:rsidR="00F323B2" w:rsidRDefault="00F323B2" w:rsidP="00F17BF8">
      <w:pPr>
        <w:pStyle w:val="FootnoteText"/>
      </w:pPr>
      <w:r>
        <w:rPr>
          <w:rStyle w:val="FootnoteReference"/>
        </w:rPr>
        <w:footnoteRef/>
      </w:r>
      <w:r>
        <w:t xml:space="preserve"> </w:t>
      </w:r>
      <w:r>
        <w:tab/>
      </w:r>
      <w:r>
        <w:rPr>
          <w:sz w:val="17"/>
          <w:szCs w:val="17"/>
        </w:rPr>
        <w:t xml:space="preserve">While TGP has suggested this could encourage ambit claims by shippers, there are already provisions in Chapter 6 of the </w:t>
      </w:r>
      <w:r w:rsidRPr="00514688">
        <w:rPr>
          <w:sz w:val="17"/>
          <w:szCs w:val="17"/>
        </w:rPr>
        <w:t>NGL that are intended to protect against this type of behaviour. Section 186, for example, allows the dispute resolution body to terminate a dispute if they consider it vexatious, trivial, misconceived or lacking in substance.</w:t>
      </w:r>
    </w:p>
  </w:footnote>
  <w:footnote w:id="177">
    <w:p w14:paraId="2965F344" w14:textId="77777777" w:rsidR="00F323B2" w:rsidRDefault="00F323B2" w:rsidP="00013AAE">
      <w:pPr>
        <w:pStyle w:val="FootnoteText"/>
      </w:pPr>
      <w:r>
        <w:rPr>
          <w:rStyle w:val="FootnoteReference"/>
        </w:rPr>
        <w:footnoteRef/>
      </w:r>
      <w:r>
        <w:t xml:space="preserve"> </w:t>
      </w:r>
      <w:r>
        <w:tab/>
        <w:t xml:space="preserve">Note that this already applies under Part 23. </w:t>
      </w:r>
    </w:p>
  </w:footnote>
  <w:footnote w:id="178">
    <w:p w14:paraId="473250B8" w14:textId="77777777" w:rsidR="00F323B2" w:rsidRDefault="00F323B2">
      <w:pPr>
        <w:pStyle w:val="FootnoteText"/>
      </w:pPr>
      <w:r>
        <w:rPr>
          <w:rStyle w:val="FootnoteReference"/>
        </w:rPr>
        <w:footnoteRef/>
      </w:r>
      <w:r>
        <w:t xml:space="preserve"> </w:t>
      </w:r>
      <w:r>
        <w:tab/>
      </w:r>
      <w:r>
        <w:rPr>
          <w:rFonts w:cstheme="minorHAnsi"/>
          <w:szCs w:val="16"/>
        </w:rPr>
        <w:t xml:space="preserve">Note that this test and/or decision-maker’s information gathering powers would be modified to address the concerns raised about the </w:t>
      </w:r>
      <w:r w:rsidRPr="002E45FA">
        <w:rPr>
          <w:rFonts w:cstheme="minorHAnsi"/>
          <w:szCs w:val="16"/>
        </w:rPr>
        <w:t>information asymmetries</w:t>
      </w:r>
      <w:r>
        <w:rPr>
          <w:rFonts w:cstheme="minorHAnsi"/>
          <w:szCs w:val="16"/>
        </w:rPr>
        <w:t xml:space="preserve"> faced by the decision-maker</w:t>
      </w:r>
      <w:r w:rsidRPr="002E45FA">
        <w:rPr>
          <w:rFonts w:cstheme="minorHAnsi"/>
          <w:szCs w:val="16"/>
        </w:rPr>
        <w:t>.</w:t>
      </w:r>
    </w:p>
  </w:footnote>
  <w:footnote w:id="179">
    <w:p w14:paraId="704F7497" w14:textId="77777777" w:rsidR="00F323B2" w:rsidRDefault="00F323B2" w:rsidP="00886579">
      <w:pPr>
        <w:pStyle w:val="FootnoteText"/>
      </w:pPr>
      <w:r>
        <w:rPr>
          <w:rStyle w:val="FootnoteReference"/>
        </w:rPr>
        <w:footnoteRef/>
      </w:r>
      <w:r>
        <w:t xml:space="preserve"> </w:t>
      </w:r>
      <w:r>
        <w:tab/>
      </w:r>
      <w:r>
        <w:rPr>
          <w:rFonts w:cstheme="minorHAnsi"/>
          <w:szCs w:val="16"/>
        </w:rPr>
        <w:t xml:space="preserve">Note that this test and/or decision-maker’s information gathering powers would be modified to address the concerns raised about the </w:t>
      </w:r>
      <w:r w:rsidRPr="002E45FA">
        <w:rPr>
          <w:rFonts w:cstheme="minorHAnsi"/>
          <w:szCs w:val="16"/>
        </w:rPr>
        <w:t>information asymmetries</w:t>
      </w:r>
      <w:r>
        <w:rPr>
          <w:rFonts w:cstheme="minorHAnsi"/>
          <w:szCs w:val="16"/>
        </w:rPr>
        <w:t xml:space="preserve"> faced by the decision-maker</w:t>
      </w:r>
      <w:r w:rsidRPr="002E45FA">
        <w:rPr>
          <w:rFonts w:cstheme="minorHAnsi"/>
          <w:szCs w:val="16"/>
        </w:rPr>
        <w:t>.</w:t>
      </w:r>
    </w:p>
  </w:footnote>
  <w:footnote w:id="180">
    <w:p w14:paraId="3338A537" w14:textId="77777777" w:rsidR="00F323B2" w:rsidRDefault="00F323B2">
      <w:pPr>
        <w:pStyle w:val="FootnoteText"/>
      </w:pPr>
      <w:r>
        <w:rPr>
          <w:rStyle w:val="FootnoteReference"/>
        </w:rPr>
        <w:footnoteRef/>
      </w:r>
      <w:r>
        <w:t xml:space="preserve"> </w:t>
      </w:r>
      <w:r>
        <w:tab/>
      </w:r>
      <w:r w:rsidRPr="001B5C8A">
        <w:rPr>
          <w:szCs w:val="16"/>
        </w:rPr>
        <w:t>For transitional purposes, those pipelines that have already obtained a 15-year no coverage determination and are not providing third party access would be exempt from the obligation to provide third party access for the remaining term of the exemption period</w:t>
      </w:r>
      <w:r>
        <w:rPr>
          <w:szCs w:val="16"/>
        </w:rPr>
        <w:t xml:space="preserve">. </w:t>
      </w:r>
    </w:p>
  </w:footnote>
  <w:footnote w:id="181">
    <w:p w14:paraId="1F26F93D" w14:textId="77777777" w:rsidR="00F323B2" w:rsidRDefault="00F323B2" w:rsidP="004A6103">
      <w:pPr>
        <w:pStyle w:val="FootnoteText"/>
      </w:pPr>
      <w:r>
        <w:rPr>
          <w:rStyle w:val="FootnoteReference"/>
        </w:rPr>
        <w:footnoteRef/>
      </w:r>
      <w:r>
        <w:t xml:space="preserve"> </w:t>
      </w:r>
      <w:r>
        <w:tab/>
      </w:r>
      <w:r>
        <w:rPr>
          <w:rFonts w:cstheme="minorHAnsi"/>
          <w:szCs w:val="16"/>
        </w:rPr>
        <w:t xml:space="preserve">Note that this test and/or decision-maker’s information gathering powers would be modified to address the concerns raised about the </w:t>
      </w:r>
      <w:r w:rsidRPr="002E45FA">
        <w:rPr>
          <w:rFonts w:cstheme="minorHAnsi"/>
          <w:szCs w:val="16"/>
        </w:rPr>
        <w:t>information asymmetries</w:t>
      </w:r>
      <w:r>
        <w:rPr>
          <w:rFonts w:cstheme="minorHAnsi"/>
          <w:szCs w:val="16"/>
        </w:rPr>
        <w:t xml:space="preserve"> faced by the decision-maker</w:t>
      </w:r>
      <w:r w:rsidRPr="002E45FA">
        <w:rPr>
          <w:rFonts w:cstheme="minorHAnsi"/>
          <w:szCs w:val="16"/>
        </w:rPr>
        <w:t>.</w:t>
      </w:r>
    </w:p>
  </w:footnote>
  <w:footnote w:id="182">
    <w:p w14:paraId="35344CDD" w14:textId="77777777" w:rsidR="00F323B2" w:rsidRDefault="00F323B2" w:rsidP="000179D7">
      <w:pPr>
        <w:pStyle w:val="FootnoteText"/>
      </w:pPr>
      <w:r>
        <w:rPr>
          <w:rStyle w:val="FootnoteReference"/>
        </w:rPr>
        <w:footnoteRef/>
      </w:r>
      <w:r>
        <w:t xml:space="preserve"> </w:t>
      </w:r>
      <w:r>
        <w:tab/>
      </w:r>
      <w:r w:rsidRPr="001B5C8A">
        <w:rPr>
          <w:szCs w:val="16"/>
        </w:rPr>
        <w:t>For transitional purposes, those pipelines that have already obtained a 15-year no coverage determination and are not providing third party access would be exempt from the obligation to provide third party access for the remaining term of the exemption period</w:t>
      </w:r>
      <w:r>
        <w:rPr>
          <w:szCs w:val="16"/>
        </w:rPr>
        <w:t xml:space="preserve">. </w:t>
      </w:r>
    </w:p>
  </w:footnote>
  <w:footnote w:id="183">
    <w:p w14:paraId="32757A80" w14:textId="77777777" w:rsidR="00F323B2" w:rsidRDefault="00F323B2" w:rsidP="00B904A4">
      <w:pPr>
        <w:pStyle w:val="FootnoteText"/>
      </w:pPr>
      <w:r>
        <w:rPr>
          <w:rStyle w:val="FootnoteReference"/>
        </w:rPr>
        <w:footnoteRef/>
      </w:r>
      <w:r>
        <w:t xml:space="preserve"> </w:t>
      </w:r>
      <w:r>
        <w:tab/>
        <w:t>COAG, Best Practice Regulation – A Guide for Ministerial Councils and National Standard Setting Bodies, October 2007, pp. 18-19.</w:t>
      </w:r>
    </w:p>
  </w:footnote>
  <w:footnote w:id="184">
    <w:p w14:paraId="5FE94D86" w14:textId="77777777" w:rsidR="00F323B2" w:rsidRPr="00885DF6" w:rsidRDefault="00F323B2">
      <w:pPr>
        <w:pStyle w:val="FootnoteText"/>
        <w:rPr>
          <w:szCs w:val="16"/>
        </w:rPr>
      </w:pPr>
      <w:r w:rsidRPr="00885DF6">
        <w:rPr>
          <w:rStyle w:val="FootnoteReference"/>
          <w:szCs w:val="16"/>
        </w:rPr>
        <w:footnoteRef/>
      </w:r>
      <w:r w:rsidRPr="00885DF6">
        <w:rPr>
          <w:szCs w:val="16"/>
        </w:rPr>
        <w:t xml:space="preserve"> </w:t>
      </w:r>
      <w:r w:rsidRPr="00885DF6">
        <w:rPr>
          <w:szCs w:val="16"/>
        </w:rPr>
        <w:tab/>
        <w:t>There is also a risk that the decision making body may decide not to exempt a pipeline that does not have substantial market power. The costs associated with this risk are, however, expected to be lower than the risk of exempting a pipeline that has substantial market power, because as noted in Chapter 5, Part 23 (even in a strengthened form) is relatively light handed in nature.</w:t>
      </w:r>
    </w:p>
  </w:footnote>
  <w:footnote w:id="185">
    <w:p w14:paraId="14500365" w14:textId="77777777" w:rsidR="00F323B2" w:rsidRDefault="00F323B2" w:rsidP="00FE0ACC">
      <w:pPr>
        <w:pStyle w:val="FootnoteText"/>
      </w:pPr>
      <w:r>
        <w:rPr>
          <w:rStyle w:val="FootnoteReference"/>
        </w:rPr>
        <w:footnoteRef/>
      </w:r>
      <w:r>
        <w:t xml:space="preserve"> </w:t>
      </w:r>
      <w:r>
        <w:tab/>
        <w:t>Most pipelines that are not providing third party access are located in remote areas and are used to transport gas to or from dedicated upstream or downstream facilities. The likelihood of a shipper seeking access to most of these pipelines is therefore expected to be quite low.</w:t>
      </w:r>
    </w:p>
  </w:footnote>
  <w:footnote w:id="186">
    <w:p w14:paraId="5C9EFAE1" w14:textId="77777777" w:rsidR="00F323B2" w:rsidRPr="00D53A62" w:rsidRDefault="00F323B2" w:rsidP="0025344D">
      <w:pPr>
        <w:pStyle w:val="FootnoteText"/>
        <w:spacing w:after="120"/>
        <w:rPr>
          <w:szCs w:val="16"/>
          <w:lang w:val="en-US"/>
        </w:rPr>
      </w:pPr>
      <w:r>
        <w:rPr>
          <w:rStyle w:val="FootnoteReference"/>
        </w:rPr>
        <w:footnoteRef/>
      </w:r>
      <w:r>
        <w:t xml:space="preserve"> </w:t>
      </w:r>
      <w:r>
        <w:tab/>
      </w:r>
      <w:r>
        <w:rPr>
          <w:szCs w:val="16"/>
          <w:lang w:val="en-US"/>
        </w:rPr>
        <w:t>OBPR</w:t>
      </w:r>
      <w:r w:rsidRPr="00D53A62">
        <w:rPr>
          <w:szCs w:val="16"/>
          <w:lang w:val="en-US"/>
        </w:rPr>
        <w:t xml:space="preserve">, </w:t>
      </w:r>
      <w:r w:rsidRPr="00D53A62">
        <w:rPr>
          <w:szCs w:val="16"/>
        </w:rPr>
        <w:t xml:space="preserve">Guidance Note: Cost-benefit analysis, </w:t>
      </w:r>
      <w:r>
        <w:rPr>
          <w:szCs w:val="16"/>
        </w:rPr>
        <w:t>March 2020, p. 1.</w:t>
      </w:r>
    </w:p>
  </w:footnote>
  <w:footnote w:id="187">
    <w:p w14:paraId="5A0B64A0" w14:textId="77777777" w:rsidR="00F323B2" w:rsidRDefault="00F323B2">
      <w:pPr>
        <w:pStyle w:val="FootnoteText"/>
      </w:pPr>
      <w:r>
        <w:rPr>
          <w:rStyle w:val="FootnoteReference"/>
        </w:rPr>
        <w:footnoteRef/>
      </w:r>
      <w:r>
        <w:t xml:space="preserve"> </w:t>
      </w:r>
      <w:r>
        <w:tab/>
        <w:t>ibid, p. 4.</w:t>
      </w:r>
    </w:p>
  </w:footnote>
  <w:footnote w:id="188">
    <w:p w14:paraId="022034A2" w14:textId="77777777" w:rsidR="00F323B2" w:rsidRDefault="00F323B2" w:rsidP="00AD0AEC">
      <w:pPr>
        <w:pStyle w:val="FootnoteText"/>
      </w:pPr>
      <w:r w:rsidRPr="00D53A62">
        <w:rPr>
          <w:rStyle w:val="FootnoteReference"/>
          <w:szCs w:val="16"/>
        </w:rPr>
        <w:footnoteRef/>
      </w:r>
      <w:r w:rsidRPr="00D53A62">
        <w:rPr>
          <w:szCs w:val="16"/>
        </w:rPr>
        <w:t xml:space="preserve"> </w:t>
      </w:r>
      <w:r w:rsidRPr="00D53A62">
        <w:rPr>
          <w:szCs w:val="16"/>
        </w:rPr>
        <w:tab/>
      </w:r>
      <w:r>
        <w:rPr>
          <w:szCs w:val="16"/>
        </w:rPr>
        <w:t>ibid, p. 7.</w:t>
      </w:r>
    </w:p>
  </w:footnote>
  <w:footnote w:id="189">
    <w:p w14:paraId="288FCA8C" w14:textId="77777777" w:rsidR="00F323B2" w:rsidRDefault="00F323B2">
      <w:pPr>
        <w:pStyle w:val="FootnoteText"/>
      </w:pPr>
      <w:r>
        <w:rPr>
          <w:rStyle w:val="FootnoteReference"/>
        </w:rPr>
        <w:footnoteRef/>
      </w:r>
      <w:r>
        <w:t xml:space="preserve"> </w:t>
      </w:r>
      <w:r>
        <w:tab/>
        <w:t>For the stronger form of regulation under options 2, 3A and 3B the AER in the east coast and NT and the Energy Disputes Arbitrator in WA and for the lighter handed form of regulation under all options, commercial arbitrators.</w:t>
      </w:r>
    </w:p>
  </w:footnote>
  <w:footnote w:id="190">
    <w:p w14:paraId="2F5A3055" w14:textId="77777777" w:rsidR="00F323B2" w:rsidRDefault="00F323B2">
      <w:pPr>
        <w:pStyle w:val="FootnoteText"/>
      </w:pPr>
      <w:r>
        <w:rPr>
          <w:rStyle w:val="FootnoteReference"/>
        </w:rPr>
        <w:footnoteRef/>
      </w:r>
      <w:r>
        <w:t xml:space="preserve"> </w:t>
      </w:r>
      <w:r>
        <w:tab/>
        <w:t xml:space="preserve">The decision-maker would be responsible for determining where relevant, to grant exemptions, greenfield exemption and/or whether a pipeline not providing third party access should be required to do so. It would also be responsible for determining the form of regulation to be applied to pipelines. </w:t>
      </w:r>
    </w:p>
  </w:footnote>
  <w:footnote w:id="191">
    <w:p w14:paraId="31FD04B2" w14:textId="77777777" w:rsidR="00F323B2" w:rsidRPr="00897692" w:rsidRDefault="00F323B2" w:rsidP="00597912">
      <w:pPr>
        <w:pStyle w:val="FootnoteText"/>
        <w:rPr>
          <w:szCs w:val="16"/>
        </w:rPr>
      </w:pPr>
      <w:r w:rsidRPr="00897692">
        <w:rPr>
          <w:rStyle w:val="FootnoteReference"/>
          <w:szCs w:val="16"/>
        </w:rPr>
        <w:footnoteRef/>
      </w:r>
      <w:r w:rsidRPr="00897692">
        <w:rPr>
          <w:szCs w:val="16"/>
        </w:rPr>
        <w:t xml:space="preserve"> </w:t>
      </w:r>
      <w:r w:rsidRPr="00897692">
        <w:rPr>
          <w:szCs w:val="16"/>
        </w:rPr>
        <w:tab/>
        <w:t>The assumptions have been based on a high-level market scan, considering parameters such as financial reporting, numbers of shippers using each pipeline, as well as various research sources These included the ACCC’s 2016 and 2017-2025 gas inquiry reports, the 2016 Vertigan report and the AEMC’s 2016 East Coast wholesale gas market and pipeline frameworks</w:t>
      </w:r>
      <w:r w:rsidRPr="00897692">
        <w:rPr>
          <w:spacing w:val="-10"/>
          <w:szCs w:val="16"/>
        </w:rPr>
        <w:t xml:space="preserve"> </w:t>
      </w:r>
      <w:r w:rsidRPr="00897692">
        <w:rPr>
          <w:szCs w:val="16"/>
        </w:rPr>
        <w:t>review</w:t>
      </w:r>
      <w:r>
        <w:rPr>
          <w:szCs w:val="16"/>
        </w:rPr>
        <w:t xml:space="preserve">, </w:t>
      </w:r>
      <w:r w:rsidRPr="00897692">
        <w:rPr>
          <w:szCs w:val="16"/>
        </w:rPr>
        <w:t>the Brattle report on Part 23 of the NGR</w:t>
      </w:r>
      <w:r>
        <w:rPr>
          <w:szCs w:val="16"/>
        </w:rPr>
        <w:t xml:space="preserve"> and</w:t>
      </w:r>
      <w:r w:rsidRPr="00897692">
        <w:rPr>
          <w:szCs w:val="16"/>
        </w:rPr>
        <w:t xml:space="preserve"> the </w:t>
      </w:r>
      <w:r>
        <w:rPr>
          <w:szCs w:val="16"/>
        </w:rPr>
        <w:t xml:space="preserve">OGW </w:t>
      </w:r>
      <w:r w:rsidRPr="00897692">
        <w:rPr>
          <w:szCs w:val="16"/>
        </w:rPr>
        <w:t>Shipper Survey</w:t>
      </w:r>
      <w:r>
        <w:rPr>
          <w:szCs w:val="16"/>
        </w:rPr>
        <w:t>.</w:t>
      </w:r>
    </w:p>
  </w:footnote>
  <w:footnote w:id="192">
    <w:p w14:paraId="52A9F602" w14:textId="77777777" w:rsidR="00F323B2" w:rsidRDefault="00F323B2">
      <w:pPr>
        <w:pStyle w:val="FootnoteText"/>
      </w:pPr>
      <w:r>
        <w:rPr>
          <w:rStyle w:val="FootnoteReference"/>
        </w:rPr>
        <w:footnoteRef/>
      </w:r>
      <w:r>
        <w:t xml:space="preserve"> </w:t>
      </w:r>
      <w:r>
        <w:tab/>
        <w:t xml:space="preserve">Note that this is only expected to result in a small increase because most pipelines that are not providing third party access are located in remote areas and are used to transport gas to or from dedicated upstream or downstream facilities. The likelihood of a shipper seeking access to most of these pipelines is therefore expected to be low.    </w:t>
      </w:r>
    </w:p>
  </w:footnote>
  <w:footnote w:id="193">
    <w:p w14:paraId="5D4F804B" w14:textId="77777777" w:rsidR="00F323B2" w:rsidRDefault="00F323B2" w:rsidP="006165C9">
      <w:pPr>
        <w:pStyle w:val="FootnoteText"/>
      </w:pPr>
      <w:r>
        <w:rPr>
          <w:rStyle w:val="FootnoteReference"/>
        </w:rPr>
        <w:footnoteRef/>
      </w:r>
      <w:r>
        <w:t xml:space="preserve"> </w:t>
      </w:r>
      <w:r w:rsidRPr="007F4F93">
        <w:rPr>
          <w:szCs w:val="16"/>
        </w:rPr>
        <w:tab/>
        <w:t>The economy-wide modelling technique applied is a computable general equilibrium model. This has been used in this regulatory analysis context</w:t>
      </w:r>
      <w:r w:rsidRPr="007F4F93">
        <w:rPr>
          <w:spacing w:val="-27"/>
          <w:szCs w:val="16"/>
        </w:rPr>
        <w:t xml:space="preserve"> </w:t>
      </w:r>
      <w:r w:rsidRPr="007F4F93">
        <w:rPr>
          <w:szCs w:val="16"/>
        </w:rPr>
        <w:t>before, for example when the Australian Energy Market Commission estimated the benefits of its reforms in the East Coast Wholesale Gas Market and Pipeline Frameworks Review.</w:t>
      </w:r>
      <w:r>
        <w:rPr>
          <w:sz w:val="14"/>
        </w:rPr>
        <w:t xml:space="preserve"> </w:t>
      </w:r>
    </w:p>
  </w:footnote>
  <w:footnote w:id="194">
    <w:p w14:paraId="4DF9A7B8" w14:textId="77777777" w:rsidR="00F323B2" w:rsidRDefault="00F323B2" w:rsidP="007408E9">
      <w:pPr>
        <w:pStyle w:val="FootnoteText"/>
      </w:pPr>
      <w:r>
        <w:rPr>
          <w:rStyle w:val="FootnoteReference"/>
        </w:rPr>
        <w:footnoteRef/>
      </w:r>
      <w:r>
        <w:t xml:space="preserve"> </w:t>
      </w:r>
      <w:r>
        <w:tab/>
        <w:t xml:space="preserve">This has been estimated based on analysis by the Brattle, which found that pipelines currently subject to Part 23 are earning substantially higher rates of return than the average rate of return applied under full regulation. </w:t>
      </w:r>
    </w:p>
  </w:footnote>
  <w:footnote w:id="195">
    <w:p w14:paraId="7DA41BF3" w14:textId="77777777" w:rsidR="00F323B2" w:rsidRDefault="00F323B2">
      <w:pPr>
        <w:pStyle w:val="FootnoteText"/>
      </w:pPr>
      <w:r>
        <w:rPr>
          <w:rStyle w:val="FootnoteReference"/>
        </w:rPr>
        <w:footnoteRef/>
      </w:r>
      <w:r>
        <w:t xml:space="preserve"> </w:t>
      </w:r>
      <w:r>
        <w:tab/>
        <w:t xml:space="preserve">While the movement to direct price control would reduce the costs incurred by shippers in negotiating contracts, this benefit is not expected to offset the costs to the service provider and regulator in this case because the number of shippers using the pipelines are relatively small. The movement to direct price control would also mean that shippers would be unable to negotiate more bespoke arrangements, which many stakeholders noted that they valued through the consultation process. </w:t>
      </w:r>
    </w:p>
  </w:footnote>
  <w:footnote w:id="196">
    <w:p w14:paraId="1BD13EE1" w14:textId="77777777" w:rsidR="00F323B2" w:rsidRDefault="00F323B2">
      <w:pPr>
        <w:pStyle w:val="FootnoteText"/>
      </w:pPr>
      <w:r>
        <w:rPr>
          <w:rStyle w:val="FootnoteReference"/>
        </w:rPr>
        <w:footnoteRef/>
      </w:r>
      <w:r>
        <w:t xml:space="preserve"> </w:t>
      </w:r>
      <w:r>
        <w:tab/>
        <w:t xml:space="preserve">The main difference in the costs under Scenario 2 – Low impact is that no additional arbitrations assumed to occur, so no additional dispute resolution costs are expected to arise under the reform options under this scenario. </w:t>
      </w:r>
    </w:p>
  </w:footnote>
  <w:footnote w:id="197">
    <w:p w14:paraId="4565EC1E" w14:textId="77777777" w:rsidR="00F323B2" w:rsidRDefault="00F323B2">
      <w:pPr>
        <w:pStyle w:val="FootnoteText"/>
      </w:pPr>
      <w:r>
        <w:rPr>
          <w:rStyle w:val="FootnoteReference"/>
        </w:rPr>
        <w:footnoteRef/>
      </w:r>
      <w:r>
        <w:t xml:space="preserve"> </w:t>
      </w:r>
      <w:r>
        <w:tab/>
        <w:t xml:space="preserve">This includes the costs associated </w:t>
      </w:r>
      <w:r w:rsidRPr="007E0A3F">
        <w:t xml:space="preserve">with preparing access arrangements under the </w:t>
      </w:r>
      <w:r>
        <w:t xml:space="preserve">stronger </w:t>
      </w:r>
      <w:r w:rsidRPr="007E0A3F">
        <w:t>form of regulation and preparing access offers and complying with other access provisions under the lighter handed form of regulation</w:t>
      </w:r>
      <w:r>
        <w:t>.</w:t>
      </w:r>
    </w:p>
  </w:footnote>
  <w:footnote w:id="198">
    <w:p w14:paraId="72202572" w14:textId="77777777" w:rsidR="00F323B2" w:rsidRDefault="00F323B2">
      <w:pPr>
        <w:pStyle w:val="FootnoteText"/>
      </w:pPr>
      <w:r>
        <w:rPr>
          <w:rStyle w:val="FootnoteReference"/>
        </w:rPr>
        <w:footnoteRef/>
      </w:r>
      <w:r>
        <w:t xml:space="preserve"> </w:t>
      </w:r>
      <w:r>
        <w:tab/>
        <w:t xml:space="preserve">This view was also expressed by Synergies Economic Consulting in a report prepared for APGA entitled, Estimating the economic contribution of investment in gas transmission pipeline investment. </w:t>
      </w:r>
    </w:p>
  </w:footnote>
  <w:footnote w:id="199">
    <w:p w14:paraId="56496B7E" w14:textId="77777777" w:rsidR="00F323B2" w:rsidRDefault="00F323B2" w:rsidP="00C2253E">
      <w:pPr>
        <w:pStyle w:val="FootnoteText"/>
        <w:spacing w:before="20" w:after="20"/>
      </w:pPr>
      <w:r>
        <w:rPr>
          <w:rStyle w:val="FootnoteReference"/>
        </w:rPr>
        <w:footnoteRef/>
      </w:r>
      <w:r>
        <w:t xml:space="preserve"> </w:t>
      </w:r>
      <w:r>
        <w:tab/>
      </w:r>
      <w:r w:rsidRPr="002B32C8">
        <w:t>Multiple stakeholders</w:t>
      </w:r>
      <w:r>
        <w:t>, for example,</w:t>
      </w:r>
      <w:r w:rsidRPr="002B32C8">
        <w:t xml:space="preserve"> </w:t>
      </w:r>
      <w:r>
        <w:t xml:space="preserve">noted </w:t>
      </w:r>
      <w:r w:rsidRPr="002B32C8">
        <w:t xml:space="preserve">as major connections between existing sources of supply and demand centres have already been </w:t>
      </w:r>
      <w:r>
        <w:t>built</w:t>
      </w:r>
      <w:r w:rsidRPr="002B32C8">
        <w:t>, newly built pipelines are unlikely to have a substantial degree of market power that is significant to the wider network.</w:t>
      </w:r>
    </w:p>
  </w:footnote>
  <w:footnote w:id="200">
    <w:p w14:paraId="59AD9BF6" w14:textId="77777777" w:rsidR="00F323B2" w:rsidRDefault="00F323B2" w:rsidP="00C2253E">
      <w:pPr>
        <w:pStyle w:val="FootnoteText"/>
        <w:spacing w:before="20" w:after="20"/>
      </w:pPr>
      <w:r>
        <w:rPr>
          <w:rStyle w:val="FootnoteReference"/>
        </w:rPr>
        <w:footnoteRef/>
      </w:r>
      <w:r>
        <w:t xml:space="preserve"> </w:t>
      </w:r>
      <w:r>
        <w:tab/>
        <w:t xml:space="preserve">Under the NGL, the rate of return instrument developed by the AER must be developed having regard to the revenue and pricing principles. The AER can also only make an instrument if it is satisfied the instrument will, or is most likely to, contribute to the achievement off the NGO to the greatest degree. See section 30D of the NGL. </w:t>
      </w:r>
    </w:p>
  </w:footnote>
  <w:footnote w:id="201">
    <w:p w14:paraId="74450860" w14:textId="77777777" w:rsidR="00F323B2" w:rsidRDefault="00F323B2" w:rsidP="00C2253E">
      <w:pPr>
        <w:pStyle w:val="FootnoteText"/>
        <w:spacing w:before="20" w:after="20"/>
      </w:pPr>
      <w:r>
        <w:rPr>
          <w:rStyle w:val="FootnoteReference"/>
        </w:rPr>
        <w:footnoteRef/>
      </w:r>
      <w:r>
        <w:t xml:space="preserve"> </w:t>
      </w:r>
      <w:r>
        <w:tab/>
        <w:t xml:space="preserve">See section 322 of the NGL. </w:t>
      </w:r>
    </w:p>
  </w:footnote>
  <w:footnote w:id="202">
    <w:p w14:paraId="175F4D2E" w14:textId="77777777" w:rsidR="00F323B2" w:rsidRDefault="00F323B2" w:rsidP="00C2253E">
      <w:pPr>
        <w:pStyle w:val="FootnoteText"/>
        <w:spacing w:before="20" w:after="20"/>
      </w:pPr>
      <w:r>
        <w:rPr>
          <w:rStyle w:val="FootnoteReference"/>
        </w:rPr>
        <w:footnoteRef/>
      </w:r>
      <w:r>
        <w:t xml:space="preserve"> </w:t>
      </w:r>
      <w:r>
        <w:tab/>
        <w:t xml:space="preserve">See ACCC, Gas inquiry report 2017-2020 Interim report, July 2019, pp. 159-160.  </w:t>
      </w:r>
    </w:p>
  </w:footnote>
  <w:footnote w:id="203">
    <w:p w14:paraId="3E208C64" w14:textId="77777777" w:rsidR="00F323B2" w:rsidRDefault="00F323B2" w:rsidP="00C2253E">
      <w:pPr>
        <w:pStyle w:val="FootnoteText"/>
        <w:spacing w:before="20" w:after="20"/>
      </w:pPr>
      <w:r>
        <w:rPr>
          <w:rStyle w:val="FootnoteReference"/>
        </w:rPr>
        <w:footnoteRef/>
      </w:r>
      <w:r>
        <w:t xml:space="preserve"> </w:t>
      </w:r>
      <w:r>
        <w:tab/>
        <w:t>This option would not, however, be available under the direct price control form of regulation under Option 4.</w:t>
      </w:r>
    </w:p>
  </w:footnote>
  <w:footnote w:id="204">
    <w:p w14:paraId="01B6B864" w14:textId="77777777" w:rsidR="00F323B2" w:rsidRDefault="00F323B2">
      <w:pPr>
        <w:pStyle w:val="FootnoteText"/>
      </w:pPr>
      <w:r>
        <w:rPr>
          <w:rStyle w:val="FootnoteReference"/>
        </w:rPr>
        <w:footnoteRef/>
      </w:r>
      <w:r>
        <w:t xml:space="preserve"> </w:t>
      </w:r>
      <w:r>
        <w:tab/>
        <w:t>Most pipelines that are not providing third party access are located in remote areas and are used to transport gas to or from dedicated upstream or downstream facilities. The likelihood of a shipper seeking access to most of these pipelines is therefore expected to be quite low.</w:t>
      </w:r>
    </w:p>
  </w:footnote>
  <w:footnote w:id="205">
    <w:p w14:paraId="59CC828F" w14:textId="77777777" w:rsidR="00F323B2" w:rsidRDefault="00F323B2">
      <w:pPr>
        <w:pStyle w:val="FootnoteText"/>
      </w:pPr>
      <w:r>
        <w:rPr>
          <w:rStyle w:val="FootnoteReference"/>
        </w:rPr>
        <w:footnoteRef/>
      </w:r>
      <w:r>
        <w:t xml:space="preserve"> </w:t>
      </w:r>
      <w:r>
        <w:tab/>
        <w:t xml:space="preserve">This could occur if it </w:t>
      </w:r>
      <w:r w:rsidRPr="002B32C8">
        <w:t xml:space="preserve">results in a loss of operational flexibility </w:t>
      </w:r>
      <w:r>
        <w:t xml:space="preserve">for these pipeline owners, </w:t>
      </w:r>
      <w:r w:rsidRPr="002B32C8">
        <w:t xml:space="preserve">or </w:t>
      </w:r>
      <w:r>
        <w:t xml:space="preserve">imposes other </w:t>
      </w:r>
      <w:r w:rsidRPr="002B32C8">
        <w:t>direct or indirect costs</w:t>
      </w:r>
      <w:r>
        <w:t xml:space="preserve"> on them. </w:t>
      </w:r>
    </w:p>
  </w:footnote>
  <w:footnote w:id="206">
    <w:p w14:paraId="15B98491" w14:textId="77777777" w:rsidR="00F323B2" w:rsidRDefault="00F323B2">
      <w:pPr>
        <w:pStyle w:val="FootnoteText"/>
      </w:pPr>
      <w:r>
        <w:rPr>
          <w:rStyle w:val="FootnoteReference"/>
        </w:rPr>
        <w:footnoteRef/>
      </w:r>
      <w:r>
        <w:t xml:space="preserve"> </w:t>
      </w:r>
      <w:r>
        <w:tab/>
        <w:t xml:space="preserve">For example, </w:t>
      </w:r>
      <w:r w:rsidRPr="002B32C8">
        <w:t xml:space="preserve">by removing the coverage test, </w:t>
      </w:r>
      <w:r>
        <w:t>moving to two forms of regulation,</w:t>
      </w:r>
      <w:r w:rsidRPr="002B32C8">
        <w:t xml:space="preserve"> </w:t>
      </w:r>
      <w:r>
        <w:t xml:space="preserve">according </w:t>
      </w:r>
      <w:r w:rsidRPr="002B32C8">
        <w:t xml:space="preserve">a single decision-maker </w:t>
      </w:r>
      <w:r>
        <w:t xml:space="preserve">responsibility for making decisions about when and how to regulate, and </w:t>
      </w:r>
      <w:r w:rsidRPr="002B32C8">
        <w:t>adopting a single negotiation framework</w:t>
      </w:r>
      <w:r>
        <w:t>.</w:t>
      </w:r>
    </w:p>
  </w:footnote>
  <w:footnote w:id="207">
    <w:p w14:paraId="091F6647" w14:textId="77777777" w:rsidR="00F323B2" w:rsidRDefault="00F323B2">
      <w:pPr>
        <w:pStyle w:val="FootnoteText"/>
      </w:pPr>
      <w:r>
        <w:rPr>
          <w:rStyle w:val="FootnoteReference"/>
        </w:rPr>
        <w:footnoteRef/>
      </w:r>
      <w:r>
        <w:t xml:space="preserve"> </w:t>
      </w:r>
      <w:r>
        <w:tab/>
        <w:t xml:space="preserve">The movement to this form of regulation would, for example, require transitional arrangements to be added into the regulatory framework to deal with existing contracts and how they will transition to the prices determined by the regulator under a direct price control form of regulation. </w:t>
      </w:r>
    </w:p>
  </w:footnote>
  <w:footnote w:id="208">
    <w:p w14:paraId="14A35CBB" w14:textId="77777777" w:rsidR="00F323B2" w:rsidRDefault="00F323B2">
      <w:pPr>
        <w:pStyle w:val="FootnoteText"/>
      </w:pPr>
      <w:r>
        <w:rPr>
          <w:rStyle w:val="FootnoteReference"/>
        </w:rPr>
        <w:footnoteRef/>
      </w:r>
      <w:r>
        <w:t xml:space="preserve"> </w:t>
      </w:r>
      <w:r>
        <w:tab/>
      </w:r>
      <w:r>
        <w:rPr>
          <w:lang w:val="en-US"/>
        </w:rPr>
        <w:t>OBPR, Regulatory Burden Measurement Framework, March 2020, p. 1.</w:t>
      </w:r>
    </w:p>
  </w:footnote>
  <w:footnote w:id="209">
    <w:p w14:paraId="5A29287B" w14:textId="77777777" w:rsidR="00F323B2" w:rsidRPr="006759F7" w:rsidRDefault="00F323B2">
      <w:pPr>
        <w:pStyle w:val="FootnoteText"/>
        <w:rPr>
          <w:szCs w:val="16"/>
        </w:rPr>
      </w:pPr>
      <w:r w:rsidRPr="006759F7">
        <w:rPr>
          <w:rStyle w:val="FootnoteReference"/>
          <w:szCs w:val="16"/>
        </w:rPr>
        <w:footnoteRef/>
      </w:r>
      <w:r w:rsidRPr="006759F7">
        <w:rPr>
          <w:szCs w:val="16"/>
        </w:rPr>
        <w:t xml:space="preserve"> </w:t>
      </w:r>
      <w:r w:rsidRPr="006759F7">
        <w:rPr>
          <w:szCs w:val="16"/>
        </w:rPr>
        <w:tab/>
        <w:t>Administrative costs include the costs incurred by regulated entities primarily to demonstrate the compliance with the regulation (e.g. record keeping and reporting costs).</w:t>
      </w:r>
    </w:p>
  </w:footnote>
  <w:footnote w:id="210">
    <w:p w14:paraId="7802D983" w14:textId="77777777" w:rsidR="00F323B2" w:rsidRPr="006759F7" w:rsidRDefault="00F323B2" w:rsidP="0040151A">
      <w:pPr>
        <w:pStyle w:val="FootnoteText"/>
        <w:rPr>
          <w:szCs w:val="16"/>
        </w:rPr>
      </w:pPr>
      <w:r w:rsidRPr="006759F7">
        <w:rPr>
          <w:rStyle w:val="FootnoteReference"/>
          <w:szCs w:val="16"/>
        </w:rPr>
        <w:footnoteRef/>
      </w:r>
      <w:r w:rsidRPr="006759F7">
        <w:rPr>
          <w:szCs w:val="16"/>
        </w:rPr>
        <w:t xml:space="preserve"> </w:t>
      </w:r>
      <w:r w:rsidRPr="006759F7">
        <w:rPr>
          <w:szCs w:val="16"/>
        </w:rPr>
        <w:tab/>
        <w:t>Substantive compliance costs include the costs associated with delivering the regulated outcomes being</w:t>
      </w:r>
      <w:r w:rsidRPr="006759F7">
        <w:rPr>
          <w:spacing w:val="-8"/>
          <w:szCs w:val="16"/>
        </w:rPr>
        <w:t xml:space="preserve"> </w:t>
      </w:r>
      <w:r w:rsidRPr="006759F7">
        <w:rPr>
          <w:szCs w:val="16"/>
        </w:rPr>
        <w:t>sought (e.g. purchase and maintenance costs).</w:t>
      </w:r>
    </w:p>
  </w:footnote>
  <w:footnote w:id="211">
    <w:p w14:paraId="205F66D6" w14:textId="77777777" w:rsidR="00F323B2" w:rsidRDefault="00F323B2">
      <w:pPr>
        <w:pStyle w:val="FootnoteText"/>
      </w:pPr>
      <w:r w:rsidRPr="006759F7">
        <w:rPr>
          <w:rStyle w:val="FootnoteReference"/>
          <w:szCs w:val="16"/>
        </w:rPr>
        <w:footnoteRef/>
      </w:r>
      <w:r w:rsidRPr="006759F7">
        <w:rPr>
          <w:szCs w:val="16"/>
        </w:rPr>
        <w:t xml:space="preserve"> </w:t>
      </w:r>
      <w:r w:rsidRPr="006759F7">
        <w:rPr>
          <w:szCs w:val="16"/>
        </w:rPr>
        <w:tab/>
        <w:t>Delay costs include the expenses and loss of income incurred as a result of an administrative application or approval delay.</w:t>
      </w:r>
    </w:p>
  </w:footnote>
  <w:footnote w:id="212">
    <w:p w14:paraId="06F8D71E" w14:textId="77777777" w:rsidR="00F323B2" w:rsidRPr="007704A3" w:rsidRDefault="00F323B2" w:rsidP="00E03A9C">
      <w:pPr>
        <w:pStyle w:val="FootnoteText"/>
        <w:rPr>
          <w:lang w:val="en-US"/>
        </w:rPr>
      </w:pPr>
      <w:r>
        <w:rPr>
          <w:rStyle w:val="FootnoteReference"/>
        </w:rPr>
        <w:footnoteRef/>
      </w:r>
      <w:r>
        <w:t xml:space="preserve"> </w:t>
      </w:r>
      <w:r>
        <w:tab/>
        <w:t>The tool is a</w:t>
      </w:r>
      <w:r>
        <w:rPr>
          <w:color w:val="000000" w:themeColor="text1"/>
        </w:rPr>
        <w:t xml:space="preserve">vailable from - </w:t>
      </w:r>
      <w:hyperlink r:id="rId3" w:history="1">
        <w:r w:rsidRPr="00CE10BA">
          <w:rPr>
            <w:rStyle w:val="Hyperlink"/>
            <w:rFonts w:eastAsiaTheme="majorEastAsia"/>
          </w:rPr>
          <w:t>https://rbm.obpr.gov.au/help.aspx?path=4.Using+the+Compliance+Cost+Calculator.txt</w:t>
        </w:r>
      </w:hyperlink>
    </w:p>
  </w:footnote>
  <w:footnote w:id="213">
    <w:p w14:paraId="1361564B" w14:textId="77777777" w:rsidR="00F323B2" w:rsidRPr="00E669D3" w:rsidRDefault="00F323B2" w:rsidP="00E210B8">
      <w:pPr>
        <w:pStyle w:val="FootnoteText"/>
        <w:rPr>
          <w:lang w:val="en-US"/>
        </w:rPr>
      </w:pPr>
      <w:r>
        <w:rPr>
          <w:rStyle w:val="FootnoteReference"/>
        </w:rPr>
        <w:footnoteRef/>
      </w:r>
      <w:r>
        <w:t xml:space="preserve"> </w:t>
      </w:r>
      <w:r>
        <w:tab/>
      </w:r>
      <w:r>
        <w:rPr>
          <w:lang w:val="en-US"/>
        </w:rPr>
        <w:t>OBPR, Regulatory Burden Measurement Framework, March 2020.</w:t>
      </w:r>
    </w:p>
  </w:footnote>
  <w:footnote w:id="214">
    <w:p w14:paraId="18383E29" w14:textId="77777777" w:rsidR="00F323B2" w:rsidRPr="00934B02" w:rsidRDefault="00F323B2" w:rsidP="00E210B8">
      <w:pPr>
        <w:pStyle w:val="FootnoteText"/>
        <w:ind w:left="357" w:hanging="357"/>
        <w:rPr>
          <w:lang w:val="en-US"/>
        </w:rPr>
      </w:pPr>
      <w:r>
        <w:rPr>
          <w:rStyle w:val="FootnoteReference"/>
        </w:rPr>
        <w:footnoteRef/>
      </w:r>
      <w:r>
        <w:t xml:space="preserve"> </w:t>
      </w:r>
      <w:r>
        <w:tab/>
      </w:r>
      <w:r>
        <w:rPr>
          <w:lang w:val="en-US"/>
        </w:rPr>
        <w:t>The average annual regulatory cost is an undiscounted figure.</w:t>
      </w:r>
    </w:p>
  </w:footnote>
  <w:footnote w:id="215">
    <w:p w14:paraId="40B5663D" w14:textId="77777777" w:rsidR="00F323B2" w:rsidRPr="00020121" w:rsidRDefault="00F323B2" w:rsidP="00E210B8">
      <w:pPr>
        <w:pStyle w:val="FootnoteText"/>
        <w:rPr>
          <w:szCs w:val="16"/>
        </w:rPr>
      </w:pPr>
      <w:r w:rsidRPr="00020121">
        <w:rPr>
          <w:rStyle w:val="FootnoteReference"/>
          <w:szCs w:val="16"/>
        </w:rPr>
        <w:footnoteRef/>
      </w:r>
      <w:r w:rsidRPr="00020121">
        <w:rPr>
          <w:szCs w:val="16"/>
        </w:rPr>
        <w:t xml:space="preserve"> </w:t>
      </w:r>
      <w:r w:rsidRPr="00020121">
        <w:rPr>
          <w:szCs w:val="16"/>
        </w:rPr>
        <w:tab/>
        <w:t xml:space="preserve">The CRBM includes an additional small annual allocation of costs for service providers relative to the CBA because in WA, the ERA recovers some of its costs directly from regulated service providers.  </w:t>
      </w:r>
    </w:p>
  </w:footnote>
  <w:footnote w:id="216">
    <w:p w14:paraId="0A20069C" w14:textId="77777777" w:rsidR="00F323B2" w:rsidRDefault="00F323B2" w:rsidP="00FB3B0C">
      <w:pPr>
        <w:pStyle w:val="FootnoteText"/>
      </w:pPr>
      <w:r>
        <w:rPr>
          <w:rStyle w:val="FootnoteReference"/>
        </w:rPr>
        <w:footnoteRef/>
      </w:r>
      <w:r>
        <w:t xml:space="preserve"> </w:t>
      </w:r>
      <w:r>
        <w:tab/>
        <w:t xml:space="preserve">OBPR, Competition and regulation guidance note, March 2020. </w:t>
      </w:r>
    </w:p>
  </w:footnote>
  <w:footnote w:id="217">
    <w:p w14:paraId="09AA36FD" w14:textId="77777777" w:rsidR="00F323B2" w:rsidRDefault="00F323B2" w:rsidP="00FB3B0C">
      <w:pPr>
        <w:pStyle w:val="FootnoteText"/>
      </w:pPr>
      <w:r>
        <w:rPr>
          <w:rStyle w:val="FootnoteReference"/>
        </w:rPr>
        <w:footnoteRef/>
      </w:r>
      <w:r>
        <w:t xml:space="preserve"> </w:t>
      </w:r>
      <w:r>
        <w:tab/>
        <w:t>ibid, p. 3.</w:t>
      </w:r>
    </w:p>
  </w:footnote>
  <w:footnote w:id="218">
    <w:p w14:paraId="620C30BF" w14:textId="77777777" w:rsidR="00F323B2" w:rsidRDefault="00F323B2" w:rsidP="007066FB">
      <w:pPr>
        <w:pStyle w:val="FootnoteText"/>
      </w:pPr>
      <w:r>
        <w:rPr>
          <w:rStyle w:val="FootnoteReference"/>
        </w:rPr>
        <w:footnoteRef/>
      </w:r>
      <w:r>
        <w:t xml:space="preserve"> </w:t>
      </w:r>
      <w:r>
        <w:tab/>
      </w:r>
      <w:r w:rsidRPr="003A22A3">
        <w:t>https://www.oecd.org/competition/assessment-toolkit.htm</w:t>
      </w:r>
    </w:p>
  </w:footnote>
  <w:footnote w:id="219">
    <w:p w14:paraId="08B6E901" w14:textId="77777777" w:rsidR="00F323B2" w:rsidRDefault="00F323B2">
      <w:pPr>
        <w:pStyle w:val="FootnoteText"/>
      </w:pPr>
      <w:r>
        <w:rPr>
          <w:rStyle w:val="FootnoteReference"/>
        </w:rPr>
        <w:footnoteRef/>
      </w:r>
      <w:r>
        <w:t xml:space="preserve"> </w:t>
      </w:r>
      <w:r>
        <w:tab/>
        <w:t xml:space="preserve">This may differ under Option 4 because this option provides for a movement to direct price control under the stronger form of regulation. The movement to this form of regulation could result in greater standardisation of services on those pipelines subject to the stronger form of regulation, but not on those subject to the lighter form of regulation. </w:t>
      </w:r>
    </w:p>
  </w:footnote>
  <w:footnote w:id="220">
    <w:p w14:paraId="6C158821" w14:textId="77777777" w:rsidR="00F323B2" w:rsidRDefault="00F323B2">
      <w:pPr>
        <w:pStyle w:val="FootnoteText"/>
      </w:pPr>
      <w:r>
        <w:rPr>
          <w:rStyle w:val="FootnoteReference"/>
        </w:rPr>
        <w:footnoteRef/>
      </w:r>
      <w:r>
        <w:t xml:space="preserve"> </w:t>
      </w:r>
      <w:r>
        <w:tab/>
        <w:t xml:space="preserve">This can be seen in the quantitative element of the CBA, with the net economy-wide benefit (i.e. the benefit after taking into account the estimated costs, which are also included in the regulatory burden analysis) estimated to range from $234.7 million to $1.179 billion. </w:t>
      </w:r>
    </w:p>
  </w:footnote>
  <w:footnote w:id="221">
    <w:p w14:paraId="11143FBE" w14:textId="77777777" w:rsidR="00F323B2" w:rsidRDefault="00F323B2" w:rsidP="00C81027">
      <w:pPr>
        <w:pStyle w:val="FootnoteText"/>
        <w:spacing w:before="0" w:after="0"/>
      </w:pPr>
      <w:r>
        <w:rPr>
          <w:rStyle w:val="FootnoteReference"/>
        </w:rPr>
        <w:footnoteRef/>
      </w:r>
      <w:r>
        <w:t xml:space="preserve"> </w:t>
      </w:r>
      <w:r>
        <w:tab/>
        <w:t>The start-up cost for Option 3B is estimated to be just $0.72 m higher than it is under options 2 and 3A and the ongoing costs are estimated to be $0.44 m p.a. higher than the equivalent costs under Option 3A and $1.75 m p.a. higher than the costs under Option 2.</w:t>
      </w:r>
    </w:p>
  </w:footnote>
  <w:footnote w:id="222">
    <w:p w14:paraId="07C553D8" w14:textId="77777777" w:rsidR="00720B79" w:rsidRPr="00AD3C9B" w:rsidRDefault="00720B79" w:rsidP="00720B79">
      <w:pPr>
        <w:pStyle w:val="FootnoteText"/>
        <w:rPr>
          <w:szCs w:val="16"/>
        </w:rPr>
      </w:pPr>
      <w:r>
        <w:rPr>
          <w:rStyle w:val="FootnoteReference"/>
        </w:rPr>
        <w:footnoteRef/>
      </w:r>
      <w:r>
        <w:t xml:space="preserve"> </w:t>
      </w:r>
      <w:r>
        <w:tab/>
        <w:t xml:space="preserve">For example, because the pipeline has been developed as a result of a competitive process with the terms and </w:t>
      </w:r>
      <w:r w:rsidRPr="00AD3C9B">
        <w:rPr>
          <w:szCs w:val="16"/>
        </w:rPr>
        <w:t>conditions of that process made available to other users, or there are some other constraints that are expected to pose a constraint on the exercise of market power over the exemption period.</w:t>
      </w:r>
    </w:p>
  </w:footnote>
  <w:footnote w:id="223">
    <w:p w14:paraId="382E2AA2" w14:textId="77777777" w:rsidR="00720B79" w:rsidRPr="00AD3C9B" w:rsidRDefault="00720B79" w:rsidP="00720B79">
      <w:pPr>
        <w:pStyle w:val="FootnoteText"/>
        <w:rPr>
          <w:szCs w:val="16"/>
        </w:rPr>
      </w:pPr>
      <w:r w:rsidRPr="00AD3C9B">
        <w:rPr>
          <w:rStyle w:val="FootnoteReference"/>
          <w:szCs w:val="16"/>
        </w:rPr>
        <w:footnoteRef/>
      </w:r>
      <w:r w:rsidRPr="00AD3C9B">
        <w:rPr>
          <w:szCs w:val="16"/>
        </w:rPr>
        <w:t xml:space="preserve"> </w:t>
      </w:r>
      <w:r w:rsidRPr="00AD3C9B">
        <w:rPr>
          <w:szCs w:val="16"/>
        </w:rPr>
        <w:tab/>
      </w:r>
      <w:r w:rsidRPr="00AD3C9B">
        <w:rPr>
          <w:rFonts w:eastAsia="Calibri"/>
          <w:szCs w:val="16"/>
        </w:rPr>
        <w:t xml:space="preserve">Price discrimination will in most cases be efficiency enhancing. A notable exception to this is when a service provider favours an affiliate. To prevent this form of price discrimination, the </w:t>
      </w:r>
      <w:r w:rsidRPr="00AD3C9B">
        <w:rPr>
          <w:szCs w:val="16"/>
        </w:rPr>
        <w:t xml:space="preserve">associate contract provisions will be extended to all pipelines. These provisions, amongst other things, prohibit service providers from entering into or giving effect to contracts that have an anti-competitive effect or favour an affiliate (unless approved by the relevant regulator). </w:t>
      </w:r>
    </w:p>
  </w:footnote>
  <w:footnote w:id="224">
    <w:p w14:paraId="5E266649" w14:textId="77777777" w:rsidR="00720B79" w:rsidRDefault="00720B79" w:rsidP="00720B79">
      <w:pPr>
        <w:pStyle w:val="FootnoteText"/>
      </w:pPr>
      <w:r>
        <w:rPr>
          <w:rStyle w:val="FootnoteReference"/>
        </w:rPr>
        <w:footnoteRef/>
      </w:r>
      <w:r>
        <w:t xml:space="preserve"> </w:t>
      </w:r>
      <w:r>
        <w:tab/>
        <w:t xml:space="preserve">This is to cater for situations where existing users benefit from the augmentation and should therefore contribute to the expenditure. </w:t>
      </w:r>
    </w:p>
  </w:footnote>
  <w:footnote w:id="225">
    <w:p w14:paraId="022EEBC5" w14:textId="77777777" w:rsidR="00720B79" w:rsidRPr="00AD3C9B" w:rsidRDefault="00720B79" w:rsidP="00720B79">
      <w:pPr>
        <w:pStyle w:val="FootnoteText"/>
        <w:spacing w:before="0" w:after="0"/>
        <w:rPr>
          <w:rFonts w:cstheme="minorHAnsi"/>
          <w:szCs w:val="16"/>
        </w:rPr>
      </w:pPr>
      <w:r w:rsidRPr="00AD3C9B">
        <w:rPr>
          <w:rStyle w:val="FootnoteReference"/>
          <w:szCs w:val="16"/>
        </w:rPr>
        <w:footnoteRef/>
      </w:r>
      <w:r w:rsidRPr="00AD3C9B">
        <w:rPr>
          <w:szCs w:val="16"/>
        </w:rPr>
        <w:t xml:space="preserve"> </w:t>
      </w:r>
      <w:r w:rsidRPr="00AD3C9B">
        <w:rPr>
          <w:szCs w:val="16"/>
        </w:rPr>
        <w:tab/>
      </w:r>
      <w:r w:rsidRPr="00AD3C9B">
        <w:rPr>
          <w:rFonts w:cstheme="minorHAnsi"/>
          <w:szCs w:val="16"/>
        </w:rPr>
        <w:t xml:space="preserve">The test would also be amended to: (a) allow the decision-maker to have regard to the results of the regulator’s monitoring of the service provider’s behaviour; and (b) remove the requirement </w:t>
      </w:r>
      <w:r w:rsidRPr="00AD3C9B">
        <w:rPr>
          <w:szCs w:val="16"/>
        </w:rPr>
        <w:t>to consider whether information is available to shippers to enable them to negotiate be removed, because under all of the policy options being contemplated service providers would be required to publish basic information.</w:t>
      </w:r>
    </w:p>
  </w:footnote>
  <w:footnote w:id="226">
    <w:p w14:paraId="04BE82C4" w14:textId="77777777" w:rsidR="00F323B2" w:rsidRPr="00710DCB" w:rsidRDefault="00F323B2" w:rsidP="000D153F">
      <w:pPr>
        <w:pStyle w:val="FootnoteText"/>
        <w:rPr>
          <w:szCs w:val="16"/>
        </w:rPr>
      </w:pPr>
      <w:r w:rsidRPr="00710DCB">
        <w:rPr>
          <w:rStyle w:val="FootnoteReference"/>
          <w:szCs w:val="16"/>
        </w:rPr>
        <w:footnoteRef/>
      </w:r>
      <w:r w:rsidRPr="00710DCB">
        <w:rPr>
          <w:szCs w:val="16"/>
        </w:rPr>
        <w:t xml:space="preserve"> </w:t>
      </w:r>
      <w:r w:rsidRPr="00710DCB">
        <w:rPr>
          <w:szCs w:val="16"/>
        </w:rPr>
        <w:tab/>
        <w:t xml:space="preserve">The identity of the ‘relevant Minister’ will depend on whether the pipeline is a transmission or distribution pipeline and if the pipeline crosses jurisdictions. For example, if the pipeline is a cross boundary transmission pipeline, the relevant Minister is the Commonwealth Minister but if the transmission pipeline is situated wholly within a jurisdiction, the relevant Minister will typically be the State or Territory Minister (the one exception is Queensland where the relevant Minister is the Commonwealth Minister). See definitions section of NGL.  </w:t>
      </w:r>
    </w:p>
  </w:footnote>
  <w:footnote w:id="227">
    <w:p w14:paraId="1BAB4EEE" w14:textId="77777777" w:rsidR="00F323B2" w:rsidRPr="00710DCB" w:rsidRDefault="00F323B2" w:rsidP="000D153F">
      <w:pPr>
        <w:pStyle w:val="FootnoteText"/>
      </w:pPr>
      <w:r w:rsidRPr="00710DCB">
        <w:rPr>
          <w:rStyle w:val="FootnoteReference"/>
        </w:rPr>
        <w:footnoteRef/>
      </w:r>
      <w:r w:rsidRPr="00710DCB">
        <w:t xml:space="preserve"> </w:t>
      </w:r>
      <w:r w:rsidRPr="00710DCB">
        <w:tab/>
        <w:t xml:space="preserve">See </w:t>
      </w:r>
      <w:r>
        <w:t>s.</w:t>
      </w:r>
      <w:r w:rsidRPr="00710DCB">
        <w:t xml:space="preserve"> 127 of the NGL.</w:t>
      </w:r>
    </w:p>
  </w:footnote>
  <w:footnote w:id="228">
    <w:p w14:paraId="15FFBD02" w14:textId="77777777" w:rsidR="00F323B2" w:rsidRPr="00710DCB" w:rsidRDefault="00F323B2" w:rsidP="000D153F">
      <w:pPr>
        <w:pStyle w:val="FootnoteText"/>
      </w:pPr>
      <w:r w:rsidRPr="00710DCB">
        <w:rPr>
          <w:rStyle w:val="FootnoteReference"/>
        </w:rPr>
        <w:footnoteRef/>
      </w:r>
      <w:r w:rsidRPr="00710DCB">
        <w:t xml:space="preserve"> </w:t>
      </w:r>
      <w:r w:rsidRPr="00710DCB">
        <w:tab/>
        <w:t xml:space="preserve">See </w:t>
      </w:r>
      <w:r>
        <w:t xml:space="preserve">s. </w:t>
      </w:r>
      <w:r w:rsidRPr="00710DCB">
        <w:t>126 of the NGL.</w:t>
      </w:r>
    </w:p>
  </w:footnote>
  <w:footnote w:id="229">
    <w:p w14:paraId="0F02A037" w14:textId="77777777" w:rsidR="00F323B2" w:rsidRDefault="00F323B2">
      <w:pPr>
        <w:pStyle w:val="FootnoteText"/>
      </w:pPr>
      <w:r>
        <w:rPr>
          <w:rStyle w:val="FootnoteReference"/>
        </w:rPr>
        <w:footnoteRef/>
      </w:r>
      <w:r>
        <w:t xml:space="preserve"> </w:t>
      </w:r>
      <w:r>
        <w:tab/>
        <w:t xml:space="preserve">Note that </w:t>
      </w:r>
      <w:r w:rsidRPr="006B4639">
        <w:t>the exemption is from full and light regulation only and that Part 23 may be applied if the pipeline provides third party access</w:t>
      </w:r>
      <w:r>
        <w:t>.</w:t>
      </w:r>
    </w:p>
  </w:footnote>
  <w:footnote w:id="230">
    <w:p w14:paraId="72C91114" w14:textId="77777777" w:rsidR="00F323B2" w:rsidRPr="00710DCB" w:rsidRDefault="00F323B2" w:rsidP="000D153F">
      <w:pPr>
        <w:pStyle w:val="FootnoteText"/>
      </w:pPr>
      <w:r w:rsidRPr="00710DCB">
        <w:rPr>
          <w:rStyle w:val="FootnoteReference"/>
        </w:rPr>
        <w:footnoteRef/>
      </w:r>
      <w:r w:rsidRPr="00710DCB">
        <w:t xml:space="preserve"> </w:t>
      </w:r>
      <w:r w:rsidRPr="00710DCB">
        <w:tab/>
        <w:t xml:space="preserve">Of the four greenfield pipelines, there is currently only one that is providing third party access: the Wallumbilla to Gladstone Pipeline (WGP). The remainder are not subject to any form of regulation. </w:t>
      </w:r>
    </w:p>
  </w:footnote>
  <w:footnote w:id="231">
    <w:p w14:paraId="26A127D3" w14:textId="24C1118E" w:rsidR="00F323B2" w:rsidRPr="00710DCB" w:rsidRDefault="00F323B2" w:rsidP="000D153F">
      <w:pPr>
        <w:pStyle w:val="FootnoteText"/>
        <w:rPr>
          <w:szCs w:val="16"/>
        </w:rPr>
      </w:pPr>
      <w:r w:rsidRPr="00710DCB">
        <w:rPr>
          <w:rStyle w:val="FootnoteReference"/>
          <w:szCs w:val="16"/>
        </w:rPr>
        <w:footnoteRef/>
      </w:r>
      <w:r w:rsidRPr="00710DCB">
        <w:rPr>
          <w:szCs w:val="16"/>
        </w:rPr>
        <w:t xml:space="preserve"> </w:t>
      </w:r>
      <w:r w:rsidRPr="00710DCB">
        <w:rPr>
          <w:szCs w:val="16"/>
        </w:rPr>
        <w:tab/>
        <w:t>A designated pipeline is a pipeline classified by the Regulations, or designated in the application Act of a participating jurisdiction, that cannot be subject to light regulation. The pipelines that are designated include APA’s Victorian Transmission System, AGN’s SA Distribution Network, ATCO’s Western Australian gas distribution system</w:t>
      </w:r>
      <w:r w:rsidR="00563C5E">
        <w:rPr>
          <w:szCs w:val="16"/>
        </w:rPr>
        <w:t>, the Dampier to Bunbury Natural Gas Pipeline, the Goldfields Gas Pipeline</w:t>
      </w:r>
      <w:r w:rsidRPr="00710DCB">
        <w:rPr>
          <w:szCs w:val="16"/>
        </w:rPr>
        <w:t xml:space="preserve"> and the three Victorian gas distribution systems. See National Gas (South Australia) Regulations 2009, National Gas Access (WA) (Part 3) Regulations 2009, Schedule 1 and Victorian Government Gazette No. S222m, 30 June 2009.  </w:t>
      </w:r>
    </w:p>
  </w:footnote>
  <w:footnote w:id="232">
    <w:p w14:paraId="0F81915D" w14:textId="77777777" w:rsidR="00F323B2" w:rsidRPr="00710DCB" w:rsidRDefault="00F323B2" w:rsidP="000D153F">
      <w:pPr>
        <w:pStyle w:val="FootnoteText"/>
      </w:pPr>
      <w:r w:rsidRPr="00710DCB">
        <w:rPr>
          <w:rStyle w:val="FootnoteReference"/>
        </w:rPr>
        <w:footnoteRef/>
      </w:r>
      <w:r w:rsidRPr="00710DCB">
        <w:t xml:space="preserve"> </w:t>
      </w:r>
      <w:r w:rsidRPr="00710DCB">
        <w:tab/>
      </w:r>
      <w:r>
        <w:t xml:space="preserve">See s. </w:t>
      </w:r>
      <w:r w:rsidRPr="00710DCB">
        <w:t>110 of the NGL.</w:t>
      </w:r>
    </w:p>
  </w:footnote>
  <w:footnote w:id="233">
    <w:p w14:paraId="78B249BD" w14:textId="77777777" w:rsidR="00F323B2" w:rsidRPr="00710DCB" w:rsidRDefault="00F323B2" w:rsidP="000D153F">
      <w:pPr>
        <w:pStyle w:val="FootnoteText"/>
      </w:pPr>
      <w:r w:rsidRPr="00710DCB">
        <w:rPr>
          <w:rStyle w:val="FootnoteReference"/>
        </w:rPr>
        <w:footnoteRef/>
      </w:r>
      <w:r w:rsidRPr="00710DCB">
        <w:t xml:space="preserve"> </w:t>
      </w:r>
      <w:r w:rsidRPr="00710DCB">
        <w:tab/>
        <w:t xml:space="preserve">Provisions in the NGL currently allow </w:t>
      </w:r>
      <w:r w:rsidRPr="00710DCB">
        <w:rPr>
          <w:lang w:eastAsia="fr-CA"/>
        </w:rPr>
        <w:t>service providers to apply the NCC for a determination that the services provided by the pipeline be subject to light regulation (see s. 110 of the NGL). If a pipeline is subject to light regulation, then service providers can advise the NCC that they wish to be subject to full regulation. Other interested parties can also apply to the NCC for a light regulation determination to be revoked (see</w:t>
      </w:r>
      <w:r w:rsidRPr="00710DCB">
        <w:t xml:space="preserve"> ss.112-118 of the NGL).</w:t>
      </w:r>
    </w:p>
  </w:footnote>
  <w:footnote w:id="234">
    <w:p w14:paraId="6AC3D743" w14:textId="77777777" w:rsidR="00F323B2" w:rsidRPr="00C0008C" w:rsidRDefault="00F323B2" w:rsidP="000D153F">
      <w:pPr>
        <w:pStyle w:val="FootnoteText"/>
        <w:rPr>
          <w:szCs w:val="16"/>
        </w:rPr>
      </w:pPr>
      <w:r w:rsidRPr="00710DCB">
        <w:rPr>
          <w:rStyle w:val="FootnoteReference"/>
        </w:rPr>
        <w:footnoteRef/>
      </w:r>
      <w:r w:rsidRPr="00710DCB">
        <w:t xml:space="preserve"> </w:t>
      </w:r>
      <w:r w:rsidRPr="00C0008C">
        <w:rPr>
          <w:szCs w:val="16"/>
        </w:rPr>
        <w:tab/>
        <w:t>Section 122 of the NGL.</w:t>
      </w:r>
    </w:p>
  </w:footnote>
  <w:footnote w:id="235">
    <w:p w14:paraId="76260C10" w14:textId="77777777" w:rsidR="00F323B2" w:rsidRPr="00C0008C" w:rsidRDefault="00F323B2" w:rsidP="000D153F">
      <w:pPr>
        <w:pStyle w:val="FootnoteText"/>
        <w:rPr>
          <w:szCs w:val="16"/>
        </w:rPr>
      </w:pPr>
      <w:r w:rsidRPr="00C0008C">
        <w:rPr>
          <w:rStyle w:val="FootnoteReference"/>
          <w:szCs w:val="16"/>
        </w:rPr>
        <w:footnoteRef/>
      </w:r>
      <w:r w:rsidRPr="00C0008C">
        <w:rPr>
          <w:szCs w:val="16"/>
        </w:rPr>
        <w:t xml:space="preserve"> </w:t>
      </w:r>
      <w:r w:rsidRPr="00C0008C">
        <w:rPr>
          <w:szCs w:val="16"/>
        </w:rPr>
        <w:tab/>
        <w:t xml:space="preserve">This policy is used to determine the order of priority for access to spare and developable capacity (rule 103).  </w:t>
      </w:r>
    </w:p>
  </w:footnote>
  <w:footnote w:id="236">
    <w:p w14:paraId="2CA9C324" w14:textId="77777777" w:rsidR="00F323B2" w:rsidRPr="00710DCB" w:rsidRDefault="00F323B2" w:rsidP="000D153F">
      <w:pPr>
        <w:pStyle w:val="FootnoteText"/>
      </w:pPr>
      <w:r w:rsidRPr="00C0008C">
        <w:rPr>
          <w:rStyle w:val="FootnoteReference"/>
          <w:szCs w:val="16"/>
        </w:rPr>
        <w:footnoteRef/>
      </w:r>
      <w:r w:rsidRPr="00C0008C">
        <w:rPr>
          <w:szCs w:val="16"/>
        </w:rPr>
        <w:t xml:space="preserve"> </w:t>
      </w:r>
      <w:r w:rsidRPr="00C0008C">
        <w:rPr>
          <w:szCs w:val="16"/>
        </w:rPr>
        <w:tab/>
        <w:t>See rule 10</w:t>
      </w:r>
      <w:r w:rsidRPr="00710DCB">
        <w:t>4 of the NGR.</w:t>
      </w:r>
    </w:p>
  </w:footnote>
  <w:footnote w:id="237">
    <w:p w14:paraId="07B00357" w14:textId="77777777" w:rsidR="00F323B2" w:rsidRPr="00710DCB" w:rsidRDefault="00F323B2" w:rsidP="000D153F">
      <w:pPr>
        <w:pStyle w:val="FootnoteText"/>
      </w:pPr>
      <w:r w:rsidRPr="00710DCB">
        <w:rPr>
          <w:rStyle w:val="FootnoteReference"/>
        </w:rPr>
        <w:footnoteRef/>
      </w:r>
      <w:r w:rsidRPr="00710DCB">
        <w:t xml:space="preserve"> </w:t>
      </w:r>
      <w:r w:rsidRPr="00710DCB">
        <w:tab/>
      </w:r>
      <w:r>
        <w:t xml:space="preserve">See rule </w:t>
      </w:r>
      <w:r w:rsidRPr="00710DCB">
        <w:t>105 of the NGR.</w:t>
      </w:r>
    </w:p>
  </w:footnote>
  <w:footnote w:id="238">
    <w:p w14:paraId="067CCA1F" w14:textId="77777777" w:rsidR="00F323B2" w:rsidRPr="00710DCB" w:rsidRDefault="00F323B2" w:rsidP="000D153F">
      <w:pPr>
        <w:pStyle w:val="FootnoteText"/>
      </w:pPr>
      <w:r w:rsidRPr="00710DCB">
        <w:rPr>
          <w:rStyle w:val="FootnoteReference"/>
        </w:rPr>
        <w:footnoteRef/>
      </w:r>
      <w:r w:rsidRPr="00710DCB">
        <w:t xml:space="preserve"> </w:t>
      </w:r>
      <w:r w:rsidRPr="00710DCB">
        <w:tab/>
      </w:r>
      <w:r>
        <w:t xml:space="preserve">See rule </w:t>
      </w:r>
      <w:r w:rsidRPr="00710DCB">
        <w:t>106 of the NGR.</w:t>
      </w:r>
    </w:p>
  </w:footnote>
  <w:footnote w:id="239">
    <w:p w14:paraId="7C62AC7F" w14:textId="77777777" w:rsidR="00F323B2" w:rsidRPr="00710DCB" w:rsidRDefault="00F323B2" w:rsidP="000D153F">
      <w:pPr>
        <w:pStyle w:val="FootnoteText"/>
      </w:pPr>
      <w:r w:rsidRPr="00710DCB">
        <w:rPr>
          <w:rStyle w:val="FootnoteReference"/>
        </w:rPr>
        <w:footnoteRef/>
      </w:r>
      <w:r w:rsidRPr="00710DCB">
        <w:t xml:space="preserve"> </w:t>
      </w:r>
      <w:r w:rsidRPr="00710DCB">
        <w:tab/>
        <w:t>In the V</w:t>
      </w:r>
      <w:r>
        <w:t xml:space="preserve">ictorian </w:t>
      </w:r>
      <w:r w:rsidRPr="00710DCB">
        <w:t>T</w:t>
      </w:r>
      <w:r>
        <w:t xml:space="preserve">ransmission </w:t>
      </w:r>
      <w:r w:rsidRPr="00710DCB">
        <w:t>S</w:t>
      </w:r>
      <w:r>
        <w:t>ystem (VTS)</w:t>
      </w:r>
      <w:r w:rsidRPr="00710DCB">
        <w:t xml:space="preserve"> it is not possible to negotiate an alternative transportation service because it is operated on a simple injection / withdrawal basis. All users of the VTS therefore pay the reference tariff.</w:t>
      </w:r>
    </w:p>
  </w:footnote>
  <w:footnote w:id="240">
    <w:p w14:paraId="70808EE7" w14:textId="77777777" w:rsidR="00F323B2" w:rsidRPr="00710DCB" w:rsidRDefault="00F323B2" w:rsidP="000D153F">
      <w:pPr>
        <w:pStyle w:val="FootnoteText"/>
        <w:rPr>
          <w:szCs w:val="16"/>
        </w:rPr>
      </w:pPr>
      <w:r w:rsidRPr="00710DCB">
        <w:rPr>
          <w:rStyle w:val="FootnoteReference"/>
        </w:rPr>
        <w:footnoteRef/>
      </w:r>
      <w:r w:rsidRPr="00710DCB">
        <w:t xml:space="preserve"> </w:t>
      </w:r>
      <w:r w:rsidRPr="00710DCB">
        <w:tab/>
        <w:t xml:space="preserve">See </w:t>
      </w:r>
      <w:r>
        <w:t xml:space="preserve">s. </w:t>
      </w:r>
      <w:r w:rsidRPr="00710DCB">
        <w:rPr>
          <w:szCs w:val="16"/>
        </w:rPr>
        <w:t>322 of the NGL.</w:t>
      </w:r>
    </w:p>
  </w:footnote>
  <w:footnote w:id="241">
    <w:p w14:paraId="0EF71D0C" w14:textId="77777777" w:rsidR="00F323B2" w:rsidRPr="00710DCB" w:rsidRDefault="00F323B2" w:rsidP="000D153F">
      <w:pPr>
        <w:pStyle w:val="FootnoteText"/>
      </w:pPr>
      <w:r w:rsidRPr="00710DCB">
        <w:rPr>
          <w:rStyle w:val="FootnoteReference"/>
        </w:rPr>
        <w:footnoteRef/>
      </w:r>
      <w:r w:rsidRPr="00710DCB">
        <w:t xml:space="preserve"> </w:t>
      </w:r>
      <w:r w:rsidRPr="00710DCB">
        <w:tab/>
      </w:r>
      <w:r>
        <w:t xml:space="preserve">See rule </w:t>
      </w:r>
      <w:r w:rsidRPr="00710DCB">
        <w:t>109 of the NGR.</w:t>
      </w:r>
    </w:p>
  </w:footnote>
  <w:footnote w:id="242">
    <w:p w14:paraId="392202D7" w14:textId="77777777" w:rsidR="00F323B2" w:rsidRPr="00710DCB" w:rsidRDefault="00F323B2" w:rsidP="000D153F">
      <w:pPr>
        <w:pStyle w:val="FootnoteText"/>
      </w:pPr>
      <w:r w:rsidRPr="00710DCB">
        <w:rPr>
          <w:rStyle w:val="FootnoteReference"/>
        </w:rPr>
        <w:footnoteRef/>
      </w:r>
      <w:r w:rsidRPr="00710DCB">
        <w:t xml:space="preserve"> </w:t>
      </w:r>
      <w:r w:rsidRPr="00710DCB">
        <w:tab/>
      </w:r>
      <w:r>
        <w:t xml:space="preserve">See s. </w:t>
      </w:r>
      <w:r w:rsidRPr="00710DCB">
        <w:t>133 of the NGL.</w:t>
      </w:r>
    </w:p>
  </w:footnote>
  <w:footnote w:id="243">
    <w:p w14:paraId="68D3D5C2" w14:textId="77777777" w:rsidR="00F323B2" w:rsidRPr="00710DCB" w:rsidRDefault="00F323B2" w:rsidP="000D153F">
      <w:pPr>
        <w:pStyle w:val="FootnoteText"/>
      </w:pPr>
      <w:r w:rsidRPr="00710DCB">
        <w:rPr>
          <w:rStyle w:val="FootnoteReference"/>
        </w:rPr>
        <w:footnoteRef/>
      </w:r>
      <w:r w:rsidRPr="00710DCB">
        <w:t xml:space="preserve"> </w:t>
      </w:r>
      <w:r w:rsidRPr="00710DCB">
        <w:tab/>
        <w:t>Sections 137-148 of the NGL. These provisions are referred to as ‘ring fencing’ and associate contract obligations.</w:t>
      </w:r>
    </w:p>
  </w:footnote>
  <w:footnote w:id="244">
    <w:p w14:paraId="21BC63A5" w14:textId="77777777" w:rsidR="00F323B2" w:rsidRPr="00710DCB" w:rsidRDefault="00F323B2" w:rsidP="000D153F">
      <w:pPr>
        <w:pStyle w:val="FootnoteText"/>
      </w:pPr>
      <w:r w:rsidRPr="00710DCB">
        <w:rPr>
          <w:rStyle w:val="FootnoteReference"/>
        </w:rPr>
        <w:footnoteRef/>
      </w:r>
      <w:r w:rsidRPr="00710DCB">
        <w:t xml:space="preserve"> </w:t>
      </w:r>
      <w:r w:rsidRPr="00710DCB">
        <w:tab/>
        <w:t xml:space="preserve">See </w:t>
      </w:r>
      <w:r>
        <w:t xml:space="preserve">rule </w:t>
      </w:r>
      <w:r w:rsidRPr="00710DCB">
        <w:t xml:space="preserve">36 of the NGR. </w:t>
      </w:r>
    </w:p>
  </w:footnote>
  <w:footnote w:id="245">
    <w:p w14:paraId="5347878F" w14:textId="77777777" w:rsidR="00F323B2" w:rsidRPr="00710DCB" w:rsidRDefault="00F323B2" w:rsidP="000D153F">
      <w:pPr>
        <w:pStyle w:val="FootnoteText"/>
      </w:pPr>
      <w:r w:rsidRPr="00710DCB">
        <w:rPr>
          <w:rStyle w:val="FootnoteReference"/>
        </w:rPr>
        <w:footnoteRef/>
      </w:r>
      <w:r w:rsidRPr="00710DCB">
        <w:t xml:space="preserve"> </w:t>
      </w:r>
      <w:r w:rsidRPr="00710DCB">
        <w:tab/>
        <w:t xml:space="preserve">See </w:t>
      </w:r>
      <w:r>
        <w:t xml:space="preserve">rule </w:t>
      </w:r>
      <w:r w:rsidRPr="00710DCB">
        <w:t>36(1)(c)</w:t>
      </w:r>
      <w:r>
        <w:t xml:space="preserve"> of the NGR</w:t>
      </w:r>
      <w:r w:rsidRPr="00710DCB">
        <w:t>.</w:t>
      </w:r>
    </w:p>
  </w:footnote>
  <w:footnote w:id="246">
    <w:p w14:paraId="7A2851E3" w14:textId="77777777" w:rsidR="00F323B2" w:rsidRPr="00710DCB" w:rsidRDefault="00F323B2" w:rsidP="000D153F">
      <w:pPr>
        <w:pStyle w:val="FootnoteText"/>
      </w:pPr>
      <w:r w:rsidRPr="00710DCB">
        <w:rPr>
          <w:rStyle w:val="FootnoteReference"/>
        </w:rPr>
        <w:footnoteRef/>
      </w:r>
      <w:r w:rsidRPr="00710DCB">
        <w:t xml:space="preserve"> </w:t>
      </w:r>
      <w:r w:rsidRPr="00710DCB">
        <w:tab/>
        <w:t xml:space="preserve">See </w:t>
      </w:r>
      <w:r>
        <w:t xml:space="preserve">rule </w:t>
      </w:r>
      <w:r w:rsidRPr="00710DCB">
        <w:t xml:space="preserve">36C of the NGR. </w:t>
      </w:r>
    </w:p>
  </w:footnote>
  <w:footnote w:id="247">
    <w:p w14:paraId="77DA629A" w14:textId="77777777" w:rsidR="00F323B2" w:rsidRPr="00710DCB" w:rsidRDefault="00F323B2" w:rsidP="000D153F">
      <w:pPr>
        <w:pStyle w:val="FootnoteText"/>
      </w:pPr>
      <w:r w:rsidRPr="00710DCB">
        <w:rPr>
          <w:rStyle w:val="FootnoteReference"/>
        </w:rPr>
        <w:footnoteRef/>
      </w:r>
      <w:r w:rsidRPr="00710DCB">
        <w:t xml:space="preserve"> </w:t>
      </w:r>
      <w:r w:rsidRPr="00710DCB">
        <w:tab/>
        <w:t xml:space="preserve">Note that these obligations only apply to distribution pipelines and, in some cases, they only apply to large distribution pipelines. Similar but not identical obligations apply to transmission pipelines through the Natural Gas Services Bulletin Board reporting obligations in Part 18 of the NGR for pipelines located in the Northern Territory and </w:t>
      </w:r>
      <w:r>
        <w:t>e</w:t>
      </w:r>
      <w:r w:rsidRPr="00710DCB">
        <w:t>astern Australia.</w:t>
      </w:r>
    </w:p>
  </w:footnote>
  <w:footnote w:id="248">
    <w:p w14:paraId="1005B8F1" w14:textId="77777777" w:rsidR="00F323B2" w:rsidRPr="00710DCB" w:rsidRDefault="00F323B2" w:rsidP="000D153F">
      <w:pPr>
        <w:pStyle w:val="FootnoteText"/>
      </w:pPr>
      <w:r w:rsidRPr="00710DCB">
        <w:rPr>
          <w:rStyle w:val="FootnoteReference"/>
        </w:rPr>
        <w:footnoteRef/>
      </w:r>
      <w:r w:rsidRPr="00710DCB">
        <w:t xml:space="preserve"> </w:t>
      </w:r>
      <w:r w:rsidRPr="00710DCB">
        <w:tab/>
        <w:t xml:space="preserve">See </w:t>
      </w:r>
      <w:r>
        <w:t>rules</w:t>
      </w:r>
      <w:r w:rsidRPr="00710DCB">
        <w:t xml:space="preserve"> 36D and 36E of the NGR. Note that exemptions are currently available from the obligation to publish weighted average prices for each service if there are less than three shippers using a particular service. </w:t>
      </w:r>
    </w:p>
  </w:footnote>
  <w:footnote w:id="249">
    <w:p w14:paraId="4694A6EE" w14:textId="77777777" w:rsidR="00F323B2" w:rsidRPr="00710DCB" w:rsidRDefault="00F323B2" w:rsidP="000D153F">
      <w:pPr>
        <w:pStyle w:val="FootnoteText"/>
      </w:pPr>
      <w:r w:rsidRPr="00710DCB">
        <w:rPr>
          <w:rStyle w:val="FootnoteReference"/>
        </w:rPr>
        <w:footnoteRef/>
      </w:r>
      <w:r w:rsidRPr="00710DCB">
        <w:t xml:space="preserve"> </w:t>
      </w:r>
      <w:r w:rsidRPr="00710DCB">
        <w:tab/>
      </w:r>
      <w:r>
        <w:t>See r</w:t>
      </w:r>
      <w:r w:rsidRPr="00710DCB">
        <w:t>ule 37 of the NGR and AER, Annual Compliance Order, 2008.</w:t>
      </w:r>
    </w:p>
  </w:footnote>
  <w:footnote w:id="250">
    <w:p w14:paraId="4FD4C6D6" w14:textId="77777777" w:rsidR="00F323B2" w:rsidRPr="00710DCB" w:rsidRDefault="00F323B2" w:rsidP="000D153F">
      <w:pPr>
        <w:pStyle w:val="FootnoteText"/>
      </w:pPr>
      <w:r w:rsidRPr="00710DCB">
        <w:rPr>
          <w:rStyle w:val="FootnoteReference"/>
        </w:rPr>
        <w:footnoteRef/>
      </w:r>
      <w:r w:rsidRPr="00710DCB">
        <w:t xml:space="preserve"> </w:t>
      </w:r>
      <w:r w:rsidRPr="00710DCB">
        <w:tab/>
        <w:t>Where the option is used, and the limited access arrangement is in force and is accessible on the service provider's website, the terms and conditions of access (other than price) need not be separately published on the service provider’s website.</w:t>
      </w:r>
    </w:p>
  </w:footnote>
  <w:footnote w:id="251">
    <w:p w14:paraId="30DCD96F" w14:textId="77777777" w:rsidR="00F323B2" w:rsidRPr="00710DCB" w:rsidRDefault="00F323B2" w:rsidP="000D153F">
      <w:pPr>
        <w:pStyle w:val="FootnoteText"/>
      </w:pPr>
      <w:r w:rsidRPr="00710DCB">
        <w:rPr>
          <w:rStyle w:val="FootnoteReference"/>
        </w:rPr>
        <w:footnoteRef/>
      </w:r>
      <w:r w:rsidRPr="00710DCB">
        <w:t xml:space="preserve"> </w:t>
      </w:r>
      <w:r w:rsidRPr="00710DCB">
        <w:tab/>
        <w:t>Chapter 6 of the NGL and Part 12 of the NGR.</w:t>
      </w:r>
    </w:p>
  </w:footnote>
  <w:footnote w:id="252">
    <w:p w14:paraId="238E3B10" w14:textId="77777777" w:rsidR="00F323B2" w:rsidRPr="00710DCB" w:rsidRDefault="00F323B2" w:rsidP="000D153F">
      <w:pPr>
        <w:pStyle w:val="FootnoteText"/>
      </w:pPr>
      <w:r w:rsidRPr="00710DCB">
        <w:rPr>
          <w:rStyle w:val="FootnoteReference"/>
        </w:rPr>
        <w:footnoteRef/>
      </w:r>
      <w:r w:rsidRPr="00710DCB">
        <w:t xml:space="preserve"> </w:t>
      </w:r>
      <w:r w:rsidRPr="00710DCB">
        <w:tab/>
      </w:r>
      <w:r>
        <w:t xml:space="preserve">See s. </w:t>
      </w:r>
      <w:r w:rsidRPr="00710DCB">
        <w:t>136 of the NGL.</w:t>
      </w:r>
    </w:p>
  </w:footnote>
  <w:footnote w:id="253">
    <w:p w14:paraId="227C9015" w14:textId="77777777" w:rsidR="00F323B2" w:rsidRPr="00710DCB" w:rsidRDefault="00F323B2" w:rsidP="000D153F">
      <w:pPr>
        <w:pStyle w:val="FootnoteText"/>
      </w:pPr>
      <w:r w:rsidRPr="00710DCB">
        <w:rPr>
          <w:rStyle w:val="FootnoteReference"/>
        </w:rPr>
        <w:footnoteRef/>
      </w:r>
      <w:r w:rsidRPr="00710DCB">
        <w:t xml:space="preserve"> </w:t>
      </w:r>
      <w:r w:rsidRPr="00710DCB">
        <w:tab/>
      </w:r>
      <w:r>
        <w:t xml:space="preserve">See rule </w:t>
      </w:r>
      <w:r w:rsidRPr="00710DCB">
        <w:t>546 of the NGR.</w:t>
      </w:r>
    </w:p>
  </w:footnote>
  <w:footnote w:id="254">
    <w:p w14:paraId="1FB0431B" w14:textId="77777777" w:rsidR="00F323B2" w:rsidRPr="00710DCB" w:rsidRDefault="00F323B2" w:rsidP="000D153F">
      <w:pPr>
        <w:pStyle w:val="FootnoteText"/>
      </w:pPr>
      <w:r w:rsidRPr="00710DCB">
        <w:rPr>
          <w:rStyle w:val="FootnoteReference"/>
        </w:rPr>
        <w:footnoteRef/>
      </w:r>
      <w:r w:rsidRPr="00710DCB">
        <w:t xml:space="preserve"> </w:t>
      </w:r>
      <w:r w:rsidRPr="00710DCB">
        <w:tab/>
        <w:t xml:space="preserve">Note that exemptions are currently available from the obligation to publish weighted average prices for each service if there are less than three shippers using a particular service. See </w:t>
      </w:r>
      <w:r>
        <w:t xml:space="preserve">rule </w:t>
      </w:r>
      <w:r w:rsidRPr="00710DCB">
        <w:t>556(3).</w:t>
      </w:r>
    </w:p>
  </w:footnote>
  <w:footnote w:id="255">
    <w:p w14:paraId="480B359B" w14:textId="77777777" w:rsidR="00F323B2" w:rsidRDefault="00F323B2">
      <w:pPr>
        <w:pStyle w:val="FootnoteText"/>
      </w:pPr>
      <w:r>
        <w:rPr>
          <w:rStyle w:val="FootnoteReference"/>
        </w:rPr>
        <w:footnoteRef/>
      </w:r>
      <w:r>
        <w:t xml:space="preserve"> </w:t>
      </w:r>
      <w:r>
        <w:tab/>
        <w:t xml:space="preserve">See </w:t>
      </w:r>
      <w:r w:rsidRPr="00580C57">
        <w:t>https://www.aer.gov.au/networks-pipelines/non-scheme-pipelines/arbitration-of-access-disputes</w:t>
      </w:r>
    </w:p>
  </w:footnote>
  <w:footnote w:id="256">
    <w:p w14:paraId="71144A21" w14:textId="77777777" w:rsidR="00F323B2" w:rsidRPr="00710DCB" w:rsidRDefault="00F323B2" w:rsidP="000D153F">
      <w:pPr>
        <w:pStyle w:val="FootnoteText"/>
      </w:pPr>
      <w:r w:rsidRPr="00710DCB">
        <w:rPr>
          <w:rStyle w:val="FootnoteReference"/>
        </w:rPr>
        <w:footnoteRef/>
      </w:r>
      <w:r w:rsidRPr="00710DCB">
        <w:t xml:space="preserve"> </w:t>
      </w:r>
      <w:r w:rsidRPr="00710DCB">
        <w:tab/>
        <w:t>GMRG, Final Design Recommendation: Gas Pipeline Information Disclosure and Arbitration Framework, June 2017, pp. 52-53.</w:t>
      </w:r>
    </w:p>
  </w:footnote>
  <w:footnote w:id="257">
    <w:p w14:paraId="326CD77D" w14:textId="77777777" w:rsidR="00F323B2" w:rsidRPr="00710DCB" w:rsidRDefault="00F323B2" w:rsidP="000D153F">
      <w:pPr>
        <w:pStyle w:val="FootnoteText"/>
        <w:spacing w:before="20" w:after="0"/>
      </w:pPr>
      <w:r w:rsidRPr="00710DCB">
        <w:rPr>
          <w:rStyle w:val="FootnoteReference"/>
        </w:rPr>
        <w:footnoteRef/>
      </w:r>
      <w:r w:rsidRPr="00710DCB">
        <w:t xml:space="preserve"> </w:t>
      </w:r>
      <w:r w:rsidRPr="00710DCB">
        <w:tab/>
        <w:t xml:space="preserve">These provisions also enable the operators of greenfield international pipelines to seek a 15-year exemption from price regulation. </w:t>
      </w:r>
    </w:p>
  </w:footnote>
  <w:footnote w:id="258">
    <w:p w14:paraId="1493A7DC" w14:textId="77777777" w:rsidR="00F323B2" w:rsidRPr="00710DCB" w:rsidRDefault="00F323B2" w:rsidP="000D153F">
      <w:pPr>
        <w:pStyle w:val="FootnoteText"/>
        <w:spacing w:before="20" w:after="0"/>
      </w:pPr>
      <w:r w:rsidRPr="00710DCB">
        <w:rPr>
          <w:rStyle w:val="FootnoteReference"/>
        </w:rPr>
        <w:footnoteRef/>
      </w:r>
      <w:r w:rsidRPr="00710DCB">
        <w:t xml:space="preserve"> </w:t>
      </w:r>
      <w:r w:rsidRPr="00710DCB">
        <w:tab/>
        <w:t>The four pipelines include: APA’s Wallumbilla to Gladstone Pipeline; APLNG’s Surat Basin to Curtis Island pipeline; and GLNG’s Comet Ridge to Wallumbilla Pipeline Loop and Surat Basin to Curtis Island pipeline. The Wallumbilla to Gladstone Pipeline is subject to Part 23.</w:t>
      </w:r>
    </w:p>
  </w:footnote>
  <w:footnote w:id="259">
    <w:p w14:paraId="7F9B6767" w14:textId="77777777" w:rsidR="00F323B2" w:rsidRPr="00710DCB" w:rsidRDefault="00F323B2" w:rsidP="000D153F">
      <w:pPr>
        <w:pStyle w:val="FootnoteText"/>
        <w:spacing w:before="20" w:after="0"/>
      </w:pPr>
      <w:r w:rsidRPr="00710DCB">
        <w:rPr>
          <w:rStyle w:val="FootnoteReference"/>
        </w:rPr>
        <w:footnoteRef/>
      </w:r>
      <w:r w:rsidRPr="00710DCB">
        <w:t xml:space="preserve"> </w:t>
      </w:r>
      <w:r w:rsidRPr="00710DCB">
        <w:tab/>
        <w:t xml:space="preserve">These pipelines include, the APLNG Pipeline, the GLNG Pipeline, the Comet Ridge to Wallumbilla Pipeline Loop and the Wallumbilla to Gladstone Pipeline. </w:t>
      </w:r>
    </w:p>
  </w:footnote>
  <w:footnote w:id="260">
    <w:p w14:paraId="07DADB60" w14:textId="77777777" w:rsidR="00F323B2" w:rsidRPr="00710DCB" w:rsidRDefault="00F323B2" w:rsidP="000D153F">
      <w:pPr>
        <w:pStyle w:val="FootnoteText"/>
        <w:spacing w:before="20" w:after="0"/>
      </w:pPr>
      <w:r w:rsidRPr="00710DCB">
        <w:rPr>
          <w:rStyle w:val="FootnoteReference"/>
        </w:rPr>
        <w:footnoteRef/>
      </w:r>
      <w:r w:rsidRPr="00710DCB">
        <w:t xml:space="preserve"> </w:t>
      </w:r>
      <w:r w:rsidRPr="00710DCB">
        <w:tab/>
        <w:t xml:space="preserve">Rule 21(1)(b) of the NGR currently limits the application of these provisions to new pipelines. </w:t>
      </w:r>
    </w:p>
  </w:footnote>
  <w:footnote w:id="261">
    <w:p w14:paraId="721E9636" w14:textId="77777777" w:rsidR="00F323B2" w:rsidRPr="00710DCB" w:rsidRDefault="00F323B2" w:rsidP="000D153F">
      <w:pPr>
        <w:pStyle w:val="FootnoteText"/>
        <w:spacing w:before="20" w:after="0"/>
      </w:pPr>
      <w:r w:rsidRPr="00710DCB">
        <w:rPr>
          <w:rStyle w:val="FootnoteReference"/>
        </w:rPr>
        <w:footnoteRef/>
      </w:r>
      <w:r w:rsidRPr="00710DCB">
        <w:t xml:space="preserve"> </w:t>
      </w:r>
      <w:r w:rsidRPr="00710DCB">
        <w:tab/>
        <w:t xml:space="preserve">The terms and conditions in the successful tender may be amended, with the regulator’s approval, by agreement between the proponent and the service provider prior to the submission of the access arrangement. </w:t>
      </w:r>
    </w:p>
  </w:footnote>
  <w:footnote w:id="262">
    <w:p w14:paraId="1A75997E" w14:textId="77777777" w:rsidR="00F323B2" w:rsidRPr="00710DCB" w:rsidRDefault="00F323B2" w:rsidP="000D153F">
      <w:pPr>
        <w:pStyle w:val="FootnoteText"/>
        <w:spacing w:before="20" w:after="0"/>
      </w:pPr>
      <w:r w:rsidRPr="00710DCB">
        <w:rPr>
          <w:rStyle w:val="FootnoteReference"/>
        </w:rPr>
        <w:footnoteRef/>
      </w:r>
      <w:r w:rsidRPr="00710DCB">
        <w:t xml:space="preserve"> </w:t>
      </w:r>
      <w:r w:rsidRPr="00710DCB">
        <w:tab/>
        <w:t xml:space="preserve">These pipelines include the Central Ranges Pipeline and the Central Ranges Gas Network. Another CTP process was also approved under the Gas Code for the </w:t>
      </w:r>
      <w:r w:rsidRPr="00710DCB">
        <w:rPr>
          <w:lang w:val="en-NZ"/>
        </w:rPr>
        <w:t>Loddon Murray Region System but the tender did not attract any bids</w:t>
      </w:r>
      <w:r w:rsidRPr="00710DCB">
        <w:t>.</w:t>
      </w:r>
    </w:p>
  </w:footnote>
  <w:footnote w:id="263">
    <w:p w14:paraId="2C8E44A0" w14:textId="77777777" w:rsidR="00F323B2" w:rsidRPr="00710DCB" w:rsidRDefault="00F323B2" w:rsidP="008A66E8">
      <w:pPr>
        <w:pStyle w:val="FootnoteText"/>
      </w:pPr>
      <w:r w:rsidRPr="00710DCB">
        <w:rPr>
          <w:rStyle w:val="FootnoteReference"/>
        </w:rPr>
        <w:footnoteRef/>
      </w:r>
      <w:r w:rsidRPr="00710DCB">
        <w:t xml:space="preserve"> </w:t>
      </w:r>
      <w:r w:rsidRPr="00710DCB">
        <w:tab/>
        <w:t xml:space="preserve">Copies of the OGW and </w:t>
      </w:r>
      <w:r>
        <w:t>Brattle</w:t>
      </w:r>
      <w:r w:rsidRPr="00710DCB">
        <w:t xml:space="preserve"> reports can be found on the </w:t>
      </w:r>
      <w:r w:rsidRPr="00807EA1">
        <w:t xml:space="preserve">Energy </w:t>
      </w:r>
      <w:r>
        <w:t xml:space="preserve">Ministers’ </w:t>
      </w:r>
      <w:r w:rsidRPr="00710DCB">
        <w:t>website.</w:t>
      </w:r>
    </w:p>
  </w:footnote>
  <w:footnote w:id="264">
    <w:p w14:paraId="68EB7D66" w14:textId="77777777" w:rsidR="00F323B2" w:rsidRPr="00710DCB" w:rsidRDefault="00F323B2" w:rsidP="00AD50BB">
      <w:pPr>
        <w:pStyle w:val="FootnoteText"/>
      </w:pPr>
      <w:r w:rsidRPr="00710DCB">
        <w:rPr>
          <w:rStyle w:val="FootnoteReference"/>
        </w:rPr>
        <w:footnoteRef/>
      </w:r>
      <w:r w:rsidRPr="00710DCB">
        <w:t xml:space="preserve"> </w:t>
      </w:r>
      <w:r w:rsidRPr="00710DCB">
        <w:tab/>
        <w:t>ACCC, Inquiry into the east coast gas market, April 2016, pp. 8-9.</w:t>
      </w:r>
    </w:p>
  </w:footnote>
  <w:footnote w:id="265">
    <w:p w14:paraId="2D3692A4" w14:textId="77777777" w:rsidR="00F323B2" w:rsidRPr="00710DCB" w:rsidRDefault="00F323B2" w:rsidP="00AD50BB">
      <w:pPr>
        <w:pStyle w:val="FootnoteText"/>
      </w:pPr>
      <w:r w:rsidRPr="00710DCB">
        <w:rPr>
          <w:rStyle w:val="FootnoteReference"/>
        </w:rPr>
        <w:footnoteRef/>
      </w:r>
      <w:r w:rsidRPr="00710DCB">
        <w:t xml:space="preserve"> </w:t>
      </w:r>
      <w:r w:rsidRPr="00710DCB">
        <w:tab/>
        <w:t>ibid, p. 18.</w:t>
      </w:r>
    </w:p>
  </w:footnote>
  <w:footnote w:id="266">
    <w:p w14:paraId="21A4563A" w14:textId="77777777" w:rsidR="00F323B2" w:rsidRPr="00710DCB" w:rsidRDefault="00F323B2" w:rsidP="00AD50BB">
      <w:pPr>
        <w:pStyle w:val="FootnoteText"/>
      </w:pPr>
      <w:r w:rsidRPr="00710DCB">
        <w:rPr>
          <w:rStyle w:val="FootnoteReference"/>
        </w:rPr>
        <w:footnoteRef/>
      </w:r>
      <w:r w:rsidRPr="00710DCB">
        <w:t xml:space="preserve"> </w:t>
      </w:r>
      <w:r w:rsidRPr="00710DCB">
        <w:tab/>
        <w:t>ibid, Chapter 7.</w:t>
      </w:r>
    </w:p>
  </w:footnote>
  <w:footnote w:id="267">
    <w:p w14:paraId="388CAED6" w14:textId="77777777" w:rsidR="00F323B2" w:rsidRPr="00710DCB" w:rsidRDefault="00F323B2" w:rsidP="00AD50BB">
      <w:pPr>
        <w:pStyle w:val="FootnoteText"/>
      </w:pPr>
      <w:r w:rsidRPr="00710DCB">
        <w:rPr>
          <w:rStyle w:val="FootnoteReference"/>
        </w:rPr>
        <w:footnoteRef/>
      </w:r>
      <w:r w:rsidRPr="00710DCB">
        <w:t xml:space="preserve"> </w:t>
      </w:r>
      <w:r w:rsidRPr="00710DCB">
        <w:tab/>
        <w:t>The gaps in the framework that the ACCC identified were the limited number of reference services subject to ex ante approval by the relevant regulator and the ability for pipelines to exclude expansions from the covered pipeline.</w:t>
      </w:r>
    </w:p>
  </w:footnote>
  <w:footnote w:id="268">
    <w:p w14:paraId="081C1153" w14:textId="77777777" w:rsidR="00F323B2" w:rsidRPr="00710DCB" w:rsidRDefault="00F323B2" w:rsidP="00AD50BB">
      <w:pPr>
        <w:pStyle w:val="FootnoteText"/>
      </w:pPr>
      <w:r w:rsidRPr="00710DCB">
        <w:rPr>
          <w:rStyle w:val="FootnoteReference"/>
        </w:rPr>
        <w:footnoteRef/>
      </w:r>
      <w:r w:rsidRPr="00710DCB">
        <w:t xml:space="preserve"> </w:t>
      </w:r>
      <w:r w:rsidRPr="00710DCB">
        <w:tab/>
        <w:t xml:space="preserve">The ACCC noted that market participants had informed it that the costs and resources associated with an access dispute, coupled with the uncertainty surrounding the final outcome, discouraged shippers from triggering these provisions. </w:t>
      </w:r>
    </w:p>
  </w:footnote>
  <w:footnote w:id="269">
    <w:p w14:paraId="37D15EDE" w14:textId="77777777" w:rsidR="00F323B2" w:rsidRPr="00710DCB" w:rsidRDefault="00F323B2" w:rsidP="00AD50BB">
      <w:pPr>
        <w:pStyle w:val="FootnoteText"/>
      </w:pPr>
      <w:r w:rsidRPr="00710DCB">
        <w:rPr>
          <w:rStyle w:val="FootnoteReference"/>
        </w:rPr>
        <w:footnoteRef/>
      </w:r>
      <w:r w:rsidRPr="00710DCB">
        <w:t xml:space="preserve"> </w:t>
      </w:r>
      <w:r w:rsidRPr="00710DCB">
        <w:tab/>
        <w:t>ACCC, Inquiry into the east coast gas market, April 2016, p. 20.</w:t>
      </w:r>
    </w:p>
  </w:footnote>
  <w:footnote w:id="270">
    <w:p w14:paraId="76312996" w14:textId="77777777" w:rsidR="00F323B2" w:rsidRPr="00710DCB" w:rsidRDefault="00F323B2" w:rsidP="00AD50BB">
      <w:pPr>
        <w:pStyle w:val="FootnoteText"/>
      </w:pPr>
      <w:r w:rsidRPr="00710DCB">
        <w:rPr>
          <w:rStyle w:val="FootnoteReference"/>
        </w:rPr>
        <w:footnoteRef/>
      </w:r>
      <w:r w:rsidRPr="00710DCB">
        <w:t xml:space="preserve"> </w:t>
      </w:r>
      <w:r w:rsidRPr="00710DCB">
        <w:tab/>
        <w:t>ibid, p. 137.</w:t>
      </w:r>
    </w:p>
  </w:footnote>
  <w:footnote w:id="271">
    <w:p w14:paraId="57154F82" w14:textId="77777777" w:rsidR="00F323B2" w:rsidRPr="00710DCB" w:rsidRDefault="00F323B2" w:rsidP="00AD50BB">
      <w:pPr>
        <w:pStyle w:val="FootnoteText"/>
      </w:pPr>
      <w:r w:rsidRPr="00710DCB">
        <w:rPr>
          <w:rStyle w:val="FootnoteReference"/>
        </w:rPr>
        <w:footnoteRef/>
      </w:r>
      <w:r w:rsidRPr="00710DCB">
        <w:t xml:space="preserve"> </w:t>
      </w:r>
      <w:r w:rsidRPr="00710DCB">
        <w:tab/>
        <w:t>COAG Energy Council, Bulletin Two: Gas Market Reform Package, August 2016.</w:t>
      </w:r>
    </w:p>
  </w:footnote>
  <w:footnote w:id="272">
    <w:p w14:paraId="67981D58" w14:textId="77777777" w:rsidR="00F323B2" w:rsidRPr="00710DCB" w:rsidRDefault="00F323B2" w:rsidP="00AD50BB">
      <w:pPr>
        <w:pStyle w:val="FootnoteText"/>
        <w:rPr>
          <w:szCs w:val="16"/>
        </w:rPr>
      </w:pPr>
      <w:r w:rsidRPr="00710DCB">
        <w:rPr>
          <w:rStyle w:val="FootnoteReference"/>
          <w:szCs w:val="16"/>
        </w:rPr>
        <w:footnoteRef/>
      </w:r>
      <w:r w:rsidRPr="00710DCB">
        <w:rPr>
          <w:szCs w:val="16"/>
        </w:rPr>
        <w:t xml:space="preserve"> </w:t>
      </w:r>
      <w:r w:rsidRPr="00710DCB">
        <w:rPr>
          <w:szCs w:val="16"/>
        </w:rPr>
        <w:tab/>
        <w:t>AEMC, Stage 2 Final Report: East Coast Wholesale Gas Markets and Pipeline Frameworks Review, 23 May 2016</w:t>
      </w:r>
      <w:r w:rsidRPr="00710DCB">
        <w:rPr>
          <w:rFonts w:cs="Gotham Light"/>
          <w:color w:val="000000"/>
          <w:szCs w:val="16"/>
        </w:rPr>
        <w:t xml:space="preserve">, p. 112 </w:t>
      </w:r>
      <w:r w:rsidRPr="00710DCB">
        <w:rPr>
          <w:szCs w:val="16"/>
        </w:rPr>
        <w:t xml:space="preserve"> </w:t>
      </w:r>
    </w:p>
  </w:footnote>
  <w:footnote w:id="273">
    <w:p w14:paraId="51AAA11E" w14:textId="77777777" w:rsidR="00F323B2" w:rsidRPr="00710DCB" w:rsidRDefault="00F323B2" w:rsidP="00AD50BB">
      <w:pPr>
        <w:pStyle w:val="FootnoteText"/>
        <w:rPr>
          <w:szCs w:val="16"/>
        </w:rPr>
      </w:pPr>
      <w:r w:rsidRPr="00710DCB">
        <w:rPr>
          <w:rStyle w:val="FootnoteReference"/>
          <w:szCs w:val="16"/>
        </w:rPr>
        <w:footnoteRef/>
      </w:r>
      <w:r w:rsidRPr="00710DCB">
        <w:rPr>
          <w:szCs w:val="16"/>
        </w:rPr>
        <w:t xml:space="preserve"> </w:t>
      </w:r>
      <w:r w:rsidRPr="00710DCB">
        <w:rPr>
          <w:szCs w:val="16"/>
        </w:rPr>
        <w:tab/>
      </w:r>
      <w:r w:rsidRPr="00710DCB">
        <w:rPr>
          <w:rFonts w:cs="Gotham Light"/>
          <w:color w:val="000000"/>
          <w:szCs w:val="16"/>
        </w:rPr>
        <w:t>Incenta, Assessment of the coverage criteria for the gas pipeline access regime, September 2015, p. 24.</w:t>
      </w:r>
    </w:p>
  </w:footnote>
  <w:footnote w:id="274">
    <w:p w14:paraId="19F3E82C" w14:textId="77777777" w:rsidR="00F323B2" w:rsidRPr="00710DCB" w:rsidRDefault="00F323B2" w:rsidP="00AD50BB">
      <w:pPr>
        <w:pStyle w:val="FootnoteText"/>
        <w:rPr>
          <w:szCs w:val="16"/>
        </w:rPr>
      </w:pPr>
      <w:r w:rsidRPr="00710DCB">
        <w:rPr>
          <w:rStyle w:val="FootnoteReference"/>
          <w:szCs w:val="16"/>
        </w:rPr>
        <w:footnoteRef/>
      </w:r>
      <w:r w:rsidRPr="00710DCB">
        <w:rPr>
          <w:szCs w:val="16"/>
        </w:rPr>
        <w:t xml:space="preserve"> </w:t>
      </w:r>
      <w:r w:rsidRPr="00710DCB">
        <w:rPr>
          <w:szCs w:val="16"/>
        </w:rPr>
        <w:tab/>
      </w:r>
      <w:r w:rsidRPr="00710DCB">
        <w:rPr>
          <w:rFonts w:cs="Gotham Light"/>
          <w:color w:val="000000"/>
          <w:szCs w:val="16"/>
        </w:rPr>
        <w:t>ibid, p. 30.</w:t>
      </w:r>
    </w:p>
  </w:footnote>
  <w:footnote w:id="275">
    <w:p w14:paraId="3D1EA585" w14:textId="77777777" w:rsidR="00F323B2" w:rsidRPr="00710DCB" w:rsidRDefault="00F323B2" w:rsidP="00AD50BB">
      <w:pPr>
        <w:pStyle w:val="FootnoteText"/>
        <w:rPr>
          <w:szCs w:val="16"/>
        </w:rPr>
      </w:pPr>
      <w:r w:rsidRPr="00710DCB">
        <w:rPr>
          <w:rStyle w:val="FootnoteReference"/>
          <w:szCs w:val="16"/>
        </w:rPr>
        <w:footnoteRef/>
      </w:r>
      <w:r w:rsidRPr="00710DCB">
        <w:rPr>
          <w:szCs w:val="16"/>
        </w:rPr>
        <w:t xml:space="preserve"> </w:t>
      </w:r>
      <w:r w:rsidRPr="00710DCB">
        <w:rPr>
          <w:szCs w:val="16"/>
        </w:rPr>
        <w:tab/>
      </w:r>
      <w:r w:rsidRPr="00710DCB">
        <w:rPr>
          <w:rFonts w:cs="Gotham Light"/>
          <w:color w:val="000000"/>
          <w:szCs w:val="16"/>
        </w:rPr>
        <w:t>ibid.</w:t>
      </w:r>
    </w:p>
  </w:footnote>
  <w:footnote w:id="276">
    <w:p w14:paraId="5BC0A85F" w14:textId="77777777" w:rsidR="00F323B2" w:rsidRPr="00710DCB" w:rsidRDefault="00F323B2" w:rsidP="00AD50BB">
      <w:pPr>
        <w:pStyle w:val="FootnoteText"/>
        <w:rPr>
          <w:szCs w:val="16"/>
        </w:rPr>
      </w:pPr>
      <w:r w:rsidRPr="00710DCB">
        <w:rPr>
          <w:rStyle w:val="FootnoteReference"/>
          <w:szCs w:val="16"/>
        </w:rPr>
        <w:footnoteRef/>
      </w:r>
      <w:r w:rsidRPr="00710DCB">
        <w:rPr>
          <w:szCs w:val="16"/>
        </w:rPr>
        <w:t xml:space="preserve"> </w:t>
      </w:r>
      <w:r w:rsidRPr="00710DCB">
        <w:rPr>
          <w:szCs w:val="16"/>
        </w:rPr>
        <w:tab/>
        <w:t>C</w:t>
      </w:r>
      <w:r w:rsidRPr="00710DCB">
        <w:rPr>
          <w:rFonts w:cs="Gotham Light"/>
          <w:color w:val="000000"/>
          <w:szCs w:val="16"/>
        </w:rPr>
        <w:t xml:space="preserve">astalia, AEMC Gas Access Regime Advice, 10 August 2015, p. 16 </w:t>
      </w:r>
      <w:r w:rsidRPr="00710DCB">
        <w:rPr>
          <w:szCs w:val="16"/>
        </w:rPr>
        <w:t xml:space="preserve"> </w:t>
      </w:r>
    </w:p>
  </w:footnote>
  <w:footnote w:id="277">
    <w:p w14:paraId="0908222D" w14:textId="77777777" w:rsidR="00F323B2" w:rsidRPr="00710DCB" w:rsidRDefault="00F323B2" w:rsidP="00AD50BB">
      <w:pPr>
        <w:pStyle w:val="FootnoteText"/>
      </w:pPr>
      <w:r w:rsidRPr="00710DCB">
        <w:rPr>
          <w:rStyle w:val="FootnoteReference"/>
        </w:rPr>
        <w:footnoteRef/>
      </w:r>
      <w:r w:rsidRPr="00710DCB">
        <w:t xml:space="preserve"> </w:t>
      </w:r>
      <w:r w:rsidRPr="00710DCB">
        <w:tab/>
      </w:r>
      <w:r w:rsidRPr="00710DCB">
        <w:rPr>
          <w:szCs w:val="16"/>
        </w:rPr>
        <w:t>AEMC, Stage 2 Final Report: East Coast Wholesale Gas Markets and Pipeline Frameworks Review, 23 May 2016</w:t>
      </w:r>
      <w:r w:rsidRPr="00710DCB">
        <w:rPr>
          <w:rFonts w:cs="Gotham Light"/>
          <w:color w:val="000000"/>
          <w:szCs w:val="16"/>
        </w:rPr>
        <w:t xml:space="preserve">, p. 112 </w:t>
      </w:r>
      <w:r w:rsidRPr="00710DCB">
        <w:rPr>
          <w:szCs w:val="16"/>
        </w:rPr>
        <w:t xml:space="preserve"> </w:t>
      </w:r>
    </w:p>
  </w:footnote>
  <w:footnote w:id="278">
    <w:p w14:paraId="1813CDC6" w14:textId="77777777" w:rsidR="00F323B2" w:rsidRPr="00710DCB" w:rsidRDefault="00F323B2" w:rsidP="00AD50BB">
      <w:pPr>
        <w:pStyle w:val="FootnoteText"/>
        <w:spacing w:before="20" w:after="20"/>
      </w:pPr>
      <w:r w:rsidRPr="00710DCB">
        <w:rPr>
          <w:rStyle w:val="FootnoteReference"/>
        </w:rPr>
        <w:footnoteRef/>
      </w:r>
      <w:r w:rsidRPr="00710DCB">
        <w:t xml:space="preserve"> </w:t>
      </w:r>
      <w:r w:rsidRPr="00710DCB">
        <w:tab/>
        <w:t>COAG Energy Council, Bulletin Two: Gas Market Reform Package, August 2016.</w:t>
      </w:r>
    </w:p>
  </w:footnote>
  <w:footnote w:id="279">
    <w:p w14:paraId="4AC9EBF6" w14:textId="77777777" w:rsidR="00F323B2" w:rsidRPr="00710DCB" w:rsidRDefault="00F323B2" w:rsidP="00AD50BB">
      <w:pPr>
        <w:pStyle w:val="FootnoteText"/>
      </w:pPr>
      <w:r w:rsidRPr="00710DCB">
        <w:rPr>
          <w:rStyle w:val="FootnoteReference"/>
        </w:rPr>
        <w:footnoteRef/>
      </w:r>
      <w:r w:rsidRPr="00710DCB">
        <w:t xml:space="preserve"> </w:t>
      </w:r>
      <w:r w:rsidRPr="00710DCB">
        <w:tab/>
        <w:t>Note that a derogation has been implemented that will delay the application of the day-ahead auction to transportation facilities located wholly or partly in the Northern Territory for a period of time.</w:t>
      </w:r>
    </w:p>
  </w:footnote>
  <w:footnote w:id="280">
    <w:p w14:paraId="3F6E1DB3" w14:textId="77777777" w:rsidR="00F323B2" w:rsidRPr="00710DCB" w:rsidRDefault="00F323B2" w:rsidP="00AD50BB">
      <w:pPr>
        <w:pStyle w:val="FootnoteText"/>
        <w:spacing w:before="20" w:after="20"/>
      </w:pPr>
      <w:r w:rsidRPr="00710DCB">
        <w:rPr>
          <w:rStyle w:val="FootnoteReference"/>
        </w:rPr>
        <w:footnoteRef/>
      </w:r>
      <w:r w:rsidRPr="00710DCB">
        <w:t xml:space="preserve"> </w:t>
      </w:r>
      <w:r w:rsidRPr="00710DCB">
        <w:tab/>
        <w:t>Vertigan, M., Examination of the current test for the regulation of gas pipelines, 14 December 2016, pp. 9-10.</w:t>
      </w:r>
    </w:p>
  </w:footnote>
  <w:footnote w:id="281">
    <w:p w14:paraId="7E7633FD" w14:textId="77777777" w:rsidR="00F323B2" w:rsidRPr="00710DCB" w:rsidRDefault="00F323B2" w:rsidP="00AD50BB">
      <w:pPr>
        <w:pStyle w:val="FootnoteText"/>
        <w:spacing w:before="20" w:after="20"/>
      </w:pPr>
      <w:r w:rsidRPr="00710DCB">
        <w:rPr>
          <w:rStyle w:val="FootnoteReference"/>
        </w:rPr>
        <w:footnoteRef/>
      </w:r>
      <w:r w:rsidRPr="00710DCB">
        <w:t xml:space="preserve"> </w:t>
      </w:r>
      <w:r w:rsidRPr="00710DCB">
        <w:tab/>
        <w:t>ibid, pp. 12-13.</w:t>
      </w:r>
    </w:p>
  </w:footnote>
  <w:footnote w:id="282">
    <w:p w14:paraId="17B57A8E" w14:textId="77777777" w:rsidR="00F323B2" w:rsidRPr="00710DCB" w:rsidRDefault="00F323B2" w:rsidP="00AD50BB">
      <w:pPr>
        <w:pStyle w:val="FootnoteText"/>
        <w:tabs>
          <w:tab w:val="left" w:pos="1095"/>
        </w:tabs>
        <w:spacing w:before="20" w:after="20"/>
      </w:pPr>
      <w:r w:rsidRPr="00710DCB">
        <w:rPr>
          <w:rStyle w:val="FootnoteReference"/>
        </w:rPr>
        <w:footnoteRef/>
      </w:r>
      <w:r w:rsidRPr="00710DCB">
        <w:t xml:space="preserve"> </w:t>
      </w:r>
      <w:r w:rsidRPr="00710DCB">
        <w:tab/>
        <w:t>ibid, p. 78.</w:t>
      </w:r>
    </w:p>
  </w:footnote>
  <w:footnote w:id="283">
    <w:p w14:paraId="282B66FD" w14:textId="77777777" w:rsidR="00F323B2" w:rsidRPr="00710DCB" w:rsidRDefault="00F323B2" w:rsidP="00AD50BB">
      <w:pPr>
        <w:pStyle w:val="FootnoteText"/>
        <w:spacing w:before="20" w:after="20"/>
      </w:pPr>
      <w:r w:rsidRPr="00710DCB">
        <w:rPr>
          <w:rStyle w:val="FootnoteReference"/>
        </w:rPr>
        <w:footnoteRef/>
      </w:r>
      <w:r w:rsidRPr="00710DCB">
        <w:t xml:space="preserve"> </w:t>
      </w:r>
      <w:r w:rsidRPr="00710DCB">
        <w:tab/>
        <w:t>ibid, pp. 13-15.</w:t>
      </w:r>
    </w:p>
  </w:footnote>
  <w:footnote w:id="284">
    <w:p w14:paraId="241AC3BD" w14:textId="77777777" w:rsidR="00F323B2" w:rsidRPr="00710DCB" w:rsidRDefault="00F323B2" w:rsidP="00AD50BB">
      <w:pPr>
        <w:pStyle w:val="FootnoteText"/>
      </w:pPr>
      <w:r w:rsidRPr="00710DCB">
        <w:rPr>
          <w:rStyle w:val="FootnoteReference"/>
        </w:rPr>
        <w:footnoteRef/>
      </w:r>
      <w:r w:rsidRPr="00710DCB">
        <w:t xml:space="preserve"> </w:t>
      </w:r>
      <w:r w:rsidRPr="00710DCB">
        <w:tab/>
        <w:t>GMRG, Final Design Recommendation: Gas Pipeline Information Disclosure and Arbitration Framework, June 2017, p. 53.</w:t>
      </w:r>
    </w:p>
  </w:footnote>
  <w:footnote w:id="285">
    <w:p w14:paraId="31D3FC9B" w14:textId="77777777" w:rsidR="00F323B2" w:rsidRPr="00710DCB" w:rsidRDefault="00F323B2" w:rsidP="009019B4">
      <w:pPr>
        <w:pStyle w:val="FootnoteText"/>
        <w:spacing w:before="0" w:after="0"/>
      </w:pPr>
      <w:r w:rsidRPr="00710DCB">
        <w:rPr>
          <w:rStyle w:val="FootnoteReference"/>
        </w:rPr>
        <w:footnoteRef/>
      </w:r>
      <w:r w:rsidRPr="00710DCB">
        <w:t xml:space="preserve"> </w:t>
      </w:r>
      <w:r w:rsidRPr="00710DCB">
        <w:tab/>
        <w:t>Vertigan, M., Examination of the current test for the regulation of gas pipelines, 14 December 2016, p. 16.</w:t>
      </w:r>
    </w:p>
  </w:footnote>
  <w:footnote w:id="286">
    <w:p w14:paraId="2C8EA312" w14:textId="77777777" w:rsidR="00F323B2" w:rsidRPr="004F5A3E" w:rsidRDefault="00F323B2" w:rsidP="009019B4">
      <w:pPr>
        <w:pStyle w:val="FootnoteText"/>
        <w:spacing w:before="0" w:after="0"/>
        <w:rPr>
          <w:szCs w:val="16"/>
        </w:rPr>
      </w:pPr>
      <w:r w:rsidRPr="00710DCB">
        <w:rPr>
          <w:rStyle w:val="FootnoteReference"/>
        </w:rPr>
        <w:footnoteRef/>
      </w:r>
      <w:r w:rsidRPr="00710DCB">
        <w:t xml:space="preserve"> </w:t>
      </w:r>
      <w:r w:rsidRPr="00710DCB">
        <w:tab/>
        <w:t xml:space="preserve">Dr </w:t>
      </w:r>
      <w:r w:rsidRPr="004F5A3E">
        <w:rPr>
          <w:szCs w:val="16"/>
        </w:rPr>
        <w:t>Vertigan also noted the potential for the retention of light regulation to:</w:t>
      </w:r>
    </w:p>
    <w:p w14:paraId="7712BE6E" w14:textId="77777777" w:rsidR="00F323B2" w:rsidRPr="004F5A3E" w:rsidRDefault="00F323B2" w:rsidP="004F5A3E">
      <w:pPr>
        <w:pStyle w:val="ListBullet"/>
        <w:spacing w:before="20" w:after="20"/>
        <w:ind w:left="714" w:hanging="357"/>
        <w:rPr>
          <w:sz w:val="16"/>
          <w:szCs w:val="16"/>
        </w:rPr>
      </w:pPr>
      <w:r w:rsidRPr="004F5A3E">
        <w:rPr>
          <w:sz w:val="16"/>
          <w:szCs w:val="16"/>
        </w:rPr>
        <w:t xml:space="preserve">increase the cost and complexity of the regulatory framework, without any clear corresponding benefit; </w:t>
      </w:r>
    </w:p>
    <w:p w14:paraId="25207A73" w14:textId="77777777" w:rsidR="00F323B2" w:rsidRPr="004F5A3E" w:rsidRDefault="00F323B2" w:rsidP="004F5A3E">
      <w:pPr>
        <w:pStyle w:val="ListBullet"/>
        <w:spacing w:before="20" w:after="20"/>
        <w:ind w:left="714" w:hanging="357"/>
        <w:rPr>
          <w:sz w:val="16"/>
          <w:szCs w:val="16"/>
        </w:rPr>
      </w:pPr>
      <w:r w:rsidRPr="004F5A3E">
        <w:rPr>
          <w:sz w:val="16"/>
          <w:szCs w:val="16"/>
        </w:rPr>
        <w:t xml:space="preserve">cause confusion amongst users, which could be exploited by service providers; and </w:t>
      </w:r>
    </w:p>
    <w:p w14:paraId="6A06443F" w14:textId="77777777" w:rsidR="00F323B2" w:rsidRPr="004F5A3E" w:rsidRDefault="00F323B2" w:rsidP="004F5A3E">
      <w:pPr>
        <w:pStyle w:val="ListBullet"/>
        <w:spacing w:before="20" w:after="20"/>
        <w:ind w:left="714" w:hanging="357"/>
        <w:rPr>
          <w:sz w:val="16"/>
          <w:szCs w:val="16"/>
        </w:rPr>
      </w:pPr>
      <w:r w:rsidRPr="004F5A3E">
        <w:rPr>
          <w:sz w:val="16"/>
          <w:szCs w:val="16"/>
        </w:rPr>
        <w:t xml:space="preserve">increase the potential for forum shopping, particularly if one regime is perceived to be less onerous than the other. </w:t>
      </w:r>
    </w:p>
  </w:footnote>
  <w:footnote w:id="287">
    <w:p w14:paraId="0D75271E" w14:textId="77777777" w:rsidR="00F323B2" w:rsidRPr="004F5A3E" w:rsidRDefault="00F323B2" w:rsidP="009019B4">
      <w:pPr>
        <w:pStyle w:val="Default"/>
        <w:ind w:left="340" w:hanging="340"/>
        <w:rPr>
          <w:rFonts w:asciiTheme="majorHAnsi" w:eastAsia="Times New Roman" w:hAnsiTheme="majorHAnsi" w:cstheme="majorHAnsi"/>
          <w:sz w:val="16"/>
          <w:szCs w:val="16"/>
        </w:rPr>
      </w:pPr>
      <w:r w:rsidRPr="004F5A3E">
        <w:rPr>
          <w:rStyle w:val="FootnoteReference"/>
          <w:rFonts w:asciiTheme="majorHAnsi" w:hAnsiTheme="majorHAnsi" w:cstheme="majorHAnsi"/>
          <w:sz w:val="16"/>
          <w:szCs w:val="16"/>
        </w:rPr>
        <w:footnoteRef/>
      </w:r>
      <w:r w:rsidRPr="004F5A3E">
        <w:rPr>
          <w:rFonts w:asciiTheme="majorHAnsi" w:hAnsiTheme="majorHAnsi" w:cstheme="majorHAnsi"/>
          <w:sz w:val="16"/>
          <w:szCs w:val="16"/>
        </w:rPr>
        <w:t xml:space="preserve"> </w:t>
      </w:r>
      <w:r w:rsidRPr="004F5A3E">
        <w:rPr>
          <w:rFonts w:asciiTheme="majorHAnsi" w:hAnsiTheme="majorHAnsi" w:cstheme="majorHAnsi"/>
          <w:sz w:val="16"/>
          <w:szCs w:val="16"/>
        </w:rPr>
        <w:tab/>
        <w:t>The safeguards referred to in this context include the provisions in the NGL and NGR that prevent service providers from engaging in:</w:t>
      </w:r>
    </w:p>
    <w:p w14:paraId="626A5189" w14:textId="77777777" w:rsidR="00F323B2" w:rsidRPr="004F5A3E" w:rsidRDefault="00F323B2" w:rsidP="004F5A3E">
      <w:pPr>
        <w:pStyle w:val="ListBullet"/>
        <w:spacing w:before="20" w:after="20"/>
        <w:ind w:left="714" w:hanging="357"/>
        <w:rPr>
          <w:sz w:val="16"/>
          <w:szCs w:val="16"/>
        </w:rPr>
      </w:pPr>
      <w:r w:rsidRPr="004F5A3E">
        <w:rPr>
          <w:sz w:val="16"/>
          <w:szCs w:val="16"/>
        </w:rPr>
        <w:t xml:space="preserve">conduct that would prevent or hinder access to the pipeline services; </w:t>
      </w:r>
    </w:p>
    <w:p w14:paraId="23C6D1FB" w14:textId="77777777" w:rsidR="00F323B2" w:rsidRPr="004F5A3E" w:rsidRDefault="00F323B2" w:rsidP="004F5A3E">
      <w:pPr>
        <w:pStyle w:val="ListBullet"/>
        <w:spacing w:before="20" w:after="20"/>
        <w:ind w:left="714" w:hanging="357"/>
        <w:rPr>
          <w:sz w:val="16"/>
          <w:szCs w:val="16"/>
        </w:rPr>
      </w:pPr>
      <w:r w:rsidRPr="004F5A3E">
        <w:rPr>
          <w:sz w:val="16"/>
          <w:szCs w:val="16"/>
        </w:rPr>
        <w:t xml:space="preserve">inefficient price discrimination; </w:t>
      </w:r>
    </w:p>
    <w:p w14:paraId="1D726287" w14:textId="77777777" w:rsidR="00F323B2" w:rsidRPr="004F5A3E" w:rsidRDefault="00F323B2" w:rsidP="004F5A3E">
      <w:pPr>
        <w:pStyle w:val="ListBullet"/>
        <w:spacing w:before="20" w:after="20"/>
        <w:ind w:left="714" w:hanging="357"/>
        <w:rPr>
          <w:sz w:val="16"/>
          <w:szCs w:val="16"/>
        </w:rPr>
      </w:pPr>
      <w:r w:rsidRPr="004F5A3E">
        <w:rPr>
          <w:sz w:val="16"/>
          <w:szCs w:val="16"/>
        </w:rPr>
        <w:t xml:space="preserve">other behaviour that could adversely affect competition in a related market by carrying on a related business, or conferring an advantage on an associate; and </w:t>
      </w:r>
    </w:p>
    <w:p w14:paraId="483A8E70" w14:textId="77777777" w:rsidR="00F323B2" w:rsidRPr="004F5A3E" w:rsidRDefault="00F323B2" w:rsidP="004F5A3E">
      <w:pPr>
        <w:pStyle w:val="ListBullet"/>
        <w:spacing w:before="20" w:after="20"/>
        <w:ind w:left="714" w:hanging="357"/>
        <w:rPr>
          <w:sz w:val="16"/>
          <w:szCs w:val="16"/>
        </w:rPr>
      </w:pPr>
      <w:r w:rsidRPr="004F5A3E">
        <w:rPr>
          <w:sz w:val="16"/>
          <w:szCs w:val="16"/>
        </w:rPr>
        <w:t xml:space="preserve">bundling of services unless it is “reasonably necessary”. </w:t>
      </w:r>
    </w:p>
  </w:footnote>
  <w:footnote w:id="288">
    <w:p w14:paraId="09773DC6" w14:textId="77777777" w:rsidR="00F323B2" w:rsidRPr="00710DCB" w:rsidRDefault="00F323B2" w:rsidP="009019B4">
      <w:pPr>
        <w:pStyle w:val="FootnoteText"/>
        <w:spacing w:before="0" w:after="0"/>
      </w:pPr>
      <w:r w:rsidRPr="00710DCB">
        <w:rPr>
          <w:rStyle w:val="FootnoteReference"/>
        </w:rPr>
        <w:footnoteRef/>
      </w:r>
      <w:r w:rsidRPr="00710DCB">
        <w:t xml:space="preserve"> </w:t>
      </w:r>
      <w:r w:rsidRPr="00710DCB">
        <w:tab/>
        <w:t>ACCC and GMRG, Joint recommendations: Measures to improve the transparency of the gas market, December 2018, p. 7.</w:t>
      </w:r>
    </w:p>
  </w:footnote>
  <w:footnote w:id="289">
    <w:p w14:paraId="3E899BAA" w14:textId="77777777" w:rsidR="00F323B2" w:rsidRPr="00710DCB" w:rsidRDefault="00F323B2" w:rsidP="009019B4">
      <w:pPr>
        <w:pStyle w:val="FootnoteText"/>
        <w:spacing w:before="0" w:after="0"/>
      </w:pPr>
      <w:r w:rsidRPr="00710DCB">
        <w:rPr>
          <w:rStyle w:val="FootnoteReference"/>
        </w:rPr>
        <w:footnoteRef/>
      </w:r>
      <w:r w:rsidRPr="00710DCB">
        <w:t xml:space="preserve"> </w:t>
      </w:r>
      <w:r w:rsidRPr="00710DCB">
        <w:tab/>
        <w:t>ibid, p. 6.</w:t>
      </w:r>
    </w:p>
  </w:footnote>
  <w:footnote w:id="290">
    <w:p w14:paraId="40258E37" w14:textId="77777777" w:rsidR="00F323B2" w:rsidRPr="00710DCB" w:rsidRDefault="00F323B2" w:rsidP="009019B4">
      <w:pPr>
        <w:pStyle w:val="FootnoteText"/>
        <w:spacing w:before="0" w:after="0"/>
      </w:pPr>
      <w:r w:rsidRPr="00710DCB">
        <w:rPr>
          <w:rStyle w:val="FootnoteReference"/>
          <w:szCs w:val="16"/>
        </w:rPr>
        <w:footnoteRef/>
      </w:r>
      <w:r w:rsidRPr="00710DCB">
        <w:rPr>
          <w:szCs w:val="16"/>
        </w:rPr>
        <w:t xml:space="preserve"> </w:t>
      </w:r>
      <w:r w:rsidRPr="00710DCB">
        <w:rPr>
          <w:szCs w:val="16"/>
        </w:rPr>
        <w:tab/>
      </w:r>
      <w:r w:rsidRPr="00710DCB">
        <w:rPr>
          <w:szCs w:val="16"/>
          <w:lang w:eastAsia="fr-CA"/>
        </w:rPr>
        <w:t xml:space="preserve">AEMC, Final Report: Review into the scope of economic regulation applied to covered pipelines, 3 July 2018, pp. 51-52. </w:t>
      </w:r>
    </w:p>
  </w:footnote>
  <w:footnote w:id="291">
    <w:p w14:paraId="7BCDBC6D" w14:textId="77777777" w:rsidR="00F323B2" w:rsidRPr="00710DCB" w:rsidRDefault="00F323B2" w:rsidP="009019B4">
      <w:pPr>
        <w:pStyle w:val="FootnoteText"/>
        <w:spacing w:before="0" w:after="0"/>
      </w:pPr>
      <w:r w:rsidRPr="00710DCB">
        <w:rPr>
          <w:rStyle w:val="FootnoteReference"/>
        </w:rPr>
        <w:footnoteRef/>
      </w:r>
      <w:r w:rsidRPr="00710DCB">
        <w:t xml:space="preserve"> </w:t>
      </w:r>
      <w:r w:rsidRPr="00710DCB">
        <w:tab/>
        <w:t>ibid</w:t>
      </w:r>
      <w:r w:rsidRPr="00710DCB">
        <w:rPr>
          <w:szCs w:val="16"/>
          <w:lang w:eastAsia="fr-CA"/>
        </w:rPr>
        <w:t>, pp. 53-58.</w:t>
      </w:r>
    </w:p>
  </w:footnote>
  <w:footnote w:id="292">
    <w:p w14:paraId="1EC2A9BF" w14:textId="77777777" w:rsidR="00F323B2" w:rsidRPr="00710DCB" w:rsidRDefault="00F323B2" w:rsidP="009019B4">
      <w:pPr>
        <w:pStyle w:val="FootnoteText"/>
      </w:pPr>
      <w:r w:rsidRPr="00710DCB">
        <w:rPr>
          <w:rStyle w:val="FootnoteReference"/>
        </w:rPr>
        <w:footnoteRef/>
      </w:r>
      <w:r w:rsidRPr="00710DCB">
        <w:t xml:space="preserve"> </w:t>
      </w:r>
      <w:r w:rsidRPr="00710DCB">
        <w:tab/>
        <w:t>ibid, pp. 130-141.</w:t>
      </w:r>
    </w:p>
  </w:footnote>
  <w:footnote w:id="293">
    <w:p w14:paraId="2CF6B983" w14:textId="77777777" w:rsidR="00F323B2" w:rsidRPr="00710DCB" w:rsidRDefault="00F323B2" w:rsidP="009019B4">
      <w:pPr>
        <w:pStyle w:val="FootnoteText"/>
      </w:pPr>
      <w:r w:rsidRPr="00710DCB">
        <w:rPr>
          <w:rStyle w:val="FootnoteReference"/>
        </w:rPr>
        <w:footnoteRef/>
      </w:r>
      <w:r w:rsidRPr="00710DCB">
        <w:t xml:space="preserve"> </w:t>
      </w:r>
      <w:r w:rsidRPr="00710DCB">
        <w:tab/>
        <w:t xml:space="preserve">The only recommendation that the </w:t>
      </w:r>
      <w:r>
        <w:t xml:space="preserve">former COAG Energy Council </w:t>
      </w:r>
      <w:r w:rsidRPr="00710DCB">
        <w:t xml:space="preserve">decided should not be considered at this time was the recommendation that asset values be determined for light regulation pipelines. </w:t>
      </w:r>
    </w:p>
  </w:footnote>
  <w:footnote w:id="294">
    <w:p w14:paraId="1037A81D" w14:textId="77777777" w:rsidR="00F323B2" w:rsidRPr="00710DCB" w:rsidRDefault="00F323B2" w:rsidP="009019B4">
      <w:pPr>
        <w:pStyle w:val="FootnoteText"/>
      </w:pPr>
      <w:r w:rsidRPr="00710DCB">
        <w:rPr>
          <w:rStyle w:val="FootnoteReference"/>
        </w:rPr>
        <w:footnoteRef/>
      </w:r>
      <w:r w:rsidRPr="00710DCB">
        <w:t xml:space="preserve"> </w:t>
      </w:r>
      <w:r w:rsidRPr="00710DCB">
        <w:tab/>
        <w:t>AEMC, Rule Determination: National Gas Amendment (Regulation of covered pipelines) Rule 2019, 14 March 2019.</w:t>
      </w:r>
    </w:p>
  </w:footnote>
  <w:footnote w:id="295">
    <w:p w14:paraId="42392BFD" w14:textId="77777777" w:rsidR="00F323B2" w:rsidRPr="00710DCB" w:rsidRDefault="00F323B2" w:rsidP="00AD50BB">
      <w:pPr>
        <w:pStyle w:val="FootnoteText"/>
      </w:pPr>
      <w:r w:rsidRPr="00710DCB">
        <w:rPr>
          <w:rStyle w:val="FootnoteReference"/>
        </w:rPr>
        <w:footnoteRef/>
      </w:r>
      <w:r w:rsidRPr="00710DCB">
        <w:t xml:space="preserve"> </w:t>
      </w:r>
      <w:r w:rsidRPr="00710DCB">
        <w:tab/>
        <w:t>AEMC, Final Report: Review into the scope of economic regulation applied to covered pipelines, 3 July 2018, p. 12.</w:t>
      </w:r>
    </w:p>
  </w:footnote>
  <w:footnote w:id="296">
    <w:p w14:paraId="26595F61" w14:textId="77777777" w:rsidR="00F323B2" w:rsidRPr="00710DCB" w:rsidRDefault="00F323B2" w:rsidP="00AD50BB">
      <w:pPr>
        <w:pStyle w:val="FootnoteText"/>
      </w:pPr>
      <w:r w:rsidRPr="00710DCB">
        <w:rPr>
          <w:rStyle w:val="FootnoteReference"/>
        </w:rPr>
        <w:footnoteRef/>
      </w:r>
      <w:r w:rsidRPr="00710DCB">
        <w:t xml:space="preserve"> </w:t>
      </w:r>
      <w:r w:rsidRPr="00710DCB">
        <w:tab/>
        <w:t>ibid, p. 54.</w:t>
      </w:r>
    </w:p>
  </w:footnote>
  <w:footnote w:id="297">
    <w:p w14:paraId="4DACD73E" w14:textId="77777777" w:rsidR="00F323B2" w:rsidRPr="00710DCB" w:rsidRDefault="00F323B2" w:rsidP="00AD50BB">
      <w:pPr>
        <w:pStyle w:val="FootnoteText"/>
      </w:pPr>
      <w:r w:rsidRPr="00710DCB">
        <w:rPr>
          <w:rStyle w:val="FootnoteReference"/>
        </w:rPr>
        <w:footnoteRef/>
      </w:r>
      <w:r w:rsidRPr="00710DCB">
        <w:t xml:space="preserve"> </w:t>
      </w:r>
      <w:r w:rsidRPr="00710DCB">
        <w:tab/>
      </w:r>
      <w:r>
        <w:rPr>
          <w:szCs w:val="16"/>
        </w:rPr>
        <w:t>OGW</w:t>
      </w:r>
      <w:r w:rsidRPr="006B4639">
        <w:rPr>
          <w:szCs w:val="16"/>
        </w:rPr>
        <w:t xml:space="preserve">, Gas Shippers Survey, </w:t>
      </w:r>
      <w:r>
        <w:rPr>
          <w:szCs w:val="16"/>
        </w:rPr>
        <w:t xml:space="preserve">September </w:t>
      </w:r>
      <w:r w:rsidRPr="006B4639">
        <w:rPr>
          <w:szCs w:val="16"/>
        </w:rPr>
        <w:t>2019.</w:t>
      </w:r>
    </w:p>
  </w:footnote>
  <w:footnote w:id="298">
    <w:p w14:paraId="7ACA388A" w14:textId="77777777" w:rsidR="00F323B2" w:rsidRPr="00710DCB" w:rsidRDefault="00F323B2" w:rsidP="00AD50BB">
      <w:pPr>
        <w:pStyle w:val="FootnoteText"/>
        <w:rPr>
          <w:szCs w:val="16"/>
        </w:rPr>
      </w:pPr>
      <w:r w:rsidRPr="00710DCB">
        <w:rPr>
          <w:rStyle w:val="FootnoteReference"/>
        </w:rPr>
        <w:footnoteRef/>
      </w:r>
      <w:r w:rsidRPr="00710DCB">
        <w:t xml:space="preserve"> </w:t>
      </w:r>
      <w:r w:rsidRPr="00710DCB">
        <w:tab/>
      </w:r>
      <w:r>
        <w:t>Brattle</w:t>
      </w:r>
      <w:r>
        <w:rPr>
          <w:szCs w:val="16"/>
        </w:rPr>
        <w:t xml:space="preserve"> </w:t>
      </w:r>
      <w:r w:rsidRPr="00710DCB">
        <w:rPr>
          <w:szCs w:val="16"/>
        </w:rPr>
        <w:t>was also asked how the scope of financial information reported under Part 23 compares with the scope of the disclosure required by full regulation pipelines. Brattle found that the disclosure requirements differed in two key respects:</w:t>
      </w:r>
    </w:p>
    <w:p w14:paraId="3AE8103A" w14:textId="77777777" w:rsidR="00F323B2" w:rsidRPr="00710DCB" w:rsidRDefault="00F323B2" w:rsidP="00AD50BB">
      <w:pPr>
        <w:pStyle w:val="TableBullet10"/>
        <w:spacing w:before="40" w:after="40"/>
        <w:ind w:left="584" w:right="0"/>
        <w:rPr>
          <w:sz w:val="16"/>
          <w:szCs w:val="16"/>
        </w:rPr>
      </w:pPr>
      <w:r w:rsidRPr="00710DCB">
        <w:rPr>
          <w:sz w:val="16"/>
          <w:szCs w:val="16"/>
        </w:rPr>
        <w:t xml:space="preserve">First, non-exempt non-scheme pipelines are required to disclose historic information (with some information required to be reported for the entire history of the pipeline), while full regulation pipelines are required to disclose forecast information with some limited reporting of historic costs. </w:t>
      </w:r>
    </w:p>
    <w:p w14:paraId="73C351EA" w14:textId="77777777" w:rsidR="00F323B2" w:rsidRPr="00710DCB" w:rsidRDefault="00F323B2" w:rsidP="00AD50BB">
      <w:pPr>
        <w:pStyle w:val="TableBullet10"/>
        <w:spacing w:before="40" w:after="40"/>
        <w:ind w:left="584" w:right="0"/>
        <w:rPr>
          <w:sz w:val="16"/>
          <w:szCs w:val="16"/>
        </w:rPr>
      </w:pPr>
      <w:r w:rsidRPr="00710DCB">
        <w:rPr>
          <w:sz w:val="16"/>
          <w:szCs w:val="16"/>
        </w:rPr>
        <w:t xml:space="preserve">Second, non-exempt non-scheme pipelines are required to report annually, while full regulation pipelines are only required to provide information every five years. </w:t>
      </w:r>
    </w:p>
    <w:p w14:paraId="272A7DD6" w14:textId="77777777" w:rsidR="00F323B2" w:rsidRPr="00710DCB" w:rsidRDefault="00F323B2" w:rsidP="00AD50BB">
      <w:pPr>
        <w:pStyle w:val="FootnoteText"/>
        <w:ind w:firstLine="0"/>
      </w:pPr>
      <w:r>
        <w:rPr>
          <w:szCs w:val="16"/>
        </w:rPr>
        <w:t xml:space="preserve">Brattle </w:t>
      </w:r>
      <w:r w:rsidRPr="00710DCB">
        <w:rPr>
          <w:szCs w:val="16"/>
        </w:rPr>
        <w:t>noted while there is some overlap with the reporting of historic costs</w:t>
      </w:r>
      <w:r w:rsidRPr="00710DCB">
        <w:t xml:space="preserve"> the information that non-scheme pipelines and full regulation pipelines are required to report differs (for example, full regulation pipelines are not required to report on the actual revenues or returns earned) and to obtain the entire history of costs for a full regulation pipeline a shipper would have to compile regulatory determinations across different regulatory periods, and the information is typically more complicated to review and use.</w:t>
      </w:r>
    </w:p>
  </w:footnote>
  <w:footnote w:id="299">
    <w:p w14:paraId="242A5016" w14:textId="77777777" w:rsidR="00F323B2" w:rsidRPr="00710DCB" w:rsidRDefault="00F323B2" w:rsidP="00AD50BB">
      <w:pPr>
        <w:pStyle w:val="FootnoteText"/>
      </w:pPr>
      <w:r w:rsidRPr="00710DCB">
        <w:rPr>
          <w:rStyle w:val="FootnoteReference"/>
        </w:rPr>
        <w:footnoteRef/>
      </w:r>
      <w:r w:rsidRPr="00710DCB">
        <w:t xml:space="preserve"> </w:t>
      </w:r>
      <w:r w:rsidRPr="00710DCB">
        <w:tab/>
      </w:r>
      <w:r>
        <w:t>Brattle</w:t>
      </w:r>
      <w:r w:rsidRPr="00710DCB">
        <w:t>, Financial Information Disclosed by Gas Pipelines in Australia Under Part 23 of the National Gas Rules, August 2019, pp. 113-114.</w:t>
      </w:r>
    </w:p>
  </w:footnote>
  <w:footnote w:id="300">
    <w:p w14:paraId="064F3190" w14:textId="77777777" w:rsidR="00F323B2" w:rsidRPr="00710DCB" w:rsidRDefault="00F323B2" w:rsidP="00AD50BB">
      <w:pPr>
        <w:pStyle w:val="FootnoteText"/>
      </w:pPr>
      <w:r w:rsidRPr="00710DCB">
        <w:rPr>
          <w:rStyle w:val="FootnoteReference"/>
        </w:rPr>
        <w:footnoteRef/>
      </w:r>
      <w:r w:rsidRPr="00710DCB">
        <w:t xml:space="preserve"> </w:t>
      </w:r>
      <w:r w:rsidRPr="00710DCB">
        <w:tab/>
        <w:t>ibid, p. 103.</w:t>
      </w:r>
    </w:p>
  </w:footnote>
  <w:footnote w:id="301">
    <w:p w14:paraId="272D256D" w14:textId="77777777" w:rsidR="00F323B2" w:rsidRPr="00710DCB" w:rsidRDefault="00F323B2" w:rsidP="00AD50BB">
      <w:pPr>
        <w:pStyle w:val="FootnoteText"/>
      </w:pPr>
      <w:r w:rsidRPr="00710DCB">
        <w:rPr>
          <w:rStyle w:val="FootnoteReference"/>
        </w:rPr>
        <w:footnoteRef/>
      </w:r>
      <w:r w:rsidRPr="00710DCB">
        <w:t xml:space="preserve"> </w:t>
      </w:r>
      <w:r w:rsidRPr="00710DCB">
        <w:tab/>
        <w:t>ibid, p. 106.</w:t>
      </w:r>
    </w:p>
  </w:footnote>
  <w:footnote w:id="302">
    <w:p w14:paraId="0A017E59" w14:textId="77777777" w:rsidR="00F323B2" w:rsidRPr="00710DCB" w:rsidRDefault="00F323B2" w:rsidP="00AD50BB">
      <w:pPr>
        <w:pStyle w:val="FootnoteText"/>
      </w:pPr>
      <w:r w:rsidRPr="00710DCB">
        <w:rPr>
          <w:rStyle w:val="FootnoteReference"/>
        </w:rPr>
        <w:footnoteRef/>
      </w:r>
      <w:r w:rsidRPr="00710DCB">
        <w:t xml:space="preserve"> </w:t>
      </w:r>
      <w:r w:rsidRPr="00710DCB">
        <w:tab/>
        <w:t>ibid, p. 116-120.</w:t>
      </w:r>
    </w:p>
  </w:footnote>
  <w:footnote w:id="303">
    <w:p w14:paraId="7658D533" w14:textId="77777777" w:rsidR="00F323B2" w:rsidRPr="00710DCB" w:rsidRDefault="00F323B2" w:rsidP="00AD50BB">
      <w:pPr>
        <w:pStyle w:val="FootnoteText"/>
      </w:pPr>
      <w:r w:rsidRPr="00710DCB">
        <w:rPr>
          <w:rStyle w:val="FootnoteReference"/>
        </w:rPr>
        <w:footnoteRef/>
      </w:r>
      <w:r w:rsidRPr="00710DCB">
        <w:t xml:space="preserve"> </w:t>
      </w:r>
      <w:r w:rsidRPr="00710DCB">
        <w:tab/>
        <w:t>ibid, pp. 19-20.</w:t>
      </w:r>
    </w:p>
  </w:footnote>
  <w:footnote w:id="304">
    <w:p w14:paraId="48F8008F" w14:textId="77777777" w:rsidR="00F323B2" w:rsidRPr="00710DCB" w:rsidRDefault="00F323B2" w:rsidP="00AD50BB">
      <w:pPr>
        <w:pStyle w:val="FootnoteText"/>
      </w:pPr>
      <w:r w:rsidRPr="00710DCB">
        <w:rPr>
          <w:rStyle w:val="FootnoteReference"/>
        </w:rPr>
        <w:footnoteRef/>
      </w:r>
      <w:r w:rsidRPr="00710DCB">
        <w:t xml:space="preserve"> </w:t>
      </w:r>
      <w:r w:rsidRPr="00710DCB">
        <w:tab/>
        <w:t>ibid, pp. 103-105.</w:t>
      </w:r>
    </w:p>
  </w:footnote>
  <w:footnote w:id="305">
    <w:p w14:paraId="6D3A51AD" w14:textId="77777777" w:rsidR="00F323B2" w:rsidRPr="00710DCB" w:rsidRDefault="00F323B2" w:rsidP="00AD50BB">
      <w:pPr>
        <w:pStyle w:val="FootnoteText"/>
      </w:pPr>
      <w:r w:rsidRPr="00710DCB">
        <w:rPr>
          <w:rStyle w:val="FootnoteReference"/>
        </w:rPr>
        <w:footnoteRef/>
      </w:r>
      <w:r w:rsidRPr="00710DCB">
        <w:t xml:space="preserve"> </w:t>
      </w:r>
      <w:r w:rsidRPr="00710DCB">
        <w:rPr>
          <w:szCs w:val="16"/>
        </w:rPr>
        <w:tab/>
        <w:t xml:space="preserve">The ACCC, for example, found that </w:t>
      </w:r>
      <w:r w:rsidRPr="00710DCB">
        <w:rPr>
          <w:rFonts w:asciiTheme="majorHAnsi" w:hAnsiTheme="majorHAnsi" w:cstheme="majorHAnsi"/>
          <w:szCs w:val="16"/>
        </w:rPr>
        <w:t xml:space="preserve">since the introduction of Part 23, 126 GTAs have been negotiated or varied on the major Part 23 transmission pipelines in eastern Australia, with just one negotiation proceeding to arbitration. </w:t>
      </w:r>
    </w:p>
  </w:footnote>
  <w:footnote w:id="306">
    <w:p w14:paraId="715C50FB" w14:textId="77777777" w:rsidR="00F323B2" w:rsidRPr="00710DCB" w:rsidRDefault="00F323B2" w:rsidP="00AD50BB">
      <w:pPr>
        <w:pStyle w:val="FootnoteText"/>
      </w:pPr>
      <w:r w:rsidRPr="00710DCB">
        <w:rPr>
          <w:rStyle w:val="FootnoteReference"/>
        </w:rPr>
        <w:footnoteRef/>
      </w:r>
      <w:r w:rsidRPr="00710DCB">
        <w:t xml:space="preserve"> </w:t>
      </w:r>
      <w:r w:rsidRPr="00710DCB">
        <w:tab/>
        <w:t>ACCC, Gas inquiry report 2017-2020 Interim report, July 2019, pp. 128-129.</w:t>
      </w:r>
    </w:p>
  </w:footnote>
  <w:footnote w:id="307">
    <w:p w14:paraId="7D9BA630" w14:textId="77777777" w:rsidR="00F323B2" w:rsidRPr="00710DCB" w:rsidRDefault="00F323B2" w:rsidP="00AD50BB">
      <w:pPr>
        <w:pStyle w:val="FootnoteText"/>
      </w:pPr>
      <w:r w:rsidRPr="00710DCB">
        <w:rPr>
          <w:rStyle w:val="FootnoteReference"/>
        </w:rPr>
        <w:footnoteRef/>
      </w:r>
      <w:r w:rsidRPr="00710DCB">
        <w:t xml:space="preserve"> </w:t>
      </w:r>
      <w:r w:rsidRPr="00710DCB">
        <w:tab/>
        <w:t>ibid, p. 128.</w:t>
      </w:r>
    </w:p>
  </w:footnote>
  <w:footnote w:id="308">
    <w:p w14:paraId="57438D20" w14:textId="77777777" w:rsidR="00F323B2" w:rsidRPr="00710DCB" w:rsidRDefault="00F323B2" w:rsidP="00AD50BB">
      <w:pPr>
        <w:pStyle w:val="FootnoteText"/>
      </w:pPr>
      <w:r w:rsidRPr="00710DCB">
        <w:rPr>
          <w:rStyle w:val="FootnoteReference"/>
        </w:rPr>
        <w:footnoteRef/>
      </w:r>
      <w:r w:rsidRPr="00710DCB">
        <w:t xml:space="preserve"> </w:t>
      </w:r>
      <w:r w:rsidRPr="00710DCB">
        <w:tab/>
        <w:t>ibid.</w:t>
      </w:r>
    </w:p>
  </w:footnote>
  <w:footnote w:id="309">
    <w:p w14:paraId="5589F10C" w14:textId="77777777" w:rsidR="00F323B2" w:rsidRPr="00710DCB" w:rsidRDefault="00F323B2" w:rsidP="00AD50BB">
      <w:pPr>
        <w:pStyle w:val="FootnoteText"/>
      </w:pPr>
      <w:r w:rsidRPr="00710DCB">
        <w:rPr>
          <w:rStyle w:val="FootnoteReference"/>
        </w:rPr>
        <w:footnoteRef/>
      </w:r>
      <w:r w:rsidRPr="00710DCB">
        <w:t xml:space="preserve"> </w:t>
      </w:r>
      <w:r w:rsidRPr="00710DCB">
        <w:tab/>
        <w:t xml:space="preserve">The pipelines included the </w:t>
      </w:r>
      <w:r>
        <w:t>South West Queensland Pipeline</w:t>
      </w:r>
      <w:r w:rsidRPr="00710DCB">
        <w:t xml:space="preserve">, the </w:t>
      </w:r>
      <w:r>
        <w:t>Moomba to Sydney Pipeline</w:t>
      </w:r>
      <w:r w:rsidRPr="00710DCB">
        <w:t xml:space="preserve">, the </w:t>
      </w:r>
      <w:r>
        <w:t>Moomba to Adelaide Pipeline System</w:t>
      </w:r>
      <w:r w:rsidRPr="00710DCB">
        <w:t xml:space="preserve">, the </w:t>
      </w:r>
      <w:r>
        <w:t>Eastern Gas Pipeline</w:t>
      </w:r>
      <w:r w:rsidRPr="00710DCB">
        <w:t xml:space="preserve">, the </w:t>
      </w:r>
      <w:r>
        <w:t>Port Campbell to Adelaide Pipeline</w:t>
      </w:r>
      <w:r w:rsidRPr="00710DCB">
        <w:t xml:space="preserve">, the </w:t>
      </w:r>
      <w:r>
        <w:t xml:space="preserve">Port Campbell to Iona Pipeline </w:t>
      </w:r>
      <w:r w:rsidRPr="00710DCB">
        <w:t xml:space="preserve">and </w:t>
      </w:r>
      <w:r>
        <w:t xml:space="preserve">the </w:t>
      </w:r>
      <w:r w:rsidRPr="00710DCB">
        <w:t>SESA Pipeline</w:t>
      </w:r>
      <w:r>
        <w:t>.</w:t>
      </w:r>
    </w:p>
  </w:footnote>
  <w:footnote w:id="310">
    <w:p w14:paraId="27F12CD5" w14:textId="77777777" w:rsidR="00F323B2" w:rsidRPr="00710DCB" w:rsidRDefault="00F323B2" w:rsidP="00AD50BB">
      <w:pPr>
        <w:pStyle w:val="FootnoteText"/>
      </w:pPr>
      <w:r w:rsidRPr="00710DCB">
        <w:rPr>
          <w:rStyle w:val="FootnoteReference"/>
        </w:rPr>
        <w:footnoteRef/>
      </w:r>
      <w:r w:rsidRPr="00710DCB">
        <w:t xml:space="preserve"> </w:t>
      </w:r>
      <w:r w:rsidRPr="00710DCB">
        <w:tab/>
        <w:t>ACCC, Gas inquiry report 2017-2020 Interim report, July 2019, pp. 27-28.</w:t>
      </w:r>
    </w:p>
  </w:footnote>
  <w:footnote w:id="311">
    <w:p w14:paraId="6A51A831" w14:textId="77777777" w:rsidR="00F323B2" w:rsidRPr="00710DCB" w:rsidRDefault="00F323B2" w:rsidP="00AD50BB">
      <w:pPr>
        <w:pStyle w:val="FootnoteText"/>
      </w:pPr>
      <w:r w:rsidRPr="00710DCB">
        <w:rPr>
          <w:rStyle w:val="FootnoteReference"/>
        </w:rPr>
        <w:footnoteRef/>
      </w:r>
      <w:r w:rsidRPr="00710DCB">
        <w:t xml:space="preserve"> </w:t>
      </w:r>
      <w:r w:rsidRPr="00710DCB">
        <w:tab/>
        <w:t>ibid, pp. 137-155.</w:t>
      </w:r>
    </w:p>
  </w:footnote>
  <w:footnote w:id="312">
    <w:p w14:paraId="59AE3E36" w14:textId="77777777" w:rsidR="00F323B2" w:rsidRPr="00710DCB" w:rsidRDefault="00F323B2" w:rsidP="00AD50BB">
      <w:pPr>
        <w:pStyle w:val="FootnoteText"/>
      </w:pPr>
      <w:r w:rsidRPr="00710DCB">
        <w:rPr>
          <w:rStyle w:val="FootnoteReference"/>
        </w:rPr>
        <w:footnoteRef/>
      </w:r>
      <w:r w:rsidRPr="00710DCB">
        <w:t xml:space="preserve"> </w:t>
      </w:r>
      <w:r w:rsidRPr="00710DCB">
        <w:tab/>
        <w:t>ibid, p. 132.</w:t>
      </w:r>
    </w:p>
  </w:footnote>
  <w:footnote w:id="313">
    <w:p w14:paraId="0C95725D" w14:textId="77777777" w:rsidR="00F323B2" w:rsidRPr="00710DCB" w:rsidRDefault="00F323B2" w:rsidP="00AD50BB">
      <w:pPr>
        <w:pStyle w:val="FootnoteText"/>
      </w:pPr>
      <w:r w:rsidRPr="00710DCB">
        <w:rPr>
          <w:rStyle w:val="FootnoteReference"/>
        </w:rPr>
        <w:footnoteRef/>
      </w:r>
      <w:r w:rsidRPr="00710DCB">
        <w:t xml:space="preserve"> </w:t>
      </w:r>
      <w:r w:rsidRPr="00710DCB">
        <w:tab/>
        <w:t>ACCC and GMRG, Joint recommendations: Measures to improve the transparency of the gas market, December 2018, p. 34.</w:t>
      </w:r>
    </w:p>
  </w:footnote>
  <w:footnote w:id="314">
    <w:p w14:paraId="5C511DF8" w14:textId="77777777" w:rsidR="00F323B2" w:rsidRPr="00710DCB" w:rsidRDefault="00F323B2" w:rsidP="00AD50BB">
      <w:pPr>
        <w:pStyle w:val="FootnoteText"/>
      </w:pPr>
      <w:r w:rsidRPr="00710DCB">
        <w:rPr>
          <w:rStyle w:val="FootnoteReference"/>
        </w:rPr>
        <w:footnoteRef/>
      </w:r>
      <w:r w:rsidRPr="00710DCB">
        <w:t xml:space="preserve"> </w:t>
      </w:r>
      <w:r w:rsidRPr="00710DCB">
        <w:tab/>
        <w:t>ACCC, Gas inquiry report 2017-2020 Interim report, July 2019, p. 132.</w:t>
      </w:r>
    </w:p>
  </w:footnote>
  <w:footnote w:id="315">
    <w:p w14:paraId="2EF7982C" w14:textId="77777777" w:rsidR="00F323B2" w:rsidRPr="00710DCB" w:rsidRDefault="00F323B2" w:rsidP="00AD50BB">
      <w:pPr>
        <w:pStyle w:val="FootnoteText"/>
      </w:pPr>
      <w:r w:rsidRPr="00710DCB">
        <w:rPr>
          <w:rStyle w:val="FootnoteReference"/>
        </w:rPr>
        <w:footnoteRef/>
      </w:r>
      <w:r w:rsidRPr="00710DCB">
        <w:t xml:space="preserve"> </w:t>
      </w:r>
      <w:r w:rsidRPr="00710DCB">
        <w:tab/>
        <w:t>As the ACCC noted, it is unclear whether service providers are encouraging shippers to make preliminary enquiries, or if shippers are choosing to seek access in this way. It is also unclear if shippers are aware of the consequences of their requests being treated in this manner.</w:t>
      </w:r>
    </w:p>
  </w:footnote>
  <w:footnote w:id="316">
    <w:p w14:paraId="6B95AB18" w14:textId="77777777" w:rsidR="00F323B2" w:rsidRPr="00710DCB" w:rsidRDefault="00F323B2" w:rsidP="00AD50BB">
      <w:pPr>
        <w:pStyle w:val="FootnoteText"/>
      </w:pPr>
      <w:r w:rsidRPr="00710DCB">
        <w:rPr>
          <w:rStyle w:val="FootnoteReference"/>
        </w:rPr>
        <w:footnoteRef/>
      </w:r>
      <w:r w:rsidRPr="00710DCB">
        <w:t xml:space="preserve"> </w:t>
      </w:r>
      <w:r w:rsidRPr="00710DCB">
        <w:tab/>
        <w:t>ACCC, Gas inquiry report 2017-2020 Interim report, July 2019, p. 156.</w:t>
      </w:r>
    </w:p>
  </w:footnote>
  <w:footnote w:id="317">
    <w:p w14:paraId="67D1B320" w14:textId="77777777" w:rsidR="00F323B2" w:rsidRPr="00710DCB" w:rsidRDefault="00F323B2" w:rsidP="00AD50BB">
      <w:pPr>
        <w:pStyle w:val="FootnoteText"/>
      </w:pPr>
      <w:r w:rsidRPr="00710DCB">
        <w:rPr>
          <w:rStyle w:val="FootnoteReference"/>
        </w:rPr>
        <w:footnoteRef/>
      </w:r>
      <w:r w:rsidRPr="00710DCB">
        <w:t xml:space="preserve"> </w:t>
      </w:r>
      <w:r w:rsidRPr="00710DCB">
        <w:tab/>
        <w:t>This could occur because the shippers’ demand may be relatively small and/or the shipper’s use of gas may be a small input to the shipper’s end-use requirements.</w:t>
      </w:r>
    </w:p>
  </w:footnote>
  <w:footnote w:id="318">
    <w:p w14:paraId="72D1B2C1" w14:textId="77777777" w:rsidR="00F323B2" w:rsidRPr="00710DCB" w:rsidRDefault="00F323B2" w:rsidP="00AD50BB">
      <w:pPr>
        <w:pStyle w:val="FootnoteText"/>
      </w:pPr>
      <w:r w:rsidRPr="00710DCB">
        <w:rPr>
          <w:rStyle w:val="FootnoteReference"/>
        </w:rPr>
        <w:footnoteRef/>
      </w:r>
      <w:r w:rsidRPr="00710DCB">
        <w:t xml:space="preserve"> </w:t>
      </w:r>
      <w:r w:rsidRPr="00710DCB">
        <w:tab/>
        <w:t>ACCC, Gas inquiry report 2017-2020 Interim report, July 2019, p. 157.</w:t>
      </w:r>
    </w:p>
  </w:footnote>
  <w:footnote w:id="319">
    <w:p w14:paraId="71C39809" w14:textId="77777777" w:rsidR="00F323B2" w:rsidRPr="00710DCB" w:rsidRDefault="00F323B2" w:rsidP="00AD50BB">
      <w:pPr>
        <w:pStyle w:val="FootnoteText"/>
      </w:pPr>
      <w:r w:rsidRPr="00710DCB">
        <w:rPr>
          <w:rStyle w:val="FootnoteReference"/>
        </w:rPr>
        <w:footnoteRef/>
      </w:r>
      <w:r w:rsidRPr="00710DCB">
        <w:t xml:space="preserve"> </w:t>
      </w:r>
      <w:r w:rsidRPr="00710DCB">
        <w:tab/>
        <w:t>ibid, pp. 159-160.</w:t>
      </w:r>
    </w:p>
  </w:footnote>
  <w:footnote w:id="320">
    <w:p w14:paraId="77AC9045" w14:textId="77777777" w:rsidR="00F323B2" w:rsidRPr="00710DCB" w:rsidRDefault="00F323B2" w:rsidP="00AD50BB">
      <w:pPr>
        <w:pStyle w:val="FootnoteText"/>
      </w:pPr>
      <w:r w:rsidRPr="00710DCB">
        <w:rPr>
          <w:rStyle w:val="FootnoteReference"/>
        </w:rPr>
        <w:footnoteRef/>
      </w:r>
      <w:r w:rsidRPr="00710DCB">
        <w:t xml:space="preserve"> </w:t>
      </w:r>
      <w:r w:rsidRPr="00710DCB">
        <w:tab/>
        <w:t>ibid, pp. 160-164.</w:t>
      </w:r>
    </w:p>
  </w:footnote>
  <w:footnote w:id="321">
    <w:p w14:paraId="3227A2C6" w14:textId="77777777" w:rsidR="00F323B2" w:rsidRPr="00710DCB" w:rsidRDefault="00F323B2" w:rsidP="00AD50BB">
      <w:pPr>
        <w:pStyle w:val="FootnoteText"/>
      </w:pPr>
      <w:r w:rsidRPr="00710DCB">
        <w:rPr>
          <w:rStyle w:val="FootnoteReference"/>
        </w:rPr>
        <w:footnoteRef/>
      </w:r>
      <w:r w:rsidRPr="00710DCB">
        <w:t xml:space="preserve"> </w:t>
      </w:r>
      <w:r w:rsidRPr="00710DCB">
        <w:tab/>
        <w:t>ibid, pp. 160-164.</w:t>
      </w:r>
    </w:p>
  </w:footnote>
  <w:footnote w:id="322">
    <w:p w14:paraId="359C5B93" w14:textId="77777777" w:rsidR="00F323B2" w:rsidRPr="00710DCB" w:rsidRDefault="00F323B2" w:rsidP="00AD50BB">
      <w:pPr>
        <w:pStyle w:val="FootnoteText"/>
      </w:pPr>
      <w:r w:rsidRPr="00710DCB">
        <w:rPr>
          <w:rStyle w:val="FootnoteReference"/>
        </w:rPr>
        <w:footnoteRef/>
      </w:r>
      <w:r w:rsidRPr="00710DCB">
        <w:t xml:space="preserve"> </w:t>
      </w:r>
      <w:r w:rsidRPr="00710DCB">
        <w:tab/>
        <w:t>ibid.</w:t>
      </w:r>
    </w:p>
  </w:footnote>
  <w:footnote w:id="323">
    <w:p w14:paraId="4A71E17B" w14:textId="77777777" w:rsidR="00F323B2" w:rsidRDefault="00F323B2">
      <w:pPr>
        <w:pStyle w:val="FootnoteText"/>
      </w:pPr>
      <w:r>
        <w:rPr>
          <w:rStyle w:val="FootnoteReference"/>
        </w:rPr>
        <w:footnoteRef/>
      </w:r>
      <w:r>
        <w:t xml:space="preserve"> </w:t>
      </w:r>
      <w:r>
        <w:tab/>
      </w:r>
      <w:r w:rsidRPr="00E8203F">
        <w:rPr>
          <w:szCs w:val="16"/>
        </w:rPr>
        <w:t>Stakeholders were unable to estimate the difference in reporting costs across the options. Consequently, the difference in reporting costs across options is due to number of pipelines shifting to stronger and lighter handed forms of regulation.</w:t>
      </w:r>
    </w:p>
  </w:footnote>
  <w:footnote w:id="324">
    <w:p w14:paraId="0DE405AD" w14:textId="77777777" w:rsidR="00F323B2" w:rsidRPr="001A440E" w:rsidRDefault="00F323B2">
      <w:pPr>
        <w:pStyle w:val="FootnoteText"/>
        <w:rPr>
          <w:szCs w:val="16"/>
        </w:rPr>
      </w:pPr>
      <w:r w:rsidRPr="001A440E">
        <w:rPr>
          <w:rStyle w:val="FootnoteReference"/>
          <w:szCs w:val="16"/>
        </w:rPr>
        <w:footnoteRef/>
      </w:r>
      <w:r w:rsidRPr="001A440E">
        <w:rPr>
          <w:szCs w:val="16"/>
        </w:rPr>
        <w:t xml:space="preserve"> </w:t>
      </w:r>
      <w:r w:rsidRPr="001A440E">
        <w:rPr>
          <w:szCs w:val="16"/>
        </w:rPr>
        <w:tab/>
        <w:t>Based on current estimates of shipper numbers, it is assumed that on average five shippers would be impacted for each pipeline shifting to the</w:t>
      </w:r>
      <w:r w:rsidRPr="001A440E">
        <w:rPr>
          <w:spacing w:val="-17"/>
          <w:szCs w:val="16"/>
        </w:rPr>
        <w:t xml:space="preserve"> </w:t>
      </w:r>
      <w:r>
        <w:rPr>
          <w:szCs w:val="16"/>
        </w:rPr>
        <w:t>stronger</w:t>
      </w:r>
      <w:r w:rsidRPr="001A440E">
        <w:rPr>
          <w:szCs w:val="16"/>
        </w:rPr>
        <w:t xml:space="preserve"> form of regulation. For example, in Scenario 1 it is assumed that the shift of nine pipelines to the </w:t>
      </w:r>
      <w:r>
        <w:rPr>
          <w:szCs w:val="16"/>
        </w:rPr>
        <w:t>stronger</w:t>
      </w:r>
      <w:r w:rsidRPr="001A440E">
        <w:rPr>
          <w:szCs w:val="16"/>
        </w:rPr>
        <w:t xml:space="preserve"> form of regulation impacts 45 shippers</w:t>
      </w:r>
    </w:p>
  </w:footnote>
  <w:footnote w:id="325">
    <w:p w14:paraId="7FBA7717" w14:textId="77777777" w:rsidR="00F323B2" w:rsidRDefault="00F323B2" w:rsidP="001A440E">
      <w:pPr>
        <w:pStyle w:val="ListNumber"/>
        <w:numPr>
          <w:ilvl w:val="0"/>
          <w:numId w:val="0"/>
        </w:numPr>
        <w:ind w:left="360" w:hanging="360"/>
      </w:pPr>
      <w:r w:rsidRPr="001A440E">
        <w:rPr>
          <w:rStyle w:val="FootnoteReference"/>
          <w:sz w:val="16"/>
          <w:szCs w:val="16"/>
        </w:rPr>
        <w:footnoteRef/>
      </w:r>
      <w:r w:rsidRPr="001A440E">
        <w:rPr>
          <w:sz w:val="16"/>
          <w:szCs w:val="16"/>
        </w:rPr>
        <w:t xml:space="preserve"> </w:t>
      </w:r>
      <w:r w:rsidRPr="001A440E">
        <w:rPr>
          <w:sz w:val="16"/>
          <w:szCs w:val="16"/>
        </w:rPr>
        <w:tab/>
        <w:t>Only one stakeholder, a major shipper, provided an estimate for the implementation costs. Other stakeholders suggested these costs would not be immaterial, however, were unable to provide an estimate. This is a conservative estimate as some shippers may wrap these implementation costs up into other IT system changes.</w:t>
      </w:r>
      <w:r>
        <w:t xml:space="preserve"> </w:t>
      </w:r>
    </w:p>
  </w:footnote>
  <w:footnote w:id="326">
    <w:p w14:paraId="2F77A4DE" w14:textId="77777777" w:rsidR="00F323B2" w:rsidRPr="00C15965" w:rsidRDefault="00F323B2" w:rsidP="00413B80">
      <w:pPr>
        <w:pStyle w:val="FootnoteText"/>
        <w:rPr>
          <w:szCs w:val="16"/>
        </w:rPr>
      </w:pPr>
      <w:r>
        <w:rPr>
          <w:rStyle w:val="FootnoteReference"/>
        </w:rPr>
        <w:footnoteRef/>
      </w:r>
      <w:r>
        <w:t xml:space="preserve"> </w:t>
      </w:r>
      <w:r>
        <w:tab/>
        <w:t>For the stronger form of regulation under options 2, 3a and 3b the AER in the east coast and NT and the Energy Di</w:t>
      </w:r>
      <w:r w:rsidRPr="00C15965">
        <w:rPr>
          <w:szCs w:val="16"/>
        </w:rPr>
        <w:t>sputes Arbitrator in WA and for the lighter handed form of regulation under all options, commercial arbitrators.</w:t>
      </w:r>
    </w:p>
  </w:footnote>
  <w:footnote w:id="327">
    <w:p w14:paraId="1BFCA7B3" w14:textId="77777777" w:rsidR="00F323B2" w:rsidRPr="00C15965" w:rsidRDefault="00F323B2" w:rsidP="002E7C71">
      <w:pPr>
        <w:pStyle w:val="FootnoteText"/>
        <w:rPr>
          <w:szCs w:val="16"/>
        </w:rPr>
      </w:pPr>
      <w:r w:rsidRPr="00C15965">
        <w:rPr>
          <w:rStyle w:val="FootnoteReference"/>
          <w:szCs w:val="16"/>
        </w:rPr>
        <w:footnoteRef/>
      </w:r>
      <w:r w:rsidRPr="00C15965">
        <w:rPr>
          <w:szCs w:val="16"/>
        </w:rPr>
        <w:t xml:space="preserve"> </w:t>
      </w:r>
      <w:r w:rsidRPr="00C15965">
        <w:rPr>
          <w:szCs w:val="16"/>
        </w:rPr>
        <w:tab/>
        <w:t xml:space="preserve">Cost data for regulators was sourced from the AER and ERA WA, with a single estimated cost figure calculated for each category by weighting the cost </w:t>
      </w:r>
      <w:r w:rsidRPr="00C15965">
        <w:rPr>
          <w:spacing w:val="-26"/>
          <w:szCs w:val="16"/>
        </w:rPr>
        <w:t xml:space="preserve"> </w:t>
      </w:r>
      <w:r w:rsidRPr="00C15965">
        <w:rPr>
          <w:szCs w:val="16"/>
        </w:rPr>
        <w:t>by the number of pipelines regulated in each jurisdiction. Some of ERA WA’s costs are recovered from industry: https:/</w:t>
      </w:r>
      <w:hyperlink r:id="rId4">
        <w:r w:rsidRPr="00C15965">
          <w:rPr>
            <w:szCs w:val="16"/>
          </w:rPr>
          <w:t>/www.e</w:t>
        </w:r>
      </w:hyperlink>
      <w:r w:rsidRPr="00C15965">
        <w:rPr>
          <w:szCs w:val="16"/>
        </w:rPr>
        <w:t>r</w:t>
      </w:r>
      <w:hyperlink r:id="rId5">
        <w:r w:rsidRPr="00C15965">
          <w:rPr>
            <w:szCs w:val="16"/>
          </w:rPr>
          <w:t>awa.com.au/gas/gas-</w:t>
        </w:r>
      </w:hyperlink>
      <w:r w:rsidRPr="00C15965">
        <w:rPr>
          <w:szCs w:val="16"/>
        </w:rPr>
        <w:t xml:space="preserve"> access/mid-west-and-south-west-gas-distribution-systems/tariff-variations</w:t>
      </w:r>
    </w:p>
  </w:footnote>
  <w:footnote w:id="328">
    <w:p w14:paraId="46BA49B4" w14:textId="77777777" w:rsidR="00F323B2" w:rsidRDefault="00F323B2">
      <w:pPr>
        <w:pStyle w:val="FootnoteText"/>
      </w:pPr>
      <w:r w:rsidRPr="00C15965">
        <w:rPr>
          <w:rStyle w:val="FootnoteReference"/>
          <w:szCs w:val="16"/>
        </w:rPr>
        <w:footnoteRef/>
      </w:r>
      <w:r w:rsidRPr="00C15965">
        <w:rPr>
          <w:szCs w:val="16"/>
        </w:rPr>
        <w:t xml:space="preserve"> </w:t>
      </w:r>
      <w:r w:rsidRPr="00C15965">
        <w:rPr>
          <w:szCs w:val="16"/>
        </w:rPr>
        <w:tab/>
        <w:t>These estimates relate to upfront costs for regulators to review coverage applications across all options to determine their form of regulation as well as additional administrative costs to review applications for change in regulatory status under different options. This includes service provider applications to have their regulation removed under Option 2, service provider applications for a greenfield exemption under options 2, 3A and 3B, and</w:t>
      </w:r>
      <w:r w:rsidRPr="00C15965">
        <w:rPr>
          <w:spacing w:val="-25"/>
          <w:szCs w:val="16"/>
        </w:rPr>
        <w:t xml:space="preserve"> </w:t>
      </w:r>
      <w:r w:rsidRPr="00C15965">
        <w:rPr>
          <w:szCs w:val="16"/>
        </w:rPr>
        <w:t xml:space="preserve">shipper applications to obtain third party access to a pipeline that is not voluntarily doing so under options 2 and 3A. </w:t>
      </w:r>
    </w:p>
  </w:footnote>
  <w:footnote w:id="329">
    <w:p w14:paraId="73AA69C3" w14:textId="77777777" w:rsidR="00F323B2" w:rsidRPr="00891B09" w:rsidRDefault="00F323B2" w:rsidP="00B92D8E">
      <w:pPr>
        <w:pStyle w:val="FootnoteText"/>
        <w:rPr>
          <w:szCs w:val="16"/>
        </w:rPr>
      </w:pPr>
      <w:r w:rsidRPr="00891B09">
        <w:rPr>
          <w:rStyle w:val="FootnoteReference"/>
          <w:szCs w:val="16"/>
        </w:rPr>
        <w:footnoteRef/>
      </w:r>
      <w:r w:rsidRPr="00891B09">
        <w:rPr>
          <w:szCs w:val="16"/>
        </w:rPr>
        <w:t xml:space="preserve"> </w:t>
      </w:r>
      <w:r w:rsidRPr="00891B09">
        <w:rPr>
          <w:szCs w:val="16"/>
        </w:rPr>
        <w:tab/>
        <w:t>Brattle, Financial Information Disclosed by Gas Pipelines in Australia Under Part 23 of the National Gas Rules, October 2019.</w:t>
      </w:r>
    </w:p>
  </w:footnote>
  <w:footnote w:id="330">
    <w:p w14:paraId="6BA842D7" w14:textId="77777777" w:rsidR="00F323B2" w:rsidRDefault="00F323B2" w:rsidP="00EA5B86">
      <w:pPr>
        <w:pStyle w:val="FootnoteText"/>
      </w:pPr>
      <w:r w:rsidRPr="00891B09">
        <w:rPr>
          <w:rStyle w:val="FootnoteReference"/>
          <w:szCs w:val="16"/>
        </w:rPr>
        <w:footnoteRef/>
      </w:r>
      <w:r w:rsidRPr="00891B09">
        <w:rPr>
          <w:szCs w:val="16"/>
        </w:rPr>
        <w:t xml:space="preserve"> </w:t>
      </w:r>
      <w:r w:rsidRPr="00891B09">
        <w:rPr>
          <w:szCs w:val="16"/>
        </w:rPr>
        <w:tab/>
        <w:t>On average firm forward haul transportation refers to 89.3% of the total service revenue (ranging from 71.9-100.0%) across the 11 pipelines considered in this analysis. Brattle, Financial Information Disclosed by Gas Pipelines in Australia Under Part 23 of the National Gas Rules</w:t>
      </w:r>
      <w:r>
        <w:rPr>
          <w:szCs w:val="16"/>
        </w:rPr>
        <w:t xml:space="preserve">, October </w:t>
      </w:r>
      <w:r w:rsidRPr="00891B09">
        <w:rPr>
          <w:szCs w:val="16"/>
        </w:rPr>
        <w:t>(2019</w:t>
      </w:r>
      <w:r>
        <w:rPr>
          <w:szCs w:val="16"/>
        </w:rPr>
        <w:t>.</w:t>
      </w:r>
    </w:p>
  </w:footnote>
  <w:footnote w:id="331">
    <w:p w14:paraId="31192C9D" w14:textId="77777777" w:rsidR="00F323B2" w:rsidRDefault="00F323B2" w:rsidP="00EA5B86">
      <w:pPr>
        <w:pStyle w:val="FootnoteText"/>
        <w:rPr>
          <w:szCs w:val="16"/>
        </w:rPr>
      </w:pPr>
      <w:r w:rsidRPr="00EA5B86">
        <w:rPr>
          <w:rStyle w:val="FootnoteReference"/>
          <w:szCs w:val="16"/>
        </w:rPr>
        <w:footnoteRef/>
      </w:r>
      <w:r w:rsidRPr="00EA5B86">
        <w:rPr>
          <w:szCs w:val="16"/>
        </w:rPr>
        <w:t xml:space="preserve"> </w:t>
      </w:r>
      <w:r w:rsidRPr="00EA5B86">
        <w:rPr>
          <w:szCs w:val="16"/>
        </w:rPr>
        <w:tab/>
        <w:t>Vertigan, Examination of the current test for the regulation of gas pipelines</w:t>
      </w:r>
      <w:r>
        <w:rPr>
          <w:szCs w:val="16"/>
        </w:rPr>
        <w:t>, December 2016.</w:t>
      </w:r>
      <w:r w:rsidRPr="00EA5B86">
        <w:rPr>
          <w:szCs w:val="16"/>
        </w:rPr>
        <w:t xml:space="preserve"> </w:t>
      </w:r>
    </w:p>
    <w:p w14:paraId="2DD15C47" w14:textId="77777777" w:rsidR="00F323B2" w:rsidRPr="00BC4B47" w:rsidRDefault="00F323B2" w:rsidP="00EA5B86">
      <w:pPr>
        <w:pStyle w:val="FootnoteText"/>
        <w:rPr>
          <w:szCs w:val="16"/>
        </w:rPr>
      </w:pPr>
      <w:r>
        <w:rPr>
          <w:szCs w:val="16"/>
        </w:rPr>
        <w:tab/>
      </w:r>
      <w:r w:rsidRPr="00BC4B47">
        <w:rPr>
          <w:szCs w:val="16"/>
        </w:rPr>
        <w:t>ACCC, Inquiry into the east coast gas market, April 2016.</w:t>
      </w:r>
    </w:p>
  </w:footnote>
  <w:footnote w:id="332">
    <w:p w14:paraId="53CDD015" w14:textId="77777777" w:rsidR="00F323B2" w:rsidRPr="00BC4B47" w:rsidRDefault="00F323B2">
      <w:pPr>
        <w:pStyle w:val="FootnoteText"/>
        <w:rPr>
          <w:szCs w:val="16"/>
        </w:rPr>
      </w:pPr>
      <w:r w:rsidRPr="00BC4B47">
        <w:rPr>
          <w:rStyle w:val="FootnoteReference"/>
          <w:szCs w:val="16"/>
        </w:rPr>
        <w:footnoteRef/>
      </w:r>
      <w:r w:rsidRPr="00BC4B47">
        <w:rPr>
          <w:szCs w:val="16"/>
        </w:rPr>
        <w:t xml:space="preserve"> </w:t>
      </w:r>
      <w:r w:rsidRPr="00BC4B47">
        <w:rPr>
          <w:szCs w:val="16"/>
        </w:rPr>
        <w:tab/>
        <w:t>PwC analysis of Victoria University Regional</w:t>
      </w:r>
      <w:r w:rsidRPr="00BC4B47">
        <w:rPr>
          <w:spacing w:val="-1"/>
          <w:szCs w:val="16"/>
        </w:rPr>
        <w:t xml:space="preserve"> </w:t>
      </w:r>
      <w:r w:rsidRPr="00BC4B47">
        <w:rPr>
          <w:szCs w:val="16"/>
        </w:rPr>
        <w:t xml:space="preserve">Model. </w:t>
      </w:r>
    </w:p>
  </w:footnote>
  <w:footnote w:id="333">
    <w:p w14:paraId="19B489A0" w14:textId="77777777" w:rsidR="00F323B2" w:rsidRPr="00BC4B47" w:rsidRDefault="00F323B2">
      <w:pPr>
        <w:pStyle w:val="FootnoteText"/>
        <w:rPr>
          <w:szCs w:val="16"/>
        </w:rPr>
      </w:pPr>
      <w:r w:rsidRPr="00BC4B47">
        <w:rPr>
          <w:rStyle w:val="FootnoteReference"/>
          <w:szCs w:val="16"/>
        </w:rPr>
        <w:footnoteRef/>
      </w:r>
      <w:r w:rsidRPr="00BC4B47">
        <w:rPr>
          <w:szCs w:val="16"/>
        </w:rPr>
        <w:t xml:space="preserve"> </w:t>
      </w:r>
      <w:r w:rsidRPr="00BC4B47">
        <w:rPr>
          <w:szCs w:val="16"/>
        </w:rPr>
        <w:tab/>
      </w:r>
      <w:r w:rsidRPr="00BC4B47">
        <w:rPr>
          <w:szCs w:val="16"/>
          <w:lang w:eastAsia="en-US"/>
        </w:rPr>
        <w:t>While a shift to a stronger form of regulation may reduce revenues to the service providers, there are also increased levels of costs as a result of the change. The costs incurred by service providers, shippers and regulators must therefore be factored into the analysis by deducting them from the reduction in revenue.</w:t>
      </w:r>
    </w:p>
  </w:footnote>
  <w:footnote w:id="334">
    <w:p w14:paraId="3E108A5A" w14:textId="77777777" w:rsidR="00F323B2" w:rsidRPr="00BC4B47" w:rsidRDefault="00F323B2">
      <w:pPr>
        <w:pStyle w:val="FootnoteText"/>
        <w:rPr>
          <w:szCs w:val="16"/>
        </w:rPr>
      </w:pPr>
      <w:r w:rsidRPr="00BC4B47">
        <w:rPr>
          <w:rStyle w:val="FootnoteReference"/>
          <w:szCs w:val="16"/>
        </w:rPr>
        <w:footnoteRef/>
      </w:r>
      <w:r w:rsidRPr="00BC4B47">
        <w:rPr>
          <w:szCs w:val="16"/>
        </w:rPr>
        <w:t xml:space="preserve"> </w:t>
      </w:r>
      <w:r w:rsidRPr="00BC4B47">
        <w:rPr>
          <w:szCs w:val="16"/>
        </w:rPr>
        <w:tab/>
        <w:t>Note that any increase in gas consumption may lead to changes in greenhouse gas emissions, the direction of which would be dependent on what gas generation is used to substitute</w:t>
      </w:r>
      <w:r w:rsidRPr="00BC4B47">
        <w:rPr>
          <w:spacing w:val="-4"/>
          <w:szCs w:val="16"/>
        </w:rPr>
        <w:t xml:space="preserve"> </w:t>
      </w:r>
      <w:r w:rsidRPr="00BC4B47">
        <w:rPr>
          <w:szCs w:val="16"/>
        </w:rPr>
        <w:t>for.</w:t>
      </w:r>
    </w:p>
  </w:footnote>
  <w:footnote w:id="335">
    <w:p w14:paraId="1B9886A0" w14:textId="77777777" w:rsidR="00F323B2" w:rsidRDefault="00F323B2">
      <w:pPr>
        <w:pStyle w:val="FootnoteText"/>
      </w:pPr>
      <w:r w:rsidRPr="00BC4B47">
        <w:rPr>
          <w:rStyle w:val="FootnoteReference"/>
          <w:szCs w:val="16"/>
        </w:rPr>
        <w:footnoteRef/>
      </w:r>
      <w:r w:rsidRPr="00BC4B47">
        <w:rPr>
          <w:szCs w:val="16"/>
        </w:rPr>
        <w:t xml:space="preserve"> </w:t>
      </w:r>
      <w:r w:rsidRPr="00BC4B47">
        <w:rPr>
          <w:szCs w:val="16"/>
        </w:rPr>
        <w:tab/>
        <w:t>Because the same number of pipelines are assumed to be subject to the stronger form of regulation under each option.</w:t>
      </w:r>
    </w:p>
  </w:footnote>
  <w:footnote w:id="336">
    <w:p w14:paraId="45715921" w14:textId="77777777" w:rsidR="00F323B2" w:rsidRPr="00D20563" w:rsidRDefault="00F323B2" w:rsidP="004F5A3E">
      <w:pPr>
        <w:pStyle w:val="FootnoteText"/>
        <w:spacing w:before="0" w:after="0"/>
        <w:rPr>
          <w:szCs w:val="16"/>
        </w:rPr>
      </w:pPr>
      <w:r w:rsidRPr="00D20563">
        <w:rPr>
          <w:rStyle w:val="FootnoteReference"/>
          <w:szCs w:val="16"/>
        </w:rPr>
        <w:footnoteRef/>
      </w:r>
      <w:r w:rsidRPr="00D20563">
        <w:rPr>
          <w:szCs w:val="16"/>
        </w:rPr>
        <w:t xml:space="preserve"> </w:t>
      </w:r>
      <w:r w:rsidRPr="00D20563">
        <w:rPr>
          <w:szCs w:val="16"/>
        </w:rPr>
        <w:tab/>
        <w:t>ACCC, Inquiry into the east coast gas market, April 2016 and ACCC, Gas Inquiry Interim Report, July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5E3F7" w14:textId="5CBED929" w:rsidR="00F323B2" w:rsidRPr="00E35A55" w:rsidRDefault="00E50AFD" w:rsidP="00F61E4D">
    <w:pPr>
      <w:pStyle w:val="Header"/>
      <w:tabs>
        <w:tab w:val="clear" w:pos="7796"/>
        <w:tab w:val="left" w:pos="4621"/>
      </w:tabs>
      <w:ind w:left="-623" w:hanging="142"/>
      <w:rPr>
        <w:b/>
        <w:sz w:val="24"/>
        <w:szCs w:val="24"/>
      </w:rPr>
    </w:pPr>
    <w:r>
      <w:rPr>
        <w:b/>
        <w:noProof/>
        <w:sz w:val="24"/>
        <w:szCs w:val="24"/>
        <w:lang w:eastAsia="en-AU"/>
      </w:rPr>
      <w:pict w14:anchorId="71AE3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5pt;height:66.6pt">
          <v:imagedata r:id="rId1" o:title="GMRG-logo-stacked-small"/>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DFDC4" w14:textId="6980DC75" w:rsidR="00F323B2" w:rsidRDefault="00F323B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A951B" w14:textId="181C1384" w:rsidR="00F323B2" w:rsidRDefault="00F323B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D3A6D" w14:textId="68A7CFDB" w:rsidR="00F323B2" w:rsidRDefault="00F323B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47B5B" w14:textId="28886AF7" w:rsidR="00F323B2" w:rsidRDefault="00F323B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74D06" w14:textId="448B3575" w:rsidR="00F323B2" w:rsidRDefault="00F323B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30750" w14:textId="129510FF" w:rsidR="00F323B2" w:rsidRDefault="00F323B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0484A" w14:textId="09BE18FD" w:rsidR="00F323B2" w:rsidRDefault="00F323B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0C9DD" w14:textId="42856547" w:rsidR="00F323B2" w:rsidRDefault="00F323B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539C1" w14:textId="24EA3864" w:rsidR="00F323B2" w:rsidRDefault="00F323B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CA18B" w14:textId="7DEA9C6F" w:rsidR="00F323B2" w:rsidRDefault="00F323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FE7F7" w14:textId="391B2EA8" w:rsidR="00F323B2" w:rsidRPr="00570893" w:rsidRDefault="00F323B2" w:rsidP="00570893">
    <w:pPr>
      <w:pStyle w:val="Header"/>
      <w:ind w:left="-993" w:hanging="283"/>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A48E1" w14:textId="6F71A232" w:rsidR="00F323B2" w:rsidRDefault="00F323B2" w:rsidP="00CF688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208D0" w14:textId="1761E337" w:rsidR="00F323B2" w:rsidRDefault="00F323B2" w:rsidP="00CF688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E1E0B" w14:textId="13C38582" w:rsidR="00F323B2" w:rsidRDefault="00F323B2" w:rsidP="00CF688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1F199" w14:textId="025B7AFE" w:rsidR="00F323B2" w:rsidRDefault="00F323B2">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904AB" w14:textId="35E16F7A" w:rsidR="00F323B2" w:rsidRDefault="00F323B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2F02C" w14:textId="29E74CC1" w:rsidR="00F323B2" w:rsidRDefault="00F323B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7035E" w14:textId="5A90F0D3" w:rsidR="00F323B2" w:rsidRDefault="00F323B2">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98139" w14:textId="53CF5DB9" w:rsidR="00F323B2" w:rsidRDefault="00F323B2" w:rsidP="00CF688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DE50F" w14:textId="30A1B8C8" w:rsidR="00F323B2" w:rsidRDefault="00F323B2" w:rsidP="00CF688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611F0" w14:textId="2F8044F4" w:rsidR="00F323B2" w:rsidRDefault="00F323B2" w:rsidP="00CF68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72228" w14:textId="108631B2" w:rsidR="00F323B2" w:rsidRDefault="00F323B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0EC93" w14:textId="3564FA43" w:rsidR="00F323B2" w:rsidRDefault="00F323B2" w:rsidP="00CF688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3F3CC" w14:textId="1E4EFF14" w:rsidR="00F323B2" w:rsidRDefault="00F323B2" w:rsidP="00CF688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9087C" w14:textId="09AE9A7E" w:rsidR="00F323B2" w:rsidRDefault="00F323B2" w:rsidP="001A440E">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86208" w14:textId="77777777" w:rsidR="00F323B2" w:rsidRPr="00BD4045" w:rsidRDefault="00F323B2" w:rsidP="001A440E">
    <w:pPr>
      <w:pStyle w:val="Header"/>
    </w:pPr>
  </w:p>
  <w:p w14:paraId="01B5B98E" w14:textId="3965D431" w:rsidR="00F323B2" w:rsidRDefault="00F323B2" w:rsidP="001A440E"/>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C9E0F" w14:textId="2998AEA9" w:rsidR="00F323B2" w:rsidRDefault="00F323B2" w:rsidP="001A440E">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33886" w14:textId="77777777" w:rsidR="00F323B2" w:rsidRPr="00BD4045" w:rsidRDefault="00F323B2" w:rsidP="00CF688C">
    <w:pPr>
      <w:pStyle w:val="Header"/>
    </w:pPr>
  </w:p>
  <w:p w14:paraId="753C4B50" w14:textId="099CE600" w:rsidR="00F323B2" w:rsidRDefault="00F323B2" w:rsidP="00CF688C"/>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2448C" w14:textId="77777777" w:rsidR="00F323B2" w:rsidRPr="00BD4045" w:rsidRDefault="00F323B2" w:rsidP="00CF688C">
    <w:pPr>
      <w:pStyle w:val="Header"/>
    </w:pPr>
  </w:p>
  <w:p w14:paraId="098CB3DC" w14:textId="6B3881C8" w:rsidR="00F323B2" w:rsidRDefault="00F323B2" w:rsidP="00CF688C"/>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82BFC" w14:textId="39E9B00A" w:rsidR="00F323B2" w:rsidRDefault="00F323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613EB" w14:textId="011796C6" w:rsidR="00F323B2" w:rsidRDefault="00F323B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2E89F" w14:textId="599ED2FE" w:rsidR="00F323B2" w:rsidRDefault="00F323B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1397F" w14:textId="7E267594" w:rsidR="00F323B2" w:rsidRDefault="00F323B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2DDF0" w14:textId="3C73D13C" w:rsidR="00F323B2" w:rsidRDefault="00F323B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D2616" w14:textId="019FF8CA" w:rsidR="00F323B2" w:rsidRDefault="00F323B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7BCDA" w14:textId="09C628DB" w:rsidR="00F323B2" w:rsidRDefault="00F323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B76FBC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CFA354E"/>
    <w:lvl w:ilvl="0">
      <w:start w:val="1"/>
      <w:numFmt w:val="decimal"/>
      <w:lvlText w:val="%1."/>
      <w:lvlJc w:val="left"/>
      <w:pPr>
        <w:tabs>
          <w:tab w:val="num" w:pos="340"/>
        </w:tabs>
        <w:ind w:left="340" w:hanging="340"/>
      </w:pPr>
      <w:rPr>
        <w:rFonts w:hint="default"/>
      </w:rPr>
    </w:lvl>
  </w:abstractNum>
  <w:abstractNum w:abstractNumId="2" w15:restartNumberingAfterBreak="0">
    <w:nsid w:val="FFFFFF89"/>
    <w:multiLevelType w:val="singleLevel"/>
    <w:tmpl w:val="6F3A91B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4" w15:restartNumberingAfterBreak="0">
    <w:nsid w:val="00B146C5"/>
    <w:multiLevelType w:val="hybridMultilevel"/>
    <w:tmpl w:val="65447294"/>
    <w:lvl w:ilvl="0" w:tplc="8F8EC1A6">
      <w:start w:val="1"/>
      <w:numFmt w:val="bullet"/>
      <w:lvlText w:val="-"/>
      <w:lvlJc w:val="left"/>
      <w:pPr>
        <w:ind w:left="1032" w:hanging="360"/>
      </w:pPr>
      <w:rPr>
        <w:rFonts w:ascii="Arial" w:hAnsi="Arial" w:hint="default"/>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5" w15:restartNumberingAfterBreak="0">
    <w:nsid w:val="00EC080D"/>
    <w:multiLevelType w:val="hybridMultilevel"/>
    <w:tmpl w:val="70526126"/>
    <w:lvl w:ilvl="0" w:tplc="F432E178">
      <w:start w:val="1"/>
      <w:numFmt w:val="lowerLetter"/>
      <w:lvlText w:val="(%1)"/>
      <w:lvlJc w:val="left"/>
      <w:pPr>
        <w:ind w:left="720" w:hanging="360"/>
      </w:pPr>
      <w:rPr>
        <w:rFonts w:ascii="Arial" w:hAnsi="Arial" w:hint="default"/>
        <w:b w:val="0"/>
        <w:i w:val="0"/>
        <w:color w:val="auto"/>
        <w:sz w:val="22"/>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084DCD"/>
    <w:multiLevelType w:val="hybridMultilevel"/>
    <w:tmpl w:val="CACA596C"/>
    <w:lvl w:ilvl="0" w:tplc="8F8EC1A6">
      <w:start w:val="1"/>
      <w:numFmt w:val="bullet"/>
      <w:lvlText w:val="-"/>
      <w:lvlJc w:val="left"/>
      <w:pPr>
        <w:ind w:left="1267" w:hanging="360"/>
      </w:pPr>
      <w:rPr>
        <w:rFonts w:ascii="Arial" w:hAnsi="Arial" w:hint="default"/>
      </w:rPr>
    </w:lvl>
    <w:lvl w:ilvl="1" w:tplc="0C090003" w:tentative="1">
      <w:start w:val="1"/>
      <w:numFmt w:val="bullet"/>
      <w:lvlText w:val="o"/>
      <w:lvlJc w:val="left"/>
      <w:pPr>
        <w:ind w:left="1987" w:hanging="360"/>
      </w:pPr>
      <w:rPr>
        <w:rFonts w:ascii="Courier New" w:hAnsi="Courier New" w:cs="Courier New" w:hint="default"/>
      </w:rPr>
    </w:lvl>
    <w:lvl w:ilvl="2" w:tplc="0C090005" w:tentative="1">
      <w:start w:val="1"/>
      <w:numFmt w:val="bullet"/>
      <w:lvlText w:val=""/>
      <w:lvlJc w:val="left"/>
      <w:pPr>
        <w:ind w:left="2707" w:hanging="360"/>
      </w:pPr>
      <w:rPr>
        <w:rFonts w:ascii="Wingdings" w:hAnsi="Wingdings" w:hint="default"/>
      </w:rPr>
    </w:lvl>
    <w:lvl w:ilvl="3" w:tplc="0C090001" w:tentative="1">
      <w:start w:val="1"/>
      <w:numFmt w:val="bullet"/>
      <w:lvlText w:val=""/>
      <w:lvlJc w:val="left"/>
      <w:pPr>
        <w:ind w:left="3427" w:hanging="360"/>
      </w:pPr>
      <w:rPr>
        <w:rFonts w:ascii="Symbol" w:hAnsi="Symbol" w:hint="default"/>
      </w:rPr>
    </w:lvl>
    <w:lvl w:ilvl="4" w:tplc="0C090003" w:tentative="1">
      <w:start w:val="1"/>
      <w:numFmt w:val="bullet"/>
      <w:lvlText w:val="o"/>
      <w:lvlJc w:val="left"/>
      <w:pPr>
        <w:ind w:left="4147" w:hanging="360"/>
      </w:pPr>
      <w:rPr>
        <w:rFonts w:ascii="Courier New" w:hAnsi="Courier New" w:cs="Courier New" w:hint="default"/>
      </w:rPr>
    </w:lvl>
    <w:lvl w:ilvl="5" w:tplc="0C090005" w:tentative="1">
      <w:start w:val="1"/>
      <w:numFmt w:val="bullet"/>
      <w:lvlText w:val=""/>
      <w:lvlJc w:val="left"/>
      <w:pPr>
        <w:ind w:left="4867" w:hanging="360"/>
      </w:pPr>
      <w:rPr>
        <w:rFonts w:ascii="Wingdings" w:hAnsi="Wingdings" w:hint="default"/>
      </w:rPr>
    </w:lvl>
    <w:lvl w:ilvl="6" w:tplc="0C090001" w:tentative="1">
      <w:start w:val="1"/>
      <w:numFmt w:val="bullet"/>
      <w:lvlText w:val=""/>
      <w:lvlJc w:val="left"/>
      <w:pPr>
        <w:ind w:left="5587" w:hanging="360"/>
      </w:pPr>
      <w:rPr>
        <w:rFonts w:ascii="Symbol" w:hAnsi="Symbol" w:hint="default"/>
      </w:rPr>
    </w:lvl>
    <w:lvl w:ilvl="7" w:tplc="0C090003" w:tentative="1">
      <w:start w:val="1"/>
      <w:numFmt w:val="bullet"/>
      <w:lvlText w:val="o"/>
      <w:lvlJc w:val="left"/>
      <w:pPr>
        <w:ind w:left="6307" w:hanging="360"/>
      </w:pPr>
      <w:rPr>
        <w:rFonts w:ascii="Courier New" w:hAnsi="Courier New" w:cs="Courier New" w:hint="default"/>
      </w:rPr>
    </w:lvl>
    <w:lvl w:ilvl="8" w:tplc="0C090005" w:tentative="1">
      <w:start w:val="1"/>
      <w:numFmt w:val="bullet"/>
      <w:lvlText w:val=""/>
      <w:lvlJc w:val="left"/>
      <w:pPr>
        <w:ind w:left="7027" w:hanging="360"/>
      </w:pPr>
      <w:rPr>
        <w:rFonts w:ascii="Wingdings" w:hAnsi="Wingdings" w:hint="default"/>
      </w:rPr>
    </w:lvl>
  </w:abstractNum>
  <w:abstractNum w:abstractNumId="7" w15:restartNumberingAfterBreak="0">
    <w:nsid w:val="01FB2144"/>
    <w:multiLevelType w:val="hybridMultilevel"/>
    <w:tmpl w:val="E4727A28"/>
    <w:name w:val="MyNumbering622412222"/>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02BA3DBE"/>
    <w:multiLevelType w:val="multilevel"/>
    <w:tmpl w:val="8DF8C6B6"/>
    <w:name w:val="MyNumbering8"/>
    <w:lvl w:ilvl="0">
      <w:start w:val="1"/>
      <w:numFmt w:val="decimal"/>
      <w:lvlText w:val="%1."/>
      <w:lvlJc w:val="left"/>
      <w:pPr>
        <w:ind w:left="360" w:hanging="360"/>
      </w:pPr>
      <w:rPr>
        <w:rFonts w:ascii="Arial" w:hAnsi="Arial" w:hint="default"/>
        <w:b w:val="0"/>
        <w:i w:val="0"/>
        <w:color w:val="auto"/>
        <w:sz w:val="22"/>
        <w:szCs w:val="18"/>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upperLetter"/>
      <w:lvlText w:val="%4."/>
      <w:lvlJc w:val="left"/>
      <w:pPr>
        <w:ind w:left="1428" w:hanging="357"/>
      </w:pPr>
      <w:rPr>
        <w:rFonts w:hint="default"/>
      </w:rPr>
    </w:lvl>
    <w:lvl w:ilvl="4">
      <w:start w:val="1"/>
      <w:numFmt w:val="upperRoman"/>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9" w15:restartNumberingAfterBreak="0">
    <w:nsid w:val="031744D4"/>
    <w:multiLevelType w:val="hybridMultilevel"/>
    <w:tmpl w:val="8F7E3CDC"/>
    <w:name w:val="MyNumbering622411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586C7A"/>
    <w:multiLevelType w:val="hybridMultilevel"/>
    <w:tmpl w:val="94EA52D4"/>
    <w:name w:val="MyNumbering622472"/>
    <w:lvl w:ilvl="0" w:tplc="E0523722">
      <w:numFmt w:val="bullet"/>
      <w:lvlText w:val="-"/>
      <w:lvlJc w:val="left"/>
      <w:pPr>
        <w:ind w:left="1077" w:hanging="360"/>
      </w:pPr>
      <w:rPr>
        <w:rFonts w:ascii="Book Antiqua" w:eastAsia="Times New Roman" w:hAnsi="Book Antiqua" w:cs="Times New Roman"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0364475F"/>
    <w:multiLevelType w:val="multilevel"/>
    <w:tmpl w:val="583A35FA"/>
    <w:name w:val="MyBullets9"/>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3B57116"/>
    <w:multiLevelType w:val="multilevel"/>
    <w:tmpl w:val="D8C832B8"/>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425"/>
        </w:tabs>
        <w:ind w:left="425" w:hanging="425"/>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4" w15:restartNumberingAfterBreak="0">
    <w:nsid w:val="04697119"/>
    <w:multiLevelType w:val="hybridMultilevel"/>
    <w:tmpl w:val="272E71EC"/>
    <w:lvl w:ilvl="0" w:tplc="8F8EC1A6">
      <w:start w:val="1"/>
      <w:numFmt w:val="bullet"/>
      <w:lvlText w:val="-"/>
      <w:lvlJc w:val="left"/>
      <w:pPr>
        <w:ind w:left="1032" w:hanging="360"/>
      </w:pPr>
      <w:rPr>
        <w:rFonts w:ascii="Arial" w:hAnsi="Arial" w:hint="default"/>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15" w15:restartNumberingAfterBreak="0">
    <w:nsid w:val="04E44728"/>
    <w:multiLevelType w:val="hybridMultilevel"/>
    <w:tmpl w:val="3C9CAE28"/>
    <w:name w:val="MyNumbering6224722"/>
    <w:lvl w:ilvl="0" w:tplc="E0523722">
      <w:numFmt w:val="bullet"/>
      <w:lvlText w:val="-"/>
      <w:lvlJc w:val="left"/>
      <w:pPr>
        <w:ind w:left="1077" w:hanging="360"/>
      </w:pPr>
      <w:rPr>
        <w:rFonts w:ascii="Book Antiqua" w:eastAsia="Times New Roman" w:hAnsi="Book Antiqua" w:cs="Times New Roman"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055535E6"/>
    <w:multiLevelType w:val="hybridMultilevel"/>
    <w:tmpl w:val="C0E6BED0"/>
    <w:name w:val="MyNumbering62241123222223"/>
    <w:lvl w:ilvl="0" w:tplc="B7CA530A">
      <w:start w:val="1"/>
      <w:numFmt w:val="lowerRoman"/>
      <w:lvlText w:val="(%1)"/>
      <w:lvlJc w:val="left"/>
      <w:pPr>
        <w:ind w:left="784" w:hanging="360"/>
      </w:pPr>
      <w:rPr>
        <w:rFonts w:ascii="Arial" w:hAnsi="Arial" w:hint="default"/>
        <w:b w:val="0"/>
        <w:i w:val="0"/>
        <w:color w:val="auto"/>
        <w:sz w:val="20"/>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89F61346">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5A4221B"/>
    <w:multiLevelType w:val="hybridMultilevel"/>
    <w:tmpl w:val="301C0CCA"/>
    <w:lvl w:ilvl="0" w:tplc="D812D6DA">
      <w:start w:val="1"/>
      <w:numFmt w:val="low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5BA719C"/>
    <w:multiLevelType w:val="hybridMultilevel"/>
    <w:tmpl w:val="6228079C"/>
    <w:lvl w:ilvl="0" w:tplc="FD1EF92E">
      <w:start w:val="1"/>
      <w:numFmt w:val="upperLetter"/>
      <w:lvlText w:val="%1"/>
      <w:lvlJc w:val="left"/>
      <w:pPr>
        <w:ind w:left="805" w:hanging="360"/>
      </w:pPr>
      <w:rPr>
        <w:rFonts w:ascii="Arial" w:hAnsi="Arial" w:hint="default"/>
        <w:b w:val="0"/>
        <w:i w:val="0"/>
        <w:color w:val="auto"/>
        <w:sz w:val="18"/>
        <w:szCs w:val="26"/>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6186709"/>
    <w:multiLevelType w:val="hybridMultilevel"/>
    <w:tmpl w:val="294A8438"/>
    <w:lvl w:ilvl="0" w:tplc="C4EE5E02">
      <w:start w:val="1"/>
      <w:numFmt w:val="lowerLetter"/>
      <w:lvlText w:val="(%1)"/>
      <w:lvlJc w:val="left"/>
      <w:pPr>
        <w:ind w:left="720"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6675427"/>
    <w:multiLevelType w:val="hybridMultilevel"/>
    <w:tmpl w:val="15829C18"/>
    <w:name w:val="MyNumbering62241722"/>
    <w:lvl w:ilvl="0" w:tplc="28CC8CD4">
      <w:start w:val="1"/>
      <w:numFmt w:val="lowerLetter"/>
      <w:lvlText w:val="(%1)"/>
      <w:lvlJc w:val="left"/>
      <w:pPr>
        <w:ind w:left="723" w:hanging="360"/>
      </w:pPr>
      <w:rPr>
        <w:rFonts w:ascii="Arial" w:hAnsi="Arial" w:hint="default"/>
        <w:b w:val="0"/>
        <w:i w:val="0"/>
        <w:color w:val="auto"/>
        <w:sz w:val="20"/>
        <w:szCs w:val="26"/>
        <w:vertAlign w:val="baseline"/>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21" w15:restartNumberingAfterBreak="0">
    <w:nsid w:val="06F17A9D"/>
    <w:multiLevelType w:val="hybridMultilevel"/>
    <w:tmpl w:val="14C2D780"/>
    <w:lvl w:ilvl="0" w:tplc="FD08BE40">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8497FE4"/>
    <w:multiLevelType w:val="multilevel"/>
    <w:tmpl w:val="B75825CA"/>
    <w:lvl w:ilvl="0">
      <w:start w:val="1"/>
      <w:numFmt w:val="lowerRoman"/>
      <w:pStyle w:val="Thirdbullet"/>
      <w:lvlText w:val="(%1)"/>
      <w:lvlJc w:val="left"/>
      <w:pPr>
        <w:ind w:left="1074" w:hanging="360"/>
      </w:pPr>
      <w:rPr>
        <w:rFonts w:ascii="Arial" w:hAnsi="Arial" w:hint="default"/>
        <w:b w:val="0"/>
        <w:i w:val="0"/>
        <w:color w:val="auto"/>
        <w:sz w:val="20"/>
        <w:szCs w:val="26"/>
        <w:vertAlign w:val="baseline"/>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upperLetter"/>
      <w:lvlText w:val="%4."/>
      <w:lvlJc w:val="left"/>
      <w:pPr>
        <w:ind w:left="1428" w:hanging="357"/>
      </w:pPr>
      <w:rPr>
        <w:rFonts w:hint="default"/>
      </w:rPr>
    </w:lvl>
    <w:lvl w:ilvl="4">
      <w:start w:val="1"/>
      <w:numFmt w:val="upperRoman"/>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23" w15:restartNumberingAfterBreak="0">
    <w:nsid w:val="08821D56"/>
    <w:multiLevelType w:val="multilevel"/>
    <w:tmpl w:val="3A1C9612"/>
    <w:styleLink w:val="BulletsMultilevel"/>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20" w:hanging="360"/>
      </w:pPr>
      <w:rPr>
        <w:rFonts w:ascii="Arial" w:hAnsi="Arial" w:cs="Arial" w:hint="default"/>
      </w:rPr>
    </w:lvl>
    <w:lvl w:ilvl="2">
      <w:start w:val="1"/>
      <w:numFmt w:val="bullet"/>
      <w:lvlText w:val="-"/>
      <w:lvlJc w:val="left"/>
      <w:pPr>
        <w:ind w:left="1080" w:hanging="360"/>
      </w:pPr>
      <w:rPr>
        <w:rFonts w:ascii="Arial" w:hAnsi="Arial" w:cs="Arial" w:hint="default"/>
      </w:rPr>
    </w:lvl>
    <w:lvl w:ilvl="3">
      <w:start w:val="1"/>
      <w:numFmt w:val="bullet"/>
      <w:lvlText w:val="-"/>
      <w:lvlJc w:val="left"/>
      <w:pPr>
        <w:ind w:left="1440" w:hanging="360"/>
      </w:pPr>
      <w:rPr>
        <w:rFonts w:ascii="Arial" w:hAnsi="Arial" w:cs="Arial" w:hint="default"/>
      </w:rPr>
    </w:lvl>
    <w:lvl w:ilvl="4">
      <w:start w:val="1"/>
      <w:numFmt w:val="bullet"/>
      <w:lvlText w:val="-"/>
      <w:lvlJc w:val="left"/>
      <w:pPr>
        <w:ind w:left="1800" w:hanging="360"/>
      </w:pPr>
      <w:rPr>
        <w:rFonts w:ascii="Arial" w:hAnsi="Arial" w:cs="Arial" w:hint="default"/>
      </w:rPr>
    </w:lvl>
    <w:lvl w:ilvl="5">
      <w:start w:val="1"/>
      <w:numFmt w:val="bullet"/>
      <w:lvlText w:val="-"/>
      <w:lvlJc w:val="left"/>
      <w:pPr>
        <w:ind w:left="2160" w:hanging="360"/>
      </w:pPr>
      <w:rPr>
        <w:rFonts w:ascii="Arial" w:hAnsi="Arial" w:cs="Arial" w:hint="default"/>
      </w:rPr>
    </w:lvl>
    <w:lvl w:ilvl="6">
      <w:start w:val="1"/>
      <w:numFmt w:val="bullet"/>
      <w:lvlText w:val="-"/>
      <w:lvlJc w:val="left"/>
      <w:pPr>
        <w:ind w:left="2520" w:hanging="360"/>
      </w:pPr>
      <w:rPr>
        <w:rFonts w:ascii="Arial" w:hAnsi="Arial" w:cs="Arial" w:hint="default"/>
      </w:rPr>
    </w:lvl>
    <w:lvl w:ilvl="7">
      <w:start w:val="1"/>
      <w:numFmt w:val="bullet"/>
      <w:lvlText w:val="-"/>
      <w:lvlJc w:val="left"/>
      <w:pPr>
        <w:ind w:left="2880" w:hanging="360"/>
      </w:pPr>
      <w:rPr>
        <w:rFonts w:ascii="Arial" w:hAnsi="Arial" w:cs="Arial" w:hint="default"/>
      </w:rPr>
    </w:lvl>
    <w:lvl w:ilvl="8">
      <w:start w:val="1"/>
      <w:numFmt w:val="bullet"/>
      <w:lvlText w:val="-"/>
      <w:lvlJc w:val="left"/>
      <w:pPr>
        <w:ind w:left="3240" w:hanging="360"/>
      </w:pPr>
      <w:rPr>
        <w:rFonts w:ascii="Arial" w:hAnsi="Arial" w:cs="Arial" w:hint="default"/>
      </w:rPr>
    </w:lvl>
  </w:abstractNum>
  <w:abstractNum w:abstractNumId="24" w15:restartNumberingAfterBreak="0">
    <w:nsid w:val="090C399E"/>
    <w:multiLevelType w:val="hybridMultilevel"/>
    <w:tmpl w:val="FECA4E7C"/>
    <w:lvl w:ilvl="0" w:tplc="513CEEFC">
      <w:start w:val="1"/>
      <w:numFmt w:val="lowerLetter"/>
      <w:pStyle w:val="Listfortext"/>
      <w:lvlText w:val="(%1)"/>
      <w:lvlJc w:val="left"/>
      <w:pPr>
        <w:ind w:left="720" w:hanging="360"/>
      </w:pPr>
      <w:rPr>
        <w:rFonts w:ascii="Arial" w:hAnsi="Arial" w:hint="default"/>
        <w:b w:val="0"/>
        <w:i w:val="0"/>
        <w:color w:val="auto"/>
        <w:sz w:val="22"/>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092627A6"/>
    <w:multiLevelType w:val="multilevel"/>
    <w:tmpl w:val="59B03238"/>
    <w:lvl w:ilvl="0">
      <w:start w:val="1"/>
      <w:numFmt w:val="bullet"/>
      <w:lvlText w:val="§"/>
      <w:lvlJc w:val="left"/>
      <w:pPr>
        <w:ind w:left="720" w:hanging="360"/>
      </w:pPr>
      <w:rPr>
        <w:rFonts w:ascii="Wingdings" w:hAnsi="Wingdings" w:hint="default"/>
        <w:sz w:val="18"/>
        <w:szCs w:val="26"/>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A866286"/>
    <w:multiLevelType w:val="multilevel"/>
    <w:tmpl w:val="8DF8C6B6"/>
    <w:name w:val="MyNumbering10"/>
    <w:lvl w:ilvl="0">
      <w:start w:val="1"/>
      <w:numFmt w:val="decimal"/>
      <w:lvlText w:val="%1."/>
      <w:lvlJc w:val="left"/>
      <w:pPr>
        <w:ind w:left="360" w:hanging="360"/>
      </w:pPr>
      <w:rPr>
        <w:rFonts w:ascii="Arial" w:hAnsi="Arial" w:hint="default"/>
        <w:b w:val="0"/>
        <w:i w:val="0"/>
        <w:color w:val="auto"/>
        <w:sz w:val="22"/>
        <w:szCs w:val="18"/>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upperLetter"/>
      <w:lvlText w:val="%4."/>
      <w:lvlJc w:val="left"/>
      <w:pPr>
        <w:ind w:left="1428" w:hanging="357"/>
      </w:pPr>
      <w:rPr>
        <w:rFonts w:hint="default"/>
      </w:rPr>
    </w:lvl>
    <w:lvl w:ilvl="4">
      <w:start w:val="1"/>
      <w:numFmt w:val="upperRoman"/>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27" w15:restartNumberingAfterBreak="0">
    <w:nsid w:val="0A8C43AA"/>
    <w:multiLevelType w:val="hybridMultilevel"/>
    <w:tmpl w:val="90406000"/>
    <w:name w:val="MyNumbering6222"/>
    <w:lvl w:ilvl="0" w:tplc="713CAD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BBA645EA">
      <w:start w:val="1"/>
      <w:numFmt w:val="lowerRoman"/>
      <w:lvlText w:val="(%4)"/>
      <w:lvlJc w:val="left"/>
      <w:pPr>
        <w:ind w:left="2880" w:hanging="360"/>
      </w:pPr>
      <w:rPr>
        <w:rFonts w:ascii="Arial" w:hAnsi="Arial" w:hint="default"/>
        <w:b w:val="0"/>
        <w:i/>
        <w:sz w:val="20"/>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34249880">
      <w:start w:val="1"/>
      <w:numFmt w:val="decimal"/>
      <w:lvlText w:val="%7."/>
      <w:lvlJc w:val="left"/>
      <w:pPr>
        <w:ind w:left="5040" w:hanging="360"/>
      </w:pPr>
      <w:rPr>
        <w:rFonts w:ascii="Arial" w:hAnsi="Arial" w:hint="default"/>
        <w:b w:val="0"/>
        <w:i w:val="0"/>
        <w:sz w:val="20"/>
      </w:r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B1556D9"/>
    <w:multiLevelType w:val="hybridMultilevel"/>
    <w:tmpl w:val="FEA82EEC"/>
    <w:name w:val="MyNumbering6224112"/>
    <w:lvl w:ilvl="0" w:tplc="BC2EC844">
      <w:start w:val="1"/>
      <w:numFmt w:val="lowerLetter"/>
      <w:lvlText w:val="(%1)"/>
      <w:lvlJc w:val="left"/>
      <w:pPr>
        <w:ind w:left="720" w:hanging="360"/>
      </w:pPr>
      <w:rPr>
        <w:rFonts w:ascii="Arial" w:hAnsi="Arial" w:hint="default"/>
        <w:b w:val="0"/>
        <w:i w:val="0"/>
        <w:sz w:val="22"/>
        <w:szCs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D4623F70">
      <w:start w:val="1"/>
      <w:numFmt w:val="lowerLetter"/>
      <w:lvlText w:val="(%4)"/>
      <w:lvlJc w:val="left"/>
      <w:pPr>
        <w:ind w:left="2880" w:hanging="360"/>
      </w:pPr>
      <w:rPr>
        <w:rFonts w:ascii="Arial" w:hAnsi="Arial" w:hint="default"/>
        <w:b w:val="0"/>
        <w:i w:val="0"/>
        <w:sz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7408FAA4">
      <w:start w:val="1"/>
      <w:numFmt w:val="decimal"/>
      <w:lvlText w:val="Option %7."/>
      <w:lvlJc w:val="left"/>
      <w:pPr>
        <w:ind w:left="5040" w:hanging="360"/>
      </w:pPr>
      <w:rPr>
        <w:rFonts w:ascii="Arial" w:hAnsi="Arial" w:hint="default"/>
        <w:b w:val="0"/>
        <w:i w:val="0"/>
        <w:sz w:val="22"/>
      </w:r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0B7F3C48"/>
    <w:multiLevelType w:val="hybridMultilevel"/>
    <w:tmpl w:val="ABDE07F8"/>
    <w:name w:val="MyNumbering62247"/>
    <w:lvl w:ilvl="0" w:tplc="E0523722">
      <w:numFmt w:val="bullet"/>
      <w:lvlText w:val="-"/>
      <w:lvlJc w:val="left"/>
      <w:pPr>
        <w:ind w:left="1077" w:hanging="360"/>
      </w:pPr>
      <w:rPr>
        <w:rFonts w:ascii="Book Antiqua" w:eastAsia="Times New Roman" w:hAnsi="Book Antiqua" w:cs="Times New Roman"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0" w15:restartNumberingAfterBreak="0">
    <w:nsid w:val="0D7210F9"/>
    <w:multiLevelType w:val="multilevel"/>
    <w:tmpl w:val="583A35FA"/>
    <w:name w:val="MyBullets15"/>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31" w15:restartNumberingAfterBreak="0">
    <w:nsid w:val="0D9C5050"/>
    <w:multiLevelType w:val="hybridMultilevel"/>
    <w:tmpl w:val="33C20A30"/>
    <w:lvl w:ilvl="0" w:tplc="33AE1CE0">
      <w:start w:val="1"/>
      <w:numFmt w:val="bullet"/>
      <w:pStyle w:val="Tablebullet1"/>
      <w:lvlText w:val=""/>
      <w:lvlJc w:val="left"/>
      <w:pPr>
        <w:ind w:left="805" w:hanging="360"/>
      </w:pPr>
      <w:rPr>
        <w:rFonts w:ascii="Wingdings" w:hAnsi="Wingdings" w:hint="default"/>
      </w:rPr>
    </w:lvl>
    <w:lvl w:ilvl="1" w:tplc="0C090003">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32" w15:restartNumberingAfterBreak="0">
    <w:nsid w:val="0DC32CAB"/>
    <w:multiLevelType w:val="hybridMultilevel"/>
    <w:tmpl w:val="94425410"/>
    <w:lvl w:ilvl="0" w:tplc="3C48E560">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0F32365B"/>
    <w:multiLevelType w:val="hybridMultilevel"/>
    <w:tmpl w:val="0B1C6DD8"/>
    <w:lvl w:ilvl="0" w:tplc="643CE84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0FB2573F"/>
    <w:multiLevelType w:val="multilevel"/>
    <w:tmpl w:val="DE1A4C60"/>
    <w:name w:val="TableFootnotes"/>
    <w:lvl w:ilvl="0">
      <w:start w:val="1"/>
      <w:numFmt w:val="none"/>
      <w:suff w:val="nothing"/>
      <w:lvlText w:val=""/>
      <w:lvlJc w:val="left"/>
      <w:pPr>
        <w:ind w:left="113" w:firstLine="0"/>
      </w:pPr>
      <w:rPr>
        <w:rFonts w:hint="default"/>
        <w:spacing w:val="-10"/>
      </w:rPr>
    </w:lvl>
    <w:lvl w:ilvl="1">
      <w:start w:val="1"/>
      <w:numFmt w:val="decimal"/>
      <w:lvlText w:val="(%2)"/>
      <w:lvlJc w:val="left"/>
      <w:pPr>
        <w:tabs>
          <w:tab w:val="num" w:pos="425"/>
        </w:tabs>
        <w:ind w:left="425" w:hanging="425"/>
      </w:pPr>
      <w:rPr>
        <w:rFonts w:hint="default"/>
        <w:spacing w:val="0"/>
        <w:w w:val="100"/>
        <w:kern w:val="0"/>
        <w:position w:val="0"/>
      </w:rPr>
    </w:lvl>
    <w:lvl w:ilvl="2">
      <w:start w:val="1"/>
      <w:numFmt w:val="none"/>
      <w:lvlRestart w:val="1"/>
      <w:lvlText w:val=""/>
      <w:lvlJc w:val="left"/>
      <w:pPr>
        <w:tabs>
          <w:tab w:val="num" w:pos="284"/>
        </w:tabs>
        <w:ind w:left="284" w:hanging="284"/>
      </w:pPr>
      <w:rPr>
        <w:rFonts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35" w15:restartNumberingAfterBreak="0">
    <w:nsid w:val="0FD47BCB"/>
    <w:multiLevelType w:val="hybridMultilevel"/>
    <w:tmpl w:val="BC1ACD28"/>
    <w:lvl w:ilvl="0" w:tplc="B95A2C02">
      <w:start w:val="1"/>
      <w:numFmt w:val="low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36" w15:restartNumberingAfterBreak="0">
    <w:nsid w:val="0FF31932"/>
    <w:multiLevelType w:val="multilevel"/>
    <w:tmpl w:val="583A35FA"/>
    <w:name w:val="MyBullets22"/>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37" w15:restartNumberingAfterBreak="0">
    <w:nsid w:val="101C3260"/>
    <w:multiLevelType w:val="hybridMultilevel"/>
    <w:tmpl w:val="101AFB78"/>
    <w:lvl w:ilvl="0" w:tplc="C4EE5E02">
      <w:start w:val="1"/>
      <w:numFmt w:val="low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38" w15:restartNumberingAfterBreak="0">
    <w:nsid w:val="10A30383"/>
    <w:multiLevelType w:val="hybridMultilevel"/>
    <w:tmpl w:val="E38652A8"/>
    <w:name w:val="MyNumbering6224102"/>
    <w:lvl w:ilvl="0" w:tplc="713CADB2">
      <w:start w:val="1"/>
      <w:numFmt w:val="lowerLetter"/>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9" w15:restartNumberingAfterBreak="0">
    <w:nsid w:val="10DE52FF"/>
    <w:multiLevelType w:val="hybridMultilevel"/>
    <w:tmpl w:val="9496B1C2"/>
    <w:lvl w:ilvl="0" w:tplc="BCEC5382">
      <w:start w:val="1"/>
      <w:numFmt w:val="lowerLetter"/>
      <w:lvlText w:val="(%1)"/>
      <w:lvlJc w:val="left"/>
      <w:pPr>
        <w:ind w:left="805" w:hanging="360"/>
      </w:pPr>
      <w:rPr>
        <w:rFonts w:hint="default"/>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40" w15:restartNumberingAfterBreak="0">
    <w:nsid w:val="11A77141"/>
    <w:multiLevelType w:val="multilevel"/>
    <w:tmpl w:val="583A35FA"/>
    <w:name w:val="MyBullets16"/>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41" w15:restartNumberingAfterBreak="0">
    <w:nsid w:val="11FD4B7E"/>
    <w:multiLevelType w:val="hybridMultilevel"/>
    <w:tmpl w:val="E5B852A6"/>
    <w:name w:val="MyNumbering6224192"/>
    <w:lvl w:ilvl="0" w:tplc="8F8EC1A6">
      <w:start w:val="1"/>
      <w:numFmt w:val="bullet"/>
      <w:lvlText w:val="-"/>
      <w:lvlJc w:val="left"/>
      <w:pPr>
        <w:ind w:left="1077" w:hanging="360"/>
      </w:pPr>
      <w:rPr>
        <w:rFonts w:ascii="Arial" w:hAnsi="Arial" w:hint="default"/>
      </w:rPr>
    </w:lvl>
    <w:lvl w:ilvl="1" w:tplc="0C090003">
      <w:start w:val="1"/>
      <w:numFmt w:val="bullet"/>
      <w:lvlText w:val="o"/>
      <w:lvlJc w:val="left"/>
      <w:pPr>
        <w:ind w:left="1797" w:hanging="360"/>
      </w:pPr>
      <w:rPr>
        <w:rFonts w:ascii="Courier New" w:hAnsi="Courier New" w:cs="Courier New" w:hint="default"/>
      </w:rPr>
    </w:lvl>
    <w:lvl w:ilvl="2" w:tplc="0C090005">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2" w15:restartNumberingAfterBreak="0">
    <w:nsid w:val="126B4FB4"/>
    <w:multiLevelType w:val="multilevel"/>
    <w:tmpl w:val="583A35FA"/>
    <w:name w:val="MyBullets36"/>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43" w15:restartNumberingAfterBreak="0">
    <w:nsid w:val="12D074B3"/>
    <w:multiLevelType w:val="hybridMultilevel"/>
    <w:tmpl w:val="794604D8"/>
    <w:name w:val="MyNumbering622442"/>
    <w:lvl w:ilvl="0" w:tplc="36F829CA">
      <w:start w:val="1"/>
      <w:numFmt w:val="lowerLetter"/>
      <w:lvlText w:val="(%1)"/>
      <w:lvlJc w:val="left"/>
      <w:pPr>
        <w:ind w:left="1077" w:hanging="360"/>
      </w:pPr>
      <w:rPr>
        <w:rFonts w:ascii="Arial" w:hAnsi="Arial" w:hint="default"/>
        <w:b w:val="0"/>
        <w:i w:val="0"/>
        <w:sz w:val="22"/>
        <w:szCs w:val="26"/>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4" w15:restartNumberingAfterBreak="0">
    <w:nsid w:val="13111E92"/>
    <w:multiLevelType w:val="multilevel"/>
    <w:tmpl w:val="583A35FA"/>
    <w:name w:val="MyBullets14"/>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45" w15:restartNumberingAfterBreak="0">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46" w15:restartNumberingAfterBreak="0">
    <w:nsid w:val="134B5C72"/>
    <w:multiLevelType w:val="hybridMultilevel"/>
    <w:tmpl w:val="AB72E03E"/>
    <w:name w:val="MyNumbering6224112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36D7FBE"/>
    <w:multiLevelType w:val="hybridMultilevel"/>
    <w:tmpl w:val="D2627238"/>
    <w:name w:val="MyNumbering6224182"/>
    <w:lvl w:ilvl="0" w:tplc="8F8EC1A6">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3863A8A"/>
    <w:multiLevelType w:val="multilevel"/>
    <w:tmpl w:val="B51C79B2"/>
    <w:lvl w:ilvl="0">
      <w:start w:val="1"/>
      <w:numFmt w:val="bullet"/>
      <w:lvlText w:val="§"/>
      <w:lvlJc w:val="left"/>
      <w:pPr>
        <w:ind w:left="720" w:hanging="360"/>
      </w:pPr>
      <w:rPr>
        <w:rFonts w:ascii="Wingdings" w:hAnsi="Wingdings" w:hint="default"/>
        <w:sz w:val="18"/>
        <w:szCs w:val="26"/>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14890D1D"/>
    <w:multiLevelType w:val="multilevel"/>
    <w:tmpl w:val="583A35FA"/>
    <w:name w:val="MyBullets"/>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50" w15:restartNumberingAfterBreak="0">
    <w:nsid w:val="15092E48"/>
    <w:multiLevelType w:val="hybridMultilevel"/>
    <w:tmpl w:val="6E620194"/>
    <w:name w:val="MyNumbering622418"/>
    <w:lvl w:ilvl="0" w:tplc="8F8EC1A6">
      <w:start w:val="1"/>
      <w:numFmt w:val="bullet"/>
      <w:lvlText w:val="-"/>
      <w:lvlJc w:val="left"/>
      <w:pPr>
        <w:ind w:left="1077" w:hanging="360"/>
      </w:pPr>
      <w:rPr>
        <w:rFonts w:ascii="Arial"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1" w15:restartNumberingAfterBreak="0">
    <w:nsid w:val="150E00BA"/>
    <w:multiLevelType w:val="multilevel"/>
    <w:tmpl w:val="583A35FA"/>
    <w:name w:val="MyBullets34"/>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52" w15:restartNumberingAfterBreak="0">
    <w:nsid w:val="15813A93"/>
    <w:multiLevelType w:val="hybridMultilevel"/>
    <w:tmpl w:val="B290ACCA"/>
    <w:name w:val="MyNumbering6224112322222"/>
    <w:lvl w:ilvl="0" w:tplc="D67E543A">
      <w:start w:val="1"/>
      <w:numFmt w:val="lowerRoman"/>
      <w:lvlText w:val="(%1)"/>
      <w:lvlJc w:val="left"/>
      <w:pPr>
        <w:ind w:left="784" w:hanging="360"/>
      </w:pPr>
      <w:rPr>
        <w:rFonts w:ascii="Arial" w:hAnsi="Arial" w:hint="default"/>
        <w:b w:val="0"/>
        <w:i w:val="0"/>
        <w:color w:val="auto"/>
        <w:sz w:val="20"/>
        <w:szCs w:val="26"/>
        <w:vertAlign w:val="baseline"/>
      </w:rPr>
    </w:lvl>
    <w:lvl w:ilvl="1" w:tplc="0C090019">
      <w:start w:val="1"/>
      <w:numFmt w:val="lowerLetter"/>
      <w:lvlText w:val="%2."/>
      <w:lvlJc w:val="left"/>
      <w:pPr>
        <w:ind w:left="1504" w:hanging="360"/>
      </w:pPr>
    </w:lvl>
    <w:lvl w:ilvl="2" w:tplc="0C09001B" w:tentative="1">
      <w:start w:val="1"/>
      <w:numFmt w:val="lowerRoman"/>
      <w:lvlText w:val="%3."/>
      <w:lvlJc w:val="right"/>
      <w:pPr>
        <w:ind w:left="2224" w:hanging="180"/>
      </w:pPr>
    </w:lvl>
    <w:lvl w:ilvl="3" w:tplc="0C09000F" w:tentative="1">
      <w:start w:val="1"/>
      <w:numFmt w:val="decimal"/>
      <w:lvlText w:val="%4."/>
      <w:lvlJc w:val="left"/>
      <w:pPr>
        <w:ind w:left="2944" w:hanging="360"/>
      </w:pPr>
    </w:lvl>
    <w:lvl w:ilvl="4" w:tplc="0C090019" w:tentative="1">
      <w:start w:val="1"/>
      <w:numFmt w:val="lowerLetter"/>
      <w:lvlText w:val="%5."/>
      <w:lvlJc w:val="left"/>
      <w:pPr>
        <w:ind w:left="3664" w:hanging="360"/>
      </w:pPr>
    </w:lvl>
    <w:lvl w:ilvl="5" w:tplc="0C09001B" w:tentative="1">
      <w:start w:val="1"/>
      <w:numFmt w:val="lowerRoman"/>
      <w:lvlText w:val="%6."/>
      <w:lvlJc w:val="right"/>
      <w:pPr>
        <w:ind w:left="4384" w:hanging="180"/>
      </w:pPr>
    </w:lvl>
    <w:lvl w:ilvl="6" w:tplc="0C09000F" w:tentative="1">
      <w:start w:val="1"/>
      <w:numFmt w:val="decimal"/>
      <w:lvlText w:val="%7."/>
      <w:lvlJc w:val="left"/>
      <w:pPr>
        <w:ind w:left="5104" w:hanging="360"/>
      </w:pPr>
    </w:lvl>
    <w:lvl w:ilvl="7" w:tplc="0C090019" w:tentative="1">
      <w:start w:val="1"/>
      <w:numFmt w:val="lowerLetter"/>
      <w:lvlText w:val="%8."/>
      <w:lvlJc w:val="left"/>
      <w:pPr>
        <w:ind w:left="5824" w:hanging="360"/>
      </w:pPr>
    </w:lvl>
    <w:lvl w:ilvl="8" w:tplc="0C09001B" w:tentative="1">
      <w:start w:val="1"/>
      <w:numFmt w:val="lowerRoman"/>
      <w:lvlText w:val="%9."/>
      <w:lvlJc w:val="right"/>
      <w:pPr>
        <w:ind w:left="6544" w:hanging="180"/>
      </w:pPr>
    </w:lvl>
  </w:abstractNum>
  <w:abstractNum w:abstractNumId="53" w15:restartNumberingAfterBreak="0">
    <w:nsid w:val="159F2409"/>
    <w:multiLevelType w:val="hybridMultilevel"/>
    <w:tmpl w:val="6486F4EE"/>
    <w:name w:val="MyNumbering62241423"/>
    <w:lvl w:ilvl="0" w:tplc="82EE6B56">
      <w:start w:val="3"/>
      <w:numFmt w:val="lowerLetter"/>
      <w:lvlText w:val="(%1)"/>
      <w:lvlJc w:val="left"/>
      <w:pPr>
        <w:ind w:left="723" w:hanging="360"/>
      </w:pPr>
      <w:rPr>
        <w:rFonts w:ascii="Arial" w:hAnsi="Arial" w:hint="default"/>
        <w:b w:val="0"/>
        <w:i w:val="0"/>
        <w:color w:val="auto"/>
        <w:sz w:val="20"/>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15BE462F"/>
    <w:multiLevelType w:val="multilevel"/>
    <w:tmpl w:val="F1AE4AF0"/>
    <w:lvl w:ilvl="0">
      <w:start w:val="1"/>
      <w:numFmt w:val="lowerRoman"/>
      <w:lvlText w:val="(%1)"/>
      <w:lvlJc w:val="left"/>
      <w:pPr>
        <w:ind w:left="720" w:hanging="360"/>
      </w:pPr>
      <w:rPr>
        <w:rFonts w:hint="default"/>
        <w:sz w:val="18"/>
        <w:szCs w:val="26"/>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16FE4A94"/>
    <w:multiLevelType w:val="hybridMultilevel"/>
    <w:tmpl w:val="AB24F6DE"/>
    <w:lvl w:ilvl="0" w:tplc="29E2435A">
      <w:start w:val="1"/>
      <w:numFmt w:val="lowerLetter"/>
      <w:lvlText w:val="(%1)"/>
      <w:lvlJc w:val="left"/>
      <w:pPr>
        <w:ind w:left="805" w:hanging="360"/>
      </w:pPr>
      <w:rPr>
        <w:rFonts w:ascii="Arial" w:hAnsi="Arial" w:hint="default"/>
        <w:b w:val="0"/>
        <w:i w:val="0"/>
        <w:sz w:val="17"/>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56" w15:restartNumberingAfterBreak="0">
    <w:nsid w:val="171E0CD5"/>
    <w:multiLevelType w:val="hybridMultilevel"/>
    <w:tmpl w:val="0AA2402A"/>
    <w:name w:val="MyNumbering622411232"/>
    <w:lvl w:ilvl="0" w:tplc="E9F4F486">
      <w:start w:val="1"/>
      <w:numFmt w:val="lowerLetter"/>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17496DAE"/>
    <w:multiLevelType w:val="hybridMultilevel"/>
    <w:tmpl w:val="1988B9E0"/>
    <w:name w:val="MyNumbering622411232222"/>
    <w:lvl w:ilvl="0" w:tplc="1C08D2C2">
      <w:start w:val="1"/>
      <w:numFmt w:val="lowerLetter"/>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174A3534"/>
    <w:multiLevelType w:val="multilevel"/>
    <w:tmpl w:val="583A35FA"/>
    <w:name w:val="MyBullets5"/>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59" w15:restartNumberingAfterBreak="0">
    <w:nsid w:val="18B347EF"/>
    <w:multiLevelType w:val="multilevel"/>
    <w:tmpl w:val="583A35FA"/>
    <w:name w:val="MyBullets33"/>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60" w15:restartNumberingAfterBreak="0">
    <w:nsid w:val="18BB7214"/>
    <w:multiLevelType w:val="hybridMultilevel"/>
    <w:tmpl w:val="50A6526E"/>
    <w:name w:val="MyNumbering62241123222222"/>
    <w:lvl w:ilvl="0" w:tplc="8F8EC1A6">
      <w:start w:val="1"/>
      <w:numFmt w:val="bullet"/>
      <w:lvlText w:val="-"/>
      <w:lvlJc w:val="left"/>
      <w:pPr>
        <w:ind w:left="1077" w:hanging="360"/>
      </w:pPr>
      <w:rPr>
        <w:rFonts w:ascii="Arial"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1" w15:restartNumberingAfterBreak="0">
    <w:nsid w:val="18C97C0D"/>
    <w:multiLevelType w:val="hybridMultilevel"/>
    <w:tmpl w:val="B6985E34"/>
    <w:name w:val="MyNumbering622414232"/>
    <w:lvl w:ilvl="0" w:tplc="F700655E">
      <w:start w:val="1"/>
      <w:numFmt w:val="lowerRoman"/>
      <w:lvlText w:val="(%1)"/>
      <w:lvlJc w:val="left"/>
      <w:pPr>
        <w:ind w:left="1162" w:hanging="360"/>
      </w:pPr>
      <w:rPr>
        <w:rFonts w:ascii="Arial" w:hAnsi="Arial" w:hint="default"/>
        <w:b w:val="0"/>
        <w:i w:val="0"/>
        <w:sz w:val="20"/>
        <w:szCs w:val="26"/>
        <w:vertAlign w:val="baseline"/>
      </w:rPr>
    </w:lvl>
    <w:lvl w:ilvl="1" w:tplc="0C090019" w:tentative="1">
      <w:start w:val="1"/>
      <w:numFmt w:val="lowerLetter"/>
      <w:lvlText w:val="%2."/>
      <w:lvlJc w:val="left"/>
      <w:pPr>
        <w:ind w:left="1882" w:hanging="360"/>
      </w:pPr>
    </w:lvl>
    <w:lvl w:ilvl="2" w:tplc="0C09001B" w:tentative="1">
      <w:start w:val="1"/>
      <w:numFmt w:val="lowerRoman"/>
      <w:lvlText w:val="%3."/>
      <w:lvlJc w:val="right"/>
      <w:pPr>
        <w:ind w:left="2602" w:hanging="180"/>
      </w:pPr>
    </w:lvl>
    <w:lvl w:ilvl="3" w:tplc="0C09000F" w:tentative="1">
      <w:start w:val="1"/>
      <w:numFmt w:val="decimal"/>
      <w:lvlText w:val="%4."/>
      <w:lvlJc w:val="left"/>
      <w:pPr>
        <w:ind w:left="3322" w:hanging="360"/>
      </w:pPr>
    </w:lvl>
    <w:lvl w:ilvl="4" w:tplc="0C090019" w:tentative="1">
      <w:start w:val="1"/>
      <w:numFmt w:val="lowerLetter"/>
      <w:lvlText w:val="%5."/>
      <w:lvlJc w:val="left"/>
      <w:pPr>
        <w:ind w:left="4042" w:hanging="360"/>
      </w:pPr>
    </w:lvl>
    <w:lvl w:ilvl="5" w:tplc="0C09001B" w:tentative="1">
      <w:start w:val="1"/>
      <w:numFmt w:val="lowerRoman"/>
      <w:lvlText w:val="%6."/>
      <w:lvlJc w:val="right"/>
      <w:pPr>
        <w:ind w:left="4762" w:hanging="180"/>
      </w:pPr>
    </w:lvl>
    <w:lvl w:ilvl="6" w:tplc="0C09000F" w:tentative="1">
      <w:start w:val="1"/>
      <w:numFmt w:val="decimal"/>
      <w:lvlText w:val="%7."/>
      <w:lvlJc w:val="left"/>
      <w:pPr>
        <w:ind w:left="5482" w:hanging="360"/>
      </w:pPr>
    </w:lvl>
    <w:lvl w:ilvl="7" w:tplc="0C090019" w:tentative="1">
      <w:start w:val="1"/>
      <w:numFmt w:val="lowerLetter"/>
      <w:lvlText w:val="%8."/>
      <w:lvlJc w:val="left"/>
      <w:pPr>
        <w:ind w:left="6202" w:hanging="360"/>
      </w:pPr>
    </w:lvl>
    <w:lvl w:ilvl="8" w:tplc="0C09001B" w:tentative="1">
      <w:start w:val="1"/>
      <w:numFmt w:val="lowerRoman"/>
      <w:lvlText w:val="%9."/>
      <w:lvlJc w:val="right"/>
      <w:pPr>
        <w:ind w:left="6922" w:hanging="180"/>
      </w:pPr>
    </w:lvl>
  </w:abstractNum>
  <w:abstractNum w:abstractNumId="62" w15:restartNumberingAfterBreak="0">
    <w:nsid w:val="190A42EB"/>
    <w:multiLevelType w:val="hybridMultilevel"/>
    <w:tmpl w:val="38BAA364"/>
    <w:lvl w:ilvl="0" w:tplc="AABC9F2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95F7D25"/>
    <w:multiLevelType w:val="hybridMultilevel"/>
    <w:tmpl w:val="9B7097AA"/>
    <w:lvl w:ilvl="0" w:tplc="CBA4E140">
      <w:start w:val="1"/>
      <w:numFmt w:val="bullet"/>
      <w:lvlText w:val=""/>
      <w:lvlJc w:val="left"/>
      <w:pPr>
        <w:ind w:left="720" w:hanging="360"/>
      </w:pPr>
      <w:rPr>
        <w:rFonts w:ascii="Wingdings" w:hAnsi="Wingdings" w:hint="default"/>
        <w:b w:val="0"/>
        <w:i w:val="0"/>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A2E7DF7"/>
    <w:multiLevelType w:val="hybridMultilevel"/>
    <w:tmpl w:val="9F8E7966"/>
    <w:name w:val="Axiom Appendices2"/>
    <w:lvl w:ilvl="0" w:tplc="CBA4E140">
      <w:start w:val="1"/>
      <w:numFmt w:val="bullet"/>
      <w:lvlText w:val=""/>
      <w:lvlJc w:val="left"/>
      <w:pPr>
        <w:ind w:left="720" w:hanging="360"/>
      </w:pPr>
      <w:rPr>
        <w:rFonts w:ascii="Wingdings" w:hAnsi="Wingdings" w:hint="default"/>
        <w:b w:val="0"/>
        <w:i w:val="0"/>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1AB95BBB"/>
    <w:multiLevelType w:val="hybridMultilevel"/>
    <w:tmpl w:val="9AAC615A"/>
    <w:lvl w:ilvl="0" w:tplc="0C090005">
      <w:start w:val="1"/>
      <w:numFmt w:val="bullet"/>
      <w:lvlText w:val=""/>
      <w:lvlJc w:val="left"/>
      <w:pPr>
        <w:ind w:left="805" w:hanging="360"/>
      </w:pPr>
      <w:rPr>
        <w:rFonts w:ascii="Wingdings" w:hAnsi="Wingdings" w:hint="default"/>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66" w15:restartNumberingAfterBreak="0">
    <w:nsid w:val="1BAE0813"/>
    <w:multiLevelType w:val="hybridMultilevel"/>
    <w:tmpl w:val="0EFA04DA"/>
    <w:name w:val="MyNumbering622414"/>
    <w:lvl w:ilvl="0" w:tplc="0540B6A2">
      <w:start w:val="1"/>
      <w:numFmt w:val="lowerLetter"/>
      <w:lvlText w:val="(%1)"/>
      <w:lvlJc w:val="left"/>
      <w:pPr>
        <w:ind w:left="720" w:hanging="360"/>
      </w:pPr>
      <w:rPr>
        <w:rFonts w:ascii="Arial" w:hAnsi="Arial" w:hint="default"/>
        <w:b w:val="0"/>
        <w:i w:val="0"/>
        <w:color w:val="auto"/>
        <w:sz w:val="22"/>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1C1E7108"/>
    <w:multiLevelType w:val="hybridMultilevel"/>
    <w:tmpl w:val="090A1314"/>
    <w:lvl w:ilvl="0" w:tplc="D9589F4E">
      <w:start w:val="1"/>
      <w:numFmt w:val="lowerLetter"/>
      <w:lvlText w:val="(%1)"/>
      <w:lvlJc w:val="left"/>
      <w:pPr>
        <w:ind w:left="805" w:hanging="360"/>
      </w:pPr>
      <w:rPr>
        <w:rFonts w:ascii="Arial" w:hAnsi="Arial" w:hint="default"/>
        <w:b w:val="0"/>
        <w:i/>
        <w:sz w:val="17"/>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68" w15:restartNumberingAfterBreak="0">
    <w:nsid w:val="1CBC1CA8"/>
    <w:multiLevelType w:val="hybridMultilevel"/>
    <w:tmpl w:val="19E03068"/>
    <w:name w:val="MyNumbering62241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1CC032E9"/>
    <w:multiLevelType w:val="multilevel"/>
    <w:tmpl w:val="583A35FA"/>
    <w:name w:val="MyBullets27"/>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70" w15:restartNumberingAfterBreak="0">
    <w:nsid w:val="1E561115"/>
    <w:multiLevelType w:val="hybridMultilevel"/>
    <w:tmpl w:val="0002A198"/>
    <w:lvl w:ilvl="0" w:tplc="FD1EF92E">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71" w15:restartNumberingAfterBreak="0">
    <w:nsid w:val="1E752802"/>
    <w:multiLevelType w:val="hybridMultilevel"/>
    <w:tmpl w:val="57084850"/>
    <w:name w:val="MyNumbering33"/>
    <w:lvl w:ilvl="0" w:tplc="62EEBF52">
      <w:start w:val="1"/>
      <w:numFmt w:val="lowerLetter"/>
      <w:lvlText w:val="(%1)"/>
      <w:lvlJc w:val="left"/>
      <w:pPr>
        <w:ind w:left="720" w:hanging="360"/>
      </w:pPr>
      <w:rPr>
        <w:rFonts w:ascii="Arial" w:hAnsi="Arial" w:hint="default"/>
        <w:b w:val="0"/>
        <w:i w:val="0"/>
        <w:color w:val="231F20"/>
        <w:w w:val="100"/>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1FF6579C"/>
    <w:multiLevelType w:val="multilevel"/>
    <w:tmpl w:val="8DF8C6B6"/>
    <w:name w:val="MyNumbering"/>
    <w:lvl w:ilvl="0">
      <w:start w:val="1"/>
      <w:numFmt w:val="decimal"/>
      <w:lvlText w:val="%1."/>
      <w:lvlJc w:val="left"/>
      <w:pPr>
        <w:ind w:left="360" w:hanging="360"/>
      </w:pPr>
      <w:rPr>
        <w:rFonts w:ascii="Arial" w:hAnsi="Arial" w:hint="default"/>
        <w:b w:val="0"/>
        <w:i w:val="0"/>
        <w:color w:val="auto"/>
        <w:sz w:val="22"/>
        <w:szCs w:val="18"/>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upperLetter"/>
      <w:lvlText w:val="%4."/>
      <w:lvlJc w:val="left"/>
      <w:pPr>
        <w:ind w:left="1428" w:hanging="357"/>
      </w:pPr>
      <w:rPr>
        <w:rFonts w:hint="default"/>
      </w:rPr>
    </w:lvl>
    <w:lvl w:ilvl="4">
      <w:start w:val="1"/>
      <w:numFmt w:val="upperRoman"/>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73" w15:restartNumberingAfterBreak="0">
    <w:nsid w:val="2051010C"/>
    <w:multiLevelType w:val="hybridMultilevel"/>
    <w:tmpl w:val="8F7E7698"/>
    <w:name w:val="MyNumbering62245"/>
    <w:lvl w:ilvl="0" w:tplc="36F829CA">
      <w:start w:val="1"/>
      <w:numFmt w:val="lowerLetter"/>
      <w:lvlText w:val="(%1)"/>
      <w:lvlJc w:val="left"/>
      <w:pPr>
        <w:ind w:left="720" w:hanging="360"/>
      </w:pPr>
      <w:rPr>
        <w:rFonts w:ascii="Arial" w:hAnsi="Arial" w:hint="default"/>
        <w:b w:val="0"/>
        <w:i w:val="0"/>
        <w:sz w:val="22"/>
        <w:szCs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20EF2521"/>
    <w:multiLevelType w:val="hybridMultilevel"/>
    <w:tmpl w:val="3EC2F900"/>
    <w:name w:val="MyNumbering6224122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1B0106C"/>
    <w:multiLevelType w:val="hybridMultilevel"/>
    <w:tmpl w:val="4B4E4242"/>
    <w:name w:val="MyNumbering62246"/>
    <w:lvl w:ilvl="0" w:tplc="36F829CA">
      <w:start w:val="1"/>
      <w:numFmt w:val="lowerLetter"/>
      <w:lvlText w:val="(%1)"/>
      <w:lvlJc w:val="left"/>
      <w:pPr>
        <w:ind w:left="720" w:hanging="360"/>
      </w:pPr>
      <w:rPr>
        <w:rFonts w:ascii="Arial" w:hAnsi="Arial" w:hint="default"/>
        <w:b w:val="0"/>
        <w:i w:val="0"/>
        <w:sz w:val="22"/>
        <w:szCs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21E207B4"/>
    <w:multiLevelType w:val="hybridMultilevel"/>
    <w:tmpl w:val="55B2299E"/>
    <w:name w:val="MyNumbering6224172"/>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7" w15:restartNumberingAfterBreak="0">
    <w:nsid w:val="226A6EE6"/>
    <w:multiLevelType w:val="multilevel"/>
    <w:tmpl w:val="E4FE780E"/>
    <w:lvl w:ilvl="0">
      <w:start w:val="1"/>
      <w:numFmt w:val="bullet"/>
      <w:pStyle w:val="TableBullet10"/>
      <w:lvlText w:val=""/>
      <w:lvlJc w:val="left"/>
      <w:pPr>
        <w:tabs>
          <w:tab w:val="num" w:pos="312"/>
        </w:tabs>
        <w:ind w:left="312" w:hanging="227"/>
      </w:pPr>
      <w:rPr>
        <w:rFonts w:ascii="Wingdings" w:hAnsi="Wingdings" w:hint="default"/>
        <w:color w:val="auto"/>
        <w:position w:val="0"/>
        <w:sz w:val="18"/>
      </w:rPr>
    </w:lvl>
    <w:lvl w:ilvl="1">
      <w:start w:val="1"/>
      <w:numFmt w:val="bullet"/>
      <w:pStyle w:val="TableBullet2"/>
      <w:lvlText w:val="–"/>
      <w:lvlJc w:val="left"/>
      <w:pPr>
        <w:tabs>
          <w:tab w:val="num" w:pos="539"/>
        </w:tabs>
        <w:ind w:left="539" w:hanging="227"/>
      </w:pPr>
      <w:rPr>
        <w:rFonts w:ascii="Arial" w:hAnsi="Arial" w:hint="default"/>
        <w:color w:val="auto"/>
        <w:position w:val="0"/>
        <w:sz w:val="18"/>
      </w:rPr>
    </w:lvl>
    <w:lvl w:ilvl="2">
      <w:start w:val="1"/>
      <w:numFmt w:val="bullet"/>
      <w:pStyle w:val="TableBullet3"/>
      <w:lvlText w:val="•"/>
      <w:lvlJc w:val="left"/>
      <w:pPr>
        <w:tabs>
          <w:tab w:val="num" w:pos="765"/>
        </w:tabs>
        <w:ind w:left="765" w:hanging="226"/>
      </w:pPr>
      <w:rPr>
        <w:rFonts w:ascii="Book Antiqua" w:hAnsi="Book Antiqua" w:hint="default"/>
        <w:color w:val="auto"/>
        <w:position w:val="0"/>
        <w:sz w:val="18"/>
      </w:rPr>
    </w:lvl>
    <w:lvl w:ilvl="3">
      <w:start w:val="1"/>
      <w:numFmt w:val="none"/>
      <w:lvlText w:val=""/>
      <w:lvlJc w:val="left"/>
      <w:pPr>
        <w:tabs>
          <w:tab w:val="num" w:pos="1021"/>
        </w:tabs>
        <w:ind w:left="908" w:hanging="227"/>
      </w:pPr>
      <w:rPr>
        <w:rFonts w:hint="default"/>
        <w:color w:val="214C90" w:themeColor="text2"/>
        <w:sz w:val="16"/>
      </w:rPr>
    </w:lvl>
    <w:lvl w:ilvl="4">
      <w:start w:val="1"/>
      <w:numFmt w:val="none"/>
      <w:lvlText w:val=""/>
      <w:lvlJc w:val="left"/>
      <w:pPr>
        <w:tabs>
          <w:tab w:val="num" w:pos="1248"/>
        </w:tabs>
        <w:ind w:left="1135" w:hanging="227"/>
      </w:pPr>
      <w:rPr>
        <w:rFonts w:hint="default"/>
        <w:color w:val="214C90" w:themeColor="text2"/>
      </w:rPr>
    </w:lvl>
    <w:lvl w:ilvl="5">
      <w:start w:val="1"/>
      <w:numFmt w:val="none"/>
      <w:lvlText w:val=""/>
      <w:lvlJc w:val="left"/>
      <w:pPr>
        <w:tabs>
          <w:tab w:val="num" w:pos="1475"/>
        </w:tabs>
        <w:ind w:left="1362" w:hanging="227"/>
      </w:pPr>
      <w:rPr>
        <w:rFonts w:hint="default"/>
      </w:rPr>
    </w:lvl>
    <w:lvl w:ilvl="6">
      <w:start w:val="1"/>
      <w:numFmt w:val="none"/>
      <w:lvlText w:val=""/>
      <w:lvlJc w:val="left"/>
      <w:pPr>
        <w:tabs>
          <w:tab w:val="num" w:pos="1702"/>
        </w:tabs>
        <w:ind w:left="1589" w:hanging="227"/>
      </w:pPr>
      <w:rPr>
        <w:rFonts w:hint="default"/>
      </w:rPr>
    </w:lvl>
    <w:lvl w:ilvl="7">
      <w:start w:val="1"/>
      <w:numFmt w:val="none"/>
      <w:lvlText w:val=""/>
      <w:lvlJc w:val="left"/>
      <w:pPr>
        <w:tabs>
          <w:tab w:val="num" w:pos="1929"/>
        </w:tabs>
        <w:ind w:left="1816" w:hanging="227"/>
      </w:pPr>
      <w:rPr>
        <w:rFonts w:hint="default"/>
      </w:rPr>
    </w:lvl>
    <w:lvl w:ilvl="8">
      <w:start w:val="1"/>
      <w:numFmt w:val="none"/>
      <w:lvlText w:val=""/>
      <w:lvlJc w:val="left"/>
      <w:pPr>
        <w:tabs>
          <w:tab w:val="num" w:pos="2156"/>
        </w:tabs>
        <w:ind w:left="2043" w:hanging="227"/>
      </w:pPr>
      <w:rPr>
        <w:rFonts w:hint="default"/>
      </w:rPr>
    </w:lvl>
  </w:abstractNum>
  <w:abstractNum w:abstractNumId="78" w15:restartNumberingAfterBreak="0">
    <w:nsid w:val="23967B36"/>
    <w:multiLevelType w:val="hybridMultilevel"/>
    <w:tmpl w:val="256E5800"/>
    <w:lvl w:ilvl="0" w:tplc="BCEC53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3CD2BDA"/>
    <w:multiLevelType w:val="hybridMultilevel"/>
    <w:tmpl w:val="F1B41F5A"/>
    <w:lvl w:ilvl="0" w:tplc="FD1EF92E">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80" w15:restartNumberingAfterBreak="0">
    <w:nsid w:val="241C0992"/>
    <w:multiLevelType w:val="hybridMultilevel"/>
    <w:tmpl w:val="8C286D48"/>
    <w:name w:val="MyNumbering622411232232"/>
    <w:lvl w:ilvl="0" w:tplc="08027C9A">
      <w:start w:val="1"/>
      <w:numFmt w:val="bullet"/>
      <w:lvlText w:val=""/>
      <w:lvlJc w:val="left"/>
      <w:pPr>
        <w:ind w:left="805" w:hanging="360"/>
      </w:pPr>
      <w:rPr>
        <w:rFonts w:ascii="Wingdings" w:hAnsi="Wingdings" w:hint="default"/>
        <w:b w:val="0"/>
        <w:i w:val="0"/>
        <w:sz w:val="16"/>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81" w15:restartNumberingAfterBreak="0">
    <w:nsid w:val="246E36AD"/>
    <w:multiLevelType w:val="hybridMultilevel"/>
    <w:tmpl w:val="4F2495E4"/>
    <w:name w:val="MyNumbering62241123222"/>
    <w:lvl w:ilvl="0" w:tplc="71622F8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2481211B"/>
    <w:multiLevelType w:val="hybridMultilevel"/>
    <w:tmpl w:val="A1FE20E6"/>
    <w:lvl w:ilvl="0" w:tplc="FD1EF92E">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83" w15:restartNumberingAfterBreak="0">
    <w:nsid w:val="254A468D"/>
    <w:multiLevelType w:val="hybridMultilevel"/>
    <w:tmpl w:val="A3568734"/>
    <w:name w:val="MyNumbering32"/>
    <w:lvl w:ilvl="0" w:tplc="A432922E">
      <w:start w:val="1"/>
      <w:numFmt w:val="decimal"/>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254B6A47"/>
    <w:multiLevelType w:val="multilevel"/>
    <w:tmpl w:val="305A6728"/>
    <w:name w:val="AlphaList"/>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upperLetter"/>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none"/>
      <w:lvlText w:val=""/>
      <w:lvlJc w:val="left"/>
      <w:pPr>
        <w:tabs>
          <w:tab w:val="num" w:pos="2013"/>
        </w:tabs>
        <w:ind w:left="1985" w:hanging="397"/>
      </w:pPr>
      <w:rPr>
        <w:rFonts w:hint="default"/>
      </w:rPr>
    </w:lvl>
    <w:lvl w:ilvl="5">
      <w:start w:val="1"/>
      <w:numFmt w:val="none"/>
      <w:lvlText w:val=""/>
      <w:lvlJc w:val="left"/>
      <w:pPr>
        <w:tabs>
          <w:tab w:val="num" w:pos="2410"/>
        </w:tabs>
        <w:ind w:left="2382" w:hanging="397"/>
      </w:pPr>
      <w:rPr>
        <w:rFonts w:hint="default"/>
      </w:rPr>
    </w:lvl>
    <w:lvl w:ilvl="6">
      <w:start w:val="1"/>
      <w:numFmt w:val="none"/>
      <w:lvlText w:val=""/>
      <w:lvlJc w:val="left"/>
      <w:pPr>
        <w:tabs>
          <w:tab w:val="num" w:pos="2807"/>
        </w:tabs>
        <w:ind w:left="2779" w:hanging="397"/>
      </w:pPr>
      <w:rPr>
        <w:rFonts w:hint="default"/>
      </w:rPr>
    </w:lvl>
    <w:lvl w:ilvl="7">
      <w:start w:val="1"/>
      <w:numFmt w:val="none"/>
      <w:lvlText w:val=""/>
      <w:lvlJc w:val="left"/>
      <w:pPr>
        <w:tabs>
          <w:tab w:val="num" w:pos="3204"/>
        </w:tabs>
        <w:ind w:left="3176" w:hanging="397"/>
      </w:pPr>
      <w:rPr>
        <w:rFonts w:hint="default"/>
      </w:rPr>
    </w:lvl>
    <w:lvl w:ilvl="8">
      <w:start w:val="1"/>
      <w:numFmt w:val="none"/>
      <w:lvlText w:val=""/>
      <w:lvlJc w:val="left"/>
      <w:pPr>
        <w:tabs>
          <w:tab w:val="num" w:pos="3601"/>
        </w:tabs>
        <w:ind w:left="3573" w:hanging="397"/>
      </w:pPr>
      <w:rPr>
        <w:rFonts w:hint="default"/>
      </w:rPr>
    </w:lvl>
  </w:abstractNum>
  <w:abstractNum w:abstractNumId="85" w15:restartNumberingAfterBreak="0">
    <w:nsid w:val="25CC3C5A"/>
    <w:multiLevelType w:val="multilevel"/>
    <w:tmpl w:val="583A35FA"/>
    <w:name w:val="MyBullets31"/>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86" w15:restartNumberingAfterBreak="0">
    <w:nsid w:val="263736D1"/>
    <w:multiLevelType w:val="hybridMultilevel"/>
    <w:tmpl w:val="42F87548"/>
    <w:lvl w:ilvl="0" w:tplc="08027C9A">
      <w:start w:val="1"/>
      <w:numFmt w:val="bullet"/>
      <w:lvlText w:val=""/>
      <w:lvlJc w:val="left"/>
      <w:pPr>
        <w:ind w:left="805" w:hanging="360"/>
      </w:pPr>
      <w:rPr>
        <w:rFonts w:ascii="Wingdings" w:hAnsi="Wingdings" w:hint="default"/>
        <w:b w:val="0"/>
        <w:i w:val="0"/>
        <w:sz w:val="16"/>
      </w:rPr>
    </w:lvl>
    <w:lvl w:ilvl="1" w:tplc="0C090003">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87" w15:restartNumberingAfterBreak="0">
    <w:nsid w:val="269318A3"/>
    <w:multiLevelType w:val="multilevel"/>
    <w:tmpl w:val="E710D764"/>
    <w:styleLink w:val="BGNBulletList"/>
    <w:lvl w:ilvl="0">
      <w:start w:val="1"/>
      <w:numFmt w:val="bullet"/>
      <w:pStyle w:val="BGNBulletedList"/>
      <w:lvlText w:val=""/>
      <w:lvlJc w:val="left"/>
      <w:pPr>
        <w:ind w:left="720" w:hanging="360"/>
      </w:pPr>
      <w:rPr>
        <w:rFonts w:ascii="Symbol" w:hAnsi="Symbol" w:hint="default"/>
        <w:color w:val="00467F"/>
      </w:rPr>
    </w:lvl>
    <w:lvl w:ilvl="1">
      <w:start w:val="1"/>
      <w:numFmt w:val="bullet"/>
      <w:lvlText w:val="–"/>
      <w:lvlJc w:val="left"/>
      <w:pPr>
        <w:ind w:left="1080" w:hanging="360"/>
      </w:pPr>
      <w:rPr>
        <w:rFonts w:ascii="Sylfaen" w:hAnsi="Sylfaen" w:hint="default"/>
        <w:b w:val="0"/>
        <w:color w:val="00467F"/>
      </w:rPr>
    </w:lvl>
    <w:lvl w:ilvl="2">
      <w:start w:val="1"/>
      <w:numFmt w:val="bullet"/>
      <w:lvlText w:val="■"/>
      <w:lvlJc w:val="left"/>
      <w:pPr>
        <w:ind w:left="1440" w:hanging="360"/>
      </w:pPr>
      <w:rPr>
        <w:rFonts w:ascii="Arial" w:hAnsi="Arial" w:hint="default"/>
        <w:color w:val="00467F"/>
        <w:sz w:val="16"/>
      </w:rPr>
    </w:lvl>
    <w:lvl w:ilvl="3">
      <w:start w:val="1"/>
      <w:numFmt w:val="bullet"/>
      <w:lvlText w:val=""/>
      <w:lvlJc w:val="left"/>
      <w:pPr>
        <w:ind w:left="1800" w:hanging="360"/>
      </w:pPr>
      <w:rPr>
        <w:rFonts w:ascii="Symbol" w:hAnsi="Symbol" w:hint="default"/>
        <w:color w:val="00467F"/>
        <w:sz w:val="16"/>
      </w:rPr>
    </w:lvl>
    <w:lvl w:ilvl="4">
      <w:start w:val="1"/>
      <w:numFmt w:val="none"/>
      <w:lvlText w:val=""/>
      <w:lvlJc w:val="left"/>
      <w:pPr>
        <w:ind w:left="2160" w:hanging="360"/>
      </w:pPr>
      <w:rPr>
        <w:rFonts w:hint="default"/>
        <w:color w:val="00467F"/>
      </w:rPr>
    </w:lvl>
    <w:lvl w:ilvl="5">
      <w:start w:val="1"/>
      <w:numFmt w:val="none"/>
      <w:lvlText w:val=""/>
      <w:lvlJc w:val="left"/>
      <w:pPr>
        <w:ind w:left="2520" w:hanging="360"/>
      </w:pPr>
      <w:rPr>
        <w:rFonts w:hint="default"/>
        <w:color w:val="00467F"/>
      </w:rPr>
    </w:lvl>
    <w:lvl w:ilvl="6">
      <w:start w:val="1"/>
      <w:numFmt w:val="none"/>
      <w:lvlText w:val="%7"/>
      <w:lvlJc w:val="left"/>
      <w:pPr>
        <w:ind w:left="2880" w:hanging="360"/>
      </w:pPr>
      <w:rPr>
        <w:rFonts w:hint="default"/>
        <w:color w:val="00467F"/>
      </w:rPr>
    </w:lvl>
    <w:lvl w:ilvl="7">
      <w:start w:val="1"/>
      <w:numFmt w:val="none"/>
      <w:lvlText w:val="%8"/>
      <w:lvlJc w:val="left"/>
      <w:pPr>
        <w:ind w:left="3240" w:hanging="360"/>
      </w:pPr>
      <w:rPr>
        <w:rFonts w:hint="default"/>
        <w:color w:val="00467F"/>
      </w:rPr>
    </w:lvl>
    <w:lvl w:ilvl="8">
      <w:start w:val="1"/>
      <w:numFmt w:val="none"/>
      <w:lvlText w:val="%9"/>
      <w:lvlJc w:val="left"/>
      <w:pPr>
        <w:ind w:left="3600" w:hanging="360"/>
      </w:pPr>
      <w:rPr>
        <w:rFonts w:hint="default"/>
        <w:color w:val="00467F"/>
      </w:rPr>
    </w:lvl>
  </w:abstractNum>
  <w:abstractNum w:abstractNumId="88" w15:restartNumberingAfterBreak="0">
    <w:nsid w:val="269B3588"/>
    <w:multiLevelType w:val="hybridMultilevel"/>
    <w:tmpl w:val="CD9C734C"/>
    <w:lvl w:ilvl="0" w:tplc="09E4AA50">
      <w:start w:val="1"/>
      <w:numFmt w:val="lowerLetter"/>
      <w:pStyle w:val="Secondbullet"/>
      <w:lvlText w:val="(%1)"/>
      <w:lvlJc w:val="left"/>
      <w:pPr>
        <w:ind w:left="720" w:hanging="360"/>
      </w:pPr>
      <w:rPr>
        <w:rFonts w:ascii="Arial" w:hAnsi="Arial" w:hint="default"/>
        <w:b w:val="0"/>
        <w:i w:val="0"/>
        <w:color w:val="auto"/>
        <w:sz w:val="20"/>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72C75BD"/>
    <w:multiLevelType w:val="hybridMultilevel"/>
    <w:tmpl w:val="E17CF2A0"/>
    <w:lvl w:ilvl="0" w:tplc="B6B0EC1E">
      <w:start w:val="1"/>
      <w:numFmt w:val="lowerRoman"/>
      <w:lvlText w:val="(%1)"/>
      <w:lvlJc w:val="left"/>
      <w:pPr>
        <w:ind w:left="805" w:hanging="360"/>
      </w:pPr>
      <w:rPr>
        <w:rFonts w:ascii="Arial" w:hAnsi="Arial"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27453B2F"/>
    <w:multiLevelType w:val="hybridMultilevel"/>
    <w:tmpl w:val="6EEA69C6"/>
    <w:lvl w:ilvl="0" w:tplc="36DE3054">
      <w:start w:val="1"/>
      <w:numFmt w:val="lowerLetter"/>
      <w:lvlText w:val="(%1)"/>
      <w:lvlJc w:val="left"/>
      <w:pPr>
        <w:ind w:left="805" w:hanging="360"/>
      </w:pPr>
      <w:rPr>
        <w:rFonts w:ascii="Arial" w:hAnsi="Arial" w:hint="default"/>
        <w:b w:val="0"/>
        <w:i/>
        <w:sz w:val="17"/>
      </w:rPr>
    </w:lvl>
    <w:lvl w:ilvl="1" w:tplc="0C090019" w:tentative="1">
      <w:start w:val="1"/>
      <w:numFmt w:val="lowerLetter"/>
      <w:lvlText w:val="%2."/>
      <w:lvlJc w:val="left"/>
      <w:pPr>
        <w:ind w:left="1525" w:hanging="360"/>
      </w:pPr>
    </w:lvl>
    <w:lvl w:ilvl="2" w:tplc="36DE3054">
      <w:start w:val="1"/>
      <w:numFmt w:val="lowerLetter"/>
      <w:lvlText w:val="(%3)"/>
      <w:lvlJc w:val="left"/>
      <w:pPr>
        <w:ind w:left="2245" w:hanging="180"/>
      </w:pPr>
      <w:rPr>
        <w:rFonts w:ascii="Arial" w:hAnsi="Arial" w:hint="default"/>
        <w:b w:val="0"/>
        <w:i/>
        <w:sz w:val="17"/>
      </w:r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91"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2" w15:restartNumberingAfterBreak="0">
    <w:nsid w:val="289B05E4"/>
    <w:multiLevelType w:val="multilevel"/>
    <w:tmpl w:val="3A1C9612"/>
    <w:numStyleLink w:val="BulletsMultilevel"/>
  </w:abstractNum>
  <w:abstractNum w:abstractNumId="93" w15:restartNumberingAfterBreak="0">
    <w:nsid w:val="28A631DD"/>
    <w:multiLevelType w:val="hybridMultilevel"/>
    <w:tmpl w:val="2D741B72"/>
    <w:name w:val="MyNumbering622411"/>
    <w:lvl w:ilvl="0" w:tplc="9BD0F7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2911260D"/>
    <w:multiLevelType w:val="multilevel"/>
    <w:tmpl w:val="BB8EE6B2"/>
    <w:lvl w:ilvl="0">
      <w:start w:val="1"/>
      <w:numFmt w:val="decimal"/>
      <w:pStyle w:val="NotesNumbered"/>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29DB7A6A"/>
    <w:multiLevelType w:val="hybridMultilevel"/>
    <w:tmpl w:val="73E0E952"/>
    <w:lvl w:ilvl="0" w:tplc="1466E854">
      <w:start w:val="1"/>
      <w:numFmt w:val="low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29E20C04"/>
    <w:multiLevelType w:val="multilevel"/>
    <w:tmpl w:val="775ED5F2"/>
    <w:lvl w:ilvl="0">
      <w:start w:val="1"/>
      <w:numFmt w:val="upperLetter"/>
      <w:pStyle w:val="AppendixLevel1"/>
      <w:lvlText w:val="%1."/>
      <w:lvlJc w:val="left"/>
      <w:pPr>
        <w:ind w:left="1134" w:hanging="1134"/>
      </w:pPr>
    </w:lvl>
    <w:lvl w:ilvl="1">
      <w:start w:val="1"/>
      <w:numFmt w:val="decimal"/>
      <w:pStyle w:val="AppendixLevel2"/>
      <w:lvlText w:val="%1.%2"/>
      <w:lvlJc w:val="left"/>
      <w:pPr>
        <w:ind w:left="1134" w:hanging="1134"/>
      </w:pPr>
    </w:lvl>
    <w:lvl w:ilvl="2">
      <w:start w:val="1"/>
      <w:numFmt w:val="decimal"/>
      <w:pStyle w:val="AppendixLevel3"/>
      <w:lvlText w:val="%1.%2.%3"/>
      <w:lvlJc w:val="left"/>
      <w:pPr>
        <w:ind w:left="1134" w:hanging="1134"/>
      </w:pPr>
    </w:lvl>
    <w:lvl w:ilvl="3">
      <w:start w:val="1"/>
      <w:numFmt w:val="none"/>
      <w:lvlText w:val="(%4)"/>
      <w:lvlJc w:val="left"/>
      <w:pPr>
        <w:ind w:left="1808" w:hanging="737"/>
      </w:pPr>
    </w:lvl>
    <w:lvl w:ilvl="4">
      <w:start w:val="1"/>
      <w:numFmt w:val="lowerLetter"/>
      <w:lvlText w:val="(%5)"/>
      <w:lvlJc w:val="left"/>
      <w:pPr>
        <w:ind w:left="2165" w:hanging="737"/>
      </w:pPr>
    </w:lvl>
    <w:lvl w:ilvl="5">
      <w:start w:val="1"/>
      <w:numFmt w:val="lowerRoman"/>
      <w:lvlText w:val="(%6)"/>
      <w:lvlJc w:val="left"/>
      <w:pPr>
        <w:ind w:left="2522" w:hanging="737"/>
      </w:pPr>
    </w:lvl>
    <w:lvl w:ilvl="6">
      <w:start w:val="1"/>
      <w:numFmt w:val="decimal"/>
      <w:lvlText w:val="%7."/>
      <w:lvlJc w:val="left"/>
      <w:pPr>
        <w:ind w:left="2879" w:hanging="737"/>
      </w:pPr>
    </w:lvl>
    <w:lvl w:ilvl="7">
      <w:start w:val="1"/>
      <w:numFmt w:val="lowerLetter"/>
      <w:lvlText w:val="%8."/>
      <w:lvlJc w:val="left"/>
      <w:pPr>
        <w:ind w:left="3236" w:hanging="737"/>
      </w:pPr>
    </w:lvl>
    <w:lvl w:ilvl="8">
      <w:start w:val="1"/>
      <w:numFmt w:val="lowerRoman"/>
      <w:lvlText w:val="%9."/>
      <w:lvlJc w:val="left"/>
      <w:pPr>
        <w:ind w:left="3593" w:hanging="737"/>
      </w:pPr>
    </w:lvl>
  </w:abstractNum>
  <w:abstractNum w:abstractNumId="97" w15:restartNumberingAfterBreak="0">
    <w:nsid w:val="2A9E26C9"/>
    <w:multiLevelType w:val="hybridMultilevel"/>
    <w:tmpl w:val="3ECC771C"/>
    <w:lvl w:ilvl="0" w:tplc="0C090005">
      <w:start w:val="1"/>
      <w:numFmt w:val="bullet"/>
      <w:lvlText w:val=""/>
      <w:lvlJc w:val="left"/>
      <w:pPr>
        <w:ind w:left="805" w:hanging="360"/>
      </w:pPr>
      <w:rPr>
        <w:rFonts w:ascii="Wingdings" w:hAnsi="Wingdings" w:hint="default"/>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98" w15:restartNumberingAfterBreak="0">
    <w:nsid w:val="2B050E70"/>
    <w:multiLevelType w:val="hybridMultilevel"/>
    <w:tmpl w:val="0BDE9B52"/>
    <w:name w:val="MyNumbering6224142322"/>
    <w:lvl w:ilvl="0" w:tplc="A230A338">
      <w:start w:val="1"/>
      <w:numFmt w:val="lowerLetter"/>
      <w:lvlText w:val="(%1)"/>
      <w:lvlJc w:val="left"/>
      <w:pPr>
        <w:ind w:left="720" w:hanging="360"/>
      </w:pPr>
      <w:rPr>
        <w:rFonts w:ascii="Arial" w:hAnsi="Arial" w:hint="default"/>
        <w:b w:val="0"/>
        <w:i w:val="0"/>
        <w:color w:val="auto"/>
        <w:sz w:val="20"/>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2B7737AC"/>
    <w:multiLevelType w:val="hybridMultilevel"/>
    <w:tmpl w:val="1FDA5E88"/>
    <w:lvl w:ilvl="0" w:tplc="0C090005">
      <w:start w:val="1"/>
      <w:numFmt w:val="bullet"/>
      <w:lvlText w:val=""/>
      <w:lvlJc w:val="left"/>
      <w:pPr>
        <w:ind w:left="805" w:hanging="360"/>
      </w:pPr>
      <w:rPr>
        <w:rFonts w:ascii="Wingdings" w:hAnsi="Wingdings"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2B882F04"/>
    <w:multiLevelType w:val="multilevel"/>
    <w:tmpl w:val="B82C1276"/>
    <w:lvl w:ilvl="0">
      <w:start w:val="1"/>
      <w:numFmt w:val="decimal"/>
      <w:pStyle w:val="ListConsultationQuestions"/>
      <w:lvlText w:val="%1."/>
      <w:lvlJc w:val="left"/>
      <w:pPr>
        <w:ind w:left="567" w:hanging="567"/>
      </w:pPr>
      <w:rPr>
        <w:rFonts w:hint="default"/>
        <w:b w:val="0"/>
      </w:rPr>
    </w:lvl>
    <w:lvl w:ilvl="1">
      <w:start w:val="1"/>
      <w:numFmt w:val="lowerLetter"/>
      <w:pStyle w:val="ListConsultationQuestions2"/>
      <w:lvlText w:val="%2."/>
      <w:lvlJc w:val="left"/>
      <w:pPr>
        <w:tabs>
          <w:tab w:val="num" w:pos="1021"/>
        </w:tabs>
        <w:ind w:left="567"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2" w15:restartNumberingAfterBreak="0">
    <w:nsid w:val="2CF45687"/>
    <w:multiLevelType w:val="multilevel"/>
    <w:tmpl w:val="583A35FA"/>
    <w:name w:val="MyBullets4"/>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03" w15:restartNumberingAfterBreak="0">
    <w:nsid w:val="2D6005C4"/>
    <w:multiLevelType w:val="hybridMultilevel"/>
    <w:tmpl w:val="C3C4ED8E"/>
    <w:lvl w:ilvl="0" w:tplc="60341378">
      <w:start w:val="1"/>
      <w:numFmt w:val="lowerLetter"/>
      <w:lvlText w:val="(%1)"/>
      <w:lvlJc w:val="left"/>
      <w:pPr>
        <w:ind w:left="720"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2DCE6818"/>
    <w:multiLevelType w:val="multilevel"/>
    <w:tmpl w:val="583A35FA"/>
    <w:name w:val="MyBullets13"/>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05" w15:restartNumberingAfterBreak="0">
    <w:nsid w:val="2F9F15C4"/>
    <w:multiLevelType w:val="hybridMultilevel"/>
    <w:tmpl w:val="77F6B86E"/>
    <w:lvl w:ilvl="0" w:tplc="CBA4E140">
      <w:start w:val="1"/>
      <w:numFmt w:val="bullet"/>
      <w:lvlText w:val=""/>
      <w:lvlJc w:val="left"/>
      <w:pPr>
        <w:ind w:left="720" w:hanging="360"/>
      </w:pPr>
      <w:rPr>
        <w:rFonts w:ascii="Wingdings" w:hAnsi="Wingdings" w:hint="default"/>
        <w:b w:val="0"/>
        <w:i w:val="0"/>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2FFD329F"/>
    <w:multiLevelType w:val="hybridMultilevel"/>
    <w:tmpl w:val="7B888284"/>
    <w:lvl w:ilvl="0" w:tplc="643CE84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300B53D5"/>
    <w:multiLevelType w:val="multilevel"/>
    <w:tmpl w:val="CA9C4DFA"/>
    <w:lvl w:ilvl="0">
      <w:start w:val="1"/>
      <w:numFmt w:val="bullet"/>
      <w:lvlText w:val=""/>
      <w:lvlJc w:val="left"/>
      <w:pPr>
        <w:ind w:left="720" w:hanging="360"/>
      </w:pPr>
      <w:rPr>
        <w:rFonts w:ascii="Wingdings" w:hAnsi="Wingdings" w:hint="default"/>
        <w:sz w:val="16"/>
        <w:szCs w:val="26"/>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15:restartNumberingAfterBreak="0">
    <w:nsid w:val="315672CA"/>
    <w:multiLevelType w:val="multilevel"/>
    <w:tmpl w:val="938274C0"/>
    <w:name w:val="Table Numbering"/>
    <w:lvl w:ilvl="0">
      <w:start w:val="1"/>
      <w:numFmt w:val="decimal"/>
      <w:lvlText w:val="%1."/>
      <w:lvlJc w:val="left"/>
      <w:pPr>
        <w:tabs>
          <w:tab w:val="num" w:pos="425"/>
        </w:tabs>
        <w:ind w:left="425" w:hanging="425"/>
      </w:pPr>
      <w:rPr>
        <w:rFonts w:hint="default"/>
        <w:b/>
        <w:i w:val="0"/>
        <w:color w:val="auto"/>
      </w:rPr>
    </w:lvl>
    <w:lvl w:ilvl="1">
      <w:start w:val="1"/>
      <w:numFmt w:val="lowerLetter"/>
      <w:lvlText w:val="%2)"/>
      <w:lvlJc w:val="left"/>
      <w:pPr>
        <w:tabs>
          <w:tab w:val="num" w:pos="851"/>
        </w:tabs>
        <w:ind w:left="850" w:hanging="425"/>
      </w:pPr>
      <w:rPr>
        <w:rFonts w:hint="default"/>
        <w:b/>
        <w:i w:val="0"/>
        <w:color w:val="auto"/>
      </w:rPr>
    </w:lvl>
    <w:lvl w:ilvl="2">
      <w:start w:val="1"/>
      <w:numFmt w:val="lowerRoman"/>
      <w:lvlText w:val="%3)"/>
      <w:lvlJc w:val="left"/>
      <w:pPr>
        <w:tabs>
          <w:tab w:val="num" w:pos="1276"/>
        </w:tabs>
        <w:ind w:left="1275" w:hanging="425"/>
      </w:pPr>
      <w:rPr>
        <w:rFonts w:hint="default"/>
        <w:b/>
        <w:i w:val="0"/>
        <w:color w:val="auto"/>
        <w:sz w:val="18"/>
      </w:rPr>
    </w:lvl>
    <w:lvl w:ilvl="3">
      <w:start w:val="1"/>
      <w:numFmt w:val="none"/>
      <w:lvlText w:val="%4"/>
      <w:lvlJc w:val="left"/>
      <w:pPr>
        <w:tabs>
          <w:tab w:val="num" w:pos="1701"/>
        </w:tabs>
        <w:ind w:left="1700" w:hanging="425"/>
      </w:pPr>
      <w:rPr>
        <w:rFonts w:hint="default"/>
        <w:b/>
        <w:i w:val="0"/>
        <w:color w:val="000000" w:themeColor="text1"/>
      </w:rPr>
    </w:lvl>
    <w:lvl w:ilvl="4">
      <w:start w:val="1"/>
      <w:numFmt w:val="none"/>
      <w:lvlText w:val="%5"/>
      <w:lvlJc w:val="left"/>
      <w:pPr>
        <w:tabs>
          <w:tab w:val="num" w:pos="2126"/>
        </w:tabs>
        <w:ind w:left="2125" w:hanging="425"/>
      </w:pPr>
      <w:rPr>
        <w:rFonts w:hint="default"/>
        <w:b/>
        <w:i w:val="0"/>
        <w:color w:val="000000" w:themeColor="text1"/>
      </w:rPr>
    </w:lvl>
    <w:lvl w:ilvl="5">
      <w:start w:val="1"/>
      <w:numFmt w:val="none"/>
      <w:lvlText w:val=""/>
      <w:lvlJc w:val="left"/>
      <w:pPr>
        <w:tabs>
          <w:tab w:val="num" w:pos="2522"/>
        </w:tabs>
        <w:ind w:left="2550" w:hanging="425"/>
      </w:pPr>
      <w:rPr>
        <w:rFonts w:hint="default"/>
      </w:rPr>
    </w:lvl>
    <w:lvl w:ilvl="6">
      <w:start w:val="1"/>
      <w:numFmt w:val="none"/>
      <w:lvlText w:val=""/>
      <w:lvlJc w:val="left"/>
      <w:pPr>
        <w:tabs>
          <w:tab w:val="num" w:pos="2947"/>
        </w:tabs>
        <w:ind w:left="2975" w:hanging="425"/>
      </w:pPr>
      <w:rPr>
        <w:rFonts w:hint="default"/>
      </w:rPr>
    </w:lvl>
    <w:lvl w:ilvl="7">
      <w:start w:val="1"/>
      <w:numFmt w:val="none"/>
      <w:lvlText w:val=""/>
      <w:lvlJc w:val="left"/>
      <w:pPr>
        <w:tabs>
          <w:tab w:val="num" w:pos="3372"/>
        </w:tabs>
        <w:ind w:left="3400" w:hanging="425"/>
      </w:pPr>
      <w:rPr>
        <w:rFonts w:hint="default"/>
      </w:rPr>
    </w:lvl>
    <w:lvl w:ilvl="8">
      <w:start w:val="1"/>
      <w:numFmt w:val="none"/>
      <w:lvlText w:val=""/>
      <w:lvlJc w:val="left"/>
      <w:pPr>
        <w:tabs>
          <w:tab w:val="num" w:pos="3797"/>
        </w:tabs>
        <w:ind w:left="3825" w:hanging="425"/>
      </w:pPr>
      <w:rPr>
        <w:rFonts w:hint="default"/>
      </w:rPr>
    </w:lvl>
  </w:abstractNum>
  <w:abstractNum w:abstractNumId="109" w15:restartNumberingAfterBreak="0">
    <w:nsid w:val="317814DA"/>
    <w:multiLevelType w:val="multilevel"/>
    <w:tmpl w:val="A712FE7C"/>
    <w:lvl w:ilvl="0">
      <w:start w:val="1"/>
      <w:numFmt w:val="decimal"/>
      <w:pStyle w:val="Exhibit"/>
      <w:lvlText w:val="Exhibit %1."/>
      <w:lvlJc w:val="left"/>
      <w:pPr>
        <w:tabs>
          <w:tab w:val="num" w:pos="0"/>
        </w:tabs>
        <w:ind w:left="1440" w:firstLine="0"/>
      </w:pPr>
      <w:rPr>
        <w:rFonts w:hint="default"/>
        <w:b w:val="0"/>
        <w:i/>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0" w15:restartNumberingAfterBreak="0">
    <w:nsid w:val="3192772E"/>
    <w:multiLevelType w:val="multilevel"/>
    <w:tmpl w:val="583A35FA"/>
    <w:name w:val="MyBullets8"/>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11" w15:restartNumberingAfterBreak="0">
    <w:nsid w:val="323E2378"/>
    <w:multiLevelType w:val="hybridMultilevel"/>
    <w:tmpl w:val="41164996"/>
    <w:name w:val="MyNumbering622422"/>
    <w:lvl w:ilvl="0" w:tplc="D66C8F98">
      <w:start w:val="1"/>
      <w:numFmt w:val="lowerLetter"/>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32B20311"/>
    <w:multiLevelType w:val="multilevel"/>
    <w:tmpl w:val="AB6602B2"/>
    <w:lvl w:ilvl="0">
      <w:start w:val="1"/>
      <w:numFmt w:val="bullet"/>
      <w:lvlText w:val="o"/>
      <w:lvlJc w:val="left"/>
      <w:pPr>
        <w:ind w:left="720" w:hanging="360"/>
      </w:pPr>
      <w:rPr>
        <w:rFonts w:ascii="Courier New" w:hAnsi="Courier New" w:cs="Courier New" w:hint="default"/>
        <w:sz w:val="18"/>
        <w:szCs w:val="26"/>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32F0649C"/>
    <w:multiLevelType w:val="multilevel"/>
    <w:tmpl w:val="583A35FA"/>
    <w:name w:val="MyBullets25"/>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14" w15:restartNumberingAfterBreak="0">
    <w:nsid w:val="34833F93"/>
    <w:multiLevelType w:val="multilevel"/>
    <w:tmpl w:val="E710D764"/>
    <w:numStyleLink w:val="BGNBulletList"/>
  </w:abstractNum>
  <w:abstractNum w:abstractNumId="115" w15:restartNumberingAfterBreak="0">
    <w:nsid w:val="34C24468"/>
    <w:multiLevelType w:val="hybridMultilevel"/>
    <w:tmpl w:val="0A8AC4B6"/>
    <w:name w:val="MyNumbering6224152"/>
    <w:lvl w:ilvl="0" w:tplc="FD843748">
      <w:start w:val="1"/>
      <w:numFmt w:val="lowerLetter"/>
      <w:lvlText w:val="(%1)"/>
      <w:lvlJc w:val="left"/>
      <w:pPr>
        <w:ind w:left="720" w:hanging="360"/>
      </w:pPr>
      <w:rPr>
        <w:rFonts w:ascii="Arial" w:hAnsi="Arial" w:hint="default"/>
        <w:b w:val="0"/>
        <w:i w:val="0"/>
        <w:color w:val="auto"/>
        <w:sz w:val="20"/>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34EF78C1"/>
    <w:multiLevelType w:val="hybridMultilevel"/>
    <w:tmpl w:val="ACFCEF0C"/>
    <w:name w:val="MyNumbering622417"/>
    <w:lvl w:ilvl="0" w:tplc="D61A517E">
      <w:start w:val="1"/>
      <w:numFmt w:val="lowerLetter"/>
      <w:lvlText w:val="(%1)"/>
      <w:lvlJc w:val="left"/>
      <w:pPr>
        <w:ind w:left="720" w:hanging="360"/>
      </w:pPr>
      <w:rPr>
        <w:rFonts w:ascii="Arial" w:hAnsi="Arial" w:hint="default"/>
        <w:b w:val="0"/>
        <w:i w:val="0"/>
        <w:color w:val="auto"/>
        <w:sz w:val="22"/>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353B574C"/>
    <w:multiLevelType w:val="multilevel"/>
    <w:tmpl w:val="583A35FA"/>
    <w:name w:val="MyBullets21"/>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18" w15:restartNumberingAfterBreak="0">
    <w:nsid w:val="35CB5D9C"/>
    <w:multiLevelType w:val="hybridMultilevel"/>
    <w:tmpl w:val="003ECC00"/>
    <w:lvl w:ilvl="0" w:tplc="FD1EF92E">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119" w15:restartNumberingAfterBreak="0">
    <w:nsid w:val="3630123A"/>
    <w:multiLevelType w:val="hybridMultilevel"/>
    <w:tmpl w:val="F4589EEE"/>
    <w:name w:val="MyNumbering6224212"/>
    <w:lvl w:ilvl="0" w:tplc="8F8EC1A6">
      <w:start w:val="1"/>
      <w:numFmt w:val="bullet"/>
      <w:lvlText w:val="-"/>
      <w:lvlJc w:val="left"/>
      <w:pPr>
        <w:ind w:left="805" w:hanging="360"/>
      </w:pPr>
      <w:rPr>
        <w:rFonts w:ascii="Arial" w:hAnsi="Arial" w:hint="default"/>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120" w15:restartNumberingAfterBreak="0">
    <w:nsid w:val="37BD00BF"/>
    <w:multiLevelType w:val="multilevel"/>
    <w:tmpl w:val="583A35FA"/>
    <w:name w:val="MyBullets23"/>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21" w15:restartNumberingAfterBreak="0">
    <w:nsid w:val="37E16566"/>
    <w:multiLevelType w:val="multilevel"/>
    <w:tmpl w:val="8DF8C6B6"/>
    <w:name w:val="MyNumbering7"/>
    <w:lvl w:ilvl="0">
      <w:start w:val="1"/>
      <w:numFmt w:val="decimal"/>
      <w:lvlText w:val="%1."/>
      <w:lvlJc w:val="left"/>
      <w:pPr>
        <w:ind w:left="360" w:hanging="360"/>
      </w:pPr>
      <w:rPr>
        <w:rFonts w:ascii="Arial" w:hAnsi="Arial" w:hint="default"/>
        <w:b w:val="0"/>
        <w:i w:val="0"/>
        <w:color w:val="auto"/>
        <w:sz w:val="22"/>
        <w:szCs w:val="18"/>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upperLetter"/>
      <w:lvlText w:val="%4."/>
      <w:lvlJc w:val="left"/>
      <w:pPr>
        <w:ind w:left="1428" w:hanging="357"/>
      </w:pPr>
      <w:rPr>
        <w:rFonts w:hint="default"/>
      </w:rPr>
    </w:lvl>
    <w:lvl w:ilvl="4">
      <w:start w:val="1"/>
      <w:numFmt w:val="upperRoman"/>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22" w15:restartNumberingAfterBreak="0">
    <w:nsid w:val="381541A6"/>
    <w:multiLevelType w:val="hybridMultilevel"/>
    <w:tmpl w:val="6206041E"/>
    <w:name w:val="MyNumbering62244"/>
    <w:lvl w:ilvl="0" w:tplc="36F829CA">
      <w:start w:val="1"/>
      <w:numFmt w:val="lowerLetter"/>
      <w:lvlText w:val="(%1)"/>
      <w:lvlJc w:val="left"/>
      <w:pPr>
        <w:ind w:left="720" w:hanging="360"/>
      </w:pPr>
      <w:rPr>
        <w:rFonts w:ascii="Arial" w:hAnsi="Arial" w:hint="default"/>
        <w:b w:val="0"/>
        <w:i w:val="0"/>
        <w:sz w:val="22"/>
        <w:szCs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381E0B17"/>
    <w:multiLevelType w:val="hybridMultilevel"/>
    <w:tmpl w:val="DC681A5C"/>
    <w:lvl w:ilvl="0" w:tplc="06B6E7BC">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397801F2"/>
    <w:multiLevelType w:val="hybridMultilevel"/>
    <w:tmpl w:val="B4220E54"/>
    <w:lvl w:ilvl="0" w:tplc="36DE3054">
      <w:start w:val="1"/>
      <w:numFmt w:val="lowerLetter"/>
      <w:lvlText w:val="(%1)"/>
      <w:lvlJc w:val="left"/>
      <w:pPr>
        <w:ind w:left="805" w:hanging="360"/>
      </w:pPr>
      <w:rPr>
        <w:rFonts w:ascii="Arial" w:hAnsi="Arial" w:hint="default"/>
        <w:b w:val="0"/>
        <w:i/>
        <w:sz w:val="17"/>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125" w15:restartNumberingAfterBreak="0">
    <w:nsid w:val="397E4FE0"/>
    <w:multiLevelType w:val="hybridMultilevel"/>
    <w:tmpl w:val="FCA01D5E"/>
    <w:name w:val="MyNumbering622419"/>
    <w:lvl w:ilvl="0" w:tplc="A230A338">
      <w:start w:val="1"/>
      <w:numFmt w:val="lowerLetter"/>
      <w:lvlText w:val="(%1)"/>
      <w:lvlJc w:val="left"/>
      <w:pPr>
        <w:ind w:left="720" w:hanging="360"/>
      </w:pPr>
      <w:rPr>
        <w:rFonts w:ascii="Arial" w:hAnsi="Arial" w:hint="default"/>
        <w:b w:val="0"/>
        <w:i w:val="0"/>
        <w:color w:val="auto"/>
        <w:sz w:val="20"/>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398977C8"/>
    <w:multiLevelType w:val="hybridMultilevel"/>
    <w:tmpl w:val="F47CCA16"/>
    <w:lvl w:ilvl="0" w:tplc="D61A517E">
      <w:start w:val="1"/>
      <w:numFmt w:val="lowerLetter"/>
      <w:lvlText w:val="(%1)"/>
      <w:lvlJc w:val="left"/>
      <w:pPr>
        <w:ind w:left="720" w:hanging="360"/>
      </w:pPr>
      <w:rPr>
        <w:rFonts w:ascii="Arial" w:hAnsi="Arial" w:hint="default"/>
        <w:b w:val="0"/>
        <w:i w:val="0"/>
        <w:color w:val="auto"/>
        <w:sz w:val="22"/>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39A47FB5"/>
    <w:multiLevelType w:val="hybridMultilevel"/>
    <w:tmpl w:val="5052D7DC"/>
    <w:lvl w:ilvl="0" w:tplc="D3EE096A">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128" w15:restartNumberingAfterBreak="0">
    <w:nsid w:val="39CB5DDF"/>
    <w:multiLevelType w:val="multilevel"/>
    <w:tmpl w:val="583A35FA"/>
    <w:name w:val="MyBullets10"/>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29" w15:restartNumberingAfterBreak="0">
    <w:nsid w:val="3AC734CF"/>
    <w:multiLevelType w:val="hybridMultilevel"/>
    <w:tmpl w:val="6E9E426C"/>
    <w:name w:val="MyNumbering5"/>
    <w:lvl w:ilvl="0" w:tplc="A432922E">
      <w:start w:val="1"/>
      <w:numFmt w:val="decimal"/>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3ACD07C0"/>
    <w:multiLevelType w:val="hybridMultilevel"/>
    <w:tmpl w:val="02E2E888"/>
    <w:name w:val="MyNumbering62241822"/>
    <w:lvl w:ilvl="0" w:tplc="8F8EC1A6">
      <w:start w:val="1"/>
      <w:numFmt w:val="bullet"/>
      <w:lvlText w:val="-"/>
      <w:lvlJc w:val="left"/>
      <w:pPr>
        <w:ind w:left="1077" w:hanging="360"/>
      </w:pPr>
      <w:rPr>
        <w:rFonts w:ascii="Arial"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1" w15:restartNumberingAfterBreak="0">
    <w:nsid w:val="3BB67426"/>
    <w:multiLevelType w:val="multilevel"/>
    <w:tmpl w:val="B0C0387C"/>
    <w:styleLink w:val="TableBulletsMultilevel"/>
    <w:lvl w:ilvl="0">
      <w:start w:val="1"/>
      <w:numFmt w:val="bullet"/>
      <w:lvlText w:val="▪"/>
      <w:lvlJc w:val="left"/>
      <w:pPr>
        <w:ind w:left="216" w:hanging="216"/>
      </w:pPr>
      <w:rPr>
        <w:rFonts w:ascii="Arial" w:hAnsi="Arial" w:hint="default"/>
      </w:rPr>
    </w:lvl>
    <w:lvl w:ilvl="1">
      <w:start w:val="1"/>
      <w:numFmt w:val="bullet"/>
      <w:lvlText w:val="–"/>
      <w:lvlJc w:val="left"/>
      <w:pPr>
        <w:ind w:left="432" w:hanging="216"/>
      </w:pPr>
      <w:rPr>
        <w:rFonts w:ascii="Arial" w:hAnsi="Arial" w:cs="Times New Roman" w:hint="default"/>
      </w:rPr>
    </w:lvl>
    <w:lvl w:ilvl="2">
      <w:start w:val="1"/>
      <w:numFmt w:val="bullet"/>
      <w:lvlText w:val="-"/>
      <w:lvlJc w:val="left"/>
      <w:pPr>
        <w:ind w:left="648" w:hanging="216"/>
      </w:pPr>
      <w:rPr>
        <w:rFonts w:ascii="Arial" w:hAnsi="Arial" w:cs="Times New Roman" w:hint="default"/>
      </w:rPr>
    </w:lvl>
    <w:lvl w:ilvl="3">
      <w:start w:val="1"/>
      <w:numFmt w:val="bullet"/>
      <w:lvlText w:val="-"/>
      <w:lvlJc w:val="left"/>
      <w:pPr>
        <w:ind w:left="864" w:hanging="216"/>
      </w:pPr>
      <w:rPr>
        <w:rFonts w:ascii="Arial" w:hAnsi="Arial" w:cs="Times New Roman" w:hint="default"/>
      </w:rPr>
    </w:lvl>
    <w:lvl w:ilvl="4">
      <w:start w:val="1"/>
      <w:numFmt w:val="bullet"/>
      <w:lvlText w:val="-"/>
      <w:lvlJc w:val="left"/>
      <w:pPr>
        <w:ind w:left="1080" w:hanging="216"/>
      </w:pPr>
      <w:rPr>
        <w:rFonts w:ascii="Arial" w:hAnsi="Arial" w:cs="Times New Roman" w:hint="default"/>
      </w:rPr>
    </w:lvl>
    <w:lvl w:ilvl="5">
      <w:start w:val="1"/>
      <w:numFmt w:val="bullet"/>
      <w:lvlText w:val="-"/>
      <w:lvlJc w:val="left"/>
      <w:pPr>
        <w:ind w:left="1296" w:hanging="216"/>
      </w:pPr>
      <w:rPr>
        <w:rFonts w:ascii="Arial" w:hAnsi="Arial" w:cs="Times New Roman" w:hint="default"/>
      </w:rPr>
    </w:lvl>
    <w:lvl w:ilvl="6">
      <w:start w:val="1"/>
      <w:numFmt w:val="bullet"/>
      <w:lvlText w:val="-"/>
      <w:lvlJc w:val="left"/>
      <w:pPr>
        <w:ind w:left="1512" w:hanging="216"/>
      </w:pPr>
      <w:rPr>
        <w:rFonts w:ascii="Arial" w:hAnsi="Arial" w:cs="Times New Roman" w:hint="default"/>
      </w:rPr>
    </w:lvl>
    <w:lvl w:ilvl="7">
      <w:start w:val="1"/>
      <w:numFmt w:val="bullet"/>
      <w:lvlText w:val="-"/>
      <w:lvlJc w:val="left"/>
      <w:pPr>
        <w:ind w:left="1728" w:hanging="216"/>
      </w:pPr>
      <w:rPr>
        <w:rFonts w:ascii="Arial" w:hAnsi="Arial" w:cs="Times New Roman" w:hint="default"/>
      </w:rPr>
    </w:lvl>
    <w:lvl w:ilvl="8">
      <w:start w:val="1"/>
      <w:numFmt w:val="bullet"/>
      <w:lvlText w:val="-"/>
      <w:lvlJc w:val="left"/>
      <w:pPr>
        <w:ind w:left="1944" w:hanging="216"/>
      </w:pPr>
      <w:rPr>
        <w:rFonts w:ascii="Arial" w:hAnsi="Arial" w:cs="Times New Roman" w:hint="default"/>
      </w:rPr>
    </w:lvl>
  </w:abstractNum>
  <w:abstractNum w:abstractNumId="132" w15:restartNumberingAfterBreak="0">
    <w:nsid w:val="3D233B5B"/>
    <w:multiLevelType w:val="hybridMultilevel"/>
    <w:tmpl w:val="91C814D0"/>
    <w:lvl w:ilvl="0" w:tplc="956CC39A">
      <w:start w:val="1"/>
      <w:numFmt w:val="lowerRoman"/>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133" w15:restartNumberingAfterBreak="0">
    <w:nsid w:val="3D4B281D"/>
    <w:multiLevelType w:val="hybridMultilevel"/>
    <w:tmpl w:val="A516CC3A"/>
    <w:lvl w:ilvl="0" w:tplc="9E3E1824">
      <w:start w:val="1"/>
      <w:numFmt w:val="decimal"/>
      <w:pStyle w:val="TableListNumber"/>
      <w:lvlText w:val="%1."/>
      <w:lvlJc w:val="left"/>
      <w:pPr>
        <w:ind w:left="445" w:hanging="360"/>
      </w:pPr>
      <w:rPr>
        <w:rFonts w:ascii="Arial" w:hAnsi="Arial" w:hint="default"/>
        <w:b w:val="0"/>
        <w:i w:val="0"/>
        <w:sz w:val="18"/>
        <w:vertAlign w:val="baseline"/>
      </w:rPr>
    </w:lvl>
    <w:lvl w:ilvl="1" w:tplc="0C090019">
      <w:start w:val="1"/>
      <w:numFmt w:val="lowerLetter"/>
      <w:pStyle w:val="TableListNumber2"/>
      <w:lvlText w:val="%2."/>
      <w:lvlJc w:val="left"/>
      <w:pPr>
        <w:ind w:left="1440" w:hanging="360"/>
      </w:pPr>
    </w:lvl>
    <w:lvl w:ilvl="2" w:tplc="0C09001B">
      <w:start w:val="1"/>
      <w:numFmt w:val="lowerRoman"/>
      <w:pStyle w:val="TableListNumber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3E9216CB"/>
    <w:multiLevelType w:val="hybridMultilevel"/>
    <w:tmpl w:val="2ACC4AB4"/>
    <w:lvl w:ilvl="0" w:tplc="643CE84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3EDB238B"/>
    <w:multiLevelType w:val="multilevel"/>
    <w:tmpl w:val="80EC590A"/>
    <w:lvl w:ilvl="0">
      <w:start w:val="1"/>
      <w:numFmt w:val="decimal"/>
      <w:pStyle w:val="Heading1"/>
      <w:lvlText w:val="%1."/>
      <w:lvlJc w:val="left"/>
      <w:pPr>
        <w:ind w:left="4169" w:hanging="624"/>
      </w:pPr>
      <w:rPr>
        <w:rFonts w:hint="default"/>
      </w:rPr>
    </w:lvl>
    <w:lvl w:ilvl="1">
      <w:start w:val="1"/>
      <w:numFmt w:val="decimal"/>
      <w:pStyle w:val="Heading2"/>
      <w:lvlText w:val="%1.%2"/>
      <w:lvlJc w:val="left"/>
      <w:pPr>
        <w:ind w:left="3460" w:hanging="624"/>
      </w:pPr>
      <w:rPr>
        <w:rFonts w:hint="default"/>
      </w:rPr>
    </w:lvl>
    <w:lvl w:ilvl="2">
      <w:start w:val="1"/>
      <w:numFmt w:val="decimal"/>
      <w:pStyle w:val="Heading3"/>
      <w:lvlText w:val="%1.%2.%3"/>
      <w:lvlJc w:val="left"/>
      <w:pPr>
        <w:ind w:left="2042" w:hanging="624"/>
      </w:pPr>
      <w:rPr>
        <w:rFonts w:hint="default"/>
        <w:b/>
      </w:rPr>
    </w:lvl>
    <w:lvl w:ilvl="3">
      <w:start w:val="1"/>
      <w:numFmt w:val="decimal"/>
      <w:pStyle w:val="Heading4"/>
      <w:lvlText w:val="%1.%2.%3.%4"/>
      <w:lvlJc w:val="left"/>
      <w:pPr>
        <w:ind w:left="907" w:hanging="907"/>
      </w:pPr>
      <w:rPr>
        <w:rFonts w:hint="default"/>
      </w:rPr>
    </w:lvl>
    <w:lvl w:ilvl="4">
      <w:start w:val="1"/>
      <w:numFmt w:val="decimal"/>
      <w:pStyle w:val="Heading5"/>
      <w:lvlText w:val="%1.%2.%3.%4.%5"/>
      <w:lvlJc w:val="left"/>
      <w:pPr>
        <w:ind w:left="1134" w:hanging="1134"/>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6" w15:restartNumberingAfterBreak="0">
    <w:nsid w:val="3F240BDB"/>
    <w:multiLevelType w:val="hybridMultilevel"/>
    <w:tmpl w:val="EDE639C2"/>
    <w:name w:val="MyNumbering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3F9D3D47"/>
    <w:multiLevelType w:val="multilevel"/>
    <w:tmpl w:val="583A35FA"/>
    <w:name w:val="MyBullets18"/>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38" w15:restartNumberingAfterBreak="0">
    <w:nsid w:val="3F9E642E"/>
    <w:multiLevelType w:val="hybridMultilevel"/>
    <w:tmpl w:val="D2B035D2"/>
    <w:lvl w:ilvl="0" w:tplc="151C12C8">
      <w:start w:val="1"/>
      <w:numFmt w:val="lowerLetter"/>
      <w:lvlText w:val="(%1)"/>
      <w:lvlJc w:val="left"/>
      <w:pPr>
        <w:ind w:left="720" w:hanging="360"/>
      </w:pPr>
      <w:rPr>
        <w:rFonts w:ascii="Arial" w:hAnsi="Arial" w:hint="default"/>
        <w:b w:val="0"/>
        <w:i w:val="0"/>
        <w:color w:val="auto"/>
        <w:sz w:val="19"/>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40D601A9"/>
    <w:multiLevelType w:val="hybridMultilevel"/>
    <w:tmpl w:val="E37E1240"/>
    <w:name w:val="MyNumbering622420"/>
    <w:lvl w:ilvl="0" w:tplc="08027C9A">
      <w:start w:val="1"/>
      <w:numFmt w:val="bullet"/>
      <w:lvlText w:val=""/>
      <w:lvlJc w:val="left"/>
      <w:pPr>
        <w:ind w:left="805" w:hanging="360"/>
      </w:pPr>
      <w:rPr>
        <w:rFonts w:ascii="Wingdings" w:hAnsi="Wingdings" w:hint="default"/>
        <w:b w:val="0"/>
        <w:i w:val="0"/>
        <w:sz w:val="16"/>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140" w15:restartNumberingAfterBreak="0">
    <w:nsid w:val="416B56A6"/>
    <w:multiLevelType w:val="hybridMultilevel"/>
    <w:tmpl w:val="D18C9088"/>
    <w:lvl w:ilvl="0" w:tplc="A0ECF350">
      <w:start w:val="1"/>
      <w:numFmt w:val="lowerLetter"/>
      <w:lvlText w:val="(%1)"/>
      <w:lvlJc w:val="left"/>
      <w:pPr>
        <w:ind w:left="720" w:hanging="360"/>
      </w:pPr>
      <w:rPr>
        <w:rFonts w:ascii="Arial" w:hAnsi="Arial" w:hint="default"/>
        <w:b w:val="0"/>
        <w:i w:val="0"/>
        <w:sz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4247713B"/>
    <w:multiLevelType w:val="multilevel"/>
    <w:tmpl w:val="277629B6"/>
    <w:name w:val="MyNumbering622"/>
    <w:lvl w:ilvl="0">
      <w:start w:val="1"/>
      <w:numFmt w:val="decimal"/>
      <w:lvlText w:val="%1."/>
      <w:lvlJc w:val="left"/>
      <w:pPr>
        <w:ind w:left="360" w:hanging="360"/>
      </w:pPr>
      <w:rPr>
        <w:rFonts w:ascii="Arial" w:hAnsi="Arial" w:hint="default"/>
        <w:b w:val="0"/>
        <w:i w:val="0"/>
        <w:color w:val="auto"/>
        <w:sz w:val="22"/>
        <w:szCs w:val="18"/>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upperLetter"/>
      <w:lvlText w:val="%4."/>
      <w:lvlJc w:val="left"/>
      <w:pPr>
        <w:ind w:left="1428" w:hanging="357"/>
      </w:pPr>
      <w:rPr>
        <w:rFonts w:hint="default"/>
      </w:rPr>
    </w:lvl>
    <w:lvl w:ilvl="4">
      <w:start w:val="1"/>
      <w:numFmt w:val="upperRoman"/>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42" w15:restartNumberingAfterBreak="0">
    <w:nsid w:val="43665411"/>
    <w:multiLevelType w:val="multilevel"/>
    <w:tmpl w:val="583A35FA"/>
    <w:name w:val="MyBullets35"/>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43" w15:restartNumberingAfterBreak="0">
    <w:nsid w:val="445D5787"/>
    <w:multiLevelType w:val="hybridMultilevel"/>
    <w:tmpl w:val="2DC4463C"/>
    <w:lvl w:ilvl="0" w:tplc="E0F6D5A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448F565C"/>
    <w:multiLevelType w:val="hybridMultilevel"/>
    <w:tmpl w:val="B978CCB8"/>
    <w:lvl w:ilvl="0" w:tplc="8F8EC1A6">
      <w:start w:val="1"/>
      <w:numFmt w:val="bullet"/>
      <w:lvlText w:val="-"/>
      <w:lvlJc w:val="left"/>
      <w:pPr>
        <w:ind w:left="1003" w:hanging="360"/>
      </w:pPr>
      <w:rPr>
        <w:rFonts w:ascii="Arial" w:hAnsi="Arial" w:hint="default"/>
      </w:rPr>
    </w:lvl>
    <w:lvl w:ilvl="1" w:tplc="0C090019">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145" w15:restartNumberingAfterBreak="0">
    <w:nsid w:val="45D07742"/>
    <w:multiLevelType w:val="multilevel"/>
    <w:tmpl w:val="8DF8C6B6"/>
    <w:name w:val="MyNumbering9"/>
    <w:lvl w:ilvl="0">
      <w:start w:val="1"/>
      <w:numFmt w:val="decimal"/>
      <w:lvlText w:val="%1."/>
      <w:lvlJc w:val="left"/>
      <w:pPr>
        <w:ind w:left="360" w:hanging="360"/>
      </w:pPr>
      <w:rPr>
        <w:rFonts w:ascii="Arial" w:hAnsi="Arial" w:hint="default"/>
        <w:b w:val="0"/>
        <w:i w:val="0"/>
        <w:color w:val="auto"/>
        <w:sz w:val="22"/>
        <w:szCs w:val="18"/>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upperLetter"/>
      <w:lvlText w:val="%4."/>
      <w:lvlJc w:val="left"/>
      <w:pPr>
        <w:ind w:left="1428" w:hanging="357"/>
      </w:pPr>
      <w:rPr>
        <w:rFonts w:hint="default"/>
      </w:rPr>
    </w:lvl>
    <w:lvl w:ilvl="4">
      <w:start w:val="1"/>
      <w:numFmt w:val="upperRoman"/>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46" w15:restartNumberingAfterBreak="0">
    <w:nsid w:val="45FF7C58"/>
    <w:multiLevelType w:val="multilevel"/>
    <w:tmpl w:val="583A35FA"/>
    <w:name w:val="MyBullets19"/>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47" w15:restartNumberingAfterBreak="0">
    <w:nsid w:val="46446D60"/>
    <w:multiLevelType w:val="hybridMultilevel"/>
    <w:tmpl w:val="B0CAD60E"/>
    <w:lvl w:ilvl="0" w:tplc="19808346">
      <w:start w:val="1"/>
      <w:numFmt w:val="lowerLetter"/>
      <w:lvlText w:val="(%1)"/>
      <w:lvlJc w:val="left"/>
      <w:pPr>
        <w:ind w:left="805" w:hanging="360"/>
      </w:pPr>
      <w:rPr>
        <w:rFonts w:ascii="Arial" w:hAnsi="Arial"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46531940"/>
    <w:multiLevelType w:val="hybridMultilevel"/>
    <w:tmpl w:val="D9F2A394"/>
    <w:lvl w:ilvl="0" w:tplc="A0ECF350">
      <w:start w:val="1"/>
      <w:numFmt w:val="lowerLetter"/>
      <w:lvlText w:val="(%1)"/>
      <w:lvlJc w:val="left"/>
      <w:pPr>
        <w:ind w:left="720" w:hanging="360"/>
      </w:pPr>
      <w:rPr>
        <w:rFonts w:ascii="Arial" w:hAnsi="Arial" w:hint="default"/>
        <w:b w:val="0"/>
        <w:i w:val="0"/>
        <w:sz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465C7F98"/>
    <w:multiLevelType w:val="hybridMultilevel"/>
    <w:tmpl w:val="87705CBC"/>
    <w:name w:val="MyNumbering62241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47217FFA"/>
    <w:multiLevelType w:val="hybridMultilevel"/>
    <w:tmpl w:val="D2A0C15C"/>
    <w:lvl w:ilvl="0" w:tplc="6102F610">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47832A2C"/>
    <w:multiLevelType w:val="hybridMultilevel"/>
    <w:tmpl w:val="49466C20"/>
    <w:name w:val="MyNumbering622421"/>
    <w:lvl w:ilvl="0" w:tplc="8F8EC1A6">
      <w:start w:val="1"/>
      <w:numFmt w:val="bullet"/>
      <w:lvlText w:val="-"/>
      <w:lvlJc w:val="left"/>
      <w:pPr>
        <w:ind w:left="1077" w:hanging="360"/>
      </w:pPr>
      <w:rPr>
        <w:rFonts w:ascii="Arial"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2" w15:restartNumberingAfterBreak="0">
    <w:nsid w:val="47844F2D"/>
    <w:multiLevelType w:val="multilevel"/>
    <w:tmpl w:val="DC0412A8"/>
    <w:name w:val="items"/>
    <w:lvl w:ilvl="0">
      <w:start w:val="1"/>
      <w:numFmt w:val="decimal"/>
      <w:lvlRestart w:val="0"/>
      <w:lvlText w:val="%1."/>
      <w:lvlJc w:val="left"/>
      <w:pPr>
        <w:ind w:left="624" w:hanging="624"/>
      </w:pPr>
      <w:rPr>
        <w:color w:val="5D89B4" w:themeColor="accent3"/>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15:restartNumberingAfterBreak="0">
    <w:nsid w:val="48D83898"/>
    <w:multiLevelType w:val="hybridMultilevel"/>
    <w:tmpl w:val="984AECDE"/>
    <w:lvl w:ilvl="0" w:tplc="E0F6D5A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48F51790"/>
    <w:multiLevelType w:val="hybridMultilevel"/>
    <w:tmpl w:val="5178DC9A"/>
    <w:lvl w:ilvl="0" w:tplc="05E223E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49267E33"/>
    <w:multiLevelType w:val="multilevel"/>
    <w:tmpl w:val="583A35FA"/>
    <w:name w:val="MyBullets32"/>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56" w15:restartNumberingAfterBreak="0">
    <w:nsid w:val="495451BC"/>
    <w:multiLevelType w:val="multilevel"/>
    <w:tmpl w:val="583A35FA"/>
    <w:name w:val="MyBullets2"/>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57" w15:restartNumberingAfterBreak="0">
    <w:nsid w:val="49C129F8"/>
    <w:multiLevelType w:val="multilevel"/>
    <w:tmpl w:val="C1568912"/>
    <w:name w:val="HeadingsList"/>
    <w:styleLink w:val="HeadingsList"/>
    <w:lvl w:ilvl="0">
      <w:start w:val="1"/>
      <w:numFmt w:val="decimal"/>
      <w:lvlRestart w:val="0"/>
      <w:lvlText w:val="%1."/>
      <w:lvlJc w:val="left"/>
      <w:pPr>
        <w:ind w:left="936" w:hanging="936"/>
      </w:pPr>
      <w:rPr>
        <w:rFonts w:asciiTheme="majorHAnsi" w:eastAsiaTheme="majorEastAsia" w:hAnsiTheme="majorHAnsi" w:cstheme="majorBidi" w:hint="default"/>
        <w:b/>
        <w:bCs/>
        <w:i w:val="0"/>
        <w:iCs w:val="0"/>
        <w:sz w:val="28"/>
        <w:szCs w:val="28"/>
      </w:rPr>
    </w:lvl>
    <w:lvl w:ilvl="1">
      <w:start w:val="1"/>
      <w:numFmt w:val="decimal"/>
      <w:lvlText w:val="%1.%2."/>
      <w:lvlJc w:val="left"/>
      <w:pPr>
        <w:ind w:left="936" w:hanging="936"/>
      </w:pPr>
      <w:rPr>
        <w:rFonts w:asciiTheme="majorHAnsi" w:eastAsiaTheme="majorEastAsia" w:hAnsiTheme="majorHAnsi" w:cstheme="majorBidi" w:hint="default"/>
        <w:b/>
        <w:bCs/>
        <w:i w:val="0"/>
        <w:iCs w:val="0"/>
        <w:sz w:val="26"/>
        <w:szCs w:val="26"/>
      </w:rPr>
    </w:lvl>
    <w:lvl w:ilvl="2">
      <w:start w:val="1"/>
      <w:numFmt w:val="decimal"/>
      <w:lvlText w:val="%1.%2.%3."/>
      <w:lvlJc w:val="left"/>
      <w:pPr>
        <w:ind w:left="936" w:hanging="936"/>
      </w:pPr>
      <w:rPr>
        <w:rFonts w:asciiTheme="majorHAnsi" w:eastAsiaTheme="majorEastAsia" w:hAnsiTheme="majorHAnsi" w:cstheme="majorBidi" w:hint="default"/>
        <w:b/>
        <w:bCs/>
        <w:i w:val="0"/>
        <w:iCs w:val="0"/>
        <w:sz w:val="24"/>
        <w:szCs w:val="24"/>
      </w:rPr>
    </w:lvl>
    <w:lvl w:ilvl="3">
      <w:start w:val="1"/>
      <w:numFmt w:val="decimal"/>
      <w:lvlText w:val="%1.%2.%3.%4."/>
      <w:lvlJc w:val="left"/>
      <w:pPr>
        <w:ind w:left="1296" w:hanging="1296"/>
      </w:pPr>
      <w:rPr>
        <w:rFonts w:asciiTheme="majorHAnsi" w:eastAsiaTheme="majorEastAsia" w:hAnsiTheme="majorHAnsi" w:cstheme="majorBidi" w:hint="default"/>
        <w:b w:val="0"/>
        <w:bCs w:val="0"/>
        <w:i w:val="0"/>
        <w:iCs w:val="0"/>
        <w:sz w:val="24"/>
        <w:szCs w:val="24"/>
      </w:rPr>
    </w:lvl>
    <w:lvl w:ilvl="4">
      <w:start w:val="1"/>
      <w:numFmt w:val="decimal"/>
      <w:lvlText w:val="%1.%2.%3.%4.%5."/>
      <w:lvlJc w:val="left"/>
      <w:pPr>
        <w:ind w:left="1296" w:hanging="1296"/>
      </w:pPr>
      <w:rPr>
        <w:rFonts w:asciiTheme="majorHAnsi" w:eastAsiaTheme="majorEastAsia" w:hAnsiTheme="majorHAnsi" w:cstheme="majorBidi" w:hint="default"/>
        <w:b w:val="0"/>
        <w:bCs w:val="0"/>
        <w:i/>
        <w:iCs/>
        <w:sz w:val="24"/>
        <w:szCs w:val="24"/>
      </w:rPr>
    </w:lvl>
    <w:lvl w:ilvl="5">
      <w:start w:val="1"/>
      <w:numFmt w:val="decimal"/>
      <w:lvlText w:val="%1.%2.%3.%4.%5.%6."/>
      <w:lvlJc w:val="left"/>
      <w:pPr>
        <w:ind w:left="1296" w:hanging="1296"/>
      </w:pPr>
      <w:rPr>
        <w:rFonts w:hint="default"/>
        <w:b w:val="0"/>
        <w:bCs w:val="0"/>
        <w:i w:val="0"/>
        <w:iCs/>
        <w:sz w:val="24"/>
        <w:szCs w:val="24"/>
      </w:rPr>
    </w:lvl>
    <w:lvl w:ilvl="6">
      <w:start w:val="1"/>
      <w:numFmt w:val="decimal"/>
      <w:lvlText w:val="%1.%2.%3.%4.%5.%6.%7."/>
      <w:lvlJc w:val="left"/>
      <w:pPr>
        <w:ind w:left="1296" w:hanging="1296"/>
      </w:pPr>
      <w:rPr>
        <w:rFonts w:hint="default"/>
        <w:b w:val="0"/>
        <w:bCs w:val="0"/>
        <w:i w:val="0"/>
        <w:iCs/>
        <w:sz w:val="24"/>
        <w:szCs w:val="24"/>
      </w:rPr>
    </w:lvl>
    <w:lvl w:ilvl="7">
      <w:start w:val="1"/>
      <w:numFmt w:val="decimal"/>
      <w:lvlText w:val="%1.%2.%3.%4.%5.%6.%7.%8."/>
      <w:lvlJc w:val="left"/>
      <w:pPr>
        <w:ind w:left="1296" w:hanging="1296"/>
      </w:pPr>
      <w:rPr>
        <w:rFonts w:hint="default"/>
        <w:b w:val="0"/>
        <w:bCs w:val="0"/>
        <w:i w:val="0"/>
        <w:iCs w:val="0"/>
        <w:sz w:val="20"/>
        <w:szCs w:val="24"/>
      </w:rPr>
    </w:lvl>
    <w:lvl w:ilvl="8">
      <w:start w:val="1"/>
      <w:numFmt w:val="decimal"/>
      <w:lvlText w:val="%1.%2.%3.%4.%5.%6.%7.%8.%9."/>
      <w:lvlJc w:val="left"/>
      <w:pPr>
        <w:ind w:left="1296" w:hanging="1296"/>
      </w:pPr>
      <w:rPr>
        <w:rFonts w:hint="default"/>
        <w:b w:val="0"/>
        <w:bCs w:val="0"/>
        <w:i w:val="0"/>
        <w:iCs/>
        <w:sz w:val="20"/>
        <w:szCs w:val="24"/>
      </w:rPr>
    </w:lvl>
  </w:abstractNum>
  <w:abstractNum w:abstractNumId="158" w15:restartNumberingAfterBreak="0">
    <w:nsid w:val="4A95779E"/>
    <w:multiLevelType w:val="multilevel"/>
    <w:tmpl w:val="B0C0387C"/>
    <w:lvl w:ilvl="0">
      <w:start w:val="1"/>
      <w:numFmt w:val="bullet"/>
      <w:lvlText w:val="▪"/>
      <w:lvlJc w:val="left"/>
      <w:pPr>
        <w:ind w:left="216" w:hanging="216"/>
      </w:pPr>
      <w:rPr>
        <w:rFonts w:ascii="Arial" w:hAnsi="Arial" w:hint="default"/>
      </w:rPr>
    </w:lvl>
    <w:lvl w:ilvl="1">
      <w:start w:val="1"/>
      <w:numFmt w:val="bullet"/>
      <w:lvlText w:val="–"/>
      <w:lvlJc w:val="left"/>
      <w:pPr>
        <w:ind w:left="432" w:hanging="216"/>
      </w:pPr>
      <w:rPr>
        <w:rFonts w:ascii="Arial" w:hAnsi="Arial" w:cs="Times New Roman" w:hint="default"/>
      </w:rPr>
    </w:lvl>
    <w:lvl w:ilvl="2">
      <w:start w:val="1"/>
      <w:numFmt w:val="bullet"/>
      <w:lvlText w:val="-"/>
      <w:lvlJc w:val="left"/>
      <w:pPr>
        <w:ind w:left="648" w:hanging="216"/>
      </w:pPr>
      <w:rPr>
        <w:rFonts w:ascii="Arial" w:hAnsi="Arial" w:cs="Times New Roman" w:hint="default"/>
      </w:rPr>
    </w:lvl>
    <w:lvl w:ilvl="3">
      <w:start w:val="1"/>
      <w:numFmt w:val="bullet"/>
      <w:lvlText w:val="-"/>
      <w:lvlJc w:val="left"/>
      <w:pPr>
        <w:ind w:left="864" w:hanging="216"/>
      </w:pPr>
      <w:rPr>
        <w:rFonts w:ascii="Arial" w:hAnsi="Arial" w:cs="Times New Roman" w:hint="default"/>
      </w:rPr>
    </w:lvl>
    <w:lvl w:ilvl="4">
      <w:start w:val="1"/>
      <w:numFmt w:val="bullet"/>
      <w:lvlText w:val="-"/>
      <w:lvlJc w:val="left"/>
      <w:pPr>
        <w:ind w:left="1080" w:hanging="216"/>
      </w:pPr>
      <w:rPr>
        <w:rFonts w:ascii="Arial" w:hAnsi="Arial" w:cs="Times New Roman" w:hint="default"/>
      </w:rPr>
    </w:lvl>
    <w:lvl w:ilvl="5">
      <w:start w:val="1"/>
      <w:numFmt w:val="bullet"/>
      <w:lvlText w:val="-"/>
      <w:lvlJc w:val="left"/>
      <w:pPr>
        <w:ind w:left="1296" w:hanging="216"/>
      </w:pPr>
      <w:rPr>
        <w:rFonts w:ascii="Arial" w:hAnsi="Arial" w:cs="Times New Roman" w:hint="default"/>
      </w:rPr>
    </w:lvl>
    <w:lvl w:ilvl="6">
      <w:start w:val="1"/>
      <w:numFmt w:val="bullet"/>
      <w:lvlText w:val="-"/>
      <w:lvlJc w:val="left"/>
      <w:pPr>
        <w:ind w:left="1512" w:hanging="216"/>
      </w:pPr>
      <w:rPr>
        <w:rFonts w:ascii="Arial" w:hAnsi="Arial" w:cs="Times New Roman" w:hint="default"/>
      </w:rPr>
    </w:lvl>
    <w:lvl w:ilvl="7">
      <w:start w:val="1"/>
      <w:numFmt w:val="bullet"/>
      <w:lvlText w:val="-"/>
      <w:lvlJc w:val="left"/>
      <w:pPr>
        <w:ind w:left="1728" w:hanging="216"/>
      </w:pPr>
      <w:rPr>
        <w:rFonts w:ascii="Arial" w:hAnsi="Arial" w:cs="Times New Roman" w:hint="default"/>
      </w:rPr>
    </w:lvl>
    <w:lvl w:ilvl="8">
      <w:start w:val="1"/>
      <w:numFmt w:val="bullet"/>
      <w:lvlText w:val="-"/>
      <w:lvlJc w:val="left"/>
      <w:pPr>
        <w:ind w:left="1944" w:hanging="216"/>
      </w:pPr>
      <w:rPr>
        <w:rFonts w:ascii="Arial" w:hAnsi="Arial" w:cs="Times New Roman" w:hint="default"/>
      </w:rPr>
    </w:lvl>
  </w:abstractNum>
  <w:abstractNum w:abstractNumId="159" w15:restartNumberingAfterBreak="0">
    <w:nsid w:val="4A9D27B0"/>
    <w:multiLevelType w:val="hybridMultilevel"/>
    <w:tmpl w:val="E27A23E6"/>
    <w:name w:val="MyNumbering62242"/>
    <w:lvl w:ilvl="0" w:tplc="3290243E">
      <w:start w:val="1"/>
      <w:numFmt w:val="lowerLetter"/>
      <w:lvlText w:val="%1"/>
      <w:lvlJc w:val="left"/>
      <w:pPr>
        <w:ind w:left="1077" w:hanging="360"/>
      </w:pPr>
      <w:rPr>
        <w:rFonts w:ascii="Arial" w:hAnsi="Arial" w:hint="default"/>
        <w:b w:val="0"/>
        <w:i w:val="0"/>
        <w:sz w:val="22"/>
        <w:szCs w:val="26"/>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60" w15:restartNumberingAfterBreak="0">
    <w:nsid w:val="4B5E0B6E"/>
    <w:multiLevelType w:val="hybridMultilevel"/>
    <w:tmpl w:val="9B3276D6"/>
    <w:name w:val="MyNumbering622416"/>
    <w:lvl w:ilvl="0" w:tplc="1C08D2C2">
      <w:start w:val="1"/>
      <w:numFmt w:val="lowerLetter"/>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A0E4E750">
      <w:start w:val="1"/>
      <w:numFmt w:val="lowerLetter"/>
      <w:lvlText w:val="(%3)"/>
      <w:lvlJc w:val="left"/>
      <w:pPr>
        <w:ind w:left="2160" w:hanging="180"/>
      </w:pPr>
      <w:rPr>
        <w:rFonts w:ascii="Arial" w:hAnsi="Arial" w:hint="default"/>
        <w:b w:val="0"/>
        <w:i w:val="0"/>
        <w:sz w:val="22"/>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4BF54165"/>
    <w:multiLevelType w:val="hybridMultilevel"/>
    <w:tmpl w:val="11F2C128"/>
    <w:lvl w:ilvl="0" w:tplc="2C1EEAFE">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4BFF2C71"/>
    <w:multiLevelType w:val="hybridMultilevel"/>
    <w:tmpl w:val="7160E82E"/>
    <w:name w:val="MyNumbering3"/>
    <w:lvl w:ilvl="0" w:tplc="9036DE78">
      <w:start w:val="1"/>
      <w:numFmt w:val="decimal"/>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4CED65DB"/>
    <w:multiLevelType w:val="hybridMultilevel"/>
    <w:tmpl w:val="7FFA13C2"/>
    <w:lvl w:ilvl="0" w:tplc="A0ECF350">
      <w:start w:val="1"/>
      <w:numFmt w:val="lowerLetter"/>
      <w:lvlText w:val="(%1)"/>
      <w:lvlJc w:val="left"/>
      <w:pPr>
        <w:ind w:left="720" w:hanging="360"/>
      </w:pPr>
      <w:rPr>
        <w:rFonts w:ascii="Arial" w:hAnsi="Arial" w:hint="default"/>
        <w:b w:val="0"/>
        <w:i w:val="0"/>
        <w:sz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4D2726B8"/>
    <w:multiLevelType w:val="hybridMultilevel"/>
    <w:tmpl w:val="1C786D84"/>
    <w:lvl w:ilvl="0" w:tplc="9424B79A">
      <w:start w:val="1"/>
      <w:numFmt w:val="lowerLetter"/>
      <w:lvlText w:val="(%1)"/>
      <w:lvlJc w:val="left"/>
      <w:pPr>
        <w:ind w:left="720" w:hanging="360"/>
      </w:pPr>
      <w:rPr>
        <w:rFonts w:ascii="Arial" w:hAnsi="Arial"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4D7E291D"/>
    <w:multiLevelType w:val="hybridMultilevel"/>
    <w:tmpl w:val="030C4F5A"/>
    <w:lvl w:ilvl="0" w:tplc="2E7242C2">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4E7A6D79"/>
    <w:multiLevelType w:val="hybridMultilevel"/>
    <w:tmpl w:val="46408566"/>
    <w:lvl w:ilvl="0" w:tplc="48404FC2">
      <w:start w:val="1"/>
      <w:numFmt w:val="lowerRoman"/>
      <w:lvlText w:val="%1."/>
      <w:lvlJc w:val="left"/>
      <w:pPr>
        <w:ind w:left="720"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4EE32CDF"/>
    <w:multiLevelType w:val="hybridMultilevel"/>
    <w:tmpl w:val="04A45932"/>
    <w:name w:val="MyNumbering622415"/>
    <w:lvl w:ilvl="0" w:tplc="E6B09A5A">
      <w:start w:val="1"/>
      <w:numFmt w:val="lowerLetter"/>
      <w:lvlText w:val="(%1)"/>
      <w:lvlJc w:val="left"/>
      <w:pPr>
        <w:ind w:left="720" w:hanging="360"/>
      </w:pPr>
      <w:rPr>
        <w:rFonts w:ascii="Arial" w:hAnsi="Arial" w:hint="default"/>
        <w:b w:val="0"/>
        <w:i w:val="0"/>
        <w:color w:val="auto"/>
        <w:sz w:val="22"/>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4EF67232"/>
    <w:multiLevelType w:val="multilevel"/>
    <w:tmpl w:val="100AAA4C"/>
    <w:name w:val="Axiom Appendices"/>
    <w:lvl w:ilvl="0">
      <w:start w:val="1"/>
      <w:numFmt w:val="upperLetter"/>
      <w:lvlRestart w:val="0"/>
      <w:pStyle w:val="Heading9"/>
      <w:lvlText w:val="Appendix %1"/>
      <w:lvlJc w:val="left"/>
      <w:pPr>
        <w:ind w:left="2694" w:hanging="2268"/>
      </w:pPr>
      <w:rPr>
        <w:rFonts w:hint="default"/>
      </w:rPr>
    </w:lvl>
    <w:lvl w:ilvl="1">
      <w:start w:val="1"/>
      <w:numFmt w:val="decimal"/>
      <w:pStyle w:val="AppendixHeading2"/>
      <w:lvlText w:val="%1.%2"/>
      <w:lvlJc w:val="left"/>
      <w:pPr>
        <w:ind w:left="851" w:hanging="851"/>
      </w:pPr>
      <w:rPr>
        <w:rFonts w:hint="default"/>
      </w:rPr>
    </w:lvl>
    <w:lvl w:ilvl="2">
      <w:start w:val="1"/>
      <w:numFmt w:val="decimal"/>
      <w:pStyle w:val="AppendixHeading3"/>
      <w:lvlText w:val="%1.%2.%3"/>
      <w:lvlJc w:val="left"/>
      <w:pPr>
        <w:ind w:left="851" w:hanging="851"/>
      </w:pPr>
      <w:rPr>
        <w:rFonts w:hint="default"/>
      </w:rPr>
    </w:lvl>
    <w:lvl w:ilvl="3">
      <w:start w:val="1"/>
      <w:numFmt w:val="decimal"/>
      <w:pStyle w:val="AppendixHeading4"/>
      <w:lvlText w:val="%1.%2.%3.%4"/>
      <w:lvlJc w:val="left"/>
      <w:pPr>
        <w:ind w:left="851" w:hanging="851"/>
      </w:pPr>
      <w:rPr>
        <w:rFonts w:hint="default"/>
        <w:b/>
        <w:i w:val="0"/>
      </w:rPr>
    </w:lvl>
    <w:lvl w:ilvl="4">
      <w:start w:val="1"/>
      <w:numFmt w:val="none"/>
      <w:suff w:val="spac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69" w15:restartNumberingAfterBreak="0">
    <w:nsid w:val="4FB33B2A"/>
    <w:multiLevelType w:val="hybridMultilevel"/>
    <w:tmpl w:val="E3EEB798"/>
    <w:lvl w:ilvl="0" w:tplc="FD1EF92E">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170" w15:restartNumberingAfterBreak="0">
    <w:nsid w:val="50034953"/>
    <w:multiLevelType w:val="hybridMultilevel"/>
    <w:tmpl w:val="89003EBE"/>
    <w:lvl w:ilvl="0" w:tplc="A3DCAEC2">
      <w:start w:val="1"/>
      <w:numFmt w:val="lowerLetter"/>
      <w:lvlText w:val="(%1)"/>
      <w:lvlJc w:val="left"/>
      <w:pPr>
        <w:ind w:left="805" w:hanging="360"/>
      </w:pPr>
      <w:rPr>
        <w:rFonts w:ascii="Arial" w:hAnsi="Arial" w:hint="default"/>
        <w:b w:val="0"/>
        <w:i w:val="0"/>
        <w:sz w:val="18"/>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171" w15:restartNumberingAfterBreak="0">
    <w:nsid w:val="512A7060"/>
    <w:multiLevelType w:val="multilevel"/>
    <w:tmpl w:val="583A35FA"/>
    <w:name w:val="MyBullets11"/>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72" w15:restartNumberingAfterBreak="0">
    <w:nsid w:val="51A144D2"/>
    <w:multiLevelType w:val="multilevel"/>
    <w:tmpl w:val="583A35FA"/>
    <w:name w:val="MyBullets29"/>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7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174" w15:restartNumberingAfterBreak="0">
    <w:nsid w:val="52890B29"/>
    <w:multiLevelType w:val="hybridMultilevel"/>
    <w:tmpl w:val="067CFC18"/>
    <w:name w:val="MyHeadings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52B70B9E"/>
    <w:multiLevelType w:val="hybridMultilevel"/>
    <w:tmpl w:val="B06EF33C"/>
    <w:lvl w:ilvl="0" w:tplc="6C14C45C">
      <w:start w:val="1"/>
      <w:numFmt w:val="bullet"/>
      <w:lvlText w:val="o"/>
      <w:lvlJc w:val="left"/>
      <w:pPr>
        <w:ind w:left="805" w:hanging="360"/>
      </w:pPr>
      <w:rPr>
        <w:rFonts w:ascii="Courier New" w:hAnsi="Courier New" w:hint="default"/>
        <w:sz w:val="22"/>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176" w15:restartNumberingAfterBreak="0">
    <w:nsid w:val="545E702F"/>
    <w:multiLevelType w:val="multilevel"/>
    <w:tmpl w:val="9124A5B6"/>
    <w:lvl w:ilvl="0">
      <w:start w:val="1"/>
      <w:numFmt w:val="decimal"/>
      <w:pStyle w:val="BGNParagraphNumbering"/>
      <w:lvlText w:val="%1."/>
      <w:lvlJc w:val="left"/>
      <w:pPr>
        <w:ind w:left="544" w:hanging="544"/>
      </w:pPr>
    </w:lvl>
    <w:lvl w:ilvl="1">
      <w:start w:val="1"/>
      <w:numFmt w:val="lowerLetter"/>
      <w:lvlText w:val="%2."/>
      <w:lvlJc w:val="left"/>
      <w:pPr>
        <w:ind w:left="1088" w:hanging="544"/>
      </w:pPr>
    </w:lvl>
    <w:lvl w:ilvl="2">
      <w:start w:val="1"/>
      <w:numFmt w:val="lowerRoman"/>
      <w:lvlText w:val="%3."/>
      <w:lvlJc w:val="right"/>
      <w:pPr>
        <w:ind w:left="1632" w:hanging="544"/>
      </w:pPr>
    </w:lvl>
    <w:lvl w:ilvl="3">
      <w:start w:val="1"/>
      <w:numFmt w:val="decimal"/>
      <w:lvlText w:val="%4."/>
      <w:lvlJc w:val="left"/>
      <w:pPr>
        <w:ind w:left="2176" w:hanging="544"/>
      </w:pPr>
    </w:lvl>
    <w:lvl w:ilvl="4">
      <w:start w:val="1"/>
      <w:numFmt w:val="lowerLetter"/>
      <w:lvlText w:val="%5."/>
      <w:lvlJc w:val="left"/>
      <w:pPr>
        <w:ind w:left="2720" w:hanging="544"/>
      </w:pPr>
    </w:lvl>
    <w:lvl w:ilvl="5">
      <w:start w:val="1"/>
      <w:numFmt w:val="lowerRoman"/>
      <w:lvlText w:val="%6."/>
      <w:lvlJc w:val="right"/>
      <w:pPr>
        <w:ind w:left="3264" w:hanging="544"/>
      </w:pPr>
    </w:lvl>
    <w:lvl w:ilvl="6">
      <w:start w:val="1"/>
      <w:numFmt w:val="decimal"/>
      <w:lvlText w:val="%7."/>
      <w:lvlJc w:val="left"/>
      <w:pPr>
        <w:ind w:left="3808" w:hanging="544"/>
      </w:pPr>
    </w:lvl>
    <w:lvl w:ilvl="7">
      <w:start w:val="1"/>
      <w:numFmt w:val="lowerLetter"/>
      <w:lvlText w:val="%8."/>
      <w:lvlJc w:val="left"/>
      <w:pPr>
        <w:ind w:left="4352" w:hanging="544"/>
      </w:pPr>
    </w:lvl>
    <w:lvl w:ilvl="8">
      <w:start w:val="1"/>
      <w:numFmt w:val="lowerRoman"/>
      <w:lvlText w:val="%9."/>
      <w:lvlJc w:val="right"/>
      <w:pPr>
        <w:ind w:left="4896" w:hanging="544"/>
      </w:pPr>
    </w:lvl>
  </w:abstractNum>
  <w:abstractNum w:abstractNumId="177" w15:restartNumberingAfterBreak="0">
    <w:nsid w:val="54A46015"/>
    <w:multiLevelType w:val="hybridMultilevel"/>
    <w:tmpl w:val="A1129E36"/>
    <w:lvl w:ilvl="0" w:tplc="05BC77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55195765"/>
    <w:multiLevelType w:val="hybridMultilevel"/>
    <w:tmpl w:val="F9247F3E"/>
    <w:lvl w:ilvl="0" w:tplc="FE3007D6">
      <w:start w:val="1"/>
      <w:numFmt w:val="low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179" w15:restartNumberingAfterBreak="0">
    <w:nsid w:val="55420BCA"/>
    <w:multiLevelType w:val="hybridMultilevel"/>
    <w:tmpl w:val="CC264BCC"/>
    <w:name w:val="MyNumbering62241522"/>
    <w:lvl w:ilvl="0" w:tplc="3A402196">
      <w:start w:val="1"/>
      <w:numFmt w:val="lowerRoman"/>
      <w:lvlText w:val="(%1)"/>
      <w:lvlJc w:val="left"/>
      <w:pPr>
        <w:ind w:left="805" w:hanging="360"/>
      </w:pPr>
      <w:rPr>
        <w:rFonts w:ascii="Arial" w:hAnsi="Arial" w:hint="default"/>
        <w:b w:val="0"/>
        <w:i w:val="0"/>
        <w:color w:val="auto"/>
        <w:sz w:val="20"/>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180" w15:restartNumberingAfterBreak="0">
    <w:nsid w:val="55835091"/>
    <w:multiLevelType w:val="hybridMultilevel"/>
    <w:tmpl w:val="19C26B08"/>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1" w15:restartNumberingAfterBreak="0">
    <w:nsid w:val="55A605C1"/>
    <w:multiLevelType w:val="multilevel"/>
    <w:tmpl w:val="583A35FA"/>
    <w:name w:val="MyBullets20"/>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82" w15:restartNumberingAfterBreak="0">
    <w:nsid w:val="55D22438"/>
    <w:multiLevelType w:val="hybridMultilevel"/>
    <w:tmpl w:val="81FC1C98"/>
    <w:lvl w:ilvl="0" w:tplc="0C090005">
      <w:start w:val="1"/>
      <w:numFmt w:val="bullet"/>
      <w:lvlText w:val=""/>
      <w:lvlJc w:val="left"/>
      <w:pPr>
        <w:ind w:left="805" w:hanging="360"/>
      </w:pPr>
      <w:rPr>
        <w:rFonts w:ascii="Wingdings" w:hAnsi="Wingdings" w:hint="default"/>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183" w15:restartNumberingAfterBreak="0">
    <w:nsid w:val="55D6482D"/>
    <w:multiLevelType w:val="multilevel"/>
    <w:tmpl w:val="583A35FA"/>
    <w:name w:val="MyBullets3"/>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84" w15:restartNumberingAfterBreak="0">
    <w:nsid w:val="56C17200"/>
    <w:multiLevelType w:val="hybridMultilevel"/>
    <w:tmpl w:val="8184374A"/>
    <w:lvl w:ilvl="0" w:tplc="D80CF0B4">
      <w:start w:val="1"/>
      <w:numFmt w:val="low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15:restartNumberingAfterBreak="0">
    <w:nsid w:val="56C75B88"/>
    <w:multiLevelType w:val="multilevel"/>
    <w:tmpl w:val="9F643D5E"/>
    <w:lvl w:ilvl="0">
      <w:start w:val="1"/>
      <w:numFmt w:val="bullet"/>
      <w:lvlRestart w:val="0"/>
      <w:pStyle w:val="ListBullets"/>
      <w:lvlText w:val=""/>
      <w:lvlJc w:val="left"/>
      <w:pPr>
        <w:tabs>
          <w:tab w:val="num" w:pos="360"/>
        </w:tabs>
        <w:ind w:left="360" w:hanging="360"/>
      </w:pPr>
      <w:rPr>
        <w:rFonts w:ascii="Wingdings" w:hAnsi="Wingdings" w:hint="default"/>
      </w:rPr>
    </w:lvl>
    <w:lvl w:ilvl="1">
      <w:start w:val="1"/>
      <w:numFmt w:val="bullet"/>
      <w:lvlRestart w:val="0"/>
      <w:lvlText w:val=""/>
      <w:lvlJc w:val="left"/>
      <w:pPr>
        <w:tabs>
          <w:tab w:val="num" w:pos="720"/>
        </w:tabs>
        <w:ind w:left="720" w:hanging="360"/>
      </w:pPr>
      <w:rPr>
        <w:rFonts w:ascii="Symbol" w:hAnsi="Symbol" w:hint="default"/>
      </w:rPr>
    </w:lvl>
    <w:lvl w:ilvl="2">
      <w:start w:val="1"/>
      <w:numFmt w:val="bullet"/>
      <w:lvlRestart w:val="0"/>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6" w15:restartNumberingAfterBreak="0">
    <w:nsid w:val="571F7B36"/>
    <w:multiLevelType w:val="multilevel"/>
    <w:tmpl w:val="583A35FA"/>
    <w:name w:val="MyBullets12"/>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87" w15:restartNumberingAfterBreak="0">
    <w:nsid w:val="582F59B6"/>
    <w:multiLevelType w:val="hybridMultilevel"/>
    <w:tmpl w:val="A93AC1F6"/>
    <w:lvl w:ilvl="0" w:tplc="0C090005">
      <w:start w:val="1"/>
      <w:numFmt w:val="bullet"/>
      <w:lvlText w:val=""/>
      <w:lvlJc w:val="left"/>
      <w:pPr>
        <w:ind w:left="1267" w:hanging="360"/>
      </w:pPr>
      <w:rPr>
        <w:rFonts w:ascii="Wingdings" w:hAnsi="Wingdings" w:hint="default"/>
      </w:rPr>
    </w:lvl>
    <w:lvl w:ilvl="1" w:tplc="0C090003" w:tentative="1">
      <w:start w:val="1"/>
      <w:numFmt w:val="bullet"/>
      <w:lvlText w:val="o"/>
      <w:lvlJc w:val="left"/>
      <w:pPr>
        <w:ind w:left="1987" w:hanging="360"/>
      </w:pPr>
      <w:rPr>
        <w:rFonts w:ascii="Courier New" w:hAnsi="Courier New" w:cs="Courier New" w:hint="default"/>
      </w:rPr>
    </w:lvl>
    <w:lvl w:ilvl="2" w:tplc="0C090005" w:tentative="1">
      <w:start w:val="1"/>
      <w:numFmt w:val="bullet"/>
      <w:lvlText w:val=""/>
      <w:lvlJc w:val="left"/>
      <w:pPr>
        <w:ind w:left="2707" w:hanging="360"/>
      </w:pPr>
      <w:rPr>
        <w:rFonts w:ascii="Wingdings" w:hAnsi="Wingdings" w:hint="default"/>
      </w:rPr>
    </w:lvl>
    <w:lvl w:ilvl="3" w:tplc="0C090001" w:tentative="1">
      <w:start w:val="1"/>
      <w:numFmt w:val="bullet"/>
      <w:lvlText w:val=""/>
      <w:lvlJc w:val="left"/>
      <w:pPr>
        <w:ind w:left="3427" w:hanging="360"/>
      </w:pPr>
      <w:rPr>
        <w:rFonts w:ascii="Symbol" w:hAnsi="Symbol" w:hint="default"/>
      </w:rPr>
    </w:lvl>
    <w:lvl w:ilvl="4" w:tplc="0C090003" w:tentative="1">
      <w:start w:val="1"/>
      <w:numFmt w:val="bullet"/>
      <w:lvlText w:val="o"/>
      <w:lvlJc w:val="left"/>
      <w:pPr>
        <w:ind w:left="4147" w:hanging="360"/>
      </w:pPr>
      <w:rPr>
        <w:rFonts w:ascii="Courier New" w:hAnsi="Courier New" w:cs="Courier New" w:hint="default"/>
      </w:rPr>
    </w:lvl>
    <w:lvl w:ilvl="5" w:tplc="0C090005" w:tentative="1">
      <w:start w:val="1"/>
      <w:numFmt w:val="bullet"/>
      <w:lvlText w:val=""/>
      <w:lvlJc w:val="left"/>
      <w:pPr>
        <w:ind w:left="4867" w:hanging="360"/>
      </w:pPr>
      <w:rPr>
        <w:rFonts w:ascii="Wingdings" w:hAnsi="Wingdings" w:hint="default"/>
      </w:rPr>
    </w:lvl>
    <w:lvl w:ilvl="6" w:tplc="0C090001" w:tentative="1">
      <w:start w:val="1"/>
      <w:numFmt w:val="bullet"/>
      <w:lvlText w:val=""/>
      <w:lvlJc w:val="left"/>
      <w:pPr>
        <w:ind w:left="5587" w:hanging="360"/>
      </w:pPr>
      <w:rPr>
        <w:rFonts w:ascii="Symbol" w:hAnsi="Symbol" w:hint="default"/>
      </w:rPr>
    </w:lvl>
    <w:lvl w:ilvl="7" w:tplc="0C090003" w:tentative="1">
      <w:start w:val="1"/>
      <w:numFmt w:val="bullet"/>
      <w:lvlText w:val="o"/>
      <w:lvlJc w:val="left"/>
      <w:pPr>
        <w:ind w:left="6307" w:hanging="360"/>
      </w:pPr>
      <w:rPr>
        <w:rFonts w:ascii="Courier New" w:hAnsi="Courier New" w:cs="Courier New" w:hint="default"/>
      </w:rPr>
    </w:lvl>
    <w:lvl w:ilvl="8" w:tplc="0C090005" w:tentative="1">
      <w:start w:val="1"/>
      <w:numFmt w:val="bullet"/>
      <w:lvlText w:val=""/>
      <w:lvlJc w:val="left"/>
      <w:pPr>
        <w:ind w:left="7027" w:hanging="360"/>
      </w:pPr>
      <w:rPr>
        <w:rFonts w:ascii="Wingdings" w:hAnsi="Wingdings" w:hint="default"/>
      </w:rPr>
    </w:lvl>
  </w:abstractNum>
  <w:abstractNum w:abstractNumId="188"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89" w15:restartNumberingAfterBreak="0">
    <w:nsid w:val="589E7E02"/>
    <w:multiLevelType w:val="hybridMultilevel"/>
    <w:tmpl w:val="C90A292E"/>
    <w:name w:val="MyNumbering622413"/>
    <w:lvl w:ilvl="0" w:tplc="D4623F70">
      <w:start w:val="1"/>
      <w:numFmt w:val="lowerLetter"/>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593E71A5"/>
    <w:multiLevelType w:val="multilevel"/>
    <w:tmpl w:val="583A35FA"/>
    <w:name w:val="MyBullets26"/>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91" w15:restartNumberingAfterBreak="0">
    <w:nsid w:val="598215C0"/>
    <w:multiLevelType w:val="hybridMultilevel"/>
    <w:tmpl w:val="27949CC8"/>
    <w:lvl w:ilvl="0" w:tplc="151C12C8">
      <w:start w:val="1"/>
      <w:numFmt w:val="lowerLetter"/>
      <w:lvlText w:val="(%1)"/>
      <w:lvlJc w:val="left"/>
      <w:pPr>
        <w:ind w:left="720" w:hanging="360"/>
      </w:pPr>
      <w:rPr>
        <w:rFonts w:ascii="Arial" w:hAnsi="Arial" w:hint="default"/>
        <w:b w:val="0"/>
        <w:i w:val="0"/>
        <w:color w:val="auto"/>
        <w:sz w:val="19"/>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15:restartNumberingAfterBreak="0">
    <w:nsid w:val="5998521F"/>
    <w:multiLevelType w:val="hybridMultilevel"/>
    <w:tmpl w:val="8A5C4F5C"/>
    <w:lvl w:ilvl="0" w:tplc="B95A2C02">
      <w:start w:val="1"/>
      <w:numFmt w:val="low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193" w15:restartNumberingAfterBreak="0">
    <w:nsid w:val="59DB69F8"/>
    <w:multiLevelType w:val="hybridMultilevel"/>
    <w:tmpl w:val="50D4376E"/>
    <w:lvl w:ilvl="0" w:tplc="36DE3054">
      <w:start w:val="1"/>
      <w:numFmt w:val="lowerLetter"/>
      <w:lvlText w:val="(%1)"/>
      <w:lvlJc w:val="left"/>
      <w:pPr>
        <w:ind w:left="805" w:hanging="360"/>
      </w:pPr>
      <w:rPr>
        <w:rFonts w:ascii="Arial" w:hAnsi="Arial" w:hint="default"/>
        <w:b w:val="0"/>
        <w:i/>
        <w:sz w:val="17"/>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194" w15:restartNumberingAfterBreak="0">
    <w:nsid w:val="59E62885"/>
    <w:multiLevelType w:val="hybridMultilevel"/>
    <w:tmpl w:val="4974779C"/>
    <w:lvl w:ilvl="0" w:tplc="1F72DFB2">
      <w:start w:val="1"/>
      <w:numFmt w:val="lowerLetter"/>
      <w:lvlText w:val="(%1)"/>
      <w:lvlJc w:val="left"/>
      <w:pPr>
        <w:ind w:left="805" w:hanging="360"/>
      </w:pPr>
      <w:rPr>
        <w:rFonts w:ascii="Arial" w:hAnsi="Arial" w:hint="default"/>
        <w:b w:val="0"/>
        <w:i w:val="0"/>
        <w:color w:val="auto"/>
        <w:sz w:val="16"/>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195" w15:restartNumberingAfterBreak="0">
    <w:nsid w:val="5A5A77E1"/>
    <w:multiLevelType w:val="multilevel"/>
    <w:tmpl w:val="583A35FA"/>
    <w:name w:val="MyBullets6"/>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196" w15:restartNumberingAfterBreak="0">
    <w:nsid w:val="5AE6625A"/>
    <w:multiLevelType w:val="multilevel"/>
    <w:tmpl w:val="FF203CF0"/>
    <w:name w:val="MyHeadings"/>
    <w:lvl w:ilvl="0">
      <w:start w:val="1"/>
      <w:numFmt w:val="decimal"/>
      <w:suff w:val="space"/>
      <w:lvlText w:val="%1."/>
      <w:lvlJc w:val="left"/>
      <w:pPr>
        <w:ind w:left="0" w:firstLine="0"/>
      </w:pPr>
      <w:rPr>
        <w:rFonts w:asciiTheme="majorHAnsi" w:hAnsiTheme="majorHAnsi" w:hint="default"/>
        <w:b/>
        <w:i w:val="0"/>
        <w:color w:val="E1E2E7" w:themeColor="background2"/>
        <w:sz w:val="40"/>
      </w:rPr>
    </w:lvl>
    <w:lvl w:ilvl="1">
      <w:start w:val="1"/>
      <w:numFmt w:val="decimal"/>
      <w:suff w:val="space"/>
      <w:lvlText w:val="%1.%2"/>
      <w:lvlJc w:val="left"/>
      <w:pPr>
        <w:ind w:left="0" w:firstLine="0"/>
      </w:pPr>
      <w:rPr>
        <w:rFonts w:asciiTheme="majorHAnsi" w:hAnsiTheme="majorHAnsi" w:hint="default"/>
        <w:b/>
        <w:i w:val="0"/>
        <w:color w:val="214C90" w:themeColor="text2"/>
        <w:spacing w:val="-6"/>
        <w:sz w:val="32"/>
      </w:rPr>
    </w:lvl>
    <w:lvl w:ilvl="2">
      <w:start w:val="1"/>
      <w:numFmt w:val="decimal"/>
      <w:suff w:val="space"/>
      <w:lvlText w:val="%1.%2.%3"/>
      <w:lvlJc w:val="left"/>
      <w:pPr>
        <w:ind w:left="0" w:firstLine="0"/>
      </w:pPr>
      <w:rPr>
        <w:rFonts w:asciiTheme="majorHAnsi" w:hAnsiTheme="majorHAnsi" w:hint="default"/>
        <w:b/>
        <w:i w:val="0"/>
        <w:color w:val="46A6A9" w:themeColor="accent2"/>
        <w:spacing w:val="-4"/>
        <w:sz w:val="24"/>
      </w:rPr>
    </w:lvl>
    <w:lvl w:ilvl="3">
      <w:start w:val="1"/>
      <w:numFmt w:val="decimal"/>
      <w:suff w:val="space"/>
      <w:lvlText w:val="%1.%2.%3.%4"/>
      <w:lvlJc w:val="left"/>
      <w:pPr>
        <w:ind w:left="0" w:firstLine="0"/>
      </w:pPr>
      <w:rPr>
        <w:rFonts w:asciiTheme="majorHAnsi" w:hAnsiTheme="majorHAnsi" w:hint="default"/>
        <w:b/>
        <w:i w:val="0"/>
        <w:color w:val="auto"/>
        <w:sz w:val="20"/>
      </w:rPr>
    </w:lvl>
    <w:lvl w:ilvl="4">
      <w:start w:val="1"/>
      <w:numFmt w:val="none"/>
      <w:suff w:val="space"/>
      <w:lvlText w:val=""/>
      <w:lvlJc w:val="left"/>
      <w:pPr>
        <w:ind w:left="0" w:firstLine="0"/>
      </w:pPr>
      <w:rPr>
        <w:rFonts w:hint="default"/>
      </w:rPr>
    </w:lvl>
    <w:lvl w:ilvl="5">
      <w:start w:val="1"/>
      <w:numFmt w:val="none"/>
      <w:lvlText w:val=""/>
      <w:lvlJc w:val="left"/>
      <w:pPr>
        <w:tabs>
          <w:tab w:val="num" w:pos="-31680"/>
        </w:tabs>
        <w:ind w:left="0" w:firstLine="0"/>
      </w:pPr>
      <w:rPr>
        <w:rFonts w:hint="default"/>
      </w:rPr>
    </w:lvl>
    <w:lvl w:ilvl="6">
      <w:start w:val="1"/>
      <w:numFmt w:val="none"/>
      <w:lvlText w:val=""/>
      <w:lvlJc w:val="left"/>
      <w:pPr>
        <w:tabs>
          <w:tab w:val="num" w:pos="-31680"/>
        </w:tabs>
        <w:ind w:left="0" w:firstLine="0"/>
      </w:pPr>
      <w:rPr>
        <w:rFonts w:hint="default"/>
      </w:rPr>
    </w:lvl>
    <w:lvl w:ilvl="7">
      <w:start w:val="1"/>
      <w:numFmt w:val="none"/>
      <w:lvlText w:val=""/>
      <w:lvlJc w:val="left"/>
      <w:pPr>
        <w:tabs>
          <w:tab w:val="num" w:pos="-3168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197" w15:restartNumberingAfterBreak="0">
    <w:nsid w:val="5B1D3F52"/>
    <w:multiLevelType w:val="hybridMultilevel"/>
    <w:tmpl w:val="8E18BA3A"/>
    <w:lvl w:ilvl="0" w:tplc="C73CFD8C">
      <w:start w:val="1"/>
      <w:numFmt w:val="bullet"/>
      <w:pStyle w:val="Bullet1"/>
      <w:lvlText w:val=""/>
      <w:lvlJc w:val="left"/>
      <w:pPr>
        <w:ind w:left="2629"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5B3A7D91"/>
    <w:multiLevelType w:val="multilevel"/>
    <w:tmpl w:val="C3DEBC1A"/>
    <w:name w:val="MyNumbering2"/>
    <w:lvl w:ilvl="0">
      <w:start w:val="1"/>
      <w:numFmt w:val="bullet"/>
      <w:pStyle w:val="ListBullet2"/>
      <w:lvlText w:val="o"/>
      <w:lvlJc w:val="left"/>
      <w:pPr>
        <w:ind w:left="6740" w:hanging="360"/>
      </w:pPr>
      <w:rPr>
        <w:rFonts w:ascii="Courier New" w:hAnsi="Courier New" w:cs="Courier New" w:hint="default"/>
      </w:rPr>
    </w:lvl>
    <w:lvl w:ilvl="1">
      <w:start w:val="1"/>
      <w:numFmt w:val="bullet"/>
      <w:lvlText w:val="-"/>
      <w:lvlJc w:val="left"/>
      <w:pPr>
        <w:ind w:left="1440" w:hanging="360"/>
      </w:pPr>
      <w:rPr>
        <w:rFonts w:ascii="Calibri" w:hAnsi="Calibri"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9" w15:restartNumberingAfterBreak="0">
    <w:nsid w:val="5B400197"/>
    <w:multiLevelType w:val="multilevel"/>
    <w:tmpl w:val="452E6D18"/>
    <w:lvl w:ilvl="0">
      <w:start w:val="1"/>
      <w:numFmt w:val="bullet"/>
      <w:lvlText w:val="§"/>
      <w:lvlJc w:val="left"/>
      <w:pPr>
        <w:ind w:left="720" w:hanging="360"/>
      </w:pPr>
      <w:rPr>
        <w:rFonts w:ascii="Wingdings" w:hAnsi="Wingdings" w:hint="default"/>
        <w:sz w:val="18"/>
        <w:szCs w:val="26"/>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0" w15:restartNumberingAfterBreak="0">
    <w:nsid w:val="5B4F3C51"/>
    <w:multiLevelType w:val="hybridMultilevel"/>
    <w:tmpl w:val="7E0CF25A"/>
    <w:lvl w:ilvl="0" w:tplc="08027C9A">
      <w:start w:val="1"/>
      <w:numFmt w:val="bullet"/>
      <w:lvlText w:val=""/>
      <w:lvlJc w:val="left"/>
      <w:pPr>
        <w:ind w:left="805" w:hanging="360"/>
      </w:pPr>
      <w:rPr>
        <w:rFonts w:ascii="Wingdings" w:hAnsi="Wingdings" w:hint="default"/>
        <w:b w:val="0"/>
        <w:i w:val="0"/>
        <w:sz w:val="16"/>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201" w15:restartNumberingAfterBreak="0">
    <w:nsid w:val="5B8E3352"/>
    <w:multiLevelType w:val="multilevel"/>
    <w:tmpl w:val="583A35FA"/>
    <w:name w:val="MyBullets28"/>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202" w15:restartNumberingAfterBreak="0">
    <w:nsid w:val="5BEB073A"/>
    <w:multiLevelType w:val="hybridMultilevel"/>
    <w:tmpl w:val="2E3283A6"/>
    <w:lvl w:ilvl="0" w:tplc="9104EE58">
      <w:start w:val="1"/>
      <w:numFmt w:val="bullet"/>
      <w:pStyle w:val="ListBullet"/>
      <w:lvlText w:val=""/>
      <w:lvlJc w:val="left"/>
      <w:pPr>
        <w:ind w:left="360" w:hanging="360"/>
      </w:pPr>
      <w:rPr>
        <w:rFonts w:ascii="Wingdings" w:hAnsi="Wingdings" w:hint="default"/>
        <w:b w:val="0"/>
        <w:i w:val="0"/>
        <w:color w:val="auto"/>
        <w:sz w:val="2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3" w15:restartNumberingAfterBreak="0">
    <w:nsid w:val="5C306BC3"/>
    <w:multiLevelType w:val="hybridMultilevel"/>
    <w:tmpl w:val="CCE05424"/>
    <w:lvl w:ilvl="0" w:tplc="9356BFBA">
      <w:start w:val="1"/>
      <w:numFmt w:val="lowerLetter"/>
      <w:lvlText w:val="(%1)"/>
      <w:lvlJc w:val="left"/>
      <w:pPr>
        <w:ind w:left="720" w:hanging="360"/>
      </w:pPr>
      <w:rPr>
        <w:rFonts w:ascii="Arial" w:hAnsi="Arial" w:hint="default"/>
        <w:b w:val="0"/>
        <w:i w:val="0"/>
        <w:color w:val="auto"/>
        <w:sz w:val="22"/>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5D0540A9"/>
    <w:multiLevelType w:val="multilevel"/>
    <w:tmpl w:val="DBC00818"/>
    <w:name w:val="MyAppendicesNumbering"/>
    <w:lvl w:ilvl="0">
      <w:start w:val="1"/>
      <w:numFmt w:val="upperLetter"/>
      <w:suff w:val="space"/>
      <w:lvlText w:val="Appendix %1."/>
      <w:lvlJc w:val="left"/>
      <w:pPr>
        <w:ind w:left="0" w:firstLine="0"/>
      </w:pPr>
      <w:rPr>
        <w:rFonts w:asciiTheme="majorHAnsi" w:hAnsiTheme="majorHAnsi" w:hint="default"/>
        <w:b/>
        <w:i w:val="0"/>
        <w:sz w:val="40"/>
      </w:rPr>
    </w:lvl>
    <w:lvl w:ilvl="1">
      <w:start w:val="1"/>
      <w:numFmt w:val="decimal"/>
      <w:suff w:val="space"/>
      <w:lvlText w:val="%1.%2"/>
      <w:lvlJc w:val="left"/>
      <w:pPr>
        <w:ind w:left="0" w:firstLine="0"/>
      </w:pPr>
      <w:rPr>
        <w:rFonts w:hint="default"/>
        <w:sz w:val="32"/>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tabs>
          <w:tab w:val="num" w:pos="2268"/>
        </w:tabs>
        <w:ind w:left="0" w:firstLine="0"/>
      </w:pPr>
      <w:rPr>
        <w:rFonts w:hint="default"/>
      </w:rPr>
    </w:lvl>
    <w:lvl w:ilvl="6">
      <w:start w:val="1"/>
      <w:numFmt w:val="none"/>
      <w:lvlText w:val=""/>
      <w:lvlJc w:val="left"/>
      <w:pPr>
        <w:tabs>
          <w:tab w:val="num" w:pos="2268"/>
        </w:tabs>
        <w:ind w:left="0" w:firstLine="0"/>
      </w:pPr>
      <w:rPr>
        <w:rFonts w:hint="default"/>
      </w:rPr>
    </w:lvl>
    <w:lvl w:ilvl="7">
      <w:start w:val="1"/>
      <w:numFmt w:val="none"/>
      <w:lvlText w:val=""/>
      <w:lvlJc w:val="left"/>
      <w:pPr>
        <w:tabs>
          <w:tab w:val="num" w:pos="2268"/>
        </w:tabs>
        <w:ind w:left="0" w:firstLine="0"/>
      </w:pPr>
      <w:rPr>
        <w:rFonts w:hint="default"/>
      </w:rPr>
    </w:lvl>
    <w:lvl w:ilvl="8">
      <w:start w:val="1"/>
      <w:numFmt w:val="none"/>
      <w:lvlText w:val=""/>
      <w:lvlJc w:val="right"/>
      <w:pPr>
        <w:tabs>
          <w:tab w:val="num" w:pos="2268"/>
        </w:tabs>
        <w:ind w:left="0" w:firstLine="0"/>
      </w:pPr>
      <w:rPr>
        <w:rFonts w:hint="default"/>
      </w:rPr>
    </w:lvl>
  </w:abstractNum>
  <w:abstractNum w:abstractNumId="205" w15:restartNumberingAfterBreak="0">
    <w:nsid w:val="5D665D48"/>
    <w:multiLevelType w:val="hybridMultilevel"/>
    <w:tmpl w:val="A7224E5A"/>
    <w:lvl w:ilvl="0" w:tplc="9356BFBA">
      <w:start w:val="1"/>
      <w:numFmt w:val="lowerLetter"/>
      <w:lvlText w:val="(%1)"/>
      <w:lvlJc w:val="left"/>
      <w:pPr>
        <w:ind w:left="720" w:hanging="360"/>
      </w:pPr>
      <w:rPr>
        <w:rFonts w:ascii="Arial" w:hAnsi="Arial" w:hint="default"/>
        <w:b w:val="0"/>
        <w:i w:val="0"/>
        <w:color w:val="auto"/>
        <w:sz w:val="22"/>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6" w15:restartNumberingAfterBreak="0">
    <w:nsid w:val="5DE15DDD"/>
    <w:multiLevelType w:val="hybridMultilevel"/>
    <w:tmpl w:val="4984B156"/>
    <w:name w:val="MyNumbering622410"/>
    <w:lvl w:ilvl="0" w:tplc="35F8C790">
      <w:start w:val="1"/>
      <w:numFmt w:val="decimal"/>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5E355B9C"/>
    <w:multiLevelType w:val="hybridMultilevel"/>
    <w:tmpl w:val="535EA6AC"/>
    <w:lvl w:ilvl="0" w:tplc="DB364530">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8" w15:restartNumberingAfterBreak="0">
    <w:nsid w:val="5EBD3221"/>
    <w:multiLevelType w:val="hybridMultilevel"/>
    <w:tmpl w:val="A274E786"/>
    <w:lvl w:ilvl="0" w:tplc="AA167896">
      <w:start w:val="1"/>
      <w:numFmt w:val="lowerLetter"/>
      <w:lvlText w:val="(%1)"/>
      <w:lvlJc w:val="left"/>
      <w:pPr>
        <w:ind w:left="805" w:hanging="360"/>
      </w:pPr>
      <w:rPr>
        <w:rFonts w:ascii="Arial" w:hAnsi="Arial" w:hint="default"/>
        <w:b w:val="0"/>
        <w:i w:val="0"/>
        <w:sz w:val="21"/>
      </w:rPr>
    </w:lvl>
    <w:lvl w:ilvl="1" w:tplc="0C090019" w:tentative="1">
      <w:start w:val="1"/>
      <w:numFmt w:val="lowerLetter"/>
      <w:lvlText w:val="%2."/>
      <w:lvlJc w:val="left"/>
      <w:pPr>
        <w:ind w:left="1525" w:hanging="360"/>
      </w:pPr>
    </w:lvl>
    <w:lvl w:ilvl="2" w:tplc="BCEC5382">
      <w:start w:val="1"/>
      <w:numFmt w:val="lowerLetter"/>
      <w:lvlText w:val="(%3)"/>
      <w:lvlJc w:val="left"/>
      <w:pPr>
        <w:ind w:left="2245" w:hanging="180"/>
      </w:pPr>
      <w:rPr>
        <w:rFonts w:hint="default"/>
      </w:r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209" w15:restartNumberingAfterBreak="0">
    <w:nsid w:val="5EC860DC"/>
    <w:multiLevelType w:val="multilevel"/>
    <w:tmpl w:val="52749BF4"/>
    <w:name w:val="MyNumbering62"/>
    <w:lvl w:ilvl="0">
      <w:start w:val="1"/>
      <w:numFmt w:val="decimal"/>
      <w:lvlText w:val="%1."/>
      <w:lvlJc w:val="left"/>
      <w:pPr>
        <w:ind w:left="360" w:hanging="360"/>
      </w:pPr>
      <w:rPr>
        <w:rFonts w:ascii="Arial" w:hAnsi="Arial" w:hint="default"/>
        <w:b w:val="0"/>
        <w:i w:val="0"/>
        <w:color w:val="auto"/>
        <w:sz w:val="22"/>
        <w:szCs w:val="18"/>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upperLetter"/>
      <w:lvlText w:val="%4."/>
      <w:lvlJc w:val="left"/>
      <w:pPr>
        <w:ind w:left="1428" w:hanging="357"/>
      </w:pPr>
      <w:rPr>
        <w:rFonts w:hint="default"/>
      </w:rPr>
    </w:lvl>
    <w:lvl w:ilvl="4">
      <w:start w:val="1"/>
      <w:numFmt w:val="upperRoman"/>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210" w15:restartNumberingAfterBreak="0">
    <w:nsid w:val="5FA17FC5"/>
    <w:multiLevelType w:val="hybridMultilevel"/>
    <w:tmpl w:val="DA2A4164"/>
    <w:name w:val="MyNumbering6224142"/>
    <w:lvl w:ilvl="0" w:tplc="A230A338">
      <w:start w:val="1"/>
      <w:numFmt w:val="lowerLetter"/>
      <w:lvlText w:val="(%1)"/>
      <w:lvlJc w:val="left"/>
      <w:pPr>
        <w:ind w:left="723" w:hanging="360"/>
      </w:pPr>
      <w:rPr>
        <w:rFonts w:ascii="Arial" w:hAnsi="Arial" w:hint="default"/>
        <w:b w:val="0"/>
        <w:i w:val="0"/>
        <w:color w:val="auto"/>
        <w:sz w:val="20"/>
        <w:szCs w:val="26"/>
        <w:vertAlign w:val="baseline"/>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211" w15:restartNumberingAfterBreak="0">
    <w:nsid w:val="600C6DD0"/>
    <w:multiLevelType w:val="hybridMultilevel"/>
    <w:tmpl w:val="C0E6BED0"/>
    <w:lvl w:ilvl="0" w:tplc="B7CA530A">
      <w:start w:val="1"/>
      <w:numFmt w:val="lowerRoman"/>
      <w:lvlText w:val="(%1)"/>
      <w:lvlJc w:val="left"/>
      <w:pPr>
        <w:ind w:left="784" w:hanging="360"/>
      </w:pPr>
      <w:rPr>
        <w:rFonts w:ascii="Arial" w:hAnsi="Arial" w:hint="default"/>
        <w:b w:val="0"/>
        <w:i w:val="0"/>
        <w:color w:val="auto"/>
        <w:sz w:val="20"/>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89F61346">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2" w15:restartNumberingAfterBreak="0">
    <w:nsid w:val="60561366"/>
    <w:multiLevelType w:val="multilevel"/>
    <w:tmpl w:val="088A0D40"/>
    <w:lvl w:ilvl="0">
      <w:start w:val="1"/>
      <w:numFmt w:val="bullet"/>
      <w:lvlText w:val="§"/>
      <w:lvlJc w:val="left"/>
      <w:pPr>
        <w:ind w:left="720" w:hanging="360"/>
      </w:pPr>
      <w:rPr>
        <w:rFonts w:ascii="Wingdings" w:hAnsi="Wingdings" w:hint="default"/>
        <w:sz w:val="18"/>
        <w:szCs w:val="26"/>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3" w15:restartNumberingAfterBreak="0">
    <w:nsid w:val="607E17E0"/>
    <w:multiLevelType w:val="multilevel"/>
    <w:tmpl w:val="583A35FA"/>
    <w:name w:val="MyBullets38"/>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214" w15:restartNumberingAfterBreak="0">
    <w:nsid w:val="62325CC7"/>
    <w:multiLevelType w:val="hybridMultilevel"/>
    <w:tmpl w:val="CFCED176"/>
    <w:lvl w:ilvl="0" w:tplc="437A17B2">
      <w:start w:val="1"/>
      <w:numFmt w:val="bullet"/>
      <w:pStyle w:val="bulleta"/>
      <w:lvlText w:val=""/>
      <w:lvlJc w:val="left"/>
      <w:pPr>
        <w:ind w:left="805" w:hanging="360"/>
      </w:pPr>
      <w:rPr>
        <w:rFonts w:ascii="Wingdings" w:hAnsi="Wingdings" w:hint="default"/>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215" w15:restartNumberingAfterBreak="0">
    <w:nsid w:val="6270332B"/>
    <w:multiLevelType w:val="hybridMultilevel"/>
    <w:tmpl w:val="4C141DE4"/>
    <w:name w:val="MyNumbering222"/>
    <w:lvl w:ilvl="0" w:tplc="2C261DCE">
      <w:start w:val="1"/>
      <w:numFmt w:val="lowerLetter"/>
      <w:lvlText w:val="(%1)"/>
      <w:lvlJc w:val="left"/>
      <w:pPr>
        <w:ind w:left="720" w:hanging="360"/>
      </w:pPr>
      <w:rPr>
        <w:rFonts w:ascii="Arial" w:hAnsi="Arial" w:hint="default"/>
        <w:b w:val="0"/>
        <w:i w:val="0"/>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62C6035E"/>
    <w:multiLevelType w:val="hybridMultilevel"/>
    <w:tmpl w:val="B8A65978"/>
    <w:lvl w:ilvl="0" w:tplc="E1283C3A">
      <w:start w:val="1"/>
      <w:numFmt w:val="lowerLetter"/>
      <w:lvlText w:val="(%1)"/>
      <w:lvlJc w:val="left"/>
      <w:pPr>
        <w:ind w:left="805" w:hanging="360"/>
      </w:pPr>
      <w:rPr>
        <w:rFonts w:ascii="Arial" w:hAnsi="Arial" w:hint="default"/>
        <w:b w:val="0"/>
        <w:i/>
        <w:sz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7" w15:restartNumberingAfterBreak="0">
    <w:nsid w:val="6313234F"/>
    <w:multiLevelType w:val="multilevel"/>
    <w:tmpl w:val="18444FC6"/>
    <w:name w:val="MyNumbering6224"/>
    <w:lvl w:ilvl="0">
      <w:start w:val="1"/>
      <w:numFmt w:val="decimal"/>
      <w:pStyle w:val="ListNumber"/>
      <w:lvlText w:val="%1."/>
      <w:lvlJc w:val="left"/>
      <w:pPr>
        <w:ind w:left="360" w:hanging="360"/>
      </w:pPr>
      <w:rPr>
        <w:rFonts w:ascii="Arial" w:hAnsi="Arial" w:hint="default"/>
        <w:b w:val="0"/>
        <w:i w:val="0"/>
        <w:color w:val="auto"/>
        <w:sz w:val="22"/>
        <w:szCs w:val="18"/>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upperLetter"/>
      <w:pStyle w:val="ListNumber4"/>
      <w:lvlText w:val="%4."/>
      <w:lvlJc w:val="left"/>
      <w:pPr>
        <w:ind w:left="1428" w:hanging="357"/>
      </w:pPr>
      <w:rPr>
        <w:rFonts w:hint="default"/>
      </w:rPr>
    </w:lvl>
    <w:lvl w:ilvl="4">
      <w:start w:val="1"/>
      <w:numFmt w:val="upperRoman"/>
      <w:pStyle w:val="ListNumber5"/>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218" w15:restartNumberingAfterBreak="0">
    <w:nsid w:val="63410311"/>
    <w:multiLevelType w:val="multilevel"/>
    <w:tmpl w:val="3E7EF14E"/>
    <w:lvl w:ilvl="0">
      <w:start w:val="1"/>
      <w:numFmt w:val="lowerRoman"/>
      <w:lvlText w:val="(%1)"/>
      <w:lvlJc w:val="left"/>
      <w:pPr>
        <w:ind w:left="720" w:hanging="360"/>
      </w:pPr>
      <w:rPr>
        <w:rFonts w:hint="default"/>
        <w:sz w:val="18"/>
        <w:szCs w:val="26"/>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9" w15:restartNumberingAfterBreak="0">
    <w:nsid w:val="647101F1"/>
    <w:multiLevelType w:val="multilevel"/>
    <w:tmpl w:val="583A35FA"/>
    <w:name w:val="MyBullets39"/>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220" w15:restartNumberingAfterBreak="0">
    <w:nsid w:val="64927121"/>
    <w:multiLevelType w:val="hybridMultilevel"/>
    <w:tmpl w:val="68C49AC4"/>
    <w:lvl w:ilvl="0" w:tplc="141CBC96">
      <w:start w:val="1"/>
      <w:numFmt w:val="lowerRoman"/>
      <w:lvlText w:val="(%1)"/>
      <w:lvlJc w:val="left"/>
      <w:pPr>
        <w:ind w:left="445" w:hanging="360"/>
      </w:pPr>
      <w:rPr>
        <w:rFonts w:ascii="Arial" w:hAnsi="Arial" w:hint="default"/>
        <w:b w:val="0"/>
        <w:i w:val="0"/>
        <w:sz w:val="18"/>
        <w:szCs w:val="26"/>
        <w:vertAlign w:val="baseline"/>
      </w:rPr>
    </w:lvl>
    <w:lvl w:ilvl="1" w:tplc="0C090019" w:tentative="1">
      <w:start w:val="1"/>
      <w:numFmt w:val="lowerLetter"/>
      <w:lvlText w:val="%2."/>
      <w:lvlJc w:val="left"/>
      <w:pPr>
        <w:ind w:left="1165" w:hanging="360"/>
      </w:pPr>
    </w:lvl>
    <w:lvl w:ilvl="2" w:tplc="0C09001B" w:tentative="1">
      <w:start w:val="1"/>
      <w:numFmt w:val="lowerRoman"/>
      <w:lvlText w:val="%3."/>
      <w:lvlJc w:val="right"/>
      <w:pPr>
        <w:ind w:left="1885" w:hanging="180"/>
      </w:pPr>
    </w:lvl>
    <w:lvl w:ilvl="3" w:tplc="0C09000F" w:tentative="1">
      <w:start w:val="1"/>
      <w:numFmt w:val="decimal"/>
      <w:lvlText w:val="%4."/>
      <w:lvlJc w:val="left"/>
      <w:pPr>
        <w:ind w:left="2605" w:hanging="360"/>
      </w:pPr>
    </w:lvl>
    <w:lvl w:ilvl="4" w:tplc="0C090019" w:tentative="1">
      <w:start w:val="1"/>
      <w:numFmt w:val="lowerLetter"/>
      <w:lvlText w:val="%5."/>
      <w:lvlJc w:val="left"/>
      <w:pPr>
        <w:ind w:left="3325" w:hanging="360"/>
      </w:pPr>
    </w:lvl>
    <w:lvl w:ilvl="5" w:tplc="0C09001B" w:tentative="1">
      <w:start w:val="1"/>
      <w:numFmt w:val="lowerRoman"/>
      <w:lvlText w:val="%6."/>
      <w:lvlJc w:val="right"/>
      <w:pPr>
        <w:ind w:left="4045" w:hanging="180"/>
      </w:pPr>
    </w:lvl>
    <w:lvl w:ilvl="6" w:tplc="0C09000F" w:tentative="1">
      <w:start w:val="1"/>
      <w:numFmt w:val="decimal"/>
      <w:lvlText w:val="%7."/>
      <w:lvlJc w:val="left"/>
      <w:pPr>
        <w:ind w:left="4765" w:hanging="360"/>
      </w:pPr>
    </w:lvl>
    <w:lvl w:ilvl="7" w:tplc="0C090019" w:tentative="1">
      <w:start w:val="1"/>
      <w:numFmt w:val="lowerLetter"/>
      <w:lvlText w:val="%8."/>
      <w:lvlJc w:val="left"/>
      <w:pPr>
        <w:ind w:left="5485" w:hanging="360"/>
      </w:pPr>
    </w:lvl>
    <w:lvl w:ilvl="8" w:tplc="0C09001B" w:tentative="1">
      <w:start w:val="1"/>
      <w:numFmt w:val="lowerRoman"/>
      <w:lvlText w:val="%9."/>
      <w:lvlJc w:val="right"/>
      <w:pPr>
        <w:ind w:left="6205" w:hanging="180"/>
      </w:pPr>
    </w:lvl>
  </w:abstractNum>
  <w:abstractNum w:abstractNumId="221" w15:restartNumberingAfterBreak="0">
    <w:nsid w:val="64D93125"/>
    <w:multiLevelType w:val="hybridMultilevel"/>
    <w:tmpl w:val="3E4C7EC4"/>
    <w:lvl w:ilvl="0" w:tplc="643CE84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2" w15:restartNumberingAfterBreak="0">
    <w:nsid w:val="654852CE"/>
    <w:multiLevelType w:val="multilevel"/>
    <w:tmpl w:val="583A35FA"/>
    <w:name w:val="MyBullets37"/>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223" w15:restartNumberingAfterBreak="0">
    <w:nsid w:val="6589183A"/>
    <w:multiLevelType w:val="hybridMultilevel"/>
    <w:tmpl w:val="32D2309E"/>
    <w:lvl w:ilvl="0" w:tplc="02D27C02">
      <w:start w:val="1"/>
      <w:numFmt w:val="bullet"/>
      <w:pStyle w:val="ListBullet3"/>
      <w:lvlText w:val="-"/>
      <w:lvlJc w:val="left"/>
      <w:pPr>
        <w:ind w:left="1434" w:hanging="360"/>
      </w:pPr>
      <w:rPr>
        <w:rFonts w:ascii="Arial" w:hAnsi="Aria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24" w15:restartNumberingAfterBreak="0">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25" w15:restartNumberingAfterBreak="0">
    <w:nsid w:val="67283FA7"/>
    <w:multiLevelType w:val="multilevel"/>
    <w:tmpl w:val="66148666"/>
    <w:name w:val="MyNumbering6"/>
    <w:lvl w:ilvl="0">
      <w:start w:val="1"/>
      <w:numFmt w:val="decimal"/>
      <w:lvlText w:val="%1."/>
      <w:lvlJc w:val="left"/>
      <w:pPr>
        <w:ind w:left="360" w:hanging="360"/>
      </w:pPr>
      <w:rPr>
        <w:rFonts w:ascii="Arial" w:hAnsi="Arial" w:hint="default"/>
        <w:b w:val="0"/>
        <w:i w:val="0"/>
        <w:color w:val="auto"/>
        <w:sz w:val="22"/>
        <w:szCs w:val="18"/>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upperLetter"/>
      <w:lvlText w:val="%4."/>
      <w:lvlJc w:val="left"/>
      <w:pPr>
        <w:ind w:left="1428" w:hanging="357"/>
      </w:pPr>
      <w:rPr>
        <w:rFonts w:hint="default"/>
      </w:rPr>
    </w:lvl>
    <w:lvl w:ilvl="4">
      <w:start w:val="1"/>
      <w:numFmt w:val="upperRoman"/>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226" w15:restartNumberingAfterBreak="0">
    <w:nsid w:val="67864D61"/>
    <w:multiLevelType w:val="hybridMultilevel"/>
    <w:tmpl w:val="72A831B2"/>
    <w:lvl w:ilvl="0" w:tplc="E0F6D5A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7" w15:restartNumberingAfterBreak="0">
    <w:nsid w:val="689F6A82"/>
    <w:multiLevelType w:val="hybridMultilevel"/>
    <w:tmpl w:val="6BB8FE32"/>
    <w:lvl w:ilvl="0" w:tplc="36DE3054">
      <w:start w:val="1"/>
      <w:numFmt w:val="lowerLetter"/>
      <w:lvlText w:val="(%1)"/>
      <w:lvlJc w:val="left"/>
      <w:pPr>
        <w:ind w:left="720" w:hanging="360"/>
      </w:pPr>
      <w:rPr>
        <w:rFonts w:ascii="Arial" w:hAnsi="Arial" w:hint="default"/>
        <w:b w:val="0"/>
        <w:i/>
        <w:sz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8" w15:restartNumberingAfterBreak="0">
    <w:nsid w:val="6A7135B7"/>
    <w:multiLevelType w:val="hybridMultilevel"/>
    <w:tmpl w:val="20825F6A"/>
    <w:lvl w:ilvl="0" w:tplc="E2C08228">
      <w:start w:val="1"/>
      <w:numFmt w:val="lowerRoman"/>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229" w15:restartNumberingAfterBreak="0">
    <w:nsid w:val="6C4C6A5E"/>
    <w:multiLevelType w:val="hybridMultilevel"/>
    <w:tmpl w:val="C63458A4"/>
    <w:lvl w:ilvl="0" w:tplc="CBA4E140">
      <w:start w:val="1"/>
      <w:numFmt w:val="bullet"/>
      <w:lvlText w:val=""/>
      <w:lvlJc w:val="left"/>
      <w:pPr>
        <w:ind w:left="720" w:hanging="360"/>
      </w:pPr>
      <w:rPr>
        <w:rFonts w:ascii="Wingdings" w:hAnsi="Wingdings" w:hint="default"/>
        <w:b w:val="0"/>
        <w:i w:val="0"/>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6CE848E0"/>
    <w:multiLevelType w:val="multilevel"/>
    <w:tmpl w:val="583A35FA"/>
    <w:name w:val="MyBullets17"/>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231" w15:restartNumberingAfterBreak="0">
    <w:nsid w:val="6CFB1A7A"/>
    <w:multiLevelType w:val="hybridMultilevel"/>
    <w:tmpl w:val="D9BED590"/>
    <w:name w:val="MyNumbering62249"/>
    <w:lvl w:ilvl="0" w:tplc="BCF6DC2A">
      <w:start w:val="1"/>
      <w:numFmt w:val="bullet"/>
      <w:lvlText w:val="§"/>
      <w:lvlJc w:val="left"/>
      <w:pPr>
        <w:ind w:left="720" w:hanging="360"/>
      </w:pPr>
      <w:rPr>
        <w:rFonts w:ascii="Wingdings" w:hAnsi="Wingdings" w:hint="default"/>
        <w:sz w:val="18"/>
        <w:szCs w:val="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6D56407A"/>
    <w:multiLevelType w:val="multilevel"/>
    <w:tmpl w:val="583A35FA"/>
    <w:name w:val="MyBullets7"/>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233" w15:restartNumberingAfterBreak="0">
    <w:nsid w:val="6DE81A4E"/>
    <w:multiLevelType w:val="hybridMultilevel"/>
    <w:tmpl w:val="96DAAA74"/>
    <w:lvl w:ilvl="0" w:tplc="1D7210D2">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4" w15:restartNumberingAfterBreak="0">
    <w:nsid w:val="6ECA7CCB"/>
    <w:multiLevelType w:val="multilevel"/>
    <w:tmpl w:val="583A35FA"/>
    <w:name w:val="MyBullets30"/>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235" w15:restartNumberingAfterBreak="0">
    <w:nsid w:val="6EE35517"/>
    <w:multiLevelType w:val="hybridMultilevel"/>
    <w:tmpl w:val="5B764F48"/>
    <w:lvl w:ilvl="0" w:tplc="A0ECF350">
      <w:start w:val="1"/>
      <w:numFmt w:val="lowerLetter"/>
      <w:lvlText w:val="(%1)"/>
      <w:lvlJc w:val="left"/>
      <w:pPr>
        <w:ind w:left="720" w:hanging="360"/>
      </w:pPr>
      <w:rPr>
        <w:rFonts w:ascii="Arial" w:hAnsi="Arial" w:hint="default"/>
        <w:b w:val="0"/>
        <w:i w:val="0"/>
        <w:sz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6" w15:restartNumberingAfterBreak="0">
    <w:nsid w:val="6F4C0B22"/>
    <w:multiLevelType w:val="multilevel"/>
    <w:tmpl w:val="583A35FA"/>
    <w:name w:val="MyBullets24"/>
    <w:lvl w:ilvl="0">
      <w:start w:val="7"/>
      <w:numFmt w:val="bullet"/>
      <w:lvlText w:val=""/>
      <w:lvlJc w:val="left"/>
      <w:pPr>
        <w:tabs>
          <w:tab w:val="num" w:pos="357"/>
        </w:tabs>
        <w:ind w:left="357" w:hanging="357"/>
      </w:pPr>
      <w:rPr>
        <w:rFonts w:ascii="Wingdings" w:hAnsi="Wingdings" w:hint="default"/>
        <w:color w:val="auto"/>
        <w:position w:val="1"/>
        <w:sz w:val="20"/>
      </w:rPr>
    </w:lvl>
    <w:lvl w:ilvl="1">
      <w:start w:val="5"/>
      <w:numFmt w:val="bullet"/>
      <w:lvlText w:val="—"/>
      <w:lvlJc w:val="left"/>
      <w:pPr>
        <w:tabs>
          <w:tab w:val="num" w:pos="3760"/>
        </w:tabs>
        <w:ind w:left="3760" w:hanging="357"/>
      </w:pPr>
      <w:rPr>
        <w:rFonts w:ascii="Book Antiqua" w:hAnsi="Book Antiqua" w:hint="default"/>
        <w:b w:val="0"/>
        <w:i w:val="0"/>
        <w:color w:val="auto"/>
        <w:position w:val="0"/>
        <w:sz w:val="20"/>
      </w:rPr>
    </w:lvl>
    <w:lvl w:ilvl="2">
      <w:start w:val="1"/>
      <w:numFmt w:val="bullet"/>
      <w:lvlText w:val=""/>
      <w:lvlJc w:val="left"/>
      <w:pPr>
        <w:tabs>
          <w:tab w:val="num" w:pos="1072"/>
        </w:tabs>
        <w:ind w:left="1071" w:hanging="357"/>
      </w:pPr>
      <w:rPr>
        <w:rFonts w:ascii="Wingdings" w:hAnsi="Wingdings" w:hint="default"/>
        <w:b w:val="0"/>
        <w:i w:val="0"/>
        <w:color w:val="auto"/>
        <w:position w:val="0"/>
        <w:sz w:val="22"/>
      </w:rPr>
    </w:lvl>
    <w:lvl w:ilvl="3">
      <w:start w:val="1"/>
      <w:numFmt w:val="bullet"/>
      <w:lvlText w:val="-"/>
      <w:lvlJc w:val="left"/>
      <w:pPr>
        <w:tabs>
          <w:tab w:val="num" w:pos="1638"/>
        </w:tabs>
        <w:ind w:left="1428" w:hanging="357"/>
      </w:pPr>
      <w:rPr>
        <w:rFonts w:ascii="Arial Rounded MT Bold" w:hAnsi="Arial Rounded MT Bold" w:hint="default"/>
        <w:color w:val="auto"/>
      </w:rPr>
    </w:lvl>
    <w:lvl w:ilvl="4">
      <w:start w:val="1"/>
      <w:numFmt w:val="bullet"/>
      <w:lvlText w:val="o"/>
      <w:lvlJc w:val="left"/>
      <w:pPr>
        <w:tabs>
          <w:tab w:val="num" w:pos="1995"/>
        </w:tabs>
        <w:ind w:left="1785" w:hanging="357"/>
      </w:pPr>
      <w:rPr>
        <w:rFonts w:ascii="Courier New" w:hAnsi="Courier New" w:hint="default"/>
        <w:color w:val="auto"/>
        <w:sz w:val="16"/>
      </w:rPr>
    </w:lvl>
    <w:lvl w:ilvl="5">
      <w:start w:val="1"/>
      <w:numFmt w:val="none"/>
      <w:lvlText w:val=""/>
      <w:lvlJc w:val="left"/>
      <w:pPr>
        <w:tabs>
          <w:tab w:val="num" w:pos="2352"/>
        </w:tabs>
        <w:ind w:left="2142" w:hanging="357"/>
      </w:pPr>
      <w:rPr>
        <w:rFonts w:hint="default"/>
      </w:rPr>
    </w:lvl>
    <w:lvl w:ilvl="6">
      <w:start w:val="1"/>
      <w:numFmt w:val="none"/>
      <w:lvlText w:val=""/>
      <w:lvlJc w:val="left"/>
      <w:pPr>
        <w:tabs>
          <w:tab w:val="num" w:pos="2709"/>
        </w:tabs>
        <w:ind w:left="2499" w:hanging="357"/>
      </w:pPr>
      <w:rPr>
        <w:rFonts w:hint="default"/>
      </w:rPr>
    </w:lvl>
    <w:lvl w:ilvl="7">
      <w:start w:val="1"/>
      <w:numFmt w:val="none"/>
      <w:lvlText w:val=""/>
      <w:lvlJc w:val="left"/>
      <w:pPr>
        <w:tabs>
          <w:tab w:val="num" w:pos="3066"/>
        </w:tabs>
        <w:ind w:left="2856" w:hanging="357"/>
      </w:pPr>
      <w:rPr>
        <w:rFonts w:hint="default"/>
      </w:rPr>
    </w:lvl>
    <w:lvl w:ilvl="8">
      <w:start w:val="1"/>
      <w:numFmt w:val="none"/>
      <w:lvlText w:val=""/>
      <w:lvlJc w:val="left"/>
      <w:pPr>
        <w:tabs>
          <w:tab w:val="num" w:pos="3423"/>
        </w:tabs>
        <w:ind w:left="3213" w:hanging="357"/>
      </w:pPr>
      <w:rPr>
        <w:rFonts w:hint="default"/>
      </w:rPr>
    </w:lvl>
  </w:abstractNum>
  <w:abstractNum w:abstractNumId="237" w15:restartNumberingAfterBreak="0">
    <w:nsid w:val="704C75D3"/>
    <w:multiLevelType w:val="hybridMultilevel"/>
    <w:tmpl w:val="00B8CC84"/>
    <w:name w:val="MyNumbering62241123"/>
    <w:lvl w:ilvl="0" w:tplc="D4623F70">
      <w:start w:val="1"/>
      <w:numFmt w:val="lowerLetter"/>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8" w15:restartNumberingAfterBreak="0">
    <w:nsid w:val="70B656D2"/>
    <w:multiLevelType w:val="multilevel"/>
    <w:tmpl w:val="DA4629CE"/>
    <w:lvl w:ilvl="0">
      <w:start w:val="1"/>
      <w:numFmt w:val="bullet"/>
      <w:lvlText w:val="o"/>
      <w:lvlJc w:val="left"/>
      <w:pPr>
        <w:ind w:left="720" w:hanging="360"/>
      </w:pPr>
      <w:rPr>
        <w:rFonts w:ascii="Courier New" w:hAnsi="Courier New" w:cs="Courier New" w:hint="default"/>
        <w:sz w:val="18"/>
        <w:szCs w:val="26"/>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9" w15:restartNumberingAfterBreak="0">
    <w:nsid w:val="711E56F4"/>
    <w:multiLevelType w:val="multilevel"/>
    <w:tmpl w:val="8DF8C6B6"/>
    <w:name w:val="MyNumbering72"/>
    <w:lvl w:ilvl="0">
      <w:start w:val="1"/>
      <w:numFmt w:val="decimal"/>
      <w:lvlText w:val="%1."/>
      <w:lvlJc w:val="left"/>
      <w:pPr>
        <w:ind w:left="360" w:hanging="360"/>
      </w:pPr>
      <w:rPr>
        <w:rFonts w:ascii="Arial" w:hAnsi="Arial" w:hint="default"/>
        <w:b w:val="0"/>
        <w:i w:val="0"/>
        <w:color w:val="auto"/>
        <w:sz w:val="22"/>
        <w:szCs w:val="18"/>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upperLetter"/>
      <w:lvlText w:val="%4."/>
      <w:lvlJc w:val="left"/>
      <w:pPr>
        <w:ind w:left="1428" w:hanging="357"/>
      </w:pPr>
      <w:rPr>
        <w:rFonts w:hint="default"/>
      </w:rPr>
    </w:lvl>
    <w:lvl w:ilvl="4">
      <w:start w:val="1"/>
      <w:numFmt w:val="upperRoman"/>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240" w15:restartNumberingAfterBreak="0">
    <w:nsid w:val="71201CE9"/>
    <w:multiLevelType w:val="hybridMultilevel"/>
    <w:tmpl w:val="7664599A"/>
    <w:name w:val="MyNumbering62241422"/>
    <w:lvl w:ilvl="0" w:tplc="F700655E">
      <w:start w:val="1"/>
      <w:numFmt w:val="lowerRoman"/>
      <w:lvlText w:val="(%1)"/>
      <w:lvlJc w:val="left"/>
      <w:pPr>
        <w:ind w:left="805" w:hanging="360"/>
      </w:pPr>
      <w:rPr>
        <w:rFonts w:ascii="Arial" w:hAnsi="Arial" w:hint="default"/>
        <w:b w:val="0"/>
        <w:i w:val="0"/>
        <w:sz w:val="20"/>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241" w15:restartNumberingAfterBreak="0">
    <w:nsid w:val="71761AFF"/>
    <w:multiLevelType w:val="hybridMultilevel"/>
    <w:tmpl w:val="9244DB16"/>
    <w:lvl w:ilvl="0" w:tplc="B95A2C02">
      <w:start w:val="1"/>
      <w:numFmt w:val="lowerLetter"/>
      <w:lvlText w:val="(%1)"/>
      <w:lvlJc w:val="left"/>
      <w:pPr>
        <w:ind w:left="720"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2" w15:restartNumberingAfterBreak="0">
    <w:nsid w:val="72224F0A"/>
    <w:multiLevelType w:val="multilevel"/>
    <w:tmpl w:val="4F5E492C"/>
    <w:name w:val="Bullets"/>
    <w:lvl w:ilvl="0">
      <w:start w:val="1"/>
      <w:numFmt w:val="bullet"/>
      <w:lvlText w:val=""/>
      <w:lvlJc w:val="left"/>
      <w:pPr>
        <w:tabs>
          <w:tab w:val="num" w:pos="425"/>
        </w:tabs>
        <w:ind w:left="425" w:hanging="425"/>
      </w:pPr>
      <w:rPr>
        <w:rFonts w:ascii="Wingdings" w:hAnsi="Wingdings" w:hint="default"/>
        <w:color w:val="214C90" w:themeColor="text2"/>
        <w:position w:val="0"/>
        <w:sz w:val="20"/>
      </w:rPr>
    </w:lvl>
    <w:lvl w:ilvl="1">
      <w:start w:val="1"/>
      <w:numFmt w:val="bullet"/>
      <w:lvlText w:val=""/>
      <w:lvlJc w:val="left"/>
      <w:pPr>
        <w:tabs>
          <w:tab w:val="num" w:pos="851"/>
        </w:tabs>
        <w:ind w:left="850" w:hanging="425"/>
      </w:pPr>
      <w:rPr>
        <w:rFonts w:ascii="Wingdings" w:hAnsi="Wingdings" w:hint="default"/>
        <w:color w:val="214C90" w:themeColor="text2"/>
      </w:rPr>
    </w:lvl>
    <w:lvl w:ilvl="2">
      <w:start w:val="1"/>
      <w:numFmt w:val="bullet"/>
      <w:lvlText w:val=""/>
      <w:lvlJc w:val="left"/>
      <w:pPr>
        <w:tabs>
          <w:tab w:val="num" w:pos="1276"/>
        </w:tabs>
        <w:ind w:left="1275" w:hanging="425"/>
      </w:pPr>
      <w:rPr>
        <w:rFonts w:ascii="Symbol" w:hAnsi="Symbol" w:hint="default"/>
        <w:color w:val="214C90" w:themeColor="text2"/>
      </w:rPr>
    </w:lvl>
    <w:lvl w:ilvl="3">
      <w:start w:val="1"/>
      <w:numFmt w:val="bullet"/>
      <w:lvlText w:val=""/>
      <w:lvlJc w:val="left"/>
      <w:pPr>
        <w:tabs>
          <w:tab w:val="num" w:pos="1701"/>
        </w:tabs>
        <w:ind w:left="1700" w:hanging="425"/>
      </w:pPr>
      <w:rPr>
        <w:rFonts w:ascii="Symbol" w:hAnsi="Symbol" w:hint="default"/>
        <w:color w:val="214C90" w:themeColor="text2"/>
        <w:sz w:val="20"/>
      </w:rPr>
    </w:lvl>
    <w:lvl w:ilvl="4">
      <w:start w:val="1"/>
      <w:numFmt w:val="bullet"/>
      <w:lvlText w:val=""/>
      <w:lvlJc w:val="left"/>
      <w:pPr>
        <w:tabs>
          <w:tab w:val="num" w:pos="2126"/>
        </w:tabs>
        <w:ind w:left="2125" w:hanging="425"/>
      </w:pPr>
      <w:rPr>
        <w:rFonts w:ascii="Wingdings" w:hAnsi="Wingdings" w:hint="default"/>
        <w:color w:val="214C90" w:themeColor="text2"/>
      </w:rPr>
    </w:lvl>
    <w:lvl w:ilvl="5">
      <w:start w:val="1"/>
      <w:numFmt w:val="lowerRoman"/>
      <w:lvlText w:val="(%6)"/>
      <w:lvlJc w:val="left"/>
      <w:pPr>
        <w:tabs>
          <w:tab w:val="num" w:pos="3630"/>
        </w:tabs>
        <w:ind w:left="2550" w:hanging="425"/>
      </w:pPr>
      <w:rPr>
        <w:rFonts w:hint="default"/>
      </w:rPr>
    </w:lvl>
    <w:lvl w:ilvl="6">
      <w:start w:val="1"/>
      <w:numFmt w:val="decimal"/>
      <w:lvlText w:val="%7."/>
      <w:lvlJc w:val="left"/>
      <w:pPr>
        <w:tabs>
          <w:tab w:val="num" w:pos="4055"/>
        </w:tabs>
        <w:ind w:left="2975" w:hanging="425"/>
      </w:pPr>
      <w:rPr>
        <w:rFonts w:hint="default"/>
      </w:rPr>
    </w:lvl>
    <w:lvl w:ilvl="7">
      <w:start w:val="1"/>
      <w:numFmt w:val="lowerLetter"/>
      <w:lvlText w:val="%8."/>
      <w:lvlJc w:val="left"/>
      <w:pPr>
        <w:tabs>
          <w:tab w:val="num" w:pos="4480"/>
        </w:tabs>
        <w:ind w:left="3400" w:hanging="425"/>
      </w:pPr>
      <w:rPr>
        <w:rFonts w:hint="default"/>
      </w:rPr>
    </w:lvl>
    <w:lvl w:ilvl="8">
      <w:start w:val="1"/>
      <w:numFmt w:val="lowerRoman"/>
      <w:lvlText w:val="%9."/>
      <w:lvlJc w:val="left"/>
      <w:pPr>
        <w:tabs>
          <w:tab w:val="num" w:pos="4905"/>
        </w:tabs>
        <w:ind w:left="3825" w:hanging="425"/>
      </w:pPr>
      <w:rPr>
        <w:rFonts w:hint="default"/>
      </w:rPr>
    </w:lvl>
  </w:abstractNum>
  <w:abstractNum w:abstractNumId="243" w15:restartNumberingAfterBreak="0">
    <w:nsid w:val="723537EC"/>
    <w:multiLevelType w:val="hybridMultilevel"/>
    <w:tmpl w:val="4410A732"/>
    <w:lvl w:ilvl="0" w:tplc="FD1EF92E">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244" w15:restartNumberingAfterBreak="0">
    <w:nsid w:val="729922E0"/>
    <w:multiLevelType w:val="hybridMultilevel"/>
    <w:tmpl w:val="4F48F2AA"/>
    <w:lvl w:ilvl="0" w:tplc="CF603244">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72E75C96"/>
    <w:multiLevelType w:val="hybridMultilevel"/>
    <w:tmpl w:val="7E9A721C"/>
    <w:lvl w:ilvl="0" w:tplc="6A002118">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246" w15:restartNumberingAfterBreak="0">
    <w:nsid w:val="757F517F"/>
    <w:multiLevelType w:val="hybridMultilevel"/>
    <w:tmpl w:val="BE60F2B6"/>
    <w:lvl w:ilvl="0" w:tplc="5464E33A">
      <w:start w:val="1"/>
      <w:numFmt w:val="lowerRoman"/>
      <w:lvlText w:val="%1."/>
      <w:lvlJc w:val="left"/>
      <w:pPr>
        <w:ind w:left="720"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7" w15:restartNumberingAfterBreak="0">
    <w:nsid w:val="75FE6241"/>
    <w:multiLevelType w:val="hybridMultilevel"/>
    <w:tmpl w:val="4A52858C"/>
    <w:lvl w:ilvl="0" w:tplc="9C620360">
      <w:start w:val="1"/>
      <w:numFmt w:val="lowerLetter"/>
      <w:lvlText w:val="(%1)"/>
      <w:lvlJc w:val="left"/>
      <w:pPr>
        <w:ind w:left="805" w:hanging="360"/>
      </w:pPr>
      <w:rPr>
        <w:rFonts w:ascii="Arial" w:hAnsi="Arial"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8"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49" w15:restartNumberingAfterBreak="0">
    <w:nsid w:val="76561A35"/>
    <w:multiLevelType w:val="hybridMultilevel"/>
    <w:tmpl w:val="40DA7204"/>
    <w:lvl w:ilvl="0" w:tplc="22C8D834">
      <w:start w:val="1"/>
      <w:numFmt w:val="lowerLetter"/>
      <w:lvlText w:val="(%1)"/>
      <w:lvlJc w:val="left"/>
      <w:pPr>
        <w:ind w:left="720"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0" w15:restartNumberingAfterBreak="0">
    <w:nsid w:val="770A1226"/>
    <w:multiLevelType w:val="hybridMultilevel"/>
    <w:tmpl w:val="E64A4710"/>
    <w:lvl w:ilvl="0" w:tplc="7F7AD3B2">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1" w15:restartNumberingAfterBreak="0">
    <w:nsid w:val="773177E0"/>
    <w:multiLevelType w:val="hybridMultilevel"/>
    <w:tmpl w:val="536E3A72"/>
    <w:name w:val="MyNumbering62248"/>
    <w:lvl w:ilvl="0" w:tplc="8F8EC1A6">
      <w:start w:val="1"/>
      <w:numFmt w:val="bullet"/>
      <w:lvlText w:val="-"/>
      <w:lvlJc w:val="left"/>
      <w:pPr>
        <w:ind w:left="1077" w:hanging="360"/>
      </w:pPr>
      <w:rPr>
        <w:rFonts w:ascii="Arial"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2" w15:restartNumberingAfterBreak="0">
    <w:nsid w:val="77664A87"/>
    <w:multiLevelType w:val="hybridMultilevel"/>
    <w:tmpl w:val="BC4AF7E4"/>
    <w:name w:val="MyNumbering62243"/>
    <w:lvl w:ilvl="0" w:tplc="8F8EC1A6">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3" w15:restartNumberingAfterBreak="0">
    <w:nsid w:val="776B16A3"/>
    <w:multiLevelType w:val="hybridMultilevel"/>
    <w:tmpl w:val="37425A96"/>
    <w:lvl w:ilvl="0" w:tplc="ECB449EA">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4" w15:restartNumberingAfterBreak="0">
    <w:nsid w:val="77A669AD"/>
    <w:multiLevelType w:val="hybridMultilevel"/>
    <w:tmpl w:val="B8A29668"/>
    <w:lvl w:ilvl="0" w:tplc="B3626076">
      <w:start w:val="1"/>
      <w:numFmt w:val="lowerLetter"/>
      <w:lvlText w:val="(%1)"/>
      <w:lvlJc w:val="left"/>
      <w:pPr>
        <w:ind w:left="720" w:hanging="360"/>
      </w:pPr>
      <w:rPr>
        <w:rFonts w:ascii="Arial" w:hAnsi="Arial" w:hint="default"/>
        <w:b w:val="0"/>
        <w:i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5" w15:restartNumberingAfterBreak="0">
    <w:nsid w:val="78150524"/>
    <w:multiLevelType w:val="hybridMultilevel"/>
    <w:tmpl w:val="D52C7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6" w15:restartNumberingAfterBreak="0">
    <w:nsid w:val="793110BA"/>
    <w:multiLevelType w:val="hybridMultilevel"/>
    <w:tmpl w:val="D9C4ADF6"/>
    <w:name w:val="MyNumbering6224112322"/>
    <w:lvl w:ilvl="0" w:tplc="1C08D2C2">
      <w:start w:val="1"/>
      <w:numFmt w:val="lowerLetter"/>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7" w15:restartNumberingAfterBreak="0">
    <w:nsid w:val="795464D6"/>
    <w:multiLevelType w:val="hybridMultilevel"/>
    <w:tmpl w:val="BFAA60C4"/>
    <w:lvl w:ilvl="0" w:tplc="804E8E2C">
      <w:start w:val="1"/>
      <w:numFmt w:val="decimal"/>
      <w:lvlText w:val="%1."/>
      <w:lvlJc w:val="left"/>
      <w:pPr>
        <w:ind w:left="445" w:hanging="360"/>
      </w:pPr>
      <w:rPr>
        <w:rFonts w:hint="default"/>
      </w:rPr>
    </w:lvl>
    <w:lvl w:ilvl="1" w:tplc="0C090019" w:tentative="1">
      <w:start w:val="1"/>
      <w:numFmt w:val="lowerLetter"/>
      <w:lvlText w:val="%2."/>
      <w:lvlJc w:val="left"/>
      <w:pPr>
        <w:ind w:left="1165" w:hanging="360"/>
      </w:pPr>
    </w:lvl>
    <w:lvl w:ilvl="2" w:tplc="0C09001B" w:tentative="1">
      <w:start w:val="1"/>
      <w:numFmt w:val="lowerRoman"/>
      <w:lvlText w:val="%3."/>
      <w:lvlJc w:val="right"/>
      <w:pPr>
        <w:ind w:left="1885" w:hanging="180"/>
      </w:pPr>
    </w:lvl>
    <w:lvl w:ilvl="3" w:tplc="0C09000F" w:tentative="1">
      <w:start w:val="1"/>
      <w:numFmt w:val="decimal"/>
      <w:lvlText w:val="%4."/>
      <w:lvlJc w:val="left"/>
      <w:pPr>
        <w:ind w:left="2605" w:hanging="360"/>
      </w:pPr>
    </w:lvl>
    <w:lvl w:ilvl="4" w:tplc="0C090019" w:tentative="1">
      <w:start w:val="1"/>
      <w:numFmt w:val="lowerLetter"/>
      <w:lvlText w:val="%5."/>
      <w:lvlJc w:val="left"/>
      <w:pPr>
        <w:ind w:left="3325" w:hanging="360"/>
      </w:pPr>
    </w:lvl>
    <w:lvl w:ilvl="5" w:tplc="0C09001B" w:tentative="1">
      <w:start w:val="1"/>
      <w:numFmt w:val="lowerRoman"/>
      <w:lvlText w:val="%6."/>
      <w:lvlJc w:val="right"/>
      <w:pPr>
        <w:ind w:left="4045" w:hanging="180"/>
      </w:pPr>
    </w:lvl>
    <w:lvl w:ilvl="6" w:tplc="0C09000F" w:tentative="1">
      <w:start w:val="1"/>
      <w:numFmt w:val="decimal"/>
      <w:lvlText w:val="%7."/>
      <w:lvlJc w:val="left"/>
      <w:pPr>
        <w:ind w:left="4765" w:hanging="360"/>
      </w:pPr>
    </w:lvl>
    <w:lvl w:ilvl="7" w:tplc="0C090019" w:tentative="1">
      <w:start w:val="1"/>
      <w:numFmt w:val="lowerLetter"/>
      <w:lvlText w:val="%8."/>
      <w:lvlJc w:val="left"/>
      <w:pPr>
        <w:ind w:left="5485" w:hanging="360"/>
      </w:pPr>
    </w:lvl>
    <w:lvl w:ilvl="8" w:tplc="0C09001B" w:tentative="1">
      <w:start w:val="1"/>
      <w:numFmt w:val="lowerRoman"/>
      <w:lvlText w:val="%9."/>
      <w:lvlJc w:val="right"/>
      <w:pPr>
        <w:ind w:left="6205" w:hanging="180"/>
      </w:pPr>
    </w:lvl>
  </w:abstractNum>
  <w:abstractNum w:abstractNumId="258" w15:restartNumberingAfterBreak="0">
    <w:nsid w:val="798954EA"/>
    <w:multiLevelType w:val="hybridMultilevel"/>
    <w:tmpl w:val="CCEADDC4"/>
    <w:lvl w:ilvl="0" w:tplc="FD1EF92E">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259" w15:restartNumberingAfterBreak="0">
    <w:nsid w:val="7A044EC9"/>
    <w:multiLevelType w:val="hybridMultilevel"/>
    <w:tmpl w:val="7954115C"/>
    <w:lvl w:ilvl="0" w:tplc="FD1EF92E">
      <w:start w:val="1"/>
      <w:numFmt w:val="upperLetter"/>
      <w:lvlText w:val="%1"/>
      <w:lvlJc w:val="left"/>
      <w:pPr>
        <w:ind w:left="805" w:hanging="360"/>
      </w:pPr>
      <w:rPr>
        <w:rFonts w:ascii="Arial" w:hAnsi="Arial" w:hint="default"/>
        <w:b w:val="0"/>
        <w:i w:val="0"/>
        <w:color w:val="auto"/>
        <w:sz w:val="18"/>
        <w:szCs w:val="26"/>
        <w:vertAlign w:val="baseline"/>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260" w15:restartNumberingAfterBreak="0">
    <w:nsid w:val="7CC738EF"/>
    <w:multiLevelType w:val="hybridMultilevel"/>
    <w:tmpl w:val="D91EDAEC"/>
    <w:lvl w:ilvl="0" w:tplc="08027C9A">
      <w:start w:val="1"/>
      <w:numFmt w:val="bullet"/>
      <w:lvlText w:val=""/>
      <w:lvlJc w:val="left"/>
      <w:pPr>
        <w:ind w:left="805" w:hanging="360"/>
      </w:pPr>
      <w:rPr>
        <w:rFonts w:ascii="Wingdings" w:hAnsi="Wingdings" w:hint="default"/>
        <w:b w:val="0"/>
        <w:i w:val="0"/>
        <w:sz w:val="16"/>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261" w15:restartNumberingAfterBreak="0">
    <w:nsid w:val="7DB304C6"/>
    <w:multiLevelType w:val="hybridMultilevel"/>
    <w:tmpl w:val="8DCC582E"/>
    <w:lvl w:ilvl="0" w:tplc="36DE3054">
      <w:start w:val="1"/>
      <w:numFmt w:val="lowerLetter"/>
      <w:lvlText w:val="(%1)"/>
      <w:lvlJc w:val="left"/>
      <w:pPr>
        <w:ind w:left="805" w:hanging="360"/>
      </w:pPr>
      <w:rPr>
        <w:rFonts w:ascii="Arial" w:hAnsi="Arial" w:hint="default"/>
        <w:b w:val="0"/>
        <w:i/>
        <w:sz w:val="17"/>
      </w:rPr>
    </w:lvl>
    <w:lvl w:ilvl="1" w:tplc="0C090019" w:tentative="1">
      <w:start w:val="1"/>
      <w:numFmt w:val="lowerLetter"/>
      <w:lvlText w:val="%2."/>
      <w:lvlJc w:val="left"/>
      <w:pPr>
        <w:ind w:left="1525" w:hanging="360"/>
      </w:pPr>
    </w:lvl>
    <w:lvl w:ilvl="2" w:tplc="0C09001B">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262" w15:restartNumberingAfterBreak="0">
    <w:nsid w:val="7DEF1AEB"/>
    <w:multiLevelType w:val="hybridMultilevel"/>
    <w:tmpl w:val="E14487B0"/>
    <w:name w:val="MyNumbering62241122"/>
    <w:lvl w:ilvl="0" w:tplc="D4623F70">
      <w:start w:val="1"/>
      <w:numFmt w:val="lowerLetter"/>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3" w15:restartNumberingAfterBreak="0">
    <w:nsid w:val="7E030DAE"/>
    <w:multiLevelType w:val="multilevel"/>
    <w:tmpl w:val="0C09001D"/>
    <w:name w:val="MyNumbering"/>
    <w:lvl w:ilvl="0">
      <w:start w:val="1"/>
      <w:numFmt w:val="decimal"/>
      <w:lvlText w:val="%1)"/>
      <w:lvlJc w:val="left"/>
      <w:pPr>
        <w:ind w:left="1779" w:hanging="360"/>
      </w:pPr>
      <w:rPr>
        <w:rFonts w:hint="default"/>
        <w:b w:val="0"/>
        <w:i w:val="0"/>
        <w:color w:val="auto"/>
        <w:sz w:val="22"/>
      </w:rPr>
    </w:lvl>
    <w:lvl w:ilvl="1">
      <w:start w:val="1"/>
      <w:numFmt w:val="lowerLetter"/>
      <w:lvlText w:val="%2)"/>
      <w:lvlJc w:val="left"/>
      <w:pPr>
        <w:ind w:left="2139" w:hanging="360"/>
      </w:pPr>
      <w:rPr>
        <w:rFonts w:hint="default"/>
        <w:b w:val="0"/>
        <w:i w:val="0"/>
        <w:color w:val="auto"/>
        <w:sz w:val="22"/>
      </w:rPr>
    </w:lvl>
    <w:lvl w:ilvl="2">
      <w:start w:val="1"/>
      <w:numFmt w:val="lowerRoman"/>
      <w:lvlText w:val="%3)"/>
      <w:lvlJc w:val="left"/>
      <w:pPr>
        <w:ind w:left="2499"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859" w:hanging="360"/>
      </w:pPr>
      <w:rPr>
        <w:rFonts w:hint="default"/>
        <w:b w:val="0"/>
        <w:i w:val="0"/>
        <w:color w:val="auto"/>
      </w:rPr>
    </w:lvl>
    <w:lvl w:ilvl="4">
      <w:start w:val="1"/>
      <w:numFmt w:val="lowerLetter"/>
      <w:lvlText w:val="(%5)"/>
      <w:lvlJc w:val="left"/>
      <w:pPr>
        <w:ind w:left="3219" w:hanging="360"/>
      </w:pPr>
      <w:rPr>
        <w:rFonts w:hint="default"/>
        <w:b w:val="0"/>
        <w:i w:val="0"/>
        <w:color w:val="auto"/>
      </w:rPr>
    </w:lvl>
    <w:lvl w:ilvl="5">
      <w:start w:val="1"/>
      <w:numFmt w:val="lowerRoman"/>
      <w:lvlText w:val="(%6)"/>
      <w:lvlJc w:val="left"/>
      <w:pPr>
        <w:ind w:left="3579" w:hanging="360"/>
      </w:pPr>
      <w:rPr>
        <w:rFonts w:hint="default"/>
      </w:rPr>
    </w:lvl>
    <w:lvl w:ilvl="6">
      <w:start w:val="1"/>
      <w:numFmt w:val="decimal"/>
      <w:lvlText w:val="%7."/>
      <w:lvlJc w:val="left"/>
      <w:pPr>
        <w:ind w:left="3939" w:hanging="360"/>
      </w:pPr>
      <w:rPr>
        <w:rFonts w:hint="default"/>
      </w:rPr>
    </w:lvl>
    <w:lvl w:ilvl="7">
      <w:start w:val="1"/>
      <w:numFmt w:val="lowerLetter"/>
      <w:lvlText w:val="%8."/>
      <w:lvlJc w:val="left"/>
      <w:pPr>
        <w:ind w:left="4299" w:hanging="360"/>
      </w:pPr>
      <w:rPr>
        <w:rFonts w:hint="default"/>
      </w:rPr>
    </w:lvl>
    <w:lvl w:ilvl="8">
      <w:start w:val="1"/>
      <w:numFmt w:val="lowerRoman"/>
      <w:lvlText w:val="%9."/>
      <w:lvlJc w:val="left"/>
      <w:pPr>
        <w:ind w:left="4659" w:hanging="360"/>
      </w:pPr>
      <w:rPr>
        <w:rFonts w:hint="default"/>
      </w:rPr>
    </w:lvl>
  </w:abstractNum>
  <w:abstractNum w:abstractNumId="264" w15:restartNumberingAfterBreak="0">
    <w:nsid w:val="7E2819EC"/>
    <w:multiLevelType w:val="multilevel"/>
    <w:tmpl w:val="E37CB1E2"/>
    <w:lvl w:ilvl="0">
      <w:start w:val="1"/>
      <w:numFmt w:val="bullet"/>
      <w:pStyle w:val="AERbulletlistfirststyle"/>
      <w:lvlText w:val=""/>
      <w:lvlJc w:val="left"/>
      <w:pPr>
        <w:ind w:left="644" w:hanging="360"/>
      </w:pPr>
      <w:rPr>
        <w:rFonts w:ascii="Wingdings" w:hAnsi="Wingdings" w:hint="default"/>
        <w:b w:val="0"/>
        <w:i w:val="0"/>
        <w:sz w:val="16"/>
      </w:rPr>
    </w:lvl>
    <w:lvl w:ilvl="1">
      <w:start w:val="1"/>
      <w:numFmt w:val="decimal"/>
      <w:pStyle w:val="List2bullet"/>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5" w15:restartNumberingAfterBreak="0">
    <w:nsid w:val="7E2A69A2"/>
    <w:multiLevelType w:val="hybridMultilevel"/>
    <w:tmpl w:val="52CE1B38"/>
    <w:name w:val="MyNumbering62241123223"/>
    <w:lvl w:ilvl="0" w:tplc="71622F8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6" w15:restartNumberingAfterBreak="0">
    <w:nsid w:val="7E4E4B5A"/>
    <w:multiLevelType w:val="multilevel"/>
    <w:tmpl w:val="6E985A06"/>
    <w:lvl w:ilvl="0">
      <w:start w:val="1"/>
      <w:numFmt w:val="bullet"/>
      <w:lvlText w:val="§"/>
      <w:lvlJc w:val="left"/>
      <w:pPr>
        <w:ind w:left="720" w:hanging="360"/>
      </w:pPr>
      <w:rPr>
        <w:rFonts w:ascii="Wingdings" w:hAnsi="Wingdings" w:hint="default"/>
        <w:sz w:val="18"/>
        <w:szCs w:val="26"/>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7" w15:restartNumberingAfterBreak="0">
    <w:nsid w:val="7ED3322D"/>
    <w:multiLevelType w:val="hybridMultilevel"/>
    <w:tmpl w:val="3B047FFC"/>
    <w:name w:val="MyNumbering6223"/>
    <w:lvl w:ilvl="0" w:tplc="BC2EC844">
      <w:start w:val="1"/>
      <w:numFmt w:val="lowerLetter"/>
      <w:lvlText w:val="(%1)"/>
      <w:lvlJc w:val="left"/>
      <w:pPr>
        <w:ind w:left="720" w:hanging="360"/>
      </w:pPr>
      <w:rPr>
        <w:rFonts w:ascii="Arial" w:hAnsi="Arial" w:hint="default"/>
        <w:b w:val="0"/>
        <w:i w:val="0"/>
        <w:sz w:val="22"/>
        <w:szCs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8" w15:restartNumberingAfterBreak="0">
    <w:nsid w:val="7F302DAD"/>
    <w:multiLevelType w:val="hybridMultilevel"/>
    <w:tmpl w:val="667281F2"/>
    <w:lvl w:ilvl="0" w:tplc="29E2435A">
      <w:start w:val="1"/>
      <w:numFmt w:val="lowerLetter"/>
      <w:lvlText w:val="(%1)"/>
      <w:lvlJc w:val="left"/>
      <w:pPr>
        <w:ind w:left="805" w:hanging="360"/>
      </w:pPr>
      <w:rPr>
        <w:rFonts w:ascii="Arial" w:hAnsi="Arial" w:hint="default"/>
        <w:b w:val="0"/>
        <w:i w:val="0"/>
        <w:sz w:val="17"/>
      </w:r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num w:numId="1">
    <w:abstractNumId w:val="91"/>
  </w:num>
  <w:num w:numId="2">
    <w:abstractNumId w:val="12"/>
  </w:num>
  <w:num w:numId="3">
    <w:abstractNumId w:val="101"/>
  </w:num>
  <w:num w:numId="4">
    <w:abstractNumId w:val="188"/>
  </w:num>
  <w:num w:numId="5">
    <w:abstractNumId w:val="168"/>
  </w:num>
  <w:num w:numId="6">
    <w:abstractNumId w:val="94"/>
  </w:num>
  <w:num w:numId="7">
    <w:abstractNumId w:val="77"/>
  </w:num>
  <w:num w:numId="8">
    <w:abstractNumId w:val="135"/>
  </w:num>
  <w:num w:numId="9">
    <w:abstractNumId w:val="3"/>
  </w:num>
  <w:num w:numId="10">
    <w:abstractNumId w:val="248"/>
  </w:num>
  <w:num w:numId="11">
    <w:abstractNumId w:val="212"/>
  </w:num>
  <w:num w:numId="12">
    <w:abstractNumId w:val="198"/>
  </w:num>
  <w:num w:numId="1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7"/>
  </w:num>
  <w:num w:numId="15">
    <w:abstractNumId w:val="264"/>
  </w:num>
  <w:num w:numId="16">
    <w:abstractNumId w:val="109"/>
  </w:num>
  <w:num w:numId="17">
    <w:abstractNumId w:val="157"/>
  </w:num>
  <w:num w:numId="18">
    <w:abstractNumId w:val="197"/>
  </w:num>
  <w:num w:numId="19">
    <w:abstractNumId w:val="185"/>
  </w:num>
  <w:num w:numId="20">
    <w:abstractNumId w:val="202"/>
  </w:num>
  <w:num w:numId="21">
    <w:abstractNumId w:val="238"/>
  </w:num>
  <w:num w:numId="22">
    <w:abstractNumId w:val="112"/>
    <w:lvlOverride w:ilvl="0"/>
    <w:lvlOverride w:ilvl="1"/>
    <w:lvlOverride w:ilvl="2">
      <w:startOverride w:val="1"/>
    </w:lvlOverride>
    <w:lvlOverride w:ilvl="3"/>
    <w:lvlOverride w:ilvl="4"/>
    <w:lvlOverride w:ilvl="5"/>
    <w:lvlOverride w:ilvl="6"/>
    <w:lvlOverride w:ilvl="7"/>
    <w:lvlOverride w:ilvl="8"/>
  </w:num>
  <w:num w:numId="23">
    <w:abstractNumId w:val="131"/>
  </w:num>
  <w:num w:numId="24">
    <w:abstractNumId w:val="131"/>
    <w:lvlOverride w:ilvl="0">
      <w:lvl w:ilvl="0">
        <w:start w:val="1"/>
        <w:numFmt w:val="bullet"/>
        <w:lvlText w:val="▪"/>
        <w:lvlJc w:val="left"/>
        <w:pPr>
          <w:ind w:left="216" w:hanging="216"/>
        </w:pPr>
        <w:rPr>
          <w:rFonts w:ascii="Arial" w:hAnsi="Arial" w:hint="default"/>
          <w:sz w:val="16"/>
          <w:szCs w:val="16"/>
        </w:rPr>
      </w:lvl>
    </w:lvlOverride>
  </w:num>
  <w:num w:numId="25">
    <w:abstractNumId w:val="131"/>
    <w:lvlOverride w:ilvl="0">
      <w:lvl w:ilvl="0">
        <w:start w:val="1"/>
        <w:numFmt w:val="bullet"/>
        <w:lvlText w:val="▪"/>
        <w:lvlJc w:val="left"/>
        <w:pPr>
          <w:ind w:left="216" w:hanging="216"/>
        </w:pPr>
        <w:rPr>
          <w:rFonts w:ascii="Arial" w:hAnsi="Arial" w:hint="default"/>
          <w:sz w:val="16"/>
          <w:szCs w:val="16"/>
        </w:rPr>
      </w:lvl>
    </w:lvlOverride>
  </w:num>
  <w:num w:numId="26">
    <w:abstractNumId w:val="158"/>
  </w:num>
  <w:num w:numId="27">
    <w:abstractNumId w:val="23"/>
  </w:num>
  <w:num w:numId="28">
    <w:abstractNumId w:val="28"/>
  </w:num>
  <w:num w:numId="29">
    <w:abstractNumId w:val="7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2"/>
  </w:num>
  <w:num w:numId="31">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7"/>
  </w:num>
  <w:num w:numId="34">
    <w:abstractNumId w:val="114"/>
  </w:num>
  <w:num w:numId="35">
    <w:abstractNumId w:val="45"/>
  </w:num>
  <w:num w:numId="36">
    <w:abstractNumId w:val="224"/>
  </w:num>
  <w:num w:numId="37">
    <w:abstractNumId w:val="1"/>
  </w:num>
  <w:num w:numId="38">
    <w:abstractNumId w:val="1"/>
    <w:lvlOverride w:ilvl="0">
      <w:startOverride w:val="1"/>
    </w:lvlOverride>
  </w:num>
  <w:num w:numId="39">
    <w:abstractNumId w:val="255"/>
  </w:num>
  <w:num w:numId="40">
    <w:abstractNumId w:val="144"/>
  </w:num>
  <w:num w:numId="41">
    <w:abstractNumId w:val="92"/>
  </w:num>
  <w:num w:numId="42">
    <w:abstractNumId w:val="220"/>
  </w:num>
  <w:num w:numId="4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7"/>
  </w:num>
  <w:num w:numId="45">
    <w:abstractNumId w:val="6"/>
  </w:num>
  <w:num w:numId="46">
    <w:abstractNumId w:val="14"/>
  </w:num>
  <w:num w:numId="47">
    <w:abstractNumId w:val="4"/>
  </w:num>
  <w:num w:numId="48">
    <w:abstractNumId w:val="49"/>
  </w:num>
  <w:num w:numId="49">
    <w:abstractNumId w:val="66"/>
  </w:num>
  <w:num w:numId="50">
    <w:abstractNumId w:val="167"/>
  </w:num>
  <w:num w:numId="51">
    <w:abstractNumId w:val="126"/>
  </w:num>
  <w:num w:numId="52">
    <w:abstractNumId w:val="116"/>
  </w:num>
  <w:num w:numId="53">
    <w:abstractNumId w:val="182"/>
  </w:num>
  <w:num w:numId="54">
    <w:abstractNumId w:val="211"/>
  </w:num>
  <w:num w:numId="55">
    <w:abstractNumId w:val="97"/>
  </w:num>
  <w:num w:numId="56">
    <w:abstractNumId w:val="214"/>
  </w:num>
  <w:num w:numId="57">
    <w:abstractNumId w:val="170"/>
  </w:num>
  <w:num w:numId="58">
    <w:abstractNumId w:val="65"/>
  </w:num>
  <w:num w:numId="59">
    <w:abstractNumId w:val="100"/>
  </w:num>
  <w:num w:numId="60">
    <w:abstractNumId w:val="99"/>
  </w:num>
  <w:num w:numId="61">
    <w:abstractNumId w:val="88"/>
  </w:num>
  <w:num w:numId="62">
    <w:abstractNumId w:val="22"/>
  </w:num>
  <w:num w:numId="63">
    <w:abstractNumId w:val="37"/>
  </w:num>
  <w:num w:numId="64">
    <w:abstractNumId w:val="19"/>
  </w:num>
  <w:num w:numId="65">
    <w:abstractNumId w:val="241"/>
  </w:num>
  <w:num w:numId="66">
    <w:abstractNumId w:val="35"/>
  </w:num>
  <w:num w:numId="67">
    <w:abstractNumId w:val="192"/>
  </w:num>
  <w:num w:numId="68">
    <w:abstractNumId w:val="175"/>
  </w:num>
  <w:num w:numId="69">
    <w:abstractNumId w:val="86"/>
  </w:num>
  <w:num w:numId="70">
    <w:abstractNumId w:val="119"/>
  </w:num>
  <w:num w:numId="71">
    <w:abstractNumId w:val="178"/>
  </w:num>
  <w:num w:numId="72">
    <w:abstractNumId w:val="228"/>
  </w:num>
  <w:num w:numId="73">
    <w:abstractNumId w:val="132"/>
  </w:num>
  <w:num w:numId="74">
    <w:abstractNumId w:val="24"/>
  </w:num>
  <w:num w:numId="75">
    <w:abstractNumId w:val="260"/>
  </w:num>
  <w:num w:numId="76">
    <w:abstractNumId w:val="200"/>
  </w:num>
  <w:num w:numId="77">
    <w:abstractNumId w:val="257"/>
  </w:num>
  <w:num w:numId="78">
    <w:abstractNumId w:val="54"/>
  </w:num>
  <w:num w:numId="79">
    <w:abstractNumId w:val="218"/>
  </w:num>
  <w:num w:numId="80">
    <w:abstractNumId w:val="138"/>
  </w:num>
  <w:num w:numId="81">
    <w:abstractNumId w:val="5"/>
  </w:num>
  <w:num w:numId="82">
    <w:abstractNumId w:val="107"/>
  </w:num>
  <w:num w:numId="83">
    <w:abstractNumId w:val="234"/>
  </w:num>
  <w:num w:numId="84">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03"/>
  </w:num>
  <w:num w:numId="88">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05"/>
  </w:num>
  <w:num w:numId="90">
    <w:abstractNumId w:val="194"/>
  </w:num>
  <w:num w:numId="91">
    <w:abstractNumId w:val="134"/>
  </w:num>
  <w:num w:numId="92">
    <w:abstractNumId w:val="221"/>
  </w:num>
  <w:num w:numId="93">
    <w:abstractNumId w:val="33"/>
  </w:num>
  <w:num w:numId="94">
    <w:abstractNumId w:val="106"/>
  </w:num>
  <w:num w:numId="9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
  </w:num>
  <w:num w:numId="97">
    <w:abstractNumId w:val="18"/>
  </w:num>
  <w:num w:numId="98">
    <w:abstractNumId w:val="95"/>
  </w:num>
  <w:num w:numId="99">
    <w:abstractNumId w:val="184"/>
  </w:num>
  <w:num w:numId="100">
    <w:abstractNumId w:val="31"/>
  </w:num>
  <w:num w:numId="101">
    <w:abstractNumId w:val="78"/>
  </w:num>
  <w:num w:numId="102">
    <w:abstractNumId w:val="39"/>
  </w:num>
  <w:num w:numId="103">
    <w:abstractNumId w:val="164"/>
  </w:num>
  <w:num w:numId="104">
    <w:abstractNumId w:val="180"/>
  </w:num>
  <w:num w:numId="105">
    <w:abstractNumId w:val="247"/>
  </w:num>
  <w:num w:numId="106">
    <w:abstractNumId w:val="166"/>
  </w:num>
  <w:num w:numId="107">
    <w:abstractNumId w:val="147"/>
  </w:num>
  <w:num w:numId="108">
    <w:abstractNumId w:val="246"/>
  </w:num>
  <w:num w:numId="109">
    <w:abstractNumId w:val="249"/>
  </w:num>
  <w:num w:numId="110">
    <w:abstractNumId w:val="103"/>
  </w:num>
  <w:num w:numId="111">
    <w:abstractNumId w:val="229"/>
  </w:num>
  <w:num w:numId="112">
    <w:abstractNumId w:val="133"/>
  </w:num>
  <w:num w:numId="113">
    <w:abstractNumId w:val="243"/>
  </w:num>
  <w:num w:numId="114">
    <w:abstractNumId w:val="259"/>
  </w:num>
  <w:num w:numId="115">
    <w:abstractNumId w:val="258"/>
  </w:num>
  <w:num w:numId="116">
    <w:abstractNumId w:val="32"/>
  </w:num>
  <w:num w:numId="117">
    <w:abstractNumId w:val="169"/>
  </w:num>
  <w:num w:numId="118">
    <w:abstractNumId w:val="70"/>
  </w:num>
  <w:num w:numId="119">
    <w:abstractNumId w:val="127"/>
  </w:num>
  <w:num w:numId="120">
    <w:abstractNumId w:val="245"/>
  </w:num>
  <w:num w:numId="121">
    <w:abstractNumId w:val="118"/>
  </w:num>
  <w:num w:numId="122">
    <w:abstractNumId w:val="207"/>
  </w:num>
  <w:num w:numId="123">
    <w:abstractNumId w:val="233"/>
  </w:num>
  <w:num w:numId="124">
    <w:abstractNumId w:val="165"/>
  </w:num>
  <w:num w:numId="125">
    <w:abstractNumId w:val="244"/>
  </w:num>
  <w:num w:numId="126">
    <w:abstractNumId w:val="250"/>
  </w:num>
  <w:num w:numId="127">
    <w:abstractNumId w:val="253"/>
  </w:num>
  <w:num w:numId="128">
    <w:abstractNumId w:val="82"/>
  </w:num>
  <w:num w:numId="129">
    <w:abstractNumId w:val="150"/>
  </w:num>
  <w:num w:numId="130">
    <w:abstractNumId w:val="161"/>
  </w:num>
  <w:num w:numId="131">
    <w:abstractNumId w:val="154"/>
  </w:num>
  <w:num w:numId="132">
    <w:abstractNumId w:val="123"/>
  </w:num>
  <w:num w:numId="133">
    <w:abstractNumId w:val="21"/>
  </w:num>
  <w:num w:numId="134">
    <w:abstractNumId w:val="163"/>
  </w:num>
  <w:num w:numId="135">
    <w:abstractNumId w:val="63"/>
  </w:num>
  <w:num w:numId="136">
    <w:abstractNumId w:val="140"/>
  </w:num>
  <w:num w:numId="137">
    <w:abstractNumId w:val="89"/>
  </w:num>
  <w:num w:numId="138">
    <w:abstractNumId w:val="191"/>
  </w:num>
  <w:num w:numId="139">
    <w:abstractNumId w:val="143"/>
  </w:num>
  <w:num w:numId="140">
    <w:abstractNumId w:val="226"/>
  </w:num>
  <w:num w:numId="141">
    <w:abstractNumId w:val="153"/>
  </w:num>
  <w:num w:numId="142">
    <w:abstractNumId w:val="105"/>
  </w:num>
  <w:num w:numId="143">
    <w:abstractNumId w:val="148"/>
  </w:num>
  <w:num w:numId="144">
    <w:abstractNumId w:val="67"/>
  </w:num>
  <w:num w:numId="145">
    <w:abstractNumId w:val="227"/>
  </w:num>
  <w:num w:numId="146">
    <w:abstractNumId w:val="193"/>
  </w:num>
  <w:num w:numId="147">
    <w:abstractNumId w:val="177"/>
  </w:num>
  <w:num w:numId="148">
    <w:abstractNumId w:val="124"/>
  </w:num>
  <w:num w:numId="149">
    <w:abstractNumId w:val="261"/>
  </w:num>
  <w:num w:numId="150">
    <w:abstractNumId w:val="79"/>
  </w:num>
  <w:num w:numId="151">
    <w:abstractNumId w:val="235"/>
  </w:num>
  <w:num w:numId="152">
    <w:abstractNumId w:val="62"/>
  </w:num>
  <w:num w:numId="153">
    <w:abstractNumId w:val="208"/>
  </w:num>
  <w:num w:numId="154">
    <w:abstractNumId w:val="90"/>
  </w:num>
  <w:num w:numId="155">
    <w:abstractNumId w:val="216"/>
  </w:num>
  <w:num w:numId="156">
    <w:abstractNumId w:val="268"/>
  </w:num>
  <w:num w:numId="157">
    <w:abstractNumId w:val="55"/>
  </w:num>
  <w:num w:numId="158">
    <w:abstractNumId w:val="254"/>
  </w:num>
  <w:num w:numId="159">
    <w:abstractNumId w:val="2"/>
  </w:num>
  <w:num w:numId="160">
    <w:abstractNumId w:val="0"/>
  </w:num>
  <w:num w:numId="161">
    <w:abstractNumId w:val="223"/>
  </w:num>
  <w:num w:numId="162">
    <w:abstractNumId w:val="25"/>
  </w:num>
  <w:num w:numId="163">
    <w:abstractNumId w:val="48"/>
  </w:num>
  <w:num w:numId="164">
    <w:abstractNumId w:val="266"/>
  </w:num>
  <w:num w:numId="165">
    <w:abstractNumId w:val="199"/>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clickAndTypeStyle w:val="BodyText"/>
  <w:drawingGridHorizontalSpacing w:val="110"/>
  <w:displayHorizontalDrawingGridEvery w:val="2"/>
  <w:characterSpacingControl w:val="doNotCompress"/>
  <w:hdrShapeDefaults>
    <o:shapedefaults v:ext="edit" spidmax="819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breviations" w:val="False"/>
    <w:docVar w:name="ABN" w:val="ABN 78 006 769 339"/>
    <w:docVar w:name="Address" w:val="Level 27, Ernst &amp; Young Centre ~680 George Street ~Sydney NSW 2000"/>
    <w:docVar w:name="Branch" w:val="Sydney"/>
    <w:docVar w:name="ContentType" w:val="LTR-"/>
    <w:docVar w:name="Country" w:val="Australia"/>
    <w:docVar w:name="CustomTemplates" w:val="True"/>
    <w:docVar w:name="Discipline" w:val="~"/>
    <w:docVar w:name="DOCID" w:val="72499381"/>
    <w:docVar w:name="DocNameType" w:val="ANZ"/>
    <w:docVar w:name="DocNo" w:val="~"/>
    <w:docVar w:name="Entity" w:val="WSP Structures Pty Ltd"/>
    <w:docVar w:name="ExecutiveSummary" w:val="False"/>
    <w:docVar w:name="Fax" w:val="61 2 9272 5101"/>
    <w:docVar w:name="Glossary" w:val="False"/>
    <w:docVar w:name="isReport" w:val="True"/>
    <w:docVar w:name="Para" w:val="_x000d__x000a_"/>
    <w:docVar w:name="Phone" w:val="61 2 9272 5100"/>
    <w:docVar w:name="Postal" w:val="GPO Box 5394 ~Sydney NSW 2001"/>
    <w:docVar w:name="ProjectCode" w:val="~"/>
    <w:docVar w:name="SimpleOurRef" w:val="~"/>
    <w:docVar w:name="TOC" w:val="True"/>
    <w:docVar w:name="TOCImported" w:val="True"/>
    <w:docVar w:name="TOCNew" w:val="True"/>
    <w:docVar w:name="UpdateTheme" w:val="False"/>
    <w:docVar w:name="VERSIONLABEL" w:val="1"/>
    <w:docVar w:name="WSPAuthor" w:val="FD-"/>
    <w:docVar w:name="WSPContentType" w:val=" FD-"/>
    <w:docVar w:name="WSPDiscipline" w:val=" FD-"/>
    <w:docVar w:name="WSPDocDescription" w:val="FDSFSFS"/>
    <w:docVar w:name="WSPDocNamingDate" w:val="151215-"/>
    <w:docVar w:name="WSPDocNo" w:val=" FDS"/>
    <w:docVar w:name="WSPGeneralOurRef" w:val="barfdsa"/>
    <w:docVar w:name="WSPOfficeCode" w:val="FFDSAFSAFS-"/>
    <w:docVar w:name="WSPOurRef" w:val=" FFDA- FD- FD- FDS Rev FD"/>
    <w:docVar w:name="WSPProjectCode" w:val=" FFDA-"/>
    <w:docVar w:name="WSPRevNo" w:val=" FD"/>
    <w:docVar w:name="xAppendixName" w:val="Appendix"/>
    <w:docVar w:name="xTOCApp" w:val="H"/>
    <w:docVar w:name="xTOCFigure" w:val="H"/>
    <w:docVar w:name="xTOCH2" w:val="Y"/>
    <w:docVar w:name="xTOCH3" w:val="Y"/>
    <w:docVar w:name="xTOCPhoto" w:val="S"/>
    <w:docVar w:name="xTOCTable" w:val="H"/>
  </w:docVars>
  <w:rsids>
    <w:rsidRoot w:val="004C69F6"/>
    <w:rsid w:val="0000008B"/>
    <w:rsid w:val="0000008F"/>
    <w:rsid w:val="00000093"/>
    <w:rsid w:val="000000FB"/>
    <w:rsid w:val="00000194"/>
    <w:rsid w:val="0000032A"/>
    <w:rsid w:val="00000333"/>
    <w:rsid w:val="000003ED"/>
    <w:rsid w:val="0000062A"/>
    <w:rsid w:val="000008A2"/>
    <w:rsid w:val="00000919"/>
    <w:rsid w:val="000009F2"/>
    <w:rsid w:val="00000A99"/>
    <w:rsid w:val="00000AC7"/>
    <w:rsid w:val="00000B9A"/>
    <w:rsid w:val="00000CF1"/>
    <w:rsid w:val="00000D13"/>
    <w:rsid w:val="00000E4C"/>
    <w:rsid w:val="00000F1A"/>
    <w:rsid w:val="000011A4"/>
    <w:rsid w:val="0000129E"/>
    <w:rsid w:val="00001322"/>
    <w:rsid w:val="00001485"/>
    <w:rsid w:val="00001694"/>
    <w:rsid w:val="000016F9"/>
    <w:rsid w:val="0000171C"/>
    <w:rsid w:val="000017D9"/>
    <w:rsid w:val="000017DD"/>
    <w:rsid w:val="0000189B"/>
    <w:rsid w:val="00001AE2"/>
    <w:rsid w:val="00001CD0"/>
    <w:rsid w:val="00001CF3"/>
    <w:rsid w:val="00001DFB"/>
    <w:rsid w:val="00001FED"/>
    <w:rsid w:val="00002027"/>
    <w:rsid w:val="000025DD"/>
    <w:rsid w:val="00002780"/>
    <w:rsid w:val="00002833"/>
    <w:rsid w:val="000028B7"/>
    <w:rsid w:val="0000290E"/>
    <w:rsid w:val="00002AD2"/>
    <w:rsid w:val="00002B1C"/>
    <w:rsid w:val="00002B32"/>
    <w:rsid w:val="00002B57"/>
    <w:rsid w:val="00002D3E"/>
    <w:rsid w:val="00002FEE"/>
    <w:rsid w:val="00003094"/>
    <w:rsid w:val="00003361"/>
    <w:rsid w:val="000033F4"/>
    <w:rsid w:val="000035B6"/>
    <w:rsid w:val="000035F6"/>
    <w:rsid w:val="000037E4"/>
    <w:rsid w:val="000038C7"/>
    <w:rsid w:val="00003A21"/>
    <w:rsid w:val="00003A67"/>
    <w:rsid w:val="00003C90"/>
    <w:rsid w:val="00003CE9"/>
    <w:rsid w:val="00003E56"/>
    <w:rsid w:val="00003ED2"/>
    <w:rsid w:val="000040FF"/>
    <w:rsid w:val="00004219"/>
    <w:rsid w:val="00004810"/>
    <w:rsid w:val="00004A68"/>
    <w:rsid w:val="00004BBE"/>
    <w:rsid w:val="00004D00"/>
    <w:rsid w:val="00004D3B"/>
    <w:rsid w:val="00004EB5"/>
    <w:rsid w:val="00005109"/>
    <w:rsid w:val="0000577C"/>
    <w:rsid w:val="000057E4"/>
    <w:rsid w:val="00005823"/>
    <w:rsid w:val="0000598E"/>
    <w:rsid w:val="00005A5C"/>
    <w:rsid w:val="00006028"/>
    <w:rsid w:val="0000610E"/>
    <w:rsid w:val="0000626F"/>
    <w:rsid w:val="0000634A"/>
    <w:rsid w:val="00006362"/>
    <w:rsid w:val="00006390"/>
    <w:rsid w:val="000063C4"/>
    <w:rsid w:val="000068B5"/>
    <w:rsid w:val="000069D6"/>
    <w:rsid w:val="00006ACF"/>
    <w:rsid w:val="00006C1A"/>
    <w:rsid w:val="00006CAD"/>
    <w:rsid w:val="00006D09"/>
    <w:rsid w:val="00006D3E"/>
    <w:rsid w:val="00006D53"/>
    <w:rsid w:val="00006DD3"/>
    <w:rsid w:val="00006E88"/>
    <w:rsid w:val="00006FDA"/>
    <w:rsid w:val="00007007"/>
    <w:rsid w:val="00007063"/>
    <w:rsid w:val="00007089"/>
    <w:rsid w:val="000072D7"/>
    <w:rsid w:val="0000732C"/>
    <w:rsid w:val="0000739E"/>
    <w:rsid w:val="000073BB"/>
    <w:rsid w:val="00007737"/>
    <w:rsid w:val="000079DE"/>
    <w:rsid w:val="00007DF0"/>
    <w:rsid w:val="00010206"/>
    <w:rsid w:val="000105A9"/>
    <w:rsid w:val="000105E2"/>
    <w:rsid w:val="00010618"/>
    <w:rsid w:val="0001088E"/>
    <w:rsid w:val="00010AAE"/>
    <w:rsid w:val="00010C8A"/>
    <w:rsid w:val="00010E41"/>
    <w:rsid w:val="00010FDD"/>
    <w:rsid w:val="00011094"/>
    <w:rsid w:val="00011437"/>
    <w:rsid w:val="0001168F"/>
    <w:rsid w:val="00011733"/>
    <w:rsid w:val="00011772"/>
    <w:rsid w:val="0001181F"/>
    <w:rsid w:val="000118F6"/>
    <w:rsid w:val="00011A64"/>
    <w:rsid w:val="00011E5E"/>
    <w:rsid w:val="00011EB4"/>
    <w:rsid w:val="00011F39"/>
    <w:rsid w:val="0001201E"/>
    <w:rsid w:val="00012054"/>
    <w:rsid w:val="000120B1"/>
    <w:rsid w:val="000122B1"/>
    <w:rsid w:val="00012306"/>
    <w:rsid w:val="00012371"/>
    <w:rsid w:val="000125A5"/>
    <w:rsid w:val="00012827"/>
    <w:rsid w:val="00012D9D"/>
    <w:rsid w:val="0001322B"/>
    <w:rsid w:val="00013408"/>
    <w:rsid w:val="00013597"/>
    <w:rsid w:val="00013700"/>
    <w:rsid w:val="0001371D"/>
    <w:rsid w:val="0001385A"/>
    <w:rsid w:val="00013AAE"/>
    <w:rsid w:val="00013D78"/>
    <w:rsid w:val="00013FB3"/>
    <w:rsid w:val="00014071"/>
    <w:rsid w:val="000140CE"/>
    <w:rsid w:val="00014157"/>
    <w:rsid w:val="00014440"/>
    <w:rsid w:val="000145E9"/>
    <w:rsid w:val="00014A03"/>
    <w:rsid w:val="00014A34"/>
    <w:rsid w:val="00014AD0"/>
    <w:rsid w:val="00014D35"/>
    <w:rsid w:val="00014ED7"/>
    <w:rsid w:val="00014F10"/>
    <w:rsid w:val="00015147"/>
    <w:rsid w:val="000151A7"/>
    <w:rsid w:val="000152B1"/>
    <w:rsid w:val="0001545E"/>
    <w:rsid w:val="000158C0"/>
    <w:rsid w:val="00015933"/>
    <w:rsid w:val="00015A29"/>
    <w:rsid w:val="00015A3D"/>
    <w:rsid w:val="00015B59"/>
    <w:rsid w:val="00015C51"/>
    <w:rsid w:val="00015CD4"/>
    <w:rsid w:val="0001614C"/>
    <w:rsid w:val="0001667E"/>
    <w:rsid w:val="000166FE"/>
    <w:rsid w:val="0001678E"/>
    <w:rsid w:val="00016900"/>
    <w:rsid w:val="00016922"/>
    <w:rsid w:val="00016B15"/>
    <w:rsid w:val="00016CA2"/>
    <w:rsid w:val="00016E1C"/>
    <w:rsid w:val="0001718D"/>
    <w:rsid w:val="000171D8"/>
    <w:rsid w:val="000172BF"/>
    <w:rsid w:val="00017350"/>
    <w:rsid w:val="000173A1"/>
    <w:rsid w:val="00017430"/>
    <w:rsid w:val="0001746D"/>
    <w:rsid w:val="00017735"/>
    <w:rsid w:val="000177DE"/>
    <w:rsid w:val="00017909"/>
    <w:rsid w:val="000179D7"/>
    <w:rsid w:val="00017ADC"/>
    <w:rsid w:val="00017B58"/>
    <w:rsid w:val="00017BB7"/>
    <w:rsid w:val="00017E18"/>
    <w:rsid w:val="00017F9D"/>
    <w:rsid w:val="00020121"/>
    <w:rsid w:val="000201A9"/>
    <w:rsid w:val="00020308"/>
    <w:rsid w:val="000203E9"/>
    <w:rsid w:val="00020425"/>
    <w:rsid w:val="00020532"/>
    <w:rsid w:val="00020547"/>
    <w:rsid w:val="000205FF"/>
    <w:rsid w:val="0002064D"/>
    <w:rsid w:val="00020E7A"/>
    <w:rsid w:val="00020F11"/>
    <w:rsid w:val="00021207"/>
    <w:rsid w:val="00021517"/>
    <w:rsid w:val="00021524"/>
    <w:rsid w:val="0002164A"/>
    <w:rsid w:val="00021788"/>
    <w:rsid w:val="00021A19"/>
    <w:rsid w:val="00021F13"/>
    <w:rsid w:val="000220BD"/>
    <w:rsid w:val="000221B9"/>
    <w:rsid w:val="00022217"/>
    <w:rsid w:val="00022377"/>
    <w:rsid w:val="00022451"/>
    <w:rsid w:val="00022533"/>
    <w:rsid w:val="0002264C"/>
    <w:rsid w:val="000228E2"/>
    <w:rsid w:val="00022905"/>
    <w:rsid w:val="00022A9D"/>
    <w:rsid w:val="00022B37"/>
    <w:rsid w:val="00022B6D"/>
    <w:rsid w:val="00022C30"/>
    <w:rsid w:val="00022C35"/>
    <w:rsid w:val="00022C5C"/>
    <w:rsid w:val="00022C78"/>
    <w:rsid w:val="00022D84"/>
    <w:rsid w:val="00022F8A"/>
    <w:rsid w:val="00023114"/>
    <w:rsid w:val="00023154"/>
    <w:rsid w:val="0002318A"/>
    <w:rsid w:val="000231E0"/>
    <w:rsid w:val="00023210"/>
    <w:rsid w:val="0002327C"/>
    <w:rsid w:val="0002337C"/>
    <w:rsid w:val="00023518"/>
    <w:rsid w:val="00023619"/>
    <w:rsid w:val="000236EC"/>
    <w:rsid w:val="00023701"/>
    <w:rsid w:val="0002371F"/>
    <w:rsid w:val="00023778"/>
    <w:rsid w:val="0002379D"/>
    <w:rsid w:val="000239BD"/>
    <w:rsid w:val="00023C5F"/>
    <w:rsid w:val="00023CE6"/>
    <w:rsid w:val="00023D7B"/>
    <w:rsid w:val="00023F61"/>
    <w:rsid w:val="00024007"/>
    <w:rsid w:val="000240FD"/>
    <w:rsid w:val="000245D9"/>
    <w:rsid w:val="00024620"/>
    <w:rsid w:val="00024660"/>
    <w:rsid w:val="0002466F"/>
    <w:rsid w:val="00024931"/>
    <w:rsid w:val="00024AC0"/>
    <w:rsid w:val="00024AED"/>
    <w:rsid w:val="00024BFD"/>
    <w:rsid w:val="00024C3D"/>
    <w:rsid w:val="00024D26"/>
    <w:rsid w:val="00024E5F"/>
    <w:rsid w:val="00024FBE"/>
    <w:rsid w:val="00025161"/>
    <w:rsid w:val="000251DF"/>
    <w:rsid w:val="00025438"/>
    <w:rsid w:val="000254DA"/>
    <w:rsid w:val="00025580"/>
    <w:rsid w:val="000255CE"/>
    <w:rsid w:val="00025778"/>
    <w:rsid w:val="000257A0"/>
    <w:rsid w:val="0002591D"/>
    <w:rsid w:val="00025953"/>
    <w:rsid w:val="0002597F"/>
    <w:rsid w:val="00025A71"/>
    <w:rsid w:val="00025BE9"/>
    <w:rsid w:val="00025D2C"/>
    <w:rsid w:val="00025DFA"/>
    <w:rsid w:val="00026226"/>
    <w:rsid w:val="00026392"/>
    <w:rsid w:val="0002642C"/>
    <w:rsid w:val="0002647B"/>
    <w:rsid w:val="000264D9"/>
    <w:rsid w:val="0002668E"/>
    <w:rsid w:val="00026738"/>
    <w:rsid w:val="00026848"/>
    <w:rsid w:val="00026A90"/>
    <w:rsid w:val="00026B84"/>
    <w:rsid w:val="00026ED5"/>
    <w:rsid w:val="00027193"/>
    <w:rsid w:val="000275C3"/>
    <w:rsid w:val="00027800"/>
    <w:rsid w:val="00027BC7"/>
    <w:rsid w:val="00027C6C"/>
    <w:rsid w:val="00027D36"/>
    <w:rsid w:val="00027DB1"/>
    <w:rsid w:val="00027E4A"/>
    <w:rsid w:val="00027F3F"/>
    <w:rsid w:val="000301B8"/>
    <w:rsid w:val="00030349"/>
    <w:rsid w:val="00030444"/>
    <w:rsid w:val="000304A1"/>
    <w:rsid w:val="000305F5"/>
    <w:rsid w:val="0003062F"/>
    <w:rsid w:val="000306D2"/>
    <w:rsid w:val="000306F4"/>
    <w:rsid w:val="00030716"/>
    <w:rsid w:val="0003079E"/>
    <w:rsid w:val="00030C6D"/>
    <w:rsid w:val="00030CCC"/>
    <w:rsid w:val="00030EA5"/>
    <w:rsid w:val="00030F3C"/>
    <w:rsid w:val="000311CC"/>
    <w:rsid w:val="000313EC"/>
    <w:rsid w:val="00031431"/>
    <w:rsid w:val="00031449"/>
    <w:rsid w:val="00031503"/>
    <w:rsid w:val="00031683"/>
    <w:rsid w:val="000317ED"/>
    <w:rsid w:val="000318C7"/>
    <w:rsid w:val="00031978"/>
    <w:rsid w:val="00031A6F"/>
    <w:rsid w:val="00031B41"/>
    <w:rsid w:val="00031CE7"/>
    <w:rsid w:val="00031D47"/>
    <w:rsid w:val="00031FF5"/>
    <w:rsid w:val="00032036"/>
    <w:rsid w:val="0003217B"/>
    <w:rsid w:val="00032340"/>
    <w:rsid w:val="000323F1"/>
    <w:rsid w:val="0003249B"/>
    <w:rsid w:val="000325B7"/>
    <w:rsid w:val="00032761"/>
    <w:rsid w:val="000327DA"/>
    <w:rsid w:val="00032806"/>
    <w:rsid w:val="00032892"/>
    <w:rsid w:val="00032969"/>
    <w:rsid w:val="00032A32"/>
    <w:rsid w:val="00032B0F"/>
    <w:rsid w:val="00032B19"/>
    <w:rsid w:val="00032C64"/>
    <w:rsid w:val="00032D98"/>
    <w:rsid w:val="00032E8F"/>
    <w:rsid w:val="00032FF4"/>
    <w:rsid w:val="00033127"/>
    <w:rsid w:val="0003339F"/>
    <w:rsid w:val="00033439"/>
    <w:rsid w:val="0003357C"/>
    <w:rsid w:val="00033625"/>
    <w:rsid w:val="000338A3"/>
    <w:rsid w:val="00033A3B"/>
    <w:rsid w:val="00033C30"/>
    <w:rsid w:val="00034133"/>
    <w:rsid w:val="00034369"/>
    <w:rsid w:val="0003436B"/>
    <w:rsid w:val="000343D3"/>
    <w:rsid w:val="00034532"/>
    <w:rsid w:val="00034753"/>
    <w:rsid w:val="0003477D"/>
    <w:rsid w:val="000347BC"/>
    <w:rsid w:val="00034924"/>
    <w:rsid w:val="000349D0"/>
    <w:rsid w:val="000349D6"/>
    <w:rsid w:val="000351B3"/>
    <w:rsid w:val="0003540A"/>
    <w:rsid w:val="00035472"/>
    <w:rsid w:val="000354EE"/>
    <w:rsid w:val="0003553E"/>
    <w:rsid w:val="0003571A"/>
    <w:rsid w:val="00035A63"/>
    <w:rsid w:val="00035FC1"/>
    <w:rsid w:val="000361D1"/>
    <w:rsid w:val="000361EC"/>
    <w:rsid w:val="000362CA"/>
    <w:rsid w:val="000362F0"/>
    <w:rsid w:val="000363AB"/>
    <w:rsid w:val="00036405"/>
    <w:rsid w:val="000364F2"/>
    <w:rsid w:val="0003665A"/>
    <w:rsid w:val="00036751"/>
    <w:rsid w:val="00036831"/>
    <w:rsid w:val="00036981"/>
    <w:rsid w:val="00036BCF"/>
    <w:rsid w:val="00036C8E"/>
    <w:rsid w:val="00036D31"/>
    <w:rsid w:val="00036D44"/>
    <w:rsid w:val="00036D45"/>
    <w:rsid w:val="00036DFF"/>
    <w:rsid w:val="00036E40"/>
    <w:rsid w:val="00036EAB"/>
    <w:rsid w:val="00037065"/>
    <w:rsid w:val="00037204"/>
    <w:rsid w:val="00037286"/>
    <w:rsid w:val="000373D8"/>
    <w:rsid w:val="000373EF"/>
    <w:rsid w:val="00037486"/>
    <w:rsid w:val="000374E9"/>
    <w:rsid w:val="000378FF"/>
    <w:rsid w:val="00037C20"/>
    <w:rsid w:val="00040011"/>
    <w:rsid w:val="0004046E"/>
    <w:rsid w:val="0004050A"/>
    <w:rsid w:val="00040531"/>
    <w:rsid w:val="00040564"/>
    <w:rsid w:val="000405AB"/>
    <w:rsid w:val="000406EF"/>
    <w:rsid w:val="00040877"/>
    <w:rsid w:val="0004097C"/>
    <w:rsid w:val="00040A04"/>
    <w:rsid w:val="00040CB5"/>
    <w:rsid w:val="00040E65"/>
    <w:rsid w:val="00040EBD"/>
    <w:rsid w:val="00040FD1"/>
    <w:rsid w:val="00041391"/>
    <w:rsid w:val="00041613"/>
    <w:rsid w:val="0004185E"/>
    <w:rsid w:val="00041920"/>
    <w:rsid w:val="00041936"/>
    <w:rsid w:val="00041B06"/>
    <w:rsid w:val="00041B93"/>
    <w:rsid w:val="00041CE0"/>
    <w:rsid w:val="00041D53"/>
    <w:rsid w:val="00041D56"/>
    <w:rsid w:val="00041DEA"/>
    <w:rsid w:val="00041E02"/>
    <w:rsid w:val="00041E4D"/>
    <w:rsid w:val="0004222D"/>
    <w:rsid w:val="00042278"/>
    <w:rsid w:val="00042366"/>
    <w:rsid w:val="000424F7"/>
    <w:rsid w:val="000425E7"/>
    <w:rsid w:val="0004277C"/>
    <w:rsid w:val="0004279A"/>
    <w:rsid w:val="00042934"/>
    <w:rsid w:val="00042AF5"/>
    <w:rsid w:val="00042B8A"/>
    <w:rsid w:val="00042C8D"/>
    <w:rsid w:val="00042C9F"/>
    <w:rsid w:val="00042CAF"/>
    <w:rsid w:val="00042D70"/>
    <w:rsid w:val="00042DA7"/>
    <w:rsid w:val="00043179"/>
    <w:rsid w:val="000431D6"/>
    <w:rsid w:val="00043783"/>
    <w:rsid w:val="0004387C"/>
    <w:rsid w:val="000438A1"/>
    <w:rsid w:val="0004394B"/>
    <w:rsid w:val="00043A10"/>
    <w:rsid w:val="00043AC5"/>
    <w:rsid w:val="00043B16"/>
    <w:rsid w:val="00043B60"/>
    <w:rsid w:val="00043B69"/>
    <w:rsid w:val="00043E52"/>
    <w:rsid w:val="00044190"/>
    <w:rsid w:val="000443E7"/>
    <w:rsid w:val="000443F1"/>
    <w:rsid w:val="00044484"/>
    <w:rsid w:val="000445B2"/>
    <w:rsid w:val="00044680"/>
    <w:rsid w:val="0004468F"/>
    <w:rsid w:val="0004494F"/>
    <w:rsid w:val="00044960"/>
    <w:rsid w:val="0004498A"/>
    <w:rsid w:val="00044A01"/>
    <w:rsid w:val="00044B23"/>
    <w:rsid w:val="00044BA4"/>
    <w:rsid w:val="00044DCE"/>
    <w:rsid w:val="00044F8F"/>
    <w:rsid w:val="00044FDB"/>
    <w:rsid w:val="00044FFB"/>
    <w:rsid w:val="000453E2"/>
    <w:rsid w:val="0004546F"/>
    <w:rsid w:val="00045471"/>
    <w:rsid w:val="00045A2E"/>
    <w:rsid w:val="00045AEF"/>
    <w:rsid w:val="00045C1F"/>
    <w:rsid w:val="00045C7E"/>
    <w:rsid w:val="00045D96"/>
    <w:rsid w:val="0004619B"/>
    <w:rsid w:val="000463D7"/>
    <w:rsid w:val="00046732"/>
    <w:rsid w:val="000468F8"/>
    <w:rsid w:val="00046A59"/>
    <w:rsid w:val="00046BA6"/>
    <w:rsid w:val="00046D85"/>
    <w:rsid w:val="00046DD9"/>
    <w:rsid w:val="00046DFA"/>
    <w:rsid w:val="000472E3"/>
    <w:rsid w:val="0004733A"/>
    <w:rsid w:val="0004747E"/>
    <w:rsid w:val="00047644"/>
    <w:rsid w:val="00047A4F"/>
    <w:rsid w:val="00047C49"/>
    <w:rsid w:val="00047C91"/>
    <w:rsid w:val="00047F87"/>
    <w:rsid w:val="000500DA"/>
    <w:rsid w:val="000501FB"/>
    <w:rsid w:val="00050314"/>
    <w:rsid w:val="00050483"/>
    <w:rsid w:val="00050602"/>
    <w:rsid w:val="00050713"/>
    <w:rsid w:val="000509D1"/>
    <w:rsid w:val="00050ADA"/>
    <w:rsid w:val="00050D5E"/>
    <w:rsid w:val="00050DB1"/>
    <w:rsid w:val="00050E56"/>
    <w:rsid w:val="0005109B"/>
    <w:rsid w:val="000510BB"/>
    <w:rsid w:val="000515C0"/>
    <w:rsid w:val="000516BE"/>
    <w:rsid w:val="00051757"/>
    <w:rsid w:val="000518E3"/>
    <w:rsid w:val="00051BD8"/>
    <w:rsid w:val="00051C1B"/>
    <w:rsid w:val="00051D5C"/>
    <w:rsid w:val="00051E05"/>
    <w:rsid w:val="00051E14"/>
    <w:rsid w:val="00051F2B"/>
    <w:rsid w:val="0005213F"/>
    <w:rsid w:val="0005227B"/>
    <w:rsid w:val="00052454"/>
    <w:rsid w:val="0005252A"/>
    <w:rsid w:val="000525D6"/>
    <w:rsid w:val="00052756"/>
    <w:rsid w:val="000527ED"/>
    <w:rsid w:val="0005283A"/>
    <w:rsid w:val="000528CD"/>
    <w:rsid w:val="0005295F"/>
    <w:rsid w:val="00052A4B"/>
    <w:rsid w:val="00052A88"/>
    <w:rsid w:val="00052AB4"/>
    <w:rsid w:val="00052CA0"/>
    <w:rsid w:val="00052D71"/>
    <w:rsid w:val="000531A6"/>
    <w:rsid w:val="000533E9"/>
    <w:rsid w:val="00053631"/>
    <w:rsid w:val="00053644"/>
    <w:rsid w:val="00053892"/>
    <w:rsid w:val="000538FF"/>
    <w:rsid w:val="0005399F"/>
    <w:rsid w:val="000539FE"/>
    <w:rsid w:val="00053B90"/>
    <w:rsid w:val="00053C4F"/>
    <w:rsid w:val="00053CB7"/>
    <w:rsid w:val="00053D19"/>
    <w:rsid w:val="00053D29"/>
    <w:rsid w:val="00053F49"/>
    <w:rsid w:val="00053FEC"/>
    <w:rsid w:val="000540B4"/>
    <w:rsid w:val="000542A1"/>
    <w:rsid w:val="0005431D"/>
    <w:rsid w:val="000543BF"/>
    <w:rsid w:val="00054426"/>
    <w:rsid w:val="0005447C"/>
    <w:rsid w:val="00054BE0"/>
    <w:rsid w:val="00054CE7"/>
    <w:rsid w:val="00054E0A"/>
    <w:rsid w:val="00055169"/>
    <w:rsid w:val="000553A1"/>
    <w:rsid w:val="00055672"/>
    <w:rsid w:val="00055A15"/>
    <w:rsid w:val="00055A19"/>
    <w:rsid w:val="00055A6B"/>
    <w:rsid w:val="00055A96"/>
    <w:rsid w:val="00055B4C"/>
    <w:rsid w:val="00055BFB"/>
    <w:rsid w:val="00055DCC"/>
    <w:rsid w:val="00055FA7"/>
    <w:rsid w:val="00055FE8"/>
    <w:rsid w:val="00056304"/>
    <w:rsid w:val="000563C9"/>
    <w:rsid w:val="00056406"/>
    <w:rsid w:val="0005644E"/>
    <w:rsid w:val="0005644F"/>
    <w:rsid w:val="0005669F"/>
    <w:rsid w:val="00056B42"/>
    <w:rsid w:val="00056BA0"/>
    <w:rsid w:val="00056C17"/>
    <w:rsid w:val="00056D39"/>
    <w:rsid w:val="00056D42"/>
    <w:rsid w:val="00056D47"/>
    <w:rsid w:val="00056E21"/>
    <w:rsid w:val="0005705F"/>
    <w:rsid w:val="0005706C"/>
    <w:rsid w:val="00057187"/>
    <w:rsid w:val="000571EF"/>
    <w:rsid w:val="00057226"/>
    <w:rsid w:val="00057416"/>
    <w:rsid w:val="0005748D"/>
    <w:rsid w:val="0005749A"/>
    <w:rsid w:val="000574CC"/>
    <w:rsid w:val="00057571"/>
    <w:rsid w:val="0005762C"/>
    <w:rsid w:val="00057661"/>
    <w:rsid w:val="00057979"/>
    <w:rsid w:val="000579EB"/>
    <w:rsid w:val="00057ACD"/>
    <w:rsid w:val="00057C18"/>
    <w:rsid w:val="00057D59"/>
    <w:rsid w:val="00057E12"/>
    <w:rsid w:val="000603EE"/>
    <w:rsid w:val="00060404"/>
    <w:rsid w:val="00060534"/>
    <w:rsid w:val="0006053E"/>
    <w:rsid w:val="0006079E"/>
    <w:rsid w:val="000607DD"/>
    <w:rsid w:val="0006087C"/>
    <w:rsid w:val="000608FB"/>
    <w:rsid w:val="000609C0"/>
    <w:rsid w:val="00060AD9"/>
    <w:rsid w:val="00060B55"/>
    <w:rsid w:val="00060B9F"/>
    <w:rsid w:val="00060D90"/>
    <w:rsid w:val="00060D95"/>
    <w:rsid w:val="00060EF1"/>
    <w:rsid w:val="0006110B"/>
    <w:rsid w:val="00061115"/>
    <w:rsid w:val="000612EA"/>
    <w:rsid w:val="00061311"/>
    <w:rsid w:val="000613B7"/>
    <w:rsid w:val="000613C8"/>
    <w:rsid w:val="000613F4"/>
    <w:rsid w:val="0006141D"/>
    <w:rsid w:val="00061558"/>
    <w:rsid w:val="00061A95"/>
    <w:rsid w:val="00061D9A"/>
    <w:rsid w:val="00061E0A"/>
    <w:rsid w:val="00061F2A"/>
    <w:rsid w:val="00061F7F"/>
    <w:rsid w:val="000620D5"/>
    <w:rsid w:val="000620F3"/>
    <w:rsid w:val="000622CB"/>
    <w:rsid w:val="0006231E"/>
    <w:rsid w:val="000623AC"/>
    <w:rsid w:val="000623B5"/>
    <w:rsid w:val="000623DC"/>
    <w:rsid w:val="00062536"/>
    <w:rsid w:val="0006277B"/>
    <w:rsid w:val="00062788"/>
    <w:rsid w:val="000628AA"/>
    <w:rsid w:val="00062B0D"/>
    <w:rsid w:val="00062C65"/>
    <w:rsid w:val="00062D09"/>
    <w:rsid w:val="00062F76"/>
    <w:rsid w:val="000633DA"/>
    <w:rsid w:val="000633E3"/>
    <w:rsid w:val="00063468"/>
    <w:rsid w:val="000634B5"/>
    <w:rsid w:val="000635AC"/>
    <w:rsid w:val="000635DA"/>
    <w:rsid w:val="000636FB"/>
    <w:rsid w:val="00063820"/>
    <w:rsid w:val="0006386D"/>
    <w:rsid w:val="00063885"/>
    <w:rsid w:val="00063990"/>
    <w:rsid w:val="00063B0B"/>
    <w:rsid w:val="00063BCA"/>
    <w:rsid w:val="00063D0E"/>
    <w:rsid w:val="00063E57"/>
    <w:rsid w:val="00064004"/>
    <w:rsid w:val="000641B7"/>
    <w:rsid w:val="00064290"/>
    <w:rsid w:val="000642C9"/>
    <w:rsid w:val="000642D2"/>
    <w:rsid w:val="00064339"/>
    <w:rsid w:val="000643CF"/>
    <w:rsid w:val="00064444"/>
    <w:rsid w:val="000647F0"/>
    <w:rsid w:val="00064B52"/>
    <w:rsid w:val="00064C40"/>
    <w:rsid w:val="00064CDF"/>
    <w:rsid w:val="00064E5F"/>
    <w:rsid w:val="00064F62"/>
    <w:rsid w:val="0006505B"/>
    <w:rsid w:val="0006506B"/>
    <w:rsid w:val="0006547C"/>
    <w:rsid w:val="000654F4"/>
    <w:rsid w:val="00065554"/>
    <w:rsid w:val="00065618"/>
    <w:rsid w:val="00065845"/>
    <w:rsid w:val="000658D6"/>
    <w:rsid w:val="0006590D"/>
    <w:rsid w:val="00065984"/>
    <w:rsid w:val="00065A09"/>
    <w:rsid w:val="00065B1F"/>
    <w:rsid w:val="00065BC8"/>
    <w:rsid w:val="00065CDA"/>
    <w:rsid w:val="00066037"/>
    <w:rsid w:val="0006613F"/>
    <w:rsid w:val="0006622D"/>
    <w:rsid w:val="00066292"/>
    <w:rsid w:val="00066450"/>
    <w:rsid w:val="00066597"/>
    <w:rsid w:val="000665B5"/>
    <w:rsid w:val="00066638"/>
    <w:rsid w:val="0006663D"/>
    <w:rsid w:val="00066696"/>
    <w:rsid w:val="00066710"/>
    <w:rsid w:val="00066974"/>
    <w:rsid w:val="000669A6"/>
    <w:rsid w:val="00066A4B"/>
    <w:rsid w:val="00066A92"/>
    <w:rsid w:val="00066BDE"/>
    <w:rsid w:val="00066C10"/>
    <w:rsid w:val="00066CEB"/>
    <w:rsid w:val="00066D17"/>
    <w:rsid w:val="00066E33"/>
    <w:rsid w:val="00066E86"/>
    <w:rsid w:val="00066EB5"/>
    <w:rsid w:val="00066FA7"/>
    <w:rsid w:val="00066FB6"/>
    <w:rsid w:val="0006708F"/>
    <w:rsid w:val="000671F6"/>
    <w:rsid w:val="000672A3"/>
    <w:rsid w:val="000674CC"/>
    <w:rsid w:val="000675A7"/>
    <w:rsid w:val="00067724"/>
    <w:rsid w:val="00067731"/>
    <w:rsid w:val="00067750"/>
    <w:rsid w:val="000679A1"/>
    <w:rsid w:val="000679EB"/>
    <w:rsid w:val="00067A55"/>
    <w:rsid w:val="00067B2B"/>
    <w:rsid w:val="00067B37"/>
    <w:rsid w:val="00067B3A"/>
    <w:rsid w:val="00067BEC"/>
    <w:rsid w:val="00067CB1"/>
    <w:rsid w:val="00067DF0"/>
    <w:rsid w:val="00067F43"/>
    <w:rsid w:val="00070112"/>
    <w:rsid w:val="00070224"/>
    <w:rsid w:val="000702A5"/>
    <w:rsid w:val="000702BD"/>
    <w:rsid w:val="00070500"/>
    <w:rsid w:val="0007070D"/>
    <w:rsid w:val="000707E8"/>
    <w:rsid w:val="00070897"/>
    <w:rsid w:val="00070991"/>
    <w:rsid w:val="000709D4"/>
    <w:rsid w:val="00070B1C"/>
    <w:rsid w:val="00070CB6"/>
    <w:rsid w:val="00070FF5"/>
    <w:rsid w:val="00071149"/>
    <w:rsid w:val="0007120B"/>
    <w:rsid w:val="000712E6"/>
    <w:rsid w:val="00071341"/>
    <w:rsid w:val="00071449"/>
    <w:rsid w:val="000714AE"/>
    <w:rsid w:val="00071555"/>
    <w:rsid w:val="00071584"/>
    <w:rsid w:val="000716A7"/>
    <w:rsid w:val="0007173C"/>
    <w:rsid w:val="0007179A"/>
    <w:rsid w:val="00071833"/>
    <w:rsid w:val="00071915"/>
    <w:rsid w:val="00071A2F"/>
    <w:rsid w:val="00071DC4"/>
    <w:rsid w:val="00071EB4"/>
    <w:rsid w:val="00071F31"/>
    <w:rsid w:val="0007201C"/>
    <w:rsid w:val="000723B2"/>
    <w:rsid w:val="00072597"/>
    <w:rsid w:val="00072942"/>
    <w:rsid w:val="00072B54"/>
    <w:rsid w:val="000730A6"/>
    <w:rsid w:val="000730D3"/>
    <w:rsid w:val="000730DB"/>
    <w:rsid w:val="00073111"/>
    <w:rsid w:val="000735AA"/>
    <w:rsid w:val="0007368F"/>
    <w:rsid w:val="000738AF"/>
    <w:rsid w:val="000738F8"/>
    <w:rsid w:val="00073A93"/>
    <w:rsid w:val="00073B41"/>
    <w:rsid w:val="00073C42"/>
    <w:rsid w:val="00073C88"/>
    <w:rsid w:val="00073DDA"/>
    <w:rsid w:val="00074228"/>
    <w:rsid w:val="0007430D"/>
    <w:rsid w:val="00074662"/>
    <w:rsid w:val="000746FE"/>
    <w:rsid w:val="000747C4"/>
    <w:rsid w:val="000748D4"/>
    <w:rsid w:val="00074969"/>
    <w:rsid w:val="00074984"/>
    <w:rsid w:val="000749CD"/>
    <w:rsid w:val="00074A12"/>
    <w:rsid w:val="00074C02"/>
    <w:rsid w:val="00074CCC"/>
    <w:rsid w:val="00074E5F"/>
    <w:rsid w:val="00074EF6"/>
    <w:rsid w:val="000751D1"/>
    <w:rsid w:val="000754F1"/>
    <w:rsid w:val="000755B1"/>
    <w:rsid w:val="000756E2"/>
    <w:rsid w:val="0007577A"/>
    <w:rsid w:val="000757B8"/>
    <w:rsid w:val="00075823"/>
    <w:rsid w:val="00075AB0"/>
    <w:rsid w:val="00075D68"/>
    <w:rsid w:val="00075DBA"/>
    <w:rsid w:val="00075F75"/>
    <w:rsid w:val="0007647B"/>
    <w:rsid w:val="0007649B"/>
    <w:rsid w:val="000764DD"/>
    <w:rsid w:val="00076503"/>
    <w:rsid w:val="00076A16"/>
    <w:rsid w:val="00076A72"/>
    <w:rsid w:val="00076A7D"/>
    <w:rsid w:val="00076C17"/>
    <w:rsid w:val="00076CEC"/>
    <w:rsid w:val="00076D97"/>
    <w:rsid w:val="00076DF3"/>
    <w:rsid w:val="0007722A"/>
    <w:rsid w:val="000773DF"/>
    <w:rsid w:val="0007772F"/>
    <w:rsid w:val="000779D9"/>
    <w:rsid w:val="00077B63"/>
    <w:rsid w:val="00077C24"/>
    <w:rsid w:val="00077CD3"/>
    <w:rsid w:val="00077D78"/>
    <w:rsid w:val="00077D79"/>
    <w:rsid w:val="000800F0"/>
    <w:rsid w:val="00080188"/>
    <w:rsid w:val="00080331"/>
    <w:rsid w:val="00080365"/>
    <w:rsid w:val="0008059C"/>
    <w:rsid w:val="000806CB"/>
    <w:rsid w:val="00080712"/>
    <w:rsid w:val="00080774"/>
    <w:rsid w:val="000807E1"/>
    <w:rsid w:val="000809B0"/>
    <w:rsid w:val="00080A57"/>
    <w:rsid w:val="00080C83"/>
    <w:rsid w:val="00080D03"/>
    <w:rsid w:val="00080D53"/>
    <w:rsid w:val="00080EE4"/>
    <w:rsid w:val="00081354"/>
    <w:rsid w:val="000813A6"/>
    <w:rsid w:val="00081773"/>
    <w:rsid w:val="0008198E"/>
    <w:rsid w:val="00081C34"/>
    <w:rsid w:val="00081DD0"/>
    <w:rsid w:val="0008215B"/>
    <w:rsid w:val="00082339"/>
    <w:rsid w:val="000823A9"/>
    <w:rsid w:val="00082869"/>
    <w:rsid w:val="000829CA"/>
    <w:rsid w:val="00082CAC"/>
    <w:rsid w:val="00082CF7"/>
    <w:rsid w:val="00082DC2"/>
    <w:rsid w:val="00082F62"/>
    <w:rsid w:val="00083008"/>
    <w:rsid w:val="00083038"/>
    <w:rsid w:val="000831F0"/>
    <w:rsid w:val="000834AE"/>
    <w:rsid w:val="0008358B"/>
    <w:rsid w:val="000835C8"/>
    <w:rsid w:val="00083617"/>
    <w:rsid w:val="0008366F"/>
    <w:rsid w:val="00083B0E"/>
    <w:rsid w:val="00084041"/>
    <w:rsid w:val="00084144"/>
    <w:rsid w:val="0008419E"/>
    <w:rsid w:val="00084311"/>
    <w:rsid w:val="00084524"/>
    <w:rsid w:val="00084B10"/>
    <w:rsid w:val="00084BE8"/>
    <w:rsid w:val="00084C1C"/>
    <w:rsid w:val="00084CD4"/>
    <w:rsid w:val="00084DB5"/>
    <w:rsid w:val="00084DCE"/>
    <w:rsid w:val="000851F6"/>
    <w:rsid w:val="0008527D"/>
    <w:rsid w:val="00085314"/>
    <w:rsid w:val="00085393"/>
    <w:rsid w:val="000854C0"/>
    <w:rsid w:val="000856C4"/>
    <w:rsid w:val="000857B3"/>
    <w:rsid w:val="00085948"/>
    <w:rsid w:val="00085972"/>
    <w:rsid w:val="0008597E"/>
    <w:rsid w:val="00085D67"/>
    <w:rsid w:val="00085D93"/>
    <w:rsid w:val="00085E44"/>
    <w:rsid w:val="00085ED0"/>
    <w:rsid w:val="0008631D"/>
    <w:rsid w:val="00086400"/>
    <w:rsid w:val="0008653D"/>
    <w:rsid w:val="000866D4"/>
    <w:rsid w:val="000866EB"/>
    <w:rsid w:val="000868B7"/>
    <w:rsid w:val="00086BE6"/>
    <w:rsid w:val="00086C5B"/>
    <w:rsid w:val="00086CFF"/>
    <w:rsid w:val="00086D54"/>
    <w:rsid w:val="000870AB"/>
    <w:rsid w:val="00087149"/>
    <w:rsid w:val="00087322"/>
    <w:rsid w:val="0008740F"/>
    <w:rsid w:val="000874AC"/>
    <w:rsid w:val="000874D6"/>
    <w:rsid w:val="00087A2D"/>
    <w:rsid w:val="00087AE7"/>
    <w:rsid w:val="00087B04"/>
    <w:rsid w:val="00087C91"/>
    <w:rsid w:val="00087EE9"/>
    <w:rsid w:val="00087F6D"/>
    <w:rsid w:val="000900E0"/>
    <w:rsid w:val="000903D1"/>
    <w:rsid w:val="000903FC"/>
    <w:rsid w:val="000905D6"/>
    <w:rsid w:val="0009077A"/>
    <w:rsid w:val="00090802"/>
    <w:rsid w:val="00090815"/>
    <w:rsid w:val="0009093C"/>
    <w:rsid w:val="0009097B"/>
    <w:rsid w:val="00090A0D"/>
    <w:rsid w:val="00090D68"/>
    <w:rsid w:val="00090D84"/>
    <w:rsid w:val="00090E6C"/>
    <w:rsid w:val="0009113E"/>
    <w:rsid w:val="0009114E"/>
    <w:rsid w:val="000911C6"/>
    <w:rsid w:val="00091293"/>
    <w:rsid w:val="0009129D"/>
    <w:rsid w:val="000914C5"/>
    <w:rsid w:val="00091803"/>
    <w:rsid w:val="0009193C"/>
    <w:rsid w:val="000919D3"/>
    <w:rsid w:val="00091ABF"/>
    <w:rsid w:val="00091B31"/>
    <w:rsid w:val="00091B37"/>
    <w:rsid w:val="00091B4A"/>
    <w:rsid w:val="00091D20"/>
    <w:rsid w:val="00091E14"/>
    <w:rsid w:val="00091E67"/>
    <w:rsid w:val="00091FE2"/>
    <w:rsid w:val="00092080"/>
    <w:rsid w:val="0009208D"/>
    <w:rsid w:val="0009209D"/>
    <w:rsid w:val="000921F4"/>
    <w:rsid w:val="0009229B"/>
    <w:rsid w:val="000922E2"/>
    <w:rsid w:val="00092408"/>
    <w:rsid w:val="000924BB"/>
    <w:rsid w:val="0009285B"/>
    <w:rsid w:val="00092C7D"/>
    <w:rsid w:val="00092EA0"/>
    <w:rsid w:val="00092EBC"/>
    <w:rsid w:val="00092FBB"/>
    <w:rsid w:val="000930B2"/>
    <w:rsid w:val="0009312D"/>
    <w:rsid w:val="0009313C"/>
    <w:rsid w:val="0009315B"/>
    <w:rsid w:val="00093247"/>
    <w:rsid w:val="0009364B"/>
    <w:rsid w:val="00093982"/>
    <w:rsid w:val="00093F0B"/>
    <w:rsid w:val="00093F99"/>
    <w:rsid w:val="0009410C"/>
    <w:rsid w:val="00094388"/>
    <w:rsid w:val="00094658"/>
    <w:rsid w:val="00094682"/>
    <w:rsid w:val="000948CB"/>
    <w:rsid w:val="00094948"/>
    <w:rsid w:val="000949A1"/>
    <w:rsid w:val="00094AE6"/>
    <w:rsid w:val="00094B71"/>
    <w:rsid w:val="00094BA9"/>
    <w:rsid w:val="00094D6F"/>
    <w:rsid w:val="00095057"/>
    <w:rsid w:val="00095148"/>
    <w:rsid w:val="00095240"/>
    <w:rsid w:val="0009525B"/>
    <w:rsid w:val="00095314"/>
    <w:rsid w:val="00095377"/>
    <w:rsid w:val="00095455"/>
    <w:rsid w:val="000959C9"/>
    <w:rsid w:val="000959E9"/>
    <w:rsid w:val="00095A4D"/>
    <w:rsid w:val="00095A52"/>
    <w:rsid w:val="00095B00"/>
    <w:rsid w:val="00095B22"/>
    <w:rsid w:val="00095DE5"/>
    <w:rsid w:val="00095DFC"/>
    <w:rsid w:val="000960EF"/>
    <w:rsid w:val="00096190"/>
    <w:rsid w:val="00096243"/>
    <w:rsid w:val="000962B9"/>
    <w:rsid w:val="000963D0"/>
    <w:rsid w:val="000964E7"/>
    <w:rsid w:val="0009651A"/>
    <w:rsid w:val="00096547"/>
    <w:rsid w:val="00096722"/>
    <w:rsid w:val="000968BE"/>
    <w:rsid w:val="000969DE"/>
    <w:rsid w:val="00096A8D"/>
    <w:rsid w:val="00096A97"/>
    <w:rsid w:val="00096B71"/>
    <w:rsid w:val="00096C6B"/>
    <w:rsid w:val="00096E00"/>
    <w:rsid w:val="00096E8F"/>
    <w:rsid w:val="00097082"/>
    <w:rsid w:val="000971F2"/>
    <w:rsid w:val="00097329"/>
    <w:rsid w:val="0009739F"/>
    <w:rsid w:val="000974F3"/>
    <w:rsid w:val="00097532"/>
    <w:rsid w:val="000976BD"/>
    <w:rsid w:val="000976FD"/>
    <w:rsid w:val="00097793"/>
    <w:rsid w:val="000977C2"/>
    <w:rsid w:val="0009789C"/>
    <w:rsid w:val="00097999"/>
    <w:rsid w:val="00097DD0"/>
    <w:rsid w:val="00097EB8"/>
    <w:rsid w:val="00097FC2"/>
    <w:rsid w:val="000A0018"/>
    <w:rsid w:val="000A0035"/>
    <w:rsid w:val="000A0093"/>
    <w:rsid w:val="000A00D2"/>
    <w:rsid w:val="000A0151"/>
    <w:rsid w:val="000A043A"/>
    <w:rsid w:val="000A04DF"/>
    <w:rsid w:val="000A04F3"/>
    <w:rsid w:val="000A05B3"/>
    <w:rsid w:val="000A06B3"/>
    <w:rsid w:val="000A0823"/>
    <w:rsid w:val="000A0B8B"/>
    <w:rsid w:val="000A0D39"/>
    <w:rsid w:val="000A0E4C"/>
    <w:rsid w:val="000A0F47"/>
    <w:rsid w:val="000A1058"/>
    <w:rsid w:val="000A1147"/>
    <w:rsid w:val="000A115A"/>
    <w:rsid w:val="000A119F"/>
    <w:rsid w:val="000A12F2"/>
    <w:rsid w:val="000A1328"/>
    <w:rsid w:val="000A1337"/>
    <w:rsid w:val="000A142B"/>
    <w:rsid w:val="000A157A"/>
    <w:rsid w:val="000A1598"/>
    <w:rsid w:val="000A15BD"/>
    <w:rsid w:val="000A16D5"/>
    <w:rsid w:val="000A1989"/>
    <w:rsid w:val="000A1998"/>
    <w:rsid w:val="000A1A10"/>
    <w:rsid w:val="000A1A4F"/>
    <w:rsid w:val="000A1B76"/>
    <w:rsid w:val="000A1D36"/>
    <w:rsid w:val="000A1D3A"/>
    <w:rsid w:val="000A1F13"/>
    <w:rsid w:val="000A1F71"/>
    <w:rsid w:val="000A20C6"/>
    <w:rsid w:val="000A21FD"/>
    <w:rsid w:val="000A2243"/>
    <w:rsid w:val="000A24D0"/>
    <w:rsid w:val="000A2528"/>
    <w:rsid w:val="000A2801"/>
    <w:rsid w:val="000A286D"/>
    <w:rsid w:val="000A2949"/>
    <w:rsid w:val="000A2A5F"/>
    <w:rsid w:val="000A2B18"/>
    <w:rsid w:val="000A2B79"/>
    <w:rsid w:val="000A2D71"/>
    <w:rsid w:val="000A2E56"/>
    <w:rsid w:val="000A3069"/>
    <w:rsid w:val="000A30AD"/>
    <w:rsid w:val="000A32A9"/>
    <w:rsid w:val="000A3446"/>
    <w:rsid w:val="000A3498"/>
    <w:rsid w:val="000A35D9"/>
    <w:rsid w:val="000A3668"/>
    <w:rsid w:val="000A3689"/>
    <w:rsid w:val="000A3922"/>
    <w:rsid w:val="000A39C2"/>
    <w:rsid w:val="000A3AF8"/>
    <w:rsid w:val="000A4208"/>
    <w:rsid w:val="000A43D8"/>
    <w:rsid w:val="000A4552"/>
    <w:rsid w:val="000A474B"/>
    <w:rsid w:val="000A4778"/>
    <w:rsid w:val="000A47B2"/>
    <w:rsid w:val="000A4879"/>
    <w:rsid w:val="000A48AC"/>
    <w:rsid w:val="000A4953"/>
    <w:rsid w:val="000A4A97"/>
    <w:rsid w:val="000A4B0B"/>
    <w:rsid w:val="000A4BD4"/>
    <w:rsid w:val="000A4C4A"/>
    <w:rsid w:val="000A4DDA"/>
    <w:rsid w:val="000A4DEF"/>
    <w:rsid w:val="000A4EB8"/>
    <w:rsid w:val="000A4ECC"/>
    <w:rsid w:val="000A4F73"/>
    <w:rsid w:val="000A5075"/>
    <w:rsid w:val="000A50F3"/>
    <w:rsid w:val="000A513A"/>
    <w:rsid w:val="000A5173"/>
    <w:rsid w:val="000A5200"/>
    <w:rsid w:val="000A546E"/>
    <w:rsid w:val="000A547E"/>
    <w:rsid w:val="000A54EE"/>
    <w:rsid w:val="000A55E9"/>
    <w:rsid w:val="000A561E"/>
    <w:rsid w:val="000A5AD6"/>
    <w:rsid w:val="000A5C39"/>
    <w:rsid w:val="000A6176"/>
    <w:rsid w:val="000A61DB"/>
    <w:rsid w:val="000A6287"/>
    <w:rsid w:val="000A62DC"/>
    <w:rsid w:val="000A63D3"/>
    <w:rsid w:val="000A64D2"/>
    <w:rsid w:val="000A6E0E"/>
    <w:rsid w:val="000A6E40"/>
    <w:rsid w:val="000A6E63"/>
    <w:rsid w:val="000A712A"/>
    <w:rsid w:val="000A71FC"/>
    <w:rsid w:val="000A7302"/>
    <w:rsid w:val="000A74B5"/>
    <w:rsid w:val="000A7592"/>
    <w:rsid w:val="000A76C7"/>
    <w:rsid w:val="000A7863"/>
    <w:rsid w:val="000A79C0"/>
    <w:rsid w:val="000A79F5"/>
    <w:rsid w:val="000A7AF3"/>
    <w:rsid w:val="000A7D99"/>
    <w:rsid w:val="000A7E9C"/>
    <w:rsid w:val="000B0355"/>
    <w:rsid w:val="000B0497"/>
    <w:rsid w:val="000B049B"/>
    <w:rsid w:val="000B0538"/>
    <w:rsid w:val="000B0987"/>
    <w:rsid w:val="000B0A33"/>
    <w:rsid w:val="000B0A45"/>
    <w:rsid w:val="000B0C37"/>
    <w:rsid w:val="000B111C"/>
    <w:rsid w:val="000B1245"/>
    <w:rsid w:val="000B12F1"/>
    <w:rsid w:val="000B147D"/>
    <w:rsid w:val="000B153D"/>
    <w:rsid w:val="000B17B9"/>
    <w:rsid w:val="000B1809"/>
    <w:rsid w:val="000B183F"/>
    <w:rsid w:val="000B19B2"/>
    <w:rsid w:val="000B1B1B"/>
    <w:rsid w:val="000B1CB2"/>
    <w:rsid w:val="000B1D38"/>
    <w:rsid w:val="000B1FAF"/>
    <w:rsid w:val="000B2269"/>
    <w:rsid w:val="000B22FB"/>
    <w:rsid w:val="000B2413"/>
    <w:rsid w:val="000B2529"/>
    <w:rsid w:val="000B259E"/>
    <w:rsid w:val="000B26A4"/>
    <w:rsid w:val="000B289E"/>
    <w:rsid w:val="000B2CDD"/>
    <w:rsid w:val="000B2DBC"/>
    <w:rsid w:val="000B2F1C"/>
    <w:rsid w:val="000B2F6F"/>
    <w:rsid w:val="000B30E5"/>
    <w:rsid w:val="000B317E"/>
    <w:rsid w:val="000B3412"/>
    <w:rsid w:val="000B3476"/>
    <w:rsid w:val="000B349B"/>
    <w:rsid w:val="000B35B9"/>
    <w:rsid w:val="000B35E7"/>
    <w:rsid w:val="000B35F1"/>
    <w:rsid w:val="000B365E"/>
    <w:rsid w:val="000B36A7"/>
    <w:rsid w:val="000B3846"/>
    <w:rsid w:val="000B389A"/>
    <w:rsid w:val="000B397B"/>
    <w:rsid w:val="000B3A00"/>
    <w:rsid w:val="000B3A95"/>
    <w:rsid w:val="000B3B9C"/>
    <w:rsid w:val="000B3BAA"/>
    <w:rsid w:val="000B41BA"/>
    <w:rsid w:val="000B42EC"/>
    <w:rsid w:val="000B4302"/>
    <w:rsid w:val="000B438D"/>
    <w:rsid w:val="000B4654"/>
    <w:rsid w:val="000B4921"/>
    <w:rsid w:val="000B492A"/>
    <w:rsid w:val="000B49AE"/>
    <w:rsid w:val="000B4AC7"/>
    <w:rsid w:val="000B4BCC"/>
    <w:rsid w:val="000B4BE1"/>
    <w:rsid w:val="000B4C3C"/>
    <w:rsid w:val="000B4F5A"/>
    <w:rsid w:val="000B50BB"/>
    <w:rsid w:val="000B51B6"/>
    <w:rsid w:val="000B51C9"/>
    <w:rsid w:val="000B52BE"/>
    <w:rsid w:val="000B5313"/>
    <w:rsid w:val="000B535E"/>
    <w:rsid w:val="000B5663"/>
    <w:rsid w:val="000B572F"/>
    <w:rsid w:val="000B577F"/>
    <w:rsid w:val="000B596C"/>
    <w:rsid w:val="000B59CB"/>
    <w:rsid w:val="000B5D39"/>
    <w:rsid w:val="000B5FCB"/>
    <w:rsid w:val="000B637D"/>
    <w:rsid w:val="000B6413"/>
    <w:rsid w:val="000B646C"/>
    <w:rsid w:val="000B6475"/>
    <w:rsid w:val="000B65EE"/>
    <w:rsid w:val="000B665A"/>
    <w:rsid w:val="000B668B"/>
    <w:rsid w:val="000B6907"/>
    <w:rsid w:val="000B69E9"/>
    <w:rsid w:val="000B6CEA"/>
    <w:rsid w:val="000B6FD9"/>
    <w:rsid w:val="000B7039"/>
    <w:rsid w:val="000B7353"/>
    <w:rsid w:val="000B738E"/>
    <w:rsid w:val="000B739A"/>
    <w:rsid w:val="000B756F"/>
    <w:rsid w:val="000B7611"/>
    <w:rsid w:val="000B76ED"/>
    <w:rsid w:val="000B7711"/>
    <w:rsid w:val="000B7A66"/>
    <w:rsid w:val="000B7B6A"/>
    <w:rsid w:val="000B7C10"/>
    <w:rsid w:val="000B7CC6"/>
    <w:rsid w:val="000B7F07"/>
    <w:rsid w:val="000C006B"/>
    <w:rsid w:val="000C0157"/>
    <w:rsid w:val="000C0172"/>
    <w:rsid w:val="000C02AA"/>
    <w:rsid w:val="000C036C"/>
    <w:rsid w:val="000C043D"/>
    <w:rsid w:val="000C059C"/>
    <w:rsid w:val="000C05A6"/>
    <w:rsid w:val="000C0B30"/>
    <w:rsid w:val="000C0EC4"/>
    <w:rsid w:val="000C0FDF"/>
    <w:rsid w:val="000C0FE2"/>
    <w:rsid w:val="000C103E"/>
    <w:rsid w:val="000C1081"/>
    <w:rsid w:val="000C129C"/>
    <w:rsid w:val="000C1430"/>
    <w:rsid w:val="000C157A"/>
    <w:rsid w:val="000C159F"/>
    <w:rsid w:val="000C178A"/>
    <w:rsid w:val="000C17F8"/>
    <w:rsid w:val="000C1BCC"/>
    <w:rsid w:val="000C1D37"/>
    <w:rsid w:val="000C1FB9"/>
    <w:rsid w:val="000C214C"/>
    <w:rsid w:val="000C22EB"/>
    <w:rsid w:val="000C2567"/>
    <w:rsid w:val="000C2607"/>
    <w:rsid w:val="000C269E"/>
    <w:rsid w:val="000C28DF"/>
    <w:rsid w:val="000C2A3A"/>
    <w:rsid w:val="000C2BCB"/>
    <w:rsid w:val="000C2BED"/>
    <w:rsid w:val="000C2CAD"/>
    <w:rsid w:val="000C2DA8"/>
    <w:rsid w:val="000C2F99"/>
    <w:rsid w:val="000C303F"/>
    <w:rsid w:val="000C31A6"/>
    <w:rsid w:val="000C321B"/>
    <w:rsid w:val="000C32A2"/>
    <w:rsid w:val="000C32A5"/>
    <w:rsid w:val="000C32EF"/>
    <w:rsid w:val="000C337B"/>
    <w:rsid w:val="000C3390"/>
    <w:rsid w:val="000C34B9"/>
    <w:rsid w:val="000C3603"/>
    <w:rsid w:val="000C3784"/>
    <w:rsid w:val="000C37B4"/>
    <w:rsid w:val="000C3AA0"/>
    <w:rsid w:val="000C3B23"/>
    <w:rsid w:val="000C3B3E"/>
    <w:rsid w:val="000C3DB5"/>
    <w:rsid w:val="000C3F58"/>
    <w:rsid w:val="000C423C"/>
    <w:rsid w:val="000C4716"/>
    <w:rsid w:val="000C47EF"/>
    <w:rsid w:val="000C4869"/>
    <w:rsid w:val="000C48B6"/>
    <w:rsid w:val="000C48E8"/>
    <w:rsid w:val="000C4AD5"/>
    <w:rsid w:val="000C4C39"/>
    <w:rsid w:val="000C4ED6"/>
    <w:rsid w:val="000C5015"/>
    <w:rsid w:val="000C5026"/>
    <w:rsid w:val="000C516C"/>
    <w:rsid w:val="000C51AC"/>
    <w:rsid w:val="000C5206"/>
    <w:rsid w:val="000C520A"/>
    <w:rsid w:val="000C54F6"/>
    <w:rsid w:val="000C5571"/>
    <w:rsid w:val="000C5778"/>
    <w:rsid w:val="000C5875"/>
    <w:rsid w:val="000C58E4"/>
    <w:rsid w:val="000C5AE7"/>
    <w:rsid w:val="000C5B11"/>
    <w:rsid w:val="000C5B43"/>
    <w:rsid w:val="000C5BA9"/>
    <w:rsid w:val="000C5D05"/>
    <w:rsid w:val="000C5F1C"/>
    <w:rsid w:val="000C6201"/>
    <w:rsid w:val="000C6237"/>
    <w:rsid w:val="000C648F"/>
    <w:rsid w:val="000C65E2"/>
    <w:rsid w:val="000C6623"/>
    <w:rsid w:val="000C673F"/>
    <w:rsid w:val="000C687D"/>
    <w:rsid w:val="000C68E3"/>
    <w:rsid w:val="000C6B5B"/>
    <w:rsid w:val="000C6BEC"/>
    <w:rsid w:val="000C6CB1"/>
    <w:rsid w:val="000C6CF6"/>
    <w:rsid w:val="000C6CFC"/>
    <w:rsid w:val="000C6FC1"/>
    <w:rsid w:val="000C70ED"/>
    <w:rsid w:val="000C71CD"/>
    <w:rsid w:val="000C76B8"/>
    <w:rsid w:val="000C7788"/>
    <w:rsid w:val="000C78BE"/>
    <w:rsid w:val="000C78CD"/>
    <w:rsid w:val="000C7BB4"/>
    <w:rsid w:val="000C7CBC"/>
    <w:rsid w:val="000C7FE3"/>
    <w:rsid w:val="000D003D"/>
    <w:rsid w:val="000D00A1"/>
    <w:rsid w:val="000D01DB"/>
    <w:rsid w:val="000D024E"/>
    <w:rsid w:val="000D0336"/>
    <w:rsid w:val="000D07FF"/>
    <w:rsid w:val="000D0CA9"/>
    <w:rsid w:val="000D0CF1"/>
    <w:rsid w:val="000D0F19"/>
    <w:rsid w:val="000D0F4A"/>
    <w:rsid w:val="000D102E"/>
    <w:rsid w:val="000D1155"/>
    <w:rsid w:val="000D1204"/>
    <w:rsid w:val="000D134E"/>
    <w:rsid w:val="000D148B"/>
    <w:rsid w:val="000D153F"/>
    <w:rsid w:val="000D161D"/>
    <w:rsid w:val="000D163A"/>
    <w:rsid w:val="000D1689"/>
    <w:rsid w:val="000D1849"/>
    <w:rsid w:val="000D19C5"/>
    <w:rsid w:val="000D1AB7"/>
    <w:rsid w:val="000D1BCD"/>
    <w:rsid w:val="000D1C0A"/>
    <w:rsid w:val="000D1C8B"/>
    <w:rsid w:val="000D1DA0"/>
    <w:rsid w:val="000D2354"/>
    <w:rsid w:val="000D23B1"/>
    <w:rsid w:val="000D2579"/>
    <w:rsid w:val="000D25B4"/>
    <w:rsid w:val="000D271C"/>
    <w:rsid w:val="000D294F"/>
    <w:rsid w:val="000D2E3D"/>
    <w:rsid w:val="000D2F86"/>
    <w:rsid w:val="000D33B5"/>
    <w:rsid w:val="000D3444"/>
    <w:rsid w:val="000D347C"/>
    <w:rsid w:val="000D34A2"/>
    <w:rsid w:val="000D3583"/>
    <w:rsid w:val="000D361A"/>
    <w:rsid w:val="000D3692"/>
    <w:rsid w:val="000D36FC"/>
    <w:rsid w:val="000D373D"/>
    <w:rsid w:val="000D3881"/>
    <w:rsid w:val="000D38C3"/>
    <w:rsid w:val="000D3AAE"/>
    <w:rsid w:val="000D3BEC"/>
    <w:rsid w:val="000D3D6C"/>
    <w:rsid w:val="000D3D83"/>
    <w:rsid w:val="000D3E4A"/>
    <w:rsid w:val="000D4049"/>
    <w:rsid w:val="000D4291"/>
    <w:rsid w:val="000D4322"/>
    <w:rsid w:val="000D435A"/>
    <w:rsid w:val="000D4385"/>
    <w:rsid w:val="000D4681"/>
    <w:rsid w:val="000D4683"/>
    <w:rsid w:val="000D4DF5"/>
    <w:rsid w:val="000D4E08"/>
    <w:rsid w:val="000D4EC6"/>
    <w:rsid w:val="000D5262"/>
    <w:rsid w:val="000D52FC"/>
    <w:rsid w:val="000D5317"/>
    <w:rsid w:val="000D5321"/>
    <w:rsid w:val="000D53CF"/>
    <w:rsid w:val="000D5444"/>
    <w:rsid w:val="000D5581"/>
    <w:rsid w:val="000D56A6"/>
    <w:rsid w:val="000D57ED"/>
    <w:rsid w:val="000D5883"/>
    <w:rsid w:val="000D5967"/>
    <w:rsid w:val="000D5BA6"/>
    <w:rsid w:val="000D5C68"/>
    <w:rsid w:val="000D5E74"/>
    <w:rsid w:val="000D5EC5"/>
    <w:rsid w:val="000D60E9"/>
    <w:rsid w:val="000D6227"/>
    <w:rsid w:val="000D62E7"/>
    <w:rsid w:val="000D634D"/>
    <w:rsid w:val="000D63F1"/>
    <w:rsid w:val="000D651D"/>
    <w:rsid w:val="000D66AF"/>
    <w:rsid w:val="000D675A"/>
    <w:rsid w:val="000D6814"/>
    <w:rsid w:val="000D682C"/>
    <w:rsid w:val="000D6AF6"/>
    <w:rsid w:val="000D6BAA"/>
    <w:rsid w:val="000D6BEF"/>
    <w:rsid w:val="000D6C9D"/>
    <w:rsid w:val="000D6CA5"/>
    <w:rsid w:val="000D6E50"/>
    <w:rsid w:val="000D6FEF"/>
    <w:rsid w:val="000D71B5"/>
    <w:rsid w:val="000D73BF"/>
    <w:rsid w:val="000D73CA"/>
    <w:rsid w:val="000D74E4"/>
    <w:rsid w:val="000D7519"/>
    <w:rsid w:val="000D7661"/>
    <w:rsid w:val="000D7723"/>
    <w:rsid w:val="000D77A2"/>
    <w:rsid w:val="000D77B1"/>
    <w:rsid w:val="000D77EE"/>
    <w:rsid w:val="000D77FD"/>
    <w:rsid w:val="000D780A"/>
    <w:rsid w:val="000D797F"/>
    <w:rsid w:val="000D7CF1"/>
    <w:rsid w:val="000D7D01"/>
    <w:rsid w:val="000D7DC1"/>
    <w:rsid w:val="000D7E5D"/>
    <w:rsid w:val="000E0068"/>
    <w:rsid w:val="000E00CD"/>
    <w:rsid w:val="000E05D2"/>
    <w:rsid w:val="000E0731"/>
    <w:rsid w:val="000E0775"/>
    <w:rsid w:val="000E07AB"/>
    <w:rsid w:val="000E0AC8"/>
    <w:rsid w:val="000E0EB3"/>
    <w:rsid w:val="000E0EE7"/>
    <w:rsid w:val="000E0EEC"/>
    <w:rsid w:val="000E0F37"/>
    <w:rsid w:val="000E1102"/>
    <w:rsid w:val="000E1187"/>
    <w:rsid w:val="000E1490"/>
    <w:rsid w:val="000E14B1"/>
    <w:rsid w:val="000E15D3"/>
    <w:rsid w:val="000E1737"/>
    <w:rsid w:val="000E1767"/>
    <w:rsid w:val="000E1770"/>
    <w:rsid w:val="000E1A47"/>
    <w:rsid w:val="000E1A49"/>
    <w:rsid w:val="000E1BCF"/>
    <w:rsid w:val="000E1CDC"/>
    <w:rsid w:val="000E20DE"/>
    <w:rsid w:val="000E2149"/>
    <w:rsid w:val="000E21F5"/>
    <w:rsid w:val="000E27A9"/>
    <w:rsid w:val="000E2819"/>
    <w:rsid w:val="000E284D"/>
    <w:rsid w:val="000E2A35"/>
    <w:rsid w:val="000E2A76"/>
    <w:rsid w:val="000E2BEC"/>
    <w:rsid w:val="000E2C3E"/>
    <w:rsid w:val="000E2DEF"/>
    <w:rsid w:val="000E2E35"/>
    <w:rsid w:val="000E2F1B"/>
    <w:rsid w:val="000E2F22"/>
    <w:rsid w:val="000E2F99"/>
    <w:rsid w:val="000E31CA"/>
    <w:rsid w:val="000E31FF"/>
    <w:rsid w:val="000E326D"/>
    <w:rsid w:val="000E32D8"/>
    <w:rsid w:val="000E3372"/>
    <w:rsid w:val="000E341B"/>
    <w:rsid w:val="000E3613"/>
    <w:rsid w:val="000E36FA"/>
    <w:rsid w:val="000E3A3C"/>
    <w:rsid w:val="000E3AB6"/>
    <w:rsid w:val="000E3B79"/>
    <w:rsid w:val="000E3B84"/>
    <w:rsid w:val="000E3C49"/>
    <w:rsid w:val="000E3DC7"/>
    <w:rsid w:val="000E3ECF"/>
    <w:rsid w:val="000E4043"/>
    <w:rsid w:val="000E4230"/>
    <w:rsid w:val="000E43D3"/>
    <w:rsid w:val="000E4440"/>
    <w:rsid w:val="000E4574"/>
    <w:rsid w:val="000E4756"/>
    <w:rsid w:val="000E4840"/>
    <w:rsid w:val="000E4843"/>
    <w:rsid w:val="000E49FA"/>
    <w:rsid w:val="000E4B5B"/>
    <w:rsid w:val="000E4C56"/>
    <w:rsid w:val="000E4C86"/>
    <w:rsid w:val="000E4D90"/>
    <w:rsid w:val="000E4EB8"/>
    <w:rsid w:val="000E4FFE"/>
    <w:rsid w:val="000E515E"/>
    <w:rsid w:val="000E5202"/>
    <w:rsid w:val="000E5288"/>
    <w:rsid w:val="000E53AD"/>
    <w:rsid w:val="000E5431"/>
    <w:rsid w:val="000E582A"/>
    <w:rsid w:val="000E5885"/>
    <w:rsid w:val="000E58DF"/>
    <w:rsid w:val="000E5A00"/>
    <w:rsid w:val="000E5A52"/>
    <w:rsid w:val="000E5AE4"/>
    <w:rsid w:val="000E5F23"/>
    <w:rsid w:val="000E60DA"/>
    <w:rsid w:val="000E64A9"/>
    <w:rsid w:val="000E64BF"/>
    <w:rsid w:val="000E64D1"/>
    <w:rsid w:val="000E6504"/>
    <w:rsid w:val="000E651E"/>
    <w:rsid w:val="000E681D"/>
    <w:rsid w:val="000E6A17"/>
    <w:rsid w:val="000E6A5B"/>
    <w:rsid w:val="000E6B5A"/>
    <w:rsid w:val="000E6DF0"/>
    <w:rsid w:val="000E6F37"/>
    <w:rsid w:val="000E6F3E"/>
    <w:rsid w:val="000E71BB"/>
    <w:rsid w:val="000E726A"/>
    <w:rsid w:val="000E72D4"/>
    <w:rsid w:val="000E7390"/>
    <w:rsid w:val="000E74A3"/>
    <w:rsid w:val="000E7518"/>
    <w:rsid w:val="000E754C"/>
    <w:rsid w:val="000E76D9"/>
    <w:rsid w:val="000E77CE"/>
    <w:rsid w:val="000E79E8"/>
    <w:rsid w:val="000E7BC0"/>
    <w:rsid w:val="000E7E16"/>
    <w:rsid w:val="000E7E62"/>
    <w:rsid w:val="000F096B"/>
    <w:rsid w:val="000F098D"/>
    <w:rsid w:val="000F0AEA"/>
    <w:rsid w:val="000F0B18"/>
    <w:rsid w:val="000F0CF8"/>
    <w:rsid w:val="000F0D73"/>
    <w:rsid w:val="000F0DA5"/>
    <w:rsid w:val="000F0DAC"/>
    <w:rsid w:val="000F0E3B"/>
    <w:rsid w:val="000F0FCE"/>
    <w:rsid w:val="000F1013"/>
    <w:rsid w:val="000F1017"/>
    <w:rsid w:val="000F1052"/>
    <w:rsid w:val="000F1121"/>
    <w:rsid w:val="000F13E5"/>
    <w:rsid w:val="000F15C6"/>
    <w:rsid w:val="000F1687"/>
    <w:rsid w:val="000F16BB"/>
    <w:rsid w:val="000F172E"/>
    <w:rsid w:val="000F17C0"/>
    <w:rsid w:val="000F1895"/>
    <w:rsid w:val="000F190C"/>
    <w:rsid w:val="000F1B61"/>
    <w:rsid w:val="000F1B74"/>
    <w:rsid w:val="000F1C13"/>
    <w:rsid w:val="000F1F27"/>
    <w:rsid w:val="000F20C3"/>
    <w:rsid w:val="000F2152"/>
    <w:rsid w:val="000F2295"/>
    <w:rsid w:val="000F22A7"/>
    <w:rsid w:val="000F2528"/>
    <w:rsid w:val="000F2814"/>
    <w:rsid w:val="000F2966"/>
    <w:rsid w:val="000F2EFF"/>
    <w:rsid w:val="000F2FC5"/>
    <w:rsid w:val="000F2FC7"/>
    <w:rsid w:val="000F309A"/>
    <w:rsid w:val="000F3362"/>
    <w:rsid w:val="000F3396"/>
    <w:rsid w:val="000F3598"/>
    <w:rsid w:val="000F38E6"/>
    <w:rsid w:val="000F3961"/>
    <w:rsid w:val="000F39A8"/>
    <w:rsid w:val="000F3AEF"/>
    <w:rsid w:val="000F3CB0"/>
    <w:rsid w:val="000F40CF"/>
    <w:rsid w:val="000F422D"/>
    <w:rsid w:val="000F45D3"/>
    <w:rsid w:val="000F476F"/>
    <w:rsid w:val="000F47F5"/>
    <w:rsid w:val="000F4910"/>
    <w:rsid w:val="000F4B5F"/>
    <w:rsid w:val="000F4BCB"/>
    <w:rsid w:val="000F4C87"/>
    <w:rsid w:val="000F4CC5"/>
    <w:rsid w:val="000F4CD8"/>
    <w:rsid w:val="000F4D26"/>
    <w:rsid w:val="000F4E17"/>
    <w:rsid w:val="000F4EF5"/>
    <w:rsid w:val="000F518E"/>
    <w:rsid w:val="000F5351"/>
    <w:rsid w:val="000F5376"/>
    <w:rsid w:val="000F53F4"/>
    <w:rsid w:val="000F5626"/>
    <w:rsid w:val="000F5851"/>
    <w:rsid w:val="000F59FB"/>
    <w:rsid w:val="000F5B5C"/>
    <w:rsid w:val="000F5D3F"/>
    <w:rsid w:val="000F5DC9"/>
    <w:rsid w:val="000F5E55"/>
    <w:rsid w:val="000F5EA7"/>
    <w:rsid w:val="000F62B0"/>
    <w:rsid w:val="000F62C7"/>
    <w:rsid w:val="000F631C"/>
    <w:rsid w:val="000F6363"/>
    <w:rsid w:val="000F6433"/>
    <w:rsid w:val="000F64D1"/>
    <w:rsid w:val="000F656F"/>
    <w:rsid w:val="000F65D5"/>
    <w:rsid w:val="000F6802"/>
    <w:rsid w:val="000F6995"/>
    <w:rsid w:val="000F6CD8"/>
    <w:rsid w:val="000F6CDF"/>
    <w:rsid w:val="000F6D03"/>
    <w:rsid w:val="000F6F60"/>
    <w:rsid w:val="000F6F9C"/>
    <w:rsid w:val="000F6FC2"/>
    <w:rsid w:val="000F6FD3"/>
    <w:rsid w:val="000F72EE"/>
    <w:rsid w:val="000F7419"/>
    <w:rsid w:val="000F7430"/>
    <w:rsid w:val="000F7466"/>
    <w:rsid w:val="000F7619"/>
    <w:rsid w:val="000F7628"/>
    <w:rsid w:val="000F7919"/>
    <w:rsid w:val="000F79B4"/>
    <w:rsid w:val="000F7BC0"/>
    <w:rsid w:val="000F7E14"/>
    <w:rsid w:val="000F7E30"/>
    <w:rsid w:val="001000C3"/>
    <w:rsid w:val="0010019F"/>
    <w:rsid w:val="001001D2"/>
    <w:rsid w:val="00100284"/>
    <w:rsid w:val="00100315"/>
    <w:rsid w:val="0010031E"/>
    <w:rsid w:val="00100332"/>
    <w:rsid w:val="0010064A"/>
    <w:rsid w:val="0010083C"/>
    <w:rsid w:val="00100885"/>
    <w:rsid w:val="00100B4C"/>
    <w:rsid w:val="001010E0"/>
    <w:rsid w:val="001011C9"/>
    <w:rsid w:val="001012F8"/>
    <w:rsid w:val="0010153B"/>
    <w:rsid w:val="00101825"/>
    <w:rsid w:val="00101883"/>
    <w:rsid w:val="00101951"/>
    <w:rsid w:val="0010198C"/>
    <w:rsid w:val="00101AD2"/>
    <w:rsid w:val="00101CE0"/>
    <w:rsid w:val="00101EBF"/>
    <w:rsid w:val="00102050"/>
    <w:rsid w:val="001022C6"/>
    <w:rsid w:val="001022DC"/>
    <w:rsid w:val="0010230E"/>
    <w:rsid w:val="00102324"/>
    <w:rsid w:val="00102351"/>
    <w:rsid w:val="0010236D"/>
    <w:rsid w:val="00102372"/>
    <w:rsid w:val="001025D0"/>
    <w:rsid w:val="0010299D"/>
    <w:rsid w:val="00102D2C"/>
    <w:rsid w:val="0010305B"/>
    <w:rsid w:val="00103077"/>
    <w:rsid w:val="001032DF"/>
    <w:rsid w:val="00103449"/>
    <w:rsid w:val="00103459"/>
    <w:rsid w:val="001034E4"/>
    <w:rsid w:val="00103576"/>
    <w:rsid w:val="00103624"/>
    <w:rsid w:val="001036AE"/>
    <w:rsid w:val="00103964"/>
    <w:rsid w:val="00103A38"/>
    <w:rsid w:val="00103B3A"/>
    <w:rsid w:val="00103CBE"/>
    <w:rsid w:val="00103CE1"/>
    <w:rsid w:val="00103D85"/>
    <w:rsid w:val="00103DC1"/>
    <w:rsid w:val="00103E3E"/>
    <w:rsid w:val="00103F96"/>
    <w:rsid w:val="00103FEA"/>
    <w:rsid w:val="00104130"/>
    <w:rsid w:val="00104152"/>
    <w:rsid w:val="001041CD"/>
    <w:rsid w:val="00104277"/>
    <w:rsid w:val="001042E1"/>
    <w:rsid w:val="0010448B"/>
    <w:rsid w:val="001044BF"/>
    <w:rsid w:val="001044FD"/>
    <w:rsid w:val="00104901"/>
    <w:rsid w:val="00104953"/>
    <w:rsid w:val="00104A90"/>
    <w:rsid w:val="00104C10"/>
    <w:rsid w:val="00104C4E"/>
    <w:rsid w:val="00104CC4"/>
    <w:rsid w:val="00104CEC"/>
    <w:rsid w:val="00104E01"/>
    <w:rsid w:val="00104E03"/>
    <w:rsid w:val="00104E83"/>
    <w:rsid w:val="00104FD2"/>
    <w:rsid w:val="0010543A"/>
    <w:rsid w:val="0010556A"/>
    <w:rsid w:val="00105665"/>
    <w:rsid w:val="001056FD"/>
    <w:rsid w:val="0010592F"/>
    <w:rsid w:val="00105AB9"/>
    <w:rsid w:val="00105C04"/>
    <w:rsid w:val="0010604A"/>
    <w:rsid w:val="001063E2"/>
    <w:rsid w:val="001065C1"/>
    <w:rsid w:val="001067B2"/>
    <w:rsid w:val="0010687A"/>
    <w:rsid w:val="001068ED"/>
    <w:rsid w:val="001068FB"/>
    <w:rsid w:val="00106B49"/>
    <w:rsid w:val="00106D3B"/>
    <w:rsid w:val="00106DDE"/>
    <w:rsid w:val="00106E75"/>
    <w:rsid w:val="00106F66"/>
    <w:rsid w:val="001070A2"/>
    <w:rsid w:val="00107369"/>
    <w:rsid w:val="00107592"/>
    <w:rsid w:val="001075A2"/>
    <w:rsid w:val="00107716"/>
    <w:rsid w:val="001078D4"/>
    <w:rsid w:val="00107C71"/>
    <w:rsid w:val="00107D1A"/>
    <w:rsid w:val="00107EE2"/>
    <w:rsid w:val="00107F57"/>
    <w:rsid w:val="00107FB2"/>
    <w:rsid w:val="0011000B"/>
    <w:rsid w:val="00110147"/>
    <w:rsid w:val="001103C4"/>
    <w:rsid w:val="00110484"/>
    <w:rsid w:val="0011052E"/>
    <w:rsid w:val="00110808"/>
    <w:rsid w:val="0011087C"/>
    <w:rsid w:val="001109A0"/>
    <w:rsid w:val="00110A2C"/>
    <w:rsid w:val="00110A83"/>
    <w:rsid w:val="00110EF0"/>
    <w:rsid w:val="00110F9B"/>
    <w:rsid w:val="00111229"/>
    <w:rsid w:val="001114E9"/>
    <w:rsid w:val="0011175D"/>
    <w:rsid w:val="001118CC"/>
    <w:rsid w:val="001119FB"/>
    <w:rsid w:val="00111A42"/>
    <w:rsid w:val="00111BAC"/>
    <w:rsid w:val="00111BE5"/>
    <w:rsid w:val="00111F1A"/>
    <w:rsid w:val="001120C5"/>
    <w:rsid w:val="00112285"/>
    <w:rsid w:val="001122BF"/>
    <w:rsid w:val="00112560"/>
    <w:rsid w:val="00112754"/>
    <w:rsid w:val="00112891"/>
    <w:rsid w:val="001128AB"/>
    <w:rsid w:val="00112941"/>
    <w:rsid w:val="00112A71"/>
    <w:rsid w:val="00112B57"/>
    <w:rsid w:val="00113029"/>
    <w:rsid w:val="0011342B"/>
    <w:rsid w:val="0011357C"/>
    <w:rsid w:val="001136AD"/>
    <w:rsid w:val="0011371C"/>
    <w:rsid w:val="0011378C"/>
    <w:rsid w:val="001138B1"/>
    <w:rsid w:val="001139B4"/>
    <w:rsid w:val="00113A3A"/>
    <w:rsid w:val="00113D52"/>
    <w:rsid w:val="001140EA"/>
    <w:rsid w:val="0011423F"/>
    <w:rsid w:val="00114361"/>
    <w:rsid w:val="00114377"/>
    <w:rsid w:val="001144A5"/>
    <w:rsid w:val="001147DE"/>
    <w:rsid w:val="00114B88"/>
    <w:rsid w:val="00114C71"/>
    <w:rsid w:val="00114ED0"/>
    <w:rsid w:val="00114FEE"/>
    <w:rsid w:val="00115139"/>
    <w:rsid w:val="0011526B"/>
    <w:rsid w:val="0011591D"/>
    <w:rsid w:val="00115954"/>
    <w:rsid w:val="00115C53"/>
    <w:rsid w:val="00115DA7"/>
    <w:rsid w:val="00115DD5"/>
    <w:rsid w:val="00115F76"/>
    <w:rsid w:val="0011622B"/>
    <w:rsid w:val="00116264"/>
    <w:rsid w:val="001162AF"/>
    <w:rsid w:val="001163C1"/>
    <w:rsid w:val="00116462"/>
    <w:rsid w:val="00116642"/>
    <w:rsid w:val="00116683"/>
    <w:rsid w:val="001166C5"/>
    <w:rsid w:val="001166D0"/>
    <w:rsid w:val="0011676F"/>
    <w:rsid w:val="00116AE3"/>
    <w:rsid w:val="00116B5E"/>
    <w:rsid w:val="00116CDE"/>
    <w:rsid w:val="00116D35"/>
    <w:rsid w:val="00116D89"/>
    <w:rsid w:val="0011731F"/>
    <w:rsid w:val="001173DF"/>
    <w:rsid w:val="00117608"/>
    <w:rsid w:val="00117629"/>
    <w:rsid w:val="001176AC"/>
    <w:rsid w:val="00117717"/>
    <w:rsid w:val="0011772E"/>
    <w:rsid w:val="00117800"/>
    <w:rsid w:val="00117A79"/>
    <w:rsid w:val="00117B66"/>
    <w:rsid w:val="00117C54"/>
    <w:rsid w:val="00117C80"/>
    <w:rsid w:val="00117FAD"/>
    <w:rsid w:val="001200E8"/>
    <w:rsid w:val="00120355"/>
    <w:rsid w:val="0012051C"/>
    <w:rsid w:val="00120660"/>
    <w:rsid w:val="001206A5"/>
    <w:rsid w:val="001206DB"/>
    <w:rsid w:val="001206ED"/>
    <w:rsid w:val="00120706"/>
    <w:rsid w:val="00120CB3"/>
    <w:rsid w:val="00120E27"/>
    <w:rsid w:val="0012109D"/>
    <w:rsid w:val="001210DB"/>
    <w:rsid w:val="00121141"/>
    <w:rsid w:val="001211ED"/>
    <w:rsid w:val="0012129A"/>
    <w:rsid w:val="00121552"/>
    <w:rsid w:val="00121691"/>
    <w:rsid w:val="0012175D"/>
    <w:rsid w:val="001217DF"/>
    <w:rsid w:val="00121908"/>
    <w:rsid w:val="00121D2C"/>
    <w:rsid w:val="00121D83"/>
    <w:rsid w:val="00121F70"/>
    <w:rsid w:val="0012201F"/>
    <w:rsid w:val="00122043"/>
    <w:rsid w:val="00122209"/>
    <w:rsid w:val="001222BF"/>
    <w:rsid w:val="00122335"/>
    <w:rsid w:val="00122349"/>
    <w:rsid w:val="001223F2"/>
    <w:rsid w:val="001224EF"/>
    <w:rsid w:val="00122536"/>
    <w:rsid w:val="0012256C"/>
    <w:rsid w:val="001225B3"/>
    <w:rsid w:val="001227AB"/>
    <w:rsid w:val="001227C5"/>
    <w:rsid w:val="00122859"/>
    <w:rsid w:val="00122AB6"/>
    <w:rsid w:val="00122CDE"/>
    <w:rsid w:val="00122E9B"/>
    <w:rsid w:val="00122EA0"/>
    <w:rsid w:val="001230A0"/>
    <w:rsid w:val="0012313C"/>
    <w:rsid w:val="001232B9"/>
    <w:rsid w:val="001232F4"/>
    <w:rsid w:val="00123302"/>
    <w:rsid w:val="00123308"/>
    <w:rsid w:val="00123448"/>
    <w:rsid w:val="0012364F"/>
    <w:rsid w:val="001236A3"/>
    <w:rsid w:val="0012370F"/>
    <w:rsid w:val="001237F2"/>
    <w:rsid w:val="00123859"/>
    <w:rsid w:val="0012390B"/>
    <w:rsid w:val="00123B28"/>
    <w:rsid w:val="00123B35"/>
    <w:rsid w:val="00123B7E"/>
    <w:rsid w:val="00123C43"/>
    <w:rsid w:val="00123D46"/>
    <w:rsid w:val="00123E02"/>
    <w:rsid w:val="00123E7D"/>
    <w:rsid w:val="00123FF3"/>
    <w:rsid w:val="00124191"/>
    <w:rsid w:val="001241C5"/>
    <w:rsid w:val="001243BB"/>
    <w:rsid w:val="0012449E"/>
    <w:rsid w:val="001244A2"/>
    <w:rsid w:val="00124831"/>
    <w:rsid w:val="00124864"/>
    <w:rsid w:val="00124A37"/>
    <w:rsid w:val="00124AA2"/>
    <w:rsid w:val="00124B43"/>
    <w:rsid w:val="00124CCE"/>
    <w:rsid w:val="00124D6D"/>
    <w:rsid w:val="00124EC1"/>
    <w:rsid w:val="0012540B"/>
    <w:rsid w:val="001254BE"/>
    <w:rsid w:val="001255AA"/>
    <w:rsid w:val="001256E6"/>
    <w:rsid w:val="00125B45"/>
    <w:rsid w:val="00125C63"/>
    <w:rsid w:val="00125CDA"/>
    <w:rsid w:val="00125CED"/>
    <w:rsid w:val="00125D09"/>
    <w:rsid w:val="00125DB7"/>
    <w:rsid w:val="00125FCE"/>
    <w:rsid w:val="0012610D"/>
    <w:rsid w:val="001261DC"/>
    <w:rsid w:val="001262DD"/>
    <w:rsid w:val="0012639B"/>
    <w:rsid w:val="001263BA"/>
    <w:rsid w:val="00126476"/>
    <w:rsid w:val="0012653B"/>
    <w:rsid w:val="0012691B"/>
    <w:rsid w:val="00126E13"/>
    <w:rsid w:val="00127085"/>
    <w:rsid w:val="0012717E"/>
    <w:rsid w:val="00127580"/>
    <w:rsid w:val="0012761D"/>
    <w:rsid w:val="00127806"/>
    <w:rsid w:val="0012783C"/>
    <w:rsid w:val="00127A02"/>
    <w:rsid w:val="00127A54"/>
    <w:rsid w:val="00127A79"/>
    <w:rsid w:val="00127E93"/>
    <w:rsid w:val="00127FFA"/>
    <w:rsid w:val="0013024E"/>
    <w:rsid w:val="00130333"/>
    <w:rsid w:val="001303CC"/>
    <w:rsid w:val="00130419"/>
    <w:rsid w:val="0013044E"/>
    <w:rsid w:val="00130493"/>
    <w:rsid w:val="001307C0"/>
    <w:rsid w:val="001307E8"/>
    <w:rsid w:val="00130909"/>
    <w:rsid w:val="00130947"/>
    <w:rsid w:val="00130AA0"/>
    <w:rsid w:val="00130BED"/>
    <w:rsid w:val="00130DA1"/>
    <w:rsid w:val="00131061"/>
    <w:rsid w:val="00131307"/>
    <w:rsid w:val="00131369"/>
    <w:rsid w:val="001313FF"/>
    <w:rsid w:val="0013164E"/>
    <w:rsid w:val="00131715"/>
    <w:rsid w:val="00131776"/>
    <w:rsid w:val="00131777"/>
    <w:rsid w:val="00131843"/>
    <w:rsid w:val="00131967"/>
    <w:rsid w:val="00131F28"/>
    <w:rsid w:val="00131FC0"/>
    <w:rsid w:val="001320DB"/>
    <w:rsid w:val="00132299"/>
    <w:rsid w:val="001323B8"/>
    <w:rsid w:val="00132418"/>
    <w:rsid w:val="00132466"/>
    <w:rsid w:val="00132471"/>
    <w:rsid w:val="0013250D"/>
    <w:rsid w:val="001325AB"/>
    <w:rsid w:val="001326BD"/>
    <w:rsid w:val="0013272F"/>
    <w:rsid w:val="00132956"/>
    <w:rsid w:val="00132990"/>
    <w:rsid w:val="00132BE7"/>
    <w:rsid w:val="00132C9D"/>
    <w:rsid w:val="00132D4F"/>
    <w:rsid w:val="00132DD5"/>
    <w:rsid w:val="00132FA3"/>
    <w:rsid w:val="00133305"/>
    <w:rsid w:val="00133412"/>
    <w:rsid w:val="00133775"/>
    <w:rsid w:val="00133878"/>
    <w:rsid w:val="0013395F"/>
    <w:rsid w:val="00133B69"/>
    <w:rsid w:val="00133C38"/>
    <w:rsid w:val="00133CEB"/>
    <w:rsid w:val="00134014"/>
    <w:rsid w:val="00134115"/>
    <w:rsid w:val="001341EB"/>
    <w:rsid w:val="00134254"/>
    <w:rsid w:val="0013429D"/>
    <w:rsid w:val="001346A5"/>
    <w:rsid w:val="001348F1"/>
    <w:rsid w:val="00134A29"/>
    <w:rsid w:val="00134AF9"/>
    <w:rsid w:val="00134B24"/>
    <w:rsid w:val="00134D25"/>
    <w:rsid w:val="00134F5A"/>
    <w:rsid w:val="001353CF"/>
    <w:rsid w:val="00135442"/>
    <w:rsid w:val="00135642"/>
    <w:rsid w:val="001356BB"/>
    <w:rsid w:val="00135753"/>
    <w:rsid w:val="00135948"/>
    <w:rsid w:val="00135974"/>
    <w:rsid w:val="00135A9E"/>
    <w:rsid w:val="00135B0E"/>
    <w:rsid w:val="00135B72"/>
    <w:rsid w:val="00135BA0"/>
    <w:rsid w:val="00135DB3"/>
    <w:rsid w:val="00135F22"/>
    <w:rsid w:val="00136124"/>
    <w:rsid w:val="001361A4"/>
    <w:rsid w:val="00136272"/>
    <w:rsid w:val="00136465"/>
    <w:rsid w:val="0013647A"/>
    <w:rsid w:val="00136728"/>
    <w:rsid w:val="00136750"/>
    <w:rsid w:val="00136921"/>
    <w:rsid w:val="00136946"/>
    <w:rsid w:val="00136963"/>
    <w:rsid w:val="00136AE3"/>
    <w:rsid w:val="00136AF1"/>
    <w:rsid w:val="00136B08"/>
    <w:rsid w:val="00136F1A"/>
    <w:rsid w:val="00137079"/>
    <w:rsid w:val="001371B9"/>
    <w:rsid w:val="001372CC"/>
    <w:rsid w:val="00137502"/>
    <w:rsid w:val="0013752B"/>
    <w:rsid w:val="00137655"/>
    <w:rsid w:val="0013774D"/>
    <w:rsid w:val="001379FE"/>
    <w:rsid w:val="00137A08"/>
    <w:rsid w:val="00137A13"/>
    <w:rsid w:val="00137A24"/>
    <w:rsid w:val="00137ACF"/>
    <w:rsid w:val="00137B2A"/>
    <w:rsid w:val="00137B45"/>
    <w:rsid w:val="00137BC2"/>
    <w:rsid w:val="00137CA9"/>
    <w:rsid w:val="00137CCA"/>
    <w:rsid w:val="00137D02"/>
    <w:rsid w:val="00137D50"/>
    <w:rsid w:val="00137FAA"/>
    <w:rsid w:val="0014009E"/>
    <w:rsid w:val="00140433"/>
    <w:rsid w:val="001404DD"/>
    <w:rsid w:val="0014063D"/>
    <w:rsid w:val="00140680"/>
    <w:rsid w:val="00140798"/>
    <w:rsid w:val="001408D6"/>
    <w:rsid w:val="00140956"/>
    <w:rsid w:val="0014097B"/>
    <w:rsid w:val="00140A10"/>
    <w:rsid w:val="00140A59"/>
    <w:rsid w:val="00140EDF"/>
    <w:rsid w:val="00140FB4"/>
    <w:rsid w:val="001411AF"/>
    <w:rsid w:val="0014185B"/>
    <w:rsid w:val="001418BD"/>
    <w:rsid w:val="00141A75"/>
    <w:rsid w:val="00141AD0"/>
    <w:rsid w:val="00141C03"/>
    <w:rsid w:val="00141D23"/>
    <w:rsid w:val="00141D2C"/>
    <w:rsid w:val="00141E0F"/>
    <w:rsid w:val="00142114"/>
    <w:rsid w:val="00142144"/>
    <w:rsid w:val="0014232F"/>
    <w:rsid w:val="00142351"/>
    <w:rsid w:val="0014245B"/>
    <w:rsid w:val="0014245E"/>
    <w:rsid w:val="00142766"/>
    <w:rsid w:val="001428D1"/>
    <w:rsid w:val="00142982"/>
    <w:rsid w:val="00142B99"/>
    <w:rsid w:val="00142BA4"/>
    <w:rsid w:val="00142C9A"/>
    <w:rsid w:val="001430CC"/>
    <w:rsid w:val="001431C4"/>
    <w:rsid w:val="001432C8"/>
    <w:rsid w:val="001432E0"/>
    <w:rsid w:val="00143395"/>
    <w:rsid w:val="001433BC"/>
    <w:rsid w:val="00143437"/>
    <w:rsid w:val="00143938"/>
    <w:rsid w:val="0014397D"/>
    <w:rsid w:val="00143F47"/>
    <w:rsid w:val="00143FC6"/>
    <w:rsid w:val="0014403A"/>
    <w:rsid w:val="0014410B"/>
    <w:rsid w:val="001441EE"/>
    <w:rsid w:val="0014434A"/>
    <w:rsid w:val="0014468D"/>
    <w:rsid w:val="0014471B"/>
    <w:rsid w:val="001447EC"/>
    <w:rsid w:val="00144936"/>
    <w:rsid w:val="00144A5A"/>
    <w:rsid w:val="00144A68"/>
    <w:rsid w:val="00144A90"/>
    <w:rsid w:val="00144ABD"/>
    <w:rsid w:val="00144B74"/>
    <w:rsid w:val="00144CFC"/>
    <w:rsid w:val="00144DFE"/>
    <w:rsid w:val="00144E14"/>
    <w:rsid w:val="00144F67"/>
    <w:rsid w:val="001451D5"/>
    <w:rsid w:val="00145277"/>
    <w:rsid w:val="0014558A"/>
    <w:rsid w:val="0014559D"/>
    <w:rsid w:val="0014566F"/>
    <w:rsid w:val="00145887"/>
    <w:rsid w:val="00145982"/>
    <w:rsid w:val="001459D4"/>
    <w:rsid w:val="00145BFB"/>
    <w:rsid w:val="00145D4A"/>
    <w:rsid w:val="00145D7D"/>
    <w:rsid w:val="00145FB7"/>
    <w:rsid w:val="00145FB8"/>
    <w:rsid w:val="00145FF4"/>
    <w:rsid w:val="00146014"/>
    <w:rsid w:val="001460B2"/>
    <w:rsid w:val="00146193"/>
    <w:rsid w:val="00146277"/>
    <w:rsid w:val="0014642B"/>
    <w:rsid w:val="001464BB"/>
    <w:rsid w:val="0014650E"/>
    <w:rsid w:val="00146643"/>
    <w:rsid w:val="0014667D"/>
    <w:rsid w:val="001466B3"/>
    <w:rsid w:val="0014693E"/>
    <w:rsid w:val="00146943"/>
    <w:rsid w:val="00146947"/>
    <w:rsid w:val="00146A3F"/>
    <w:rsid w:val="00146C74"/>
    <w:rsid w:val="00146D83"/>
    <w:rsid w:val="0014710F"/>
    <w:rsid w:val="0014722D"/>
    <w:rsid w:val="0014733C"/>
    <w:rsid w:val="001473B7"/>
    <w:rsid w:val="00147441"/>
    <w:rsid w:val="001474CC"/>
    <w:rsid w:val="0014775B"/>
    <w:rsid w:val="001479A5"/>
    <w:rsid w:val="00147BB6"/>
    <w:rsid w:val="00147D96"/>
    <w:rsid w:val="00147EA6"/>
    <w:rsid w:val="0015012F"/>
    <w:rsid w:val="00150164"/>
    <w:rsid w:val="00150215"/>
    <w:rsid w:val="00150368"/>
    <w:rsid w:val="001503FA"/>
    <w:rsid w:val="0015043E"/>
    <w:rsid w:val="00150656"/>
    <w:rsid w:val="00150692"/>
    <w:rsid w:val="00150732"/>
    <w:rsid w:val="00150825"/>
    <w:rsid w:val="00150972"/>
    <w:rsid w:val="001509DA"/>
    <w:rsid w:val="00150D9F"/>
    <w:rsid w:val="0015113C"/>
    <w:rsid w:val="001511C2"/>
    <w:rsid w:val="0015124A"/>
    <w:rsid w:val="001512E1"/>
    <w:rsid w:val="00151633"/>
    <w:rsid w:val="001516A1"/>
    <w:rsid w:val="001516EC"/>
    <w:rsid w:val="001517AD"/>
    <w:rsid w:val="001517BA"/>
    <w:rsid w:val="00151A17"/>
    <w:rsid w:val="00151C85"/>
    <w:rsid w:val="00151C91"/>
    <w:rsid w:val="00151CDB"/>
    <w:rsid w:val="00151D9A"/>
    <w:rsid w:val="00151DA3"/>
    <w:rsid w:val="00152042"/>
    <w:rsid w:val="001520EA"/>
    <w:rsid w:val="00152151"/>
    <w:rsid w:val="00152164"/>
    <w:rsid w:val="0015219E"/>
    <w:rsid w:val="001522FE"/>
    <w:rsid w:val="00152358"/>
    <w:rsid w:val="0015250F"/>
    <w:rsid w:val="0015260C"/>
    <w:rsid w:val="00152758"/>
    <w:rsid w:val="00152AE7"/>
    <w:rsid w:val="00152ED6"/>
    <w:rsid w:val="0015308B"/>
    <w:rsid w:val="00153093"/>
    <w:rsid w:val="00153376"/>
    <w:rsid w:val="001533BD"/>
    <w:rsid w:val="001533E8"/>
    <w:rsid w:val="00153551"/>
    <w:rsid w:val="001536B2"/>
    <w:rsid w:val="00153800"/>
    <w:rsid w:val="0015382E"/>
    <w:rsid w:val="00153886"/>
    <w:rsid w:val="001538B3"/>
    <w:rsid w:val="001539D8"/>
    <w:rsid w:val="00153A12"/>
    <w:rsid w:val="00153B23"/>
    <w:rsid w:val="00153C5C"/>
    <w:rsid w:val="00153D63"/>
    <w:rsid w:val="00153E54"/>
    <w:rsid w:val="00153EB5"/>
    <w:rsid w:val="00154325"/>
    <w:rsid w:val="00154AB3"/>
    <w:rsid w:val="00154C39"/>
    <w:rsid w:val="00154CF1"/>
    <w:rsid w:val="0015507B"/>
    <w:rsid w:val="001550C3"/>
    <w:rsid w:val="001555DE"/>
    <w:rsid w:val="00155600"/>
    <w:rsid w:val="00155699"/>
    <w:rsid w:val="001556D7"/>
    <w:rsid w:val="001557A6"/>
    <w:rsid w:val="0015581A"/>
    <w:rsid w:val="001558AD"/>
    <w:rsid w:val="00155ABB"/>
    <w:rsid w:val="00155AD1"/>
    <w:rsid w:val="00155ADE"/>
    <w:rsid w:val="00155B41"/>
    <w:rsid w:val="00155D28"/>
    <w:rsid w:val="0015606F"/>
    <w:rsid w:val="00156340"/>
    <w:rsid w:val="001566D2"/>
    <w:rsid w:val="00156764"/>
    <w:rsid w:val="0015676B"/>
    <w:rsid w:val="001568ED"/>
    <w:rsid w:val="00156907"/>
    <w:rsid w:val="0015694C"/>
    <w:rsid w:val="00156B5B"/>
    <w:rsid w:val="00156B86"/>
    <w:rsid w:val="00156C40"/>
    <w:rsid w:val="00156CED"/>
    <w:rsid w:val="00156E4A"/>
    <w:rsid w:val="001571C1"/>
    <w:rsid w:val="0015722E"/>
    <w:rsid w:val="00157276"/>
    <w:rsid w:val="00157379"/>
    <w:rsid w:val="001574A5"/>
    <w:rsid w:val="001574D4"/>
    <w:rsid w:val="001575EA"/>
    <w:rsid w:val="00157D57"/>
    <w:rsid w:val="00157F04"/>
    <w:rsid w:val="0016033C"/>
    <w:rsid w:val="0016040A"/>
    <w:rsid w:val="00160AD3"/>
    <w:rsid w:val="00160B07"/>
    <w:rsid w:val="00160C67"/>
    <w:rsid w:val="00160DE7"/>
    <w:rsid w:val="00160DF8"/>
    <w:rsid w:val="00160E12"/>
    <w:rsid w:val="00160E84"/>
    <w:rsid w:val="001610E0"/>
    <w:rsid w:val="00161247"/>
    <w:rsid w:val="00161419"/>
    <w:rsid w:val="0016143D"/>
    <w:rsid w:val="00161666"/>
    <w:rsid w:val="001616D6"/>
    <w:rsid w:val="00161A2D"/>
    <w:rsid w:val="00161CC8"/>
    <w:rsid w:val="00161D52"/>
    <w:rsid w:val="00161D85"/>
    <w:rsid w:val="0016209A"/>
    <w:rsid w:val="00162145"/>
    <w:rsid w:val="001621A3"/>
    <w:rsid w:val="00162437"/>
    <w:rsid w:val="00162508"/>
    <w:rsid w:val="00162678"/>
    <w:rsid w:val="0016271B"/>
    <w:rsid w:val="001628C1"/>
    <w:rsid w:val="00162997"/>
    <w:rsid w:val="00162A49"/>
    <w:rsid w:val="00162F3A"/>
    <w:rsid w:val="001631C0"/>
    <w:rsid w:val="00163259"/>
    <w:rsid w:val="001632FE"/>
    <w:rsid w:val="00163380"/>
    <w:rsid w:val="001633DF"/>
    <w:rsid w:val="0016341A"/>
    <w:rsid w:val="001634FB"/>
    <w:rsid w:val="001635E2"/>
    <w:rsid w:val="0016371D"/>
    <w:rsid w:val="00163A67"/>
    <w:rsid w:val="00163B0A"/>
    <w:rsid w:val="00163C70"/>
    <w:rsid w:val="001640C8"/>
    <w:rsid w:val="0016414A"/>
    <w:rsid w:val="001643AC"/>
    <w:rsid w:val="001644AA"/>
    <w:rsid w:val="0016455B"/>
    <w:rsid w:val="00164716"/>
    <w:rsid w:val="00164A35"/>
    <w:rsid w:val="00164BEE"/>
    <w:rsid w:val="00164C41"/>
    <w:rsid w:val="00164CB0"/>
    <w:rsid w:val="00164D13"/>
    <w:rsid w:val="00164DDA"/>
    <w:rsid w:val="00164E25"/>
    <w:rsid w:val="00164EE2"/>
    <w:rsid w:val="00164F8C"/>
    <w:rsid w:val="0016529F"/>
    <w:rsid w:val="001653E5"/>
    <w:rsid w:val="0016542C"/>
    <w:rsid w:val="00165695"/>
    <w:rsid w:val="001657F2"/>
    <w:rsid w:val="0016580D"/>
    <w:rsid w:val="00165A12"/>
    <w:rsid w:val="00165AFD"/>
    <w:rsid w:val="00165B54"/>
    <w:rsid w:val="00165E30"/>
    <w:rsid w:val="00165F99"/>
    <w:rsid w:val="00165FDB"/>
    <w:rsid w:val="00166097"/>
    <w:rsid w:val="0016616C"/>
    <w:rsid w:val="001661AD"/>
    <w:rsid w:val="00166229"/>
    <w:rsid w:val="00166291"/>
    <w:rsid w:val="00166296"/>
    <w:rsid w:val="0016645C"/>
    <w:rsid w:val="00166491"/>
    <w:rsid w:val="001664D3"/>
    <w:rsid w:val="00166618"/>
    <w:rsid w:val="00166820"/>
    <w:rsid w:val="00166E6D"/>
    <w:rsid w:val="00166F7B"/>
    <w:rsid w:val="00167653"/>
    <w:rsid w:val="001676CE"/>
    <w:rsid w:val="0016779D"/>
    <w:rsid w:val="001677C7"/>
    <w:rsid w:val="00167820"/>
    <w:rsid w:val="001678DD"/>
    <w:rsid w:val="001679B5"/>
    <w:rsid w:val="001679C7"/>
    <w:rsid w:val="00167A8F"/>
    <w:rsid w:val="00167AC5"/>
    <w:rsid w:val="00167B65"/>
    <w:rsid w:val="00167BDA"/>
    <w:rsid w:val="00167BE0"/>
    <w:rsid w:val="00170058"/>
    <w:rsid w:val="00170080"/>
    <w:rsid w:val="001702E8"/>
    <w:rsid w:val="0017049C"/>
    <w:rsid w:val="0017054A"/>
    <w:rsid w:val="0017085C"/>
    <w:rsid w:val="001708D3"/>
    <w:rsid w:val="00170983"/>
    <w:rsid w:val="00170ADC"/>
    <w:rsid w:val="00170FE4"/>
    <w:rsid w:val="00171076"/>
    <w:rsid w:val="00171266"/>
    <w:rsid w:val="001712CD"/>
    <w:rsid w:val="0017131D"/>
    <w:rsid w:val="00171501"/>
    <w:rsid w:val="001716BC"/>
    <w:rsid w:val="00171873"/>
    <w:rsid w:val="001719B2"/>
    <w:rsid w:val="00171A5E"/>
    <w:rsid w:val="00171D16"/>
    <w:rsid w:val="00171E8A"/>
    <w:rsid w:val="00171EB0"/>
    <w:rsid w:val="00171ED1"/>
    <w:rsid w:val="00171F34"/>
    <w:rsid w:val="00172148"/>
    <w:rsid w:val="0017219E"/>
    <w:rsid w:val="0017233D"/>
    <w:rsid w:val="0017251D"/>
    <w:rsid w:val="001726D4"/>
    <w:rsid w:val="00172810"/>
    <w:rsid w:val="00172AD4"/>
    <w:rsid w:val="00172B6D"/>
    <w:rsid w:val="00172C46"/>
    <w:rsid w:val="00172CA5"/>
    <w:rsid w:val="00172CCA"/>
    <w:rsid w:val="001732ED"/>
    <w:rsid w:val="00173326"/>
    <w:rsid w:val="001733C5"/>
    <w:rsid w:val="0017356C"/>
    <w:rsid w:val="0017370E"/>
    <w:rsid w:val="0017378D"/>
    <w:rsid w:val="001737B0"/>
    <w:rsid w:val="00173BFB"/>
    <w:rsid w:val="00173C32"/>
    <w:rsid w:val="00173F15"/>
    <w:rsid w:val="00173F1F"/>
    <w:rsid w:val="00173F60"/>
    <w:rsid w:val="00173F6B"/>
    <w:rsid w:val="00174203"/>
    <w:rsid w:val="001742B6"/>
    <w:rsid w:val="001744A3"/>
    <w:rsid w:val="0017473C"/>
    <w:rsid w:val="0017476C"/>
    <w:rsid w:val="001749F2"/>
    <w:rsid w:val="00174B24"/>
    <w:rsid w:val="00174D33"/>
    <w:rsid w:val="00174D35"/>
    <w:rsid w:val="001750A0"/>
    <w:rsid w:val="001750C5"/>
    <w:rsid w:val="001758F8"/>
    <w:rsid w:val="00175A40"/>
    <w:rsid w:val="00175A82"/>
    <w:rsid w:val="00175AB7"/>
    <w:rsid w:val="00175C43"/>
    <w:rsid w:val="00175FA7"/>
    <w:rsid w:val="00175FC9"/>
    <w:rsid w:val="001761C7"/>
    <w:rsid w:val="00176269"/>
    <w:rsid w:val="00176350"/>
    <w:rsid w:val="00176421"/>
    <w:rsid w:val="0017649A"/>
    <w:rsid w:val="001764BF"/>
    <w:rsid w:val="0017695A"/>
    <w:rsid w:val="001769C9"/>
    <w:rsid w:val="00176A0D"/>
    <w:rsid w:val="00176E07"/>
    <w:rsid w:val="00176EFC"/>
    <w:rsid w:val="0017707A"/>
    <w:rsid w:val="0017711B"/>
    <w:rsid w:val="001771D4"/>
    <w:rsid w:val="00177210"/>
    <w:rsid w:val="001772AC"/>
    <w:rsid w:val="001773BF"/>
    <w:rsid w:val="00177456"/>
    <w:rsid w:val="0017753A"/>
    <w:rsid w:val="001775B3"/>
    <w:rsid w:val="00177759"/>
    <w:rsid w:val="00177B21"/>
    <w:rsid w:val="00177B8D"/>
    <w:rsid w:val="00177F40"/>
    <w:rsid w:val="0018001A"/>
    <w:rsid w:val="0018008C"/>
    <w:rsid w:val="001800C4"/>
    <w:rsid w:val="001800D4"/>
    <w:rsid w:val="001801D9"/>
    <w:rsid w:val="001802F2"/>
    <w:rsid w:val="001803A3"/>
    <w:rsid w:val="001803BF"/>
    <w:rsid w:val="001804FC"/>
    <w:rsid w:val="001805F3"/>
    <w:rsid w:val="001807E2"/>
    <w:rsid w:val="001807FF"/>
    <w:rsid w:val="00180AC2"/>
    <w:rsid w:val="00180B1D"/>
    <w:rsid w:val="00180C26"/>
    <w:rsid w:val="001810F7"/>
    <w:rsid w:val="0018126E"/>
    <w:rsid w:val="001816D6"/>
    <w:rsid w:val="0018174E"/>
    <w:rsid w:val="001817AB"/>
    <w:rsid w:val="00181CB2"/>
    <w:rsid w:val="00181DE0"/>
    <w:rsid w:val="00182150"/>
    <w:rsid w:val="00182178"/>
    <w:rsid w:val="00182198"/>
    <w:rsid w:val="00182310"/>
    <w:rsid w:val="0018237C"/>
    <w:rsid w:val="00182389"/>
    <w:rsid w:val="001823B5"/>
    <w:rsid w:val="0018243D"/>
    <w:rsid w:val="001825EE"/>
    <w:rsid w:val="0018277D"/>
    <w:rsid w:val="001827CC"/>
    <w:rsid w:val="00182C1A"/>
    <w:rsid w:val="00182E10"/>
    <w:rsid w:val="00182E1E"/>
    <w:rsid w:val="0018325B"/>
    <w:rsid w:val="0018347E"/>
    <w:rsid w:val="00183661"/>
    <w:rsid w:val="0018366A"/>
    <w:rsid w:val="001836B7"/>
    <w:rsid w:val="00183797"/>
    <w:rsid w:val="0018388B"/>
    <w:rsid w:val="001838C6"/>
    <w:rsid w:val="00183951"/>
    <w:rsid w:val="00183A67"/>
    <w:rsid w:val="00183F08"/>
    <w:rsid w:val="0018417E"/>
    <w:rsid w:val="0018426D"/>
    <w:rsid w:val="0018427A"/>
    <w:rsid w:val="00184327"/>
    <w:rsid w:val="001843B1"/>
    <w:rsid w:val="00184490"/>
    <w:rsid w:val="0018449A"/>
    <w:rsid w:val="001844C6"/>
    <w:rsid w:val="001845EF"/>
    <w:rsid w:val="00184788"/>
    <w:rsid w:val="001847A9"/>
    <w:rsid w:val="00184AA3"/>
    <w:rsid w:val="00184B22"/>
    <w:rsid w:val="00184C11"/>
    <w:rsid w:val="00184DB7"/>
    <w:rsid w:val="00184E6D"/>
    <w:rsid w:val="0018505A"/>
    <w:rsid w:val="001850AE"/>
    <w:rsid w:val="00185137"/>
    <w:rsid w:val="0018544C"/>
    <w:rsid w:val="0018549D"/>
    <w:rsid w:val="001855BC"/>
    <w:rsid w:val="00185763"/>
    <w:rsid w:val="00185868"/>
    <w:rsid w:val="00185C73"/>
    <w:rsid w:val="00185D28"/>
    <w:rsid w:val="00185D34"/>
    <w:rsid w:val="00185DE2"/>
    <w:rsid w:val="00185F1D"/>
    <w:rsid w:val="00185F7B"/>
    <w:rsid w:val="00185FF1"/>
    <w:rsid w:val="00186034"/>
    <w:rsid w:val="00186057"/>
    <w:rsid w:val="0018615C"/>
    <w:rsid w:val="001862CD"/>
    <w:rsid w:val="0018635D"/>
    <w:rsid w:val="001863C4"/>
    <w:rsid w:val="0018651F"/>
    <w:rsid w:val="001865AB"/>
    <w:rsid w:val="00186850"/>
    <w:rsid w:val="00186908"/>
    <w:rsid w:val="0018696A"/>
    <w:rsid w:val="00186A36"/>
    <w:rsid w:val="00186ADF"/>
    <w:rsid w:val="00186C87"/>
    <w:rsid w:val="00186CFF"/>
    <w:rsid w:val="00186D26"/>
    <w:rsid w:val="00186DF9"/>
    <w:rsid w:val="00186F42"/>
    <w:rsid w:val="001874BA"/>
    <w:rsid w:val="001874D7"/>
    <w:rsid w:val="001874EB"/>
    <w:rsid w:val="0018762A"/>
    <w:rsid w:val="00187658"/>
    <w:rsid w:val="00187681"/>
    <w:rsid w:val="00187785"/>
    <w:rsid w:val="001877B2"/>
    <w:rsid w:val="0018785E"/>
    <w:rsid w:val="0018787D"/>
    <w:rsid w:val="00187905"/>
    <w:rsid w:val="00187C70"/>
    <w:rsid w:val="00187CC3"/>
    <w:rsid w:val="00187D9F"/>
    <w:rsid w:val="00187E2C"/>
    <w:rsid w:val="00187EB1"/>
    <w:rsid w:val="00187EB2"/>
    <w:rsid w:val="00187EBF"/>
    <w:rsid w:val="00187F1D"/>
    <w:rsid w:val="0019008E"/>
    <w:rsid w:val="001900B2"/>
    <w:rsid w:val="001900BE"/>
    <w:rsid w:val="001900FF"/>
    <w:rsid w:val="00190145"/>
    <w:rsid w:val="0019041F"/>
    <w:rsid w:val="0019042B"/>
    <w:rsid w:val="0019074B"/>
    <w:rsid w:val="001908A8"/>
    <w:rsid w:val="00190A6F"/>
    <w:rsid w:val="00190AF7"/>
    <w:rsid w:val="00190B97"/>
    <w:rsid w:val="00190C4D"/>
    <w:rsid w:val="00190CD1"/>
    <w:rsid w:val="00190E12"/>
    <w:rsid w:val="00190EC1"/>
    <w:rsid w:val="00190EDF"/>
    <w:rsid w:val="00190F0D"/>
    <w:rsid w:val="0019107E"/>
    <w:rsid w:val="00191081"/>
    <w:rsid w:val="00191191"/>
    <w:rsid w:val="00191408"/>
    <w:rsid w:val="001914B0"/>
    <w:rsid w:val="00191A31"/>
    <w:rsid w:val="00191BAE"/>
    <w:rsid w:val="00191C79"/>
    <w:rsid w:val="00191E3A"/>
    <w:rsid w:val="001920B6"/>
    <w:rsid w:val="00192407"/>
    <w:rsid w:val="0019277D"/>
    <w:rsid w:val="00192851"/>
    <w:rsid w:val="0019286D"/>
    <w:rsid w:val="00192CFB"/>
    <w:rsid w:val="00192D56"/>
    <w:rsid w:val="00192E4E"/>
    <w:rsid w:val="0019323C"/>
    <w:rsid w:val="001932B7"/>
    <w:rsid w:val="00193328"/>
    <w:rsid w:val="001933E1"/>
    <w:rsid w:val="00193480"/>
    <w:rsid w:val="001935BC"/>
    <w:rsid w:val="001935CC"/>
    <w:rsid w:val="001936A4"/>
    <w:rsid w:val="00193AD2"/>
    <w:rsid w:val="00193D9C"/>
    <w:rsid w:val="00193E5B"/>
    <w:rsid w:val="00193EE0"/>
    <w:rsid w:val="00193F29"/>
    <w:rsid w:val="00193F98"/>
    <w:rsid w:val="00193FDF"/>
    <w:rsid w:val="0019415E"/>
    <w:rsid w:val="001941D0"/>
    <w:rsid w:val="00194317"/>
    <w:rsid w:val="001943A1"/>
    <w:rsid w:val="001943B7"/>
    <w:rsid w:val="001943F3"/>
    <w:rsid w:val="0019445D"/>
    <w:rsid w:val="00194502"/>
    <w:rsid w:val="001945CE"/>
    <w:rsid w:val="0019466B"/>
    <w:rsid w:val="001946CB"/>
    <w:rsid w:val="00194794"/>
    <w:rsid w:val="0019499B"/>
    <w:rsid w:val="00194A3A"/>
    <w:rsid w:val="00194B60"/>
    <w:rsid w:val="00194C1F"/>
    <w:rsid w:val="00194CCB"/>
    <w:rsid w:val="00194D09"/>
    <w:rsid w:val="00194D51"/>
    <w:rsid w:val="00194DB0"/>
    <w:rsid w:val="00194DB9"/>
    <w:rsid w:val="0019530F"/>
    <w:rsid w:val="00195349"/>
    <w:rsid w:val="00195397"/>
    <w:rsid w:val="001955D4"/>
    <w:rsid w:val="00195AFF"/>
    <w:rsid w:val="00195D19"/>
    <w:rsid w:val="00195EF5"/>
    <w:rsid w:val="001962A4"/>
    <w:rsid w:val="0019630F"/>
    <w:rsid w:val="0019637F"/>
    <w:rsid w:val="001964B2"/>
    <w:rsid w:val="0019651F"/>
    <w:rsid w:val="0019656E"/>
    <w:rsid w:val="0019675B"/>
    <w:rsid w:val="001967D3"/>
    <w:rsid w:val="00196860"/>
    <w:rsid w:val="001968DC"/>
    <w:rsid w:val="00196958"/>
    <w:rsid w:val="00196994"/>
    <w:rsid w:val="00196C63"/>
    <w:rsid w:val="00196D8E"/>
    <w:rsid w:val="00196ED3"/>
    <w:rsid w:val="00196FF0"/>
    <w:rsid w:val="0019714F"/>
    <w:rsid w:val="00197154"/>
    <w:rsid w:val="0019790A"/>
    <w:rsid w:val="0019797B"/>
    <w:rsid w:val="001979A7"/>
    <w:rsid w:val="00197B2E"/>
    <w:rsid w:val="00197B3A"/>
    <w:rsid w:val="00197B79"/>
    <w:rsid w:val="00197CD8"/>
    <w:rsid w:val="001A01A2"/>
    <w:rsid w:val="001A0286"/>
    <w:rsid w:val="001A0454"/>
    <w:rsid w:val="001A0722"/>
    <w:rsid w:val="001A0934"/>
    <w:rsid w:val="001A09D1"/>
    <w:rsid w:val="001A0A05"/>
    <w:rsid w:val="001A0AD8"/>
    <w:rsid w:val="001A101E"/>
    <w:rsid w:val="001A10C7"/>
    <w:rsid w:val="001A137F"/>
    <w:rsid w:val="001A13C1"/>
    <w:rsid w:val="001A1751"/>
    <w:rsid w:val="001A1773"/>
    <w:rsid w:val="001A1C41"/>
    <w:rsid w:val="001A1DEE"/>
    <w:rsid w:val="001A1E3A"/>
    <w:rsid w:val="001A201E"/>
    <w:rsid w:val="001A222C"/>
    <w:rsid w:val="001A2A7E"/>
    <w:rsid w:val="001A2AEF"/>
    <w:rsid w:val="001A2B25"/>
    <w:rsid w:val="001A2DE8"/>
    <w:rsid w:val="001A2EB9"/>
    <w:rsid w:val="001A2F93"/>
    <w:rsid w:val="001A31B1"/>
    <w:rsid w:val="001A321D"/>
    <w:rsid w:val="001A326C"/>
    <w:rsid w:val="001A3352"/>
    <w:rsid w:val="001A3420"/>
    <w:rsid w:val="001A353D"/>
    <w:rsid w:val="001A3695"/>
    <w:rsid w:val="001A37B7"/>
    <w:rsid w:val="001A3AAC"/>
    <w:rsid w:val="001A3C44"/>
    <w:rsid w:val="001A3F29"/>
    <w:rsid w:val="001A3FD6"/>
    <w:rsid w:val="001A4165"/>
    <w:rsid w:val="001A428B"/>
    <w:rsid w:val="001A42EB"/>
    <w:rsid w:val="001A440E"/>
    <w:rsid w:val="001A4558"/>
    <w:rsid w:val="001A4641"/>
    <w:rsid w:val="001A472D"/>
    <w:rsid w:val="001A4799"/>
    <w:rsid w:val="001A47D3"/>
    <w:rsid w:val="001A4A29"/>
    <w:rsid w:val="001A4A2F"/>
    <w:rsid w:val="001A4AAE"/>
    <w:rsid w:val="001A4D86"/>
    <w:rsid w:val="001A4DF2"/>
    <w:rsid w:val="001A4EBF"/>
    <w:rsid w:val="001A4FAB"/>
    <w:rsid w:val="001A5078"/>
    <w:rsid w:val="001A5188"/>
    <w:rsid w:val="001A5205"/>
    <w:rsid w:val="001A551E"/>
    <w:rsid w:val="001A55D5"/>
    <w:rsid w:val="001A581E"/>
    <w:rsid w:val="001A581F"/>
    <w:rsid w:val="001A58E7"/>
    <w:rsid w:val="001A593D"/>
    <w:rsid w:val="001A5961"/>
    <w:rsid w:val="001A5AD3"/>
    <w:rsid w:val="001A5BF5"/>
    <w:rsid w:val="001A5C35"/>
    <w:rsid w:val="001A5CE0"/>
    <w:rsid w:val="001A5D43"/>
    <w:rsid w:val="001A5E76"/>
    <w:rsid w:val="001A6071"/>
    <w:rsid w:val="001A60EA"/>
    <w:rsid w:val="001A6385"/>
    <w:rsid w:val="001A6640"/>
    <w:rsid w:val="001A6D1B"/>
    <w:rsid w:val="001A6E3A"/>
    <w:rsid w:val="001A6E3E"/>
    <w:rsid w:val="001A6E48"/>
    <w:rsid w:val="001A729B"/>
    <w:rsid w:val="001A7351"/>
    <w:rsid w:val="001A7368"/>
    <w:rsid w:val="001A758E"/>
    <w:rsid w:val="001A771F"/>
    <w:rsid w:val="001A7909"/>
    <w:rsid w:val="001A79E9"/>
    <w:rsid w:val="001A7A8A"/>
    <w:rsid w:val="001A7C6E"/>
    <w:rsid w:val="001A7D3B"/>
    <w:rsid w:val="001A7EC6"/>
    <w:rsid w:val="001B0076"/>
    <w:rsid w:val="001B00A5"/>
    <w:rsid w:val="001B00AD"/>
    <w:rsid w:val="001B0189"/>
    <w:rsid w:val="001B01EB"/>
    <w:rsid w:val="001B0447"/>
    <w:rsid w:val="001B050D"/>
    <w:rsid w:val="001B071A"/>
    <w:rsid w:val="001B072C"/>
    <w:rsid w:val="001B07A7"/>
    <w:rsid w:val="001B07E2"/>
    <w:rsid w:val="001B07E8"/>
    <w:rsid w:val="001B0B87"/>
    <w:rsid w:val="001B0C16"/>
    <w:rsid w:val="001B0D69"/>
    <w:rsid w:val="001B0E44"/>
    <w:rsid w:val="001B10F8"/>
    <w:rsid w:val="001B129E"/>
    <w:rsid w:val="001B13A0"/>
    <w:rsid w:val="001B13A8"/>
    <w:rsid w:val="001B13C6"/>
    <w:rsid w:val="001B1464"/>
    <w:rsid w:val="001B14AC"/>
    <w:rsid w:val="001B1519"/>
    <w:rsid w:val="001B17B0"/>
    <w:rsid w:val="001B18B5"/>
    <w:rsid w:val="001B1992"/>
    <w:rsid w:val="001B1A36"/>
    <w:rsid w:val="001B1A92"/>
    <w:rsid w:val="001B1AD3"/>
    <w:rsid w:val="001B1B2B"/>
    <w:rsid w:val="001B1DCA"/>
    <w:rsid w:val="001B1DE5"/>
    <w:rsid w:val="001B1FBF"/>
    <w:rsid w:val="001B2265"/>
    <w:rsid w:val="001B22F9"/>
    <w:rsid w:val="001B2323"/>
    <w:rsid w:val="001B2481"/>
    <w:rsid w:val="001B24B9"/>
    <w:rsid w:val="001B25FC"/>
    <w:rsid w:val="001B2A8D"/>
    <w:rsid w:val="001B2D22"/>
    <w:rsid w:val="001B2DCE"/>
    <w:rsid w:val="001B2F51"/>
    <w:rsid w:val="001B2FAF"/>
    <w:rsid w:val="001B3019"/>
    <w:rsid w:val="001B30C6"/>
    <w:rsid w:val="001B31DC"/>
    <w:rsid w:val="001B32B4"/>
    <w:rsid w:val="001B32F6"/>
    <w:rsid w:val="001B3300"/>
    <w:rsid w:val="001B3382"/>
    <w:rsid w:val="001B3420"/>
    <w:rsid w:val="001B352C"/>
    <w:rsid w:val="001B35C9"/>
    <w:rsid w:val="001B3622"/>
    <w:rsid w:val="001B3831"/>
    <w:rsid w:val="001B38FF"/>
    <w:rsid w:val="001B39EB"/>
    <w:rsid w:val="001B3B88"/>
    <w:rsid w:val="001B3C2B"/>
    <w:rsid w:val="001B3DAE"/>
    <w:rsid w:val="001B3F08"/>
    <w:rsid w:val="001B3FCD"/>
    <w:rsid w:val="001B3FE6"/>
    <w:rsid w:val="001B40A3"/>
    <w:rsid w:val="001B4203"/>
    <w:rsid w:val="001B429E"/>
    <w:rsid w:val="001B453A"/>
    <w:rsid w:val="001B45C2"/>
    <w:rsid w:val="001B4653"/>
    <w:rsid w:val="001B472E"/>
    <w:rsid w:val="001B48BD"/>
    <w:rsid w:val="001B48CC"/>
    <w:rsid w:val="001B48CD"/>
    <w:rsid w:val="001B4907"/>
    <w:rsid w:val="001B49B6"/>
    <w:rsid w:val="001B4BA8"/>
    <w:rsid w:val="001B4BD6"/>
    <w:rsid w:val="001B4BEE"/>
    <w:rsid w:val="001B4CCD"/>
    <w:rsid w:val="001B4E4E"/>
    <w:rsid w:val="001B4FC0"/>
    <w:rsid w:val="001B5085"/>
    <w:rsid w:val="001B5114"/>
    <w:rsid w:val="001B520A"/>
    <w:rsid w:val="001B53D2"/>
    <w:rsid w:val="001B542E"/>
    <w:rsid w:val="001B54F4"/>
    <w:rsid w:val="001B56DF"/>
    <w:rsid w:val="001B5768"/>
    <w:rsid w:val="001B5788"/>
    <w:rsid w:val="001B5836"/>
    <w:rsid w:val="001B5925"/>
    <w:rsid w:val="001B5BD9"/>
    <w:rsid w:val="001B5C8A"/>
    <w:rsid w:val="001B5D15"/>
    <w:rsid w:val="001B5D7C"/>
    <w:rsid w:val="001B5F53"/>
    <w:rsid w:val="001B5FF9"/>
    <w:rsid w:val="001B6462"/>
    <w:rsid w:val="001B6553"/>
    <w:rsid w:val="001B663F"/>
    <w:rsid w:val="001B66CC"/>
    <w:rsid w:val="001B6919"/>
    <w:rsid w:val="001B6AFF"/>
    <w:rsid w:val="001B6BC7"/>
    <w:rsid w:val="001B6BC8"/>
    <w:rsid w:val="001B6C28"/>
    <w:rsid w:val="001B6CAD"/>
    <w:rsid w:val="001B6D41"/>
    <w:rsid w:val="001B6E81"/>
    <w:rsid w:val="001B702E"/>
    <w:rsid w:val="001B7057"/>
    <w:rsid w:val="001B737D"/>
    <w:rsid w:val="001B7520"/>
    <w:rsid w:val="001B768A"/>
    <w:rsid w:val="001B78E3"/>
    <w:rsid w:val="001B7947"/>
    <w:rsid w:val="001B7A41"/>
    <w:rsid w:val="001B7A85"/>
    <w:rsid w:val="001B7C96"/>
    <w:rsid w:val="001B7CE2"/>
    <w:rsid w:val="001B7CFB"/>
    <w:rsid w:val="001B7D33"/>
    <w:rsid w:val="001B7E7C"/>
    <w:rsid w:val="001B7EB9"/>
    <w:rsid w:val="001B7F57"/>
    <w:rsid w:val="001C002E"/>
    <w:rsid w:val="001C0037"/>
    <w:rsid w:val="001C0103"/>
    <w:rsid w:val="001C014D"/>
    <w:rsid w:val="001C06BB"/>
    <w:rsid w:val="001C086A"/>
    <w:rsid w:val="001C097B"/>
    <w:rsid w:val="001C0B42"/>
    <w:rsid w:val="001C104C"/>
    <w:rsid w:val="001C13E2"/>
    <w:rsid w:val="001C145F"/>
    <w:rsid w:val="001C146F"/>
    <w:rsid w:val="001C1A7D"/>
    <w:rsid w:val="001C1A96"/>
    <w:rsid w:val="001C1C14"/>
    <w:rsid w:val="001C1CFF"/>
    <w:rsid w:val="001C201E"/>
    <w:rsid w:val="001C2033"/>
    <w:rsid w:val="001C2087"/>
    <w:rsid w:val="001C20BD"/>
    <w:rsid w:val="001C20D9"/>
    <w:rsid w:val="001C22F4"/>
    <w:rsid w:val="001C2527"/>
    <w:rsid w:val="001C25DF"/>
    <w:rsid w:val="001C2C24"/>
    <w:rsid w:val="001C2D48"/>
    <w:rsid w:val="001C2D7C"/>
    <w:rsid w:val="001C2EC8"/>
    <w:rsid w:val="001C3060"/>
    <w:rsid w:val="001C325D"/>
    <w:rsid w:val="001C33AC"/>
    <w:rsid w:val="001C3417"/>
    <w:rsid w:val="001C34D4"/>
    <w:rsid w:val="001C3696"/>
    <w:rsid w:val="001C369D"/>
    <w:rsid w:val="001C377B"/>
    <w:rsid w:val="001C381C"/>
    <w:rsid w:val="001C38F5"/>
    <w:rsid w:val="001C3916"/>
    <w:rsid w:val="001C3968"/>
    <w:rsid w:val="001C3A06"/>
    <w:rsid w:val="001C3A0E"/>
    <w:rsid w:val="001C3B0B"/>
    <w:rsid w:val="001C3B11"/>
    <w:rsid w:val="001C3B71"/>
    <w:rsid w:val="001C3C10"/>
    <w:rsid w:val="001C3C13"/>
    <w:rsid w:val="001C3CBE"/>
    <w:rsid w:val="001C3CD6"/>
    <w:rsid w:val="001C3DCC"/>
    <w:rsid w:val="001C3EC5"/>
    <w:rsid w:val="001C3F15"/>
    <w:rsid w:val="001C3F4E"/>
    <w:rsid w:val="001C4440"/>
    <w:rsid w:val="001C45D8"/>
    <w:rsid w:val="001C4691"/>
    <w:rsid w:val="001C4739"/>
    <w:rsid w:val="001C48E5"/>
    <w:rsid w:val="001C4913"/>
    <w:rsid w:val="001C4BFE"/>
    <w:rsid w:val="001C4DDC"/>
    <w:rsid w:val="001C4E1C"/>
    <w:rsid w:val="001C4E7C"/>
    <w:rsid w:val="001C4F74"/>
    <w:rsid w:val="001C4FBC"/>
    <w:rsid w:val="001C51CF"/>
    <w:rsid w:val="001C51F2"/>
    <w:rsid w:val="001C52A3"/>
    <w:rsid w:val="001C532C"/>
    <w:rsid w:val="001C5400"/>
    <w:rsid w:val="001C55A2"/>
    <w:rsid w:val="001C562D"/>
    <w:rsid w:val="001C56FC"/>
    <w:rsid w:val="001C579C"/>
    <w:rsid w:val="001C5B14"/>
    <w:rsid w:val="001C5D5A"/>
    <w:rsid w:val="001C5E7C"/>
    <w:rsid w:val="001C5EF2"/>
    <w:rsid w:val="001C5F36"/>
    <w:rsid w:val="001C6024"/>
    <w:rsid w:val="001C602F"/>
    <w:rsid w:val="001C6166"/>
    <w:rsid w:val="001C656C"/>
    <w:rsid w:val="001C6586"/>
    <w:rsid w:val="001C6624"/>
    <w:rsid w:val="001C6778"/>
    <w:rsid w:val="001C6843"/>
    <w:rsid w:val="001C6C42"/>
    <w:rsid w:val="001C6CE7"/>
    <w:rsid w:val="001C6CEE"/>
    <w:rsid w:val="001C6E63"/>
    <w:rsid w:val="001C704A"/>
    <w:rsid w:val="001C721C"/>
    <w:rsid w:val="001C729B"/>
    <w:rsid w:val="001C741C"/>
    <w:rsid w:val="001C783E"/>
    <w:rsid w:val="001C7AF9"/>
    <w:rsid w:val="001C7C7B"/>
    <w:rsid w:val="001C7CBB"/>
    <w:rsid w:val="001D01A9"/>
    <w:rsid w:val="001D0426"/>
    <w:rsid w:val="001D04A9"/>
    <w:rsid w:val="001D05E2"/>
    <w:rsid w:val="001D0751"/>
    <w:rsid w:val="001D089B"/>
    <w:rsid w:val="001D091F"/>
    <w:rsid w:val="001D0920"/>
    <w:rsid w:val="001D0942"/>
    <w:rsid w:val="001D09C2"/>
    <w:rsid w:val="001D0AAF"/>
    <w:rsid w:val="001D0AE2"/>
    <w:rsid w:val="001D0C43"/>
    <w:rsid w:val="001D0CEB"/>
    <w:rsid w:val="001D0DAA"/>
    <w:rsid w:val="001D0DE1"/>
    <w:rsid w:val="001D1134"/>
    <w:rsid w:val="001D1223"/>
    <w:rsid w:val="001D1344"/>
    <w:rsid w:val="001D14DC"/>
    <w:rsid w:val="001D1520"/>
    <w:rsid w:val="001D1552"/>
    <w:rsid w:val="001D1565"/>
    <w:rsid w:val="001D1732"/>
    <w:rsid w:val="001D1A6F"/>
    <w:rsid w:val="001D1BB8"/>
    <w:rsid w:val="001D1C95"/>
    <w:rsid w:val="001D1FE1"/>
    <w:rsid w:val="001D2470"/>
    <w:rsid w:val="001D2650"/>
    <w:rsid w:val="001D275B"/>
    <w:rsid w:val="001D28DC"/>
    <w:rsid w:val="001D2957"/>
    <w:rsid w:val="001D299E"/>
    <w:rsid w:val="001D2A2F"/>
    <w:rsid w:val="001D2B2A"/>
    <w:rsid w:val="001D2B3A"/>
    <w:rsid w:val="001D2C49"/>
    <w:rsid w:val="001D2D22"/>
    <w:rsid w:val="001D2DF3"/>
    <w:rsid w:val="001D2F3A"/>
    <w:rsid w:val="001D3026"/>
    <w:rsid w:val="001D30DA"/>
    <w:rsid w:val="001D3169"/>
    <w:rsid w:val="001D33BA"/>
    <w:rsid w:val="001D391F"/>
    <w:rsid w:val="001D39F8"/>
    <w:rsid w:val="001D3A57"/>
    <w:rsid w:val="001D3B02"/>
    <w:rsid w:val="001D3BCD"/>
    <w:rsid w:val="001D3C3A"/>
    <w:rsid w:val="001D3C78"/>
    <w:rsid w:val="001D3CCF"/>
    <w:rsid w:val="001D3E20"/>
    <w:rsid w:val="001D3ED0"/>
    <w:rsid w:val="001D40E8"/>
    <w:rsid w:val="001D416C"/>
    <w:rsid w:val="001D4241"/>
    <w:rsid w:val="001D42B4"/>
    <w:rsid w:val="001D43E6"/>
    <w:rsid w:val="001D4578"/>
    <w:rsid w:val="001D46CE"/>
    <w:rsid w:val="001D47CF"/>
    <w:rsid w:val="001D4905"/>
    <w:rsid w:val="001D4B2B"/>
    <w:rsid w:val="001D4B2E"/>
    <w:rsid w:val="001D4B2F"/>
    <w:rsid w:val="001D4D13"/>
    <w:rsid w:val="001D4DE9"/>
    <w:rsid w:val="001D4F12"/>
    <w:rsid w:val="001D4F49"/>
    <w:rsid w:val="001D4FF2"/>
    <w:rsid w:val="001D5473"/>
    <w:rsid w:val="001D5609"/>
    <w:rsid w:val="001D566D"/>
    <w:rsid w:val="001D5753"/>
    <w:rsid w:val="001D57E7"/>
    <w:rsid w:val="001D58A4"/>
    <w:rsid w:val="001D58C8"/>
    <w:rsid w:val="001D5B01"/>
    <w:rsid w:val="001D6229"/>
    <w:rsid w:val="001D6234"/>
    <w:rsid w:val="001D6263"/>
    <w:rsid w:val="001D62ED"/>
    <w:rsid w:val="001D638A"/>
    <w:rsid w:val="001D63D0"/>
    <w:rsid w:val="001D668F"/>
    <w:rsid w:val="001D689D"/>
    <w:rsid w:val="001D69E8"/>
    <w:rsid w:val="001D69F5"/>
    <w:rsid w:val="001D6C71"/>
    <w:rsid w:val="001D6CF7"/>
    <w:rsid w:val="001D7059"/>
    <w:rsid w:val="001D71A2"/>
    <w:rsid w:val="001D71DF"/>
    <w:rsid w:val="001D71EB"/>
    <w:rsid w:val="001D7362"/>
    <w:rsid w:val="001D73C3"/>
    <w:rsid w:val="001D74BE"/>
    <w:rsid w:val="001D770E"/>
    <w:rsid w:val="001D7824"/>
    <w:rsid w:val="001D7831"/>
    <w:rsid w:val="001D792C"/>
    <w:rsid w:val="001D79A7"/>
    <w:rsid w:val="001D7B5F"/>
    <w:rsid w:val="001D7B78"/>
    <w:rsid w:val="001D7C3A"/>
    <w:rsid w:val="001D7CF6"/>
    <w:rsid w:val="001D7D07"/>
    <w:rsid w:val="001D7D0B"/>
    <w:rsid w:val="001D7DBC"/>
    <w:rsid w:val="001D7FBF"/>
    <w:rsid w:val="001E0080"/>
    <w:rsid w:val="001E00E9"/>
    <w:rsid w:val="001E01DD"/>
    <w:rsid w:val="001E0438"/>
    <w:rsid w:val="001E04BC"/>
    <w:rsid w:val="001E0720"/>
    <w:rsid w:val="001E0939"/>
    <w:rsid w:val="001E0A2D"/>
    <w:rsid w:val="001E0A42"/>
    <w:rsid w:val="001E0AB3"/>
    <w:rsid w:val="001E0C1F"/>
    <w:rsid w:val="001E0FC4"/>
    <w:rsid w:val="001E11DD"/>
    <w:rsid w:val="001E11E2"/>
    <w:rsid w:val="001E12AA"/>
    <w:rsid w:val="001E1447"/>
    <w:rsid w:val="001E159D"/>
    <w:rsid w:val="001E17BB"/>
    <w:rsid w:val="001E17D7"/>
    <w:rsid w:val="001E1A31"/>
    <w:rsid w:val="001E1B0A"/>
    <w:rsid w:val="001E1C51"/>
    <w:rsid w:val="001E1D0D"/>
    <w:rsid w:val="001E211F"/>
    <w:rsid w:val="001E2129"/>
    <w:rsid w:val="001E21D5"/>
    <w:rsid w:val="001E2259"/>
    <w:rsid w:val="001E2295"/>
    <w:rsid w:val="001E2381"/>
    <w:rsid w:val="001E2412"/>
    <w:rsid w:val="001E2779"/>
    <w:rsid w:val="001E289E"/>
    <w:rsid w:val="001E28C0"/>
    <w:rsid w:val="001E28D4"/>
    <w:rsid w:val="001E2A45"/>
    <w:rsid w:val="001E2A5F"/>
    <w:rsid w:val="001E2AB6"/>
    <w:rsid w:val="001E2BAE"/>
    <w:rsid w:val="001E2CC1"/>
    <w:rsid w:val="001E2DD7"/>
    <w:rsid w:val="001E2E6A"/>
    <w:rsid w:val="001E2E95"/>
    <w:rsid w:val="001E3159"/>
    <w:rsid w:val="001E3189"/>
    <w:rsid w:val="001E31D9"/>
    <w:rsid w:val="001E33FC"/>
    <w:rsid w:val="001E34DA"/>
    <w:rsid w:val="001E3551"/>
    <w:rsid w:val="001E361D"/>
    <w:rsid w:val="001E37B5"/>
    <w:rsid w:val="001E37DE"/>
    <w:rsid w:val="001E37E1"/>
    <w:rsid w:val="001E38B8"/>
    <w:rsid w:val="001E39DD"/>
    <w:rsid w:val="001E39EB"/>
    <w:rsid w:val="001E3A1F"/>
    <w:rsid w:val="001E3A89"/>
    <w:rsid w:val="001E3AE1"/>
    <w:rsid w:val="001E3C46"/>
    <w:rsid w:val="001E3C50"/>
    <w:rsid w:val="001E3C9F"/>
    <w:rsid w:val="001E3DE3"/>
    <w:rsid w:val="001E3E6C"/>
    <w:rsid w:val="001E426B"/>
    <w:rsid w:val="001E4276"/>
    <w:rsid w:val="001E4279"/>
    <w:rsid w:val="001E438C"/>
    <w:rsid w:val="001E4526"/>
    <w:rsid w:val="001E477D"/>
    <w:rsid w:val="001E4877"/>
    <w:rsid w:val="001E49E3"/>
    <w:rsid w:val="001E4A61"/>
    <w:rsid w:val="001E4ABC"/>
    <w:rsid w:val="001E4B7A"/>
    <w:rsid w:val="001E4C31"/>
    <w:rsid w:val="001E4C55"/>
    <w:rsid w:val="001E4DC7"/>
    <w:rsid w:val="001E4EA7"/>
    <w:rsid w:val="001E5016"/>
    <w:rsid w:val="001E5061"/>
    <w:rsid w:val="001E524C"/>
    <w:rsid w:val="001E52FD"/>
    <w:rsid w:val="001E535F"/>
    <w:rsid w:val="001E53ED"/>
    <w:rsid w:val="001E5408"/>
    <w:rsid w:val="001E5951"/>
    <w:rsid w:val="001E5986"/>
    <w:rsid w:val="001E59D0"/>
    <w:rsid w:val="001E5ACD"/>
    <w:rsid w:val="001E5B77"/>
    <w:rsid w:val="001E5BD6"/>
    <w:rsid w:val="001E5CF0"/>
    <w:rsid w:val="001E5CFB"/>
    <w:rsid w:val="001E5D77"/>
    <w:rsid w:val="001E5DDE"/>
    <w:rsid w:val="001E5EF3"/>
    <w:rsid w:val="001E607A"/>
    <w:rsid w:val="001E60FC"/>
    <w:rsid w:val="001E641E"/>
    <w:rsid w:val="001E6421"/>
    <w:rsid w:val="001E658B"/>
    <w:rsid w:val="001E6595"/>
    <w:rsid w:val="001E6674"/>
    <w:rsid w:val="001E66D9"/>
    <w:rsid w:val="001E678A"/>
    <w:rsid w:val="001E692E"/>
    <w:rsid w:val="001E6A9C"/>
    <w:rsid w:val="001E6AD9"/>
    <w:rsid w:val="001E6C37"/>
    <w:rsid w:val="001E6E7A"/>
    <w:rsid w:val="001E6FE5"/>
    <w:rsid w:val="001E7074"/>
    <w:rsid w:val="001E7273"/>
    <w:rsid w:val="001E741C"/>
    <w:rsid w:val="001E7428"/>
    <w:rsid w:val="001E79FF"/>
    <w:rsid w:val="001E7B24"/>
    <w:rsid w:val="001E7CB8"/>
    <w:rsid w:val="001E7E57"/>
    <w:rsid w:val="001E7E59"/>
    <w:rsid w:val="001E7F43"/>
    <w:rsid w:val="001E7F7D"/>
    <w:rsid w:val="001E7FD1"/>
    <w:rsid w:val="001F016A"/>
    <w:rsid w:val="001F01D7"/>
    <w:rsid w:val="001F02AB"/>
    <w:rsid w:val="001F02D9"/>
    <w:rsid w:val="001F034A"/>
    <w:rsid w:val="001F042C"/>
    <w:rsid w:val="001F0646"/>
    <w:rsid w:val="001F0660"/>
    <w:rsid w:val="001F06C6"/>
    <w:rsid w:val="001F0810"/>
    <w:rsid w:val="001F089D"/>
    <w:rsid w:val="001F09F1"/>
    <w:rsid w:val="001F0AC2"/>
    <w:rsid w:val="001F0B10"/>
    <w:rsid w:val="001F0E3C"/>
    <w:rsid w:val="001F0F6C"/>
    <w:rsid w:val="001F137E"/>
    <w:rsid w:val="001F156E"/>
    <w:rsid w:val="001F1733"/>
    <w:rsid w:val="001F180D"/>
    <w:rsid w:val="001F18E8"/>
    <w:rsid w:val="001F1A6F"/>
    <w:rsid w:val="001F1B09"/>
    <w:rsid w:val="001F1C13"/>
    <w:rsid w:val="001F1D02"/>
    <w:rsid w:val="001F1EC9"/>
    <w:rsid w:val="001F204F"/>
    <w:rsid w:val="001F2163"/>
    <w:rsid w:val="001F2191"/>
    <w:rsid w:val="001F21FC"/>
    <w:rsid w:val="001F261C"/>
    <w:rsid w:val="001F2849"/>
    <w:rsid w:val="001F2890"/>
    <w:rsid w:val="001F28F7"/>
    <w:rsid w:val="001F2952"/>
    <w:rsid w:val="001F297B"/>
    <w:rsid w:val="001F2B15"/>
    <w:rsid w:val="001F2BC6"/>
    <w:rsid w:val="001F2BF8"/>
    <w:rsid w:val="001F2D64"/>
    <w:rsid w:val="001F2D72"/>
    <w:rsid w:val="001F2DF0"/>
    <w:rsid w:val="001F2E9E"/>
    <w:rsid w:val="001F2F7C"/>
    <w:rsid w:val="001F31C6"/>
    <w:rsid w:val="001F31D2"/>
    <w:rsid w:val="001F3275"/>
    <w:rsid w:val="001F3378"/>
    <w:rsid w:val="001F347A"/>
    <w:rsid w:val="001F357E"/>
    <w:rsid w:val="001F35C2"/>
    <w:rsid w:val="001F35E4"/>
    <w:rsid w:val="001F3861"/>
    <w:rsid w:val="001F39A1"/>
    <w:rsid w:val="001F3C1C"/>
    <w:rsid w:val="001F4243"/>
    <w:rsid w:val="001F4454"/>
    <w:rsid w:val="001F44D3"/>
    <w:rsid w:val="001F463E"/>
    <w:rsid w:val="001F469A"/>
    <w:rsid w:val="001F4755"/>
    <w:rsid w:val="001F479A"/>
    <w:rsid w:val="001F47CC"/>
    <w:rsid w:val="001F4818"/>
    <w:rsid w:val="001F4C7F"/>
    <w:rsid w:val="001F4D34"/>
    <w:rsid w:val="001F5040"/>
    <w:rsid w:val="001F50A4"/>
    <w:rsid w:val="001F550C"/>
    <w:rsid w:val="001F550E"/>
    <w:rsid w:val="001F5549"/>
    <w:rsid w:val="001F5D44"/>
    <w:rsid w:val="001F5D90"/>
    <w:rsid w:val="001F5E51"/>
    <w:rsid w:val="001F5E80"/>
    <w:rsid w:val="001F6112"/>
    <w:rsid w:val="001F6200"/>
    <w:rsid w:val="001F6336"/>
    <w:rsid w:val="001F637F"/>
    <w:rsid w:val="001F63DD"/>
    <w:rsid w:val="001F64ED"/>
    <w:rsid w:val="001F658C"/>
    <w:rsid w:val="001F6606"/>
    <w:rsid w:val="001F6720"/>
    <w:rsid w:val="001F6734"/>
    <w:rsid w:val="001F68A0"/>
    <w:rsid w:val="001F68A8"/>
    <w:rsid w:val="001F6A93"/>
    <w:rsid w:val="001F6DBE"/>
    <w:rsid w:val="001F6E23"/>
    <w:rsid w:val="001F6E64"/>
    <w:rsid w:val="001F6F4E"/>
    <w:rsid w:val="001F6F57"/>
    <w:rsid w:val="001F6FA1"/>
    <w:rsid w:val="001F7151"/>
    <w:rsid w:val="001F71DE"/>
    <w:rsid w:val="001F7290"/>
    <w:rsid w:val="001F7293"/>
    <w:rsid w:val="001F7328"/>
    <w:rsid w:val="001F752D"/>
    <w:rsid w:val="001F76F6"/>
    <w:rsid w:val="001F797E"/>
    <w:rsid w:val="001F79F3"/>
    <w:rsid w:val="001F7A87"/>
    <w:rsid w:val="001F7ABA"/>
    <w:rsid w:val="001F7DA4"/>
    <w:rsid w:val="0020005A"/>
    <w:rsid w:val="0020006C"/>
    <w:rsid w:val="002000A7"/>
    <w:rsid w:val="002000FC"/>
    <w:rsid w:val="00200149"/>
    <w:rsid w:val="00200228"/>
    <w:rsid w:val="002002C5"/>
    <w:rsid w:val="002004FD"/>
    <w:rsid w:val="002008A1"/>
    <w:rsid w:val="002009B2"/>
    <w:rsid w:val="002009B8"/>
    <w:rsid w:val="00200A74"/>
    <w:rsid w:val="00200B74"/>
    <w:rsid w:val="00200D72"/>
    <w:rsid w:val="00200DCF"/>
    <w:rsid w:val="00201026"/>
    <w:rsid w:val="00201064"/>
    <w:rsid w:val="00201076"/>
    <w:rsid w:val="002010D6"/>
    <w:rsid w:val="0020115D"/>
    <w:rsid w:val="002012AB"/>
    <w:rsid w:val="002016FC"/>
    <w:rsid w:val="0020172A"/>
    <w:rsid w:val="0020188A"/>
    <w:rsid w:val="00201C46"/>
    <w:rsid w:val="00201CC9"/>
    <w:rsid w:val="00201DE9"/>
    <w:rsid w:val="00201EF9"/>
    <w:rsid w:val="00201EFD"/>
    <w:rsid w:val="002021BE"/>
    <w:rsid w:val="00202409"/>
    <w:rsid w:val="002024A6"/>
    <w:rsid w:val="00202A0D"/>
    <w:rsid w:val="00202B05"/>
    <w:rsid w:val="00202C1A"/>
    <w:rsid w:val="00202D57"/>
    <w:rsid w:val="00202FB5"/>
    <w:rsid w:val="00203186"/>
    <w:rsid w:val="00203358"/>
    <w:rsid w:val="002033FB"/>
    <w:rsid w:val="0020345A"/>
    <w:rsid w:val="002034A3"/>
    <w:rsid w:val="0020374C"/>
    <w:rsid w:val="002038F9"/>
    <w:rsid w:val="00203B25"/>
    <w:rsid w:val="00203B53"/>
    <w:rsid w:val="00203E7F"/>
    <w:rsid w:val="002040D4"/>
    <w:rsid w:val="002043CC"/>
    <w:rsid w:val="0020445C"/>
    <w:rsid w:val="0020446C"/>
    <w:rsid w:val="0020463E"/>
    <w:rsid w:val="002046CF"/>
    <w:rsid w:val="00204710"/>
    <w:rsid w:val="002048E2"/>
    <w:rsid w:val="00204B01"/>
    <w:rsid w:val="00204C97"/>
    <w:rsid w:val="00204EB3"/>
    <w:rsid w:val="0020503E"/>
    <w:rsid w:val="00205080"/>
    <w:rsid w:val="00205597"/>
    <w:rsid w:val="002058C8"/>
    <w:rsid w:val="00205962"/>
    <w:rsid w:val="00205A77"/>
    <w:rsid w:val="00205B0E"/>
    <w:rsid w:val="00205D13"/>
    <w:rsid w:val="00205EC2"/>
    <w:rsid w:val="0020602F"/>
    <w:rsid w:val="00206333"/>
    <w:rsid w:val="0020651D"/>
    <w:rsid w:val="00206790"/>
    <w:rsid w:val="002068CC"/>
    <w:rsid w:val="00206A28"/>
    <w:rsid w:val="00206A7F"/>
    <w:rsid w:val="00206FA5"/>
    <w:rsid w:val="00207066"/>
    <w:rsid w:val="002070C8"/>
    <w:rsid w:val="002071AE"/>
    <w:rsid w:val="002071C2"/>
    <w:rsid w:val="0020745B"/>
    <w:rsid w:val="00207596"/>
    <w:rsid w:val="002075CD"/>
    <w:rsid w:val="002077EF"/>
    <w:rsid w:val="002079CA"/>
    <w:rsid w:val="00207B37"/>
    <w:rsid w:val="00207DB0"/>
    <w:rsid w:val="00207EA2"/>
    <w:rsid w:val="00207FAD"/>
    <w:rsid w:val="00207FB8"/>
    <w:rsid w:val="00210064"/>
    <w:rsid w:val="00210150"/>
    <w:rsid w:val="002103AF"/>
    <w:rsid w:val="002103EB"/>
    <w:rsid w:val="002106B4"/>
    <w:rsid w:val="00210772"/>
    <w:rsid w:val="002108C5"/>
    <w:rsid w:val="00210E44"/>
    <w:rsid w:val="00210E4E"/>
    <w:rsid w:val="00210F02"/>
    <w:rsid w:val="0021109E"/>
    <w:rsid w:val="00211163"/>
    <w:rsid w:val="00211198"/>
    <w:rsid w:val="002114B9"/>
    <w:rsid w:val="00211830"/>
    <w:rsid w:val="00211879"/>
    <w:rsid w:val="002118DA"/>
    <w:rsid w:val="00211B05"/>
    <w:rsid w:val="00211B79"/>
    <w:rsid w:val="00211CE6"/>
    <w:rsid w:val="00211EA2"/>
    <w:rsid w:val="00211ED8"/>
    <w:rsid w:val="00211F06"/>
    <w:rsid w:val="00212586"/>
    <w:rsid w:val="00212885"/>
    <w:rsid w:val="002128DE"/>
    <w:rsid w:val="002129A4"/>
    <w:rsid w:val="00212A14"/>
    <w:rsid w:val="00212AD8"/>
    <w:rsid w:val="0021306C"/>
    <w:rsid w:val="0021309A"/>
    <w:rsid w:val="002130E8"/>
    <w:rsid w:val="002130F5"/>
    <w:rsid w:val="00213118"/>
    <w:rsid w:val="0021323E"/>
    <w:rsid w:val="002132F7"/>
    <w:rsid w:val="002133B0"/>
    <w:rsid w:val="002133C8"/>
    <w:rsid w:val="00213571"/>
    <w:rsid w:val="0021372D"/>
    <w:rsid w:val="002137E3"/>
    <w:rsid w:val="00213B11"/>
    <w:rsid w:val="00213CBB"/>
    <w:rsid w:val="00213CE4"/>
    <w:rsid w:val="00213ECF"/>
    <w:rsid w:val="00213EE8"/>
    <w:rsid w:val="00213F67"/>
    <w:rsid w:val="002141CA"/>
    <w:rsid w:val="0021441F"/>
    <w:rsid w:val="0021443A"/>
    <w:rsid w:val="002144C1"/>
    <w:rsid w:val="0021465A"/>
    <w:rsid w:val="0021468C"/>
    <w:rsid w:val="002146AD"/>
    <w:rsid w:val="002146FC"/>
    <w:rsid w:val="0021479E"/>
    <w:rsid w:val="00214809"/>
    <w:rsid w:val="00214A0B"/>
    <w:rsid w:val="00214B0D"/>
    <w:rsid w:val="00214B1F"/>
    <w:rsid w:val="00214DA0"/>
    <w:rsid w:val="00214ECB"/>
    <w:rsid w:val="00214F01"/>
    <w:rsid w:val="00214FE7"/>
    <w:rsid w:val="00215371"/>
    <w:rsid w:val="002153E1"/>
    <w:rsid w:val="002155FE"/>
    <w:rsid w:val="00215754"/>
    <w:rsid w:val="00215877"/>
    <w:rsid w:val="00215C18"/>
    <w:rsid w:val="00215EBD"/>
    <w:rsid w:val="00215EF6"/>
    <w:rsid w:val="0021603E"/>
    <w:rsid w:val="00216466"/>
    <w:rsid w:val="0021647A"/>
    <w:rsid w:val="002164EF"/>
    <w:rsid w:val="00216579"/>
    <w:rsid w:val="00216B82"/>
    <w:rsid w:val="00216C53"/>
    <w:rsid w:val="00216C81"/>
    <w:rsid w:val="00216CEE"/>
    <w:rsid w:val="00217019"/>
    <w:rsid w:val="00217082"/>
    <w:rsid w:val="0021713C"/>
    <w:rsid w:val="002171E0"/>
    <w:rsid w:val="002173A0"/>
    <w:rsid w:val="002173F2"/>
    <w:rsid w:val="00217A21"/>
    <w:rsid w:val="00217ACA"/>
    <w:rsid w:val="00217BB3"/>
    <w:rsid w:val="00217DA5"/>
    <w:rsid w:val="00217E26"/>
    <w:rsid w:val="00217F22"/>
    <w:rsid w:val="00220056"/>
    <w:rsid w:val="0022005E"/>
    <w:rsid w:val="002200A6"/>
    <w:rsid w:val="0022035C"/>
    <w:rsid w:val="00220376"/>
    <w:rsid w:val="002205A4"/>
    <w:rsid w:val="002205EB"/>
    <w:rsid w:val="002205FC"/>
    <w:rsid w:val="00220698"/>
    <w:rsid w:val="0022078B"/>
    <w:rsid w:val="002208F3"/>
    <w:rsid w:val="0022097F"/>
    <w:rsid w:val="0022099B"/>
    <w:rsid w:val="00220A07"/>
    <w:rsid w:val="00220B70"/>
    <w:rsid w:val="00220BBE"/>
    <w:rsid w:val="00220CA5"/>
    <w:rsid w:val="00220E4E"/>
    <w:rsid w:val="0022102B"/>
    <w:rsid w:val="002210F3"/>
    <w:rsid w:val="00221226"/>
    <w:rsid w:val="00221335"/>
    <w:rsid w:val="0022152C"/>
    <w:rsid w:val="002216D8"/>
    <w:rsid w:val="00221845"/>
    <w:rsid w:val="002218D0"/>
    <w:rsid w:val="00221952"/>
    <w:rsid w:val="00221AD1"/>
    <w:rsid w:val="002220ED"/>
    <w:rsid w:val="0022211A"/>
    <w:rsid w:val="002221A1"/>
    <w:rsid w:val="002221E7"/>
    <w:rsid w:val="002222CB"/>
    <w:rsid w:val="002224A3"/>
    <w:rsid w:val="002225DA"/>
    <w:rsid w:val="002226A9"/>
    <w:rsid w:val="002227C9"/>
    <w:rsid w:val="0022290D"/>
    <w:rsid w:val="00222931"/>
    <w:rsid w:val="00222C12"/>
    <w:rsid w:val="00222E2C"/>
    <w:rsid w:val="00222EC6"/>
    <w:rsid w:val="00222F3A"/>
    <w:rsid w:val="00223149"/>
    <w:rsid w:val="00223252"/>
    <w:rsid w:val="00223348"/>
    <w:rsid w:val="002233DA"/>
    <w:rsid w:val="002234D0"/>
    <w:rsid w:val="0022372B"/>
    <w:rsid w:val="00223753"/>
    <w:rsid w:val="00223772"/>
    <w:rsid w:val="002239CD"/>
    <w:rsid w:val="00223B39"/>
    <w:rsid w:val="00223E8E"/>
    <w:rsid w:val="0022402F"/>
    <w:rsid w:val="0022414E"/>
    <w:rsid w:val="0022450D"/>
    <w:rsid w:val="00224605"/>
    <w:rsid w:val="00224671"/>
    <w:rsid w:val="00224697"/>
    <w:rsid w:val="0022487F"/>
    <w:rsid w:val="0022497A"/>
    <w:rsid w:val="00224A4D"/>
    <w:rsid w:val="00224A6C"/>
    <w:rsid w:val="00224B4F"/>
    <w:rsid w:val="00225066"/>
    <w:rsid w:val="00225087"/>
    <w:rsid w:val="00225089"/>
    <w:rsid w:val="002251B8"/>
    <w:rsid w:val="00225386"/>
    <w:rsid w:val="00225414"/>
    <w:rsid w:val="0022546B"/>
    <w:rsid w:val="0022568B"/>
    <w:rsid w:val="002256DE"/>
    <w:rsid w:val="002257D1"/>
    <w:rsid w:val="00225E69"/>
    <w:rsid w:val="00225E90"/>
    <w:rsid w:val="00225EEA"/>
    <w:rsid w:val="0022607B"/>
    <w:rsid w:val="00226225"/>
    <w:rsid w:val="0022629B"/>
    <w:rsid w:val="0022637A"/>
    <w:rsid w:val="00226459"/>
    <w:rsid w:val="002264C4"/>
    <w:rsid w:val="002265D4"/>
    <w:rsid w:val="002268F7"/>
    <w:rsid w:val="00226905"/>
    <w:rsid w:val="0022697D"/>
    <w:rsid w:val="00226B9C"/>
    <w:rsid w:val="00226D01"/>
    <w:rsid w:val="00226F58"/>
    <w:rsid w:val="0022701F"/>
    <w:rsid w:val="0022709C"/>
    <w:rsid w:val="002270B2"/>
    <w:rsid w:val="002270FF"/>
    <w:rsid w:val="002271DF"/>
    <w:rsid w:val="0022722C"/>
    <w:rsid w:val="00227232"/>
    <w:rsid w:val="002272CB"/>
    <w:rsid w:val="002272DE"/>
    <w:rsid w:val="002274C1"/>
    <w:rsid w:val="00227543"/>
    <w:rsid w:val="0022769E"/>
    <w:rsid w:val="002276B0"/>
    <w:rsid w:val="002276FF"/>
    <w:rsid w:val="0022784B"/>
    <w:rsid w:val="00230048"/>
    <w:rsid w:val="002300C4"/>
    <w:rsid w:val="0023013E"/>
    <w:rsid w:val="00230209"/>
    <w:rsid w:val="00230396"/>
    <w:rsid w:val="002303F9"/>
    <w:rsid w:val="002304FA"/>
    <w:rsid w:val="002306B0"/>
    <w:rsid w:val="00230925"/>
    <w:rsid w:val="00230958"/>
    <w:rsid w:val="0023095D"/>
    <w:rsid w:val="002309C1"/>
    <w:rsid w:val="00230B4A"/>
    <w:rsid w:val="00230DD2"/>
    <w:rsid w:val="00230E9E"/>
    <w:rsid w:val="0023109D"/>
    <w:rsid w:val="00231641"/>
    <w:rsid w:val="0023167B"/>
    <w:rsid w:val="00231723"/>
    <w:rsid w:val="00231970"/>
    <w:rsid w:val="00231C0E"/>
    <w:rsid w:val="00231D84"/>
    <w:rsid w:val="00231DD8"/>
    <w:rsid w:val="00231E3D"/>
    <w:rsid w:val="0023201D"/>
    <w:rsid w:val="002320B0"/>
    <w:rsid w:val="002321B9"/>
    <w:rsid w:val="002323F4"/>
    <w:rsid w:val="002325F0"/>
    <w:rsid w:val="002329E1"/>
    <w:rsid w:val="00232B19"/>
    <w:rsid w:val="00232D3E"/>
    <w:rsid w:val="00232ECF"/>
    <w:rsid w:val="00232F96"/>
    <w:rsid w:val="00232FA5"/>
    <w:rsid w:val="002331AE"/>
    <w:rsid w:val="0023345E"/>
    <w:rsid w:val="00233547"/>
    <w:rsid w:val="00233571"/>
    <w:rsid w:val="002335BF"/>
    <w:rsid w:val="002336E4"/>
    <w:rsid w:val="00233822"/>
    <w:rsid w:val="002338AF"/>
    <w:rsid w:val="002338E7"/>
    <w:rsid w:val="00233922"/>
    <w:rsid w:val="00233A7C"/>
    <w:rsid w:val="00233A84"/>
    <w:rsid w:val="00233D37"/>
    <w:rsid w:val="00233DC9"/>
    <w:rsid w:val="00233E0B"/>
    <w:rsid w:val="0023418B"/>
    <w:rsid w:val="0023428B"/>
    <w:rsid w:val="002343EF"/>
    <w:rsid w:val="002347C4"/>
    <w:rsid w:val="00234929"/>
    <w:rsid w:val="00234ADF"/>
    <w:rsid w:val="00234C63"/>
    <w:rsid w:val="00234CA4"/>
    <w:rsid w:val="00234D60"/>
    <w:rsid w:val="0023503B"/>
    <w:rsid w:val="0023503C"/>
    <w:rsid w:val="002353EA"/>
    <w:rsid w:val="0023557F"/>
    <w:rsid w:val="00235593"/>
    <w:rsid w:val="002355C6"/>
    <w:rsid w:val="002355E0"/>
    <w:rsid w:val="00235781"/>
    <w:rsid w:val="0023587F"/>
    <w:rsid w:val="00235905"/>
    <w:rsid w:val="00235B6F"/>
    <w:rsid w:val="00235BAD"/>
    <w:rsid w:val="00235BC7"/>
    <w:rsid w:val="00235CF4"/>
    <w:rsid w:val="00235D23"/>
    <w:rsid w:val="0023601B"/>
    <w:rsid w:val="002360FC"/>
    <w:rsid w:val="0023624D"/>
    <w:rsid w:val="00236291"/>
    <w:rsid w:val="002363C2"/>
    <w:rsid w:val="0023640B"/>
    <w:rsid w:val="00236683"/>
    <w:rsid w:val="00236BFE"/>
    <w:rsid w:val="00236C0A"/>
    <w:rsid w:val="00236CFE"/>
    <w:rsid w:val="00236F35"/>
    <w:rsid w:val="00237339"/>
    <w:rsid w:val="002374BD"/>
    <w:rsid w:val="002375C1"/>
    <w:rsid w:val="002375CF"/>
    <w:rsid w:val="002378A8"/>
    <w:rsid w:val="002379AE"/>
    <w:rsid w:val="00237A0C"/>
    <w:rsid w:val="00237A33"/>
    <w:rsid w:val="00237CF3"/>
    <w:rsid w:val="00237E1F"/>
    <w:rsid w:val="00237F97"/>
    <w:rsid w:val="00237FE5"/>
    <w:rsid w:val="00240211"/>
    <w:rsid w:val="002403AA"/>
    <w:rsid w:val="002403BD"/>
    <w:rsid w:val="002404C9"/>
    <w:rsid w:val="002405F1"/>
    <w:rsid w:val="002406DE"/>
    <w:rsid w:val="0024074F"/>
    <w:rsid w:val="002408D8"/>
    <w:rsid w:val="0024092F"/>
    <w:rsid w:val="00240ACA"/>
    <w:rsid w:val="00240AF3"/>
    <w:rsid w:val="00240D37"/>
    <w:rsid w:val="00240D8A"/>
    <w:rsid w:val="00240F6F"/>
    <w:rsid w:val="00240FE0"/>
    <w:rsid w:val="0024101D"/>
    <w:rsid w:val="00241020"/>
    <w:rsid w:val="00241092"/>
    <w:rsid w:val="002412D5"/>
    <w:rsid w:val="0024142F"/>
    <w:rsid w:val="002414F5"/>
    <w:rsid w:val="0024151B"/>
    <w:rsid w:val="0024154A"/>
    <w:rsid w:val="00241563"/>
    <w:rsid w:val="0024184C"/>
    <w:rsid w:val="00241B94"/>
    <w:rsid w:val="00241D64"/>
    <w:rsid w:val="00241E84"/>
    <w:rsid w:val="00241E85"/>
    <w:rsid w:val="00242040"/>
    <w:rsid w:val="0024217D"/>
    <w:rsid w:val="002421F8"/>
    <w:rsid w:val="00242224"/>
    <w:rsid w:val="00242234"/>
    <w:rsid w:val="00242254"/>
    <w:rsid w:val="002422A1"/>
    <w:rsid w:val="0024238E"/>
    <w:rsid w:val="00242454"/>
    <w:rsid w:val="00242749"/>
    <w:rsid w:val="00242965"/>
    <w:rsid w:val="00242BA3"/>
    <w:rsid w:val="00242D4A"/>
    <w:rsid w:val="00243082"/>
    <w:rsid w:val="00243399"/>
    <w:rsid w:val="00243544"/>
    <w:rsid w:val="00243812"/>
    <w:rsid w:val="002438A7"/>
    <w:rsid w:val="00243AD8"/>
    <w:rsid w:val="00243BC8"/>
    <w:rsid w:val="00243C88"/>
    <w:rsid w:val="00243D32"/>
    <w:rsid w:val="00243EE2"/>
    <w:rsid w:val="00244192"/>
    <w:rsid w:val="00244259"/>
    <w:rsid w:val="002444F1"/>
    <w:rsid w:val="00244538"/>
    <w:rsid w:val="0024453A"/>
    <w:rsid w:val="002445D7"/>
    <w:rsid w:val="0024460B"/>
    <w:rsid w:val="0024464C"/>
    <w:rsid w:val="0024465D"/>
    <w:rsid w:val="002446F1"/>
    <w:rsid w:val="002448C0"/>
    <w:rsid w:val="002448CB"/>
    <w:rsid w:val="00244A35"/>
    <w:rsid w:val="00244AE8"/>
    <w:rsid w:val="00244EF4"/>
    <w:rsid w:val="00244F0A"/>
    <w:rsid w:val="00244F4A"/>
    <w:rsid w:val="00244F70"/>
    <w:rsid w:val="0024517C"/>
    <w:rsid w:val="0024535C"/>
    <w:rsid w:val="002453B7"/>
    <w:rsid w:val="00245480"/>
    <w:rsid w:val="00245558"/>
    <w:rsid w:val="002457A9"/>
    <w:rsid w:val="00245961"/>
    <w:rsid w:val="00245C94"/>
    <w:rsid w:val="00245DAA"/>
    <w:rsid w:val="002463E3"/>
    <w:rsid w:val="0024643C"/>
    <w:rsid w:val="00246458"/>
    <w:rsid w:val="002464C4"/>
    <w:rsid w:val="002464DC"/>
    <w:rsid w:val="0024650B"/>
    <w:rsid w:val="0024666E"/>
    <w:rsid w:val="002468BD"/>
    <w:rsid w:val="002468F1"/>
    <w:rsid w:val="00246956"/>
    <w:rsid w:val="00246A9B"/>
    <w:rsid w:val="00246AA6"/>
    <w:rsid w:val="00246B49"/>
    <w:rsid w:val="00246B68"/>
    <w:rsid w:val="00246B7A"/>
    <w:rsid w:val="00246E0F"/>
    <w:rsid w:val="00247019"/>
    <w:rsid w:val="002471B4"/>
    <w:rsid w:val="002473B6"/>
    <w:rsid w:val="00247591"/>
    <w:rsid w:val="002477D0"/>
    <w:rsid w:val="0024795F"/>
    <w:rsid w:val="002479CC"/>
    <w:rsid w:val="00247A75"/>
    <w:rsid w:val="00247B15"/>
    <w:rsid w:val="00247B8B"/>
    <w:rsid w:val="00247D6B"/>
    <w:rsid w:val="00247DAF"/>
    <w:rsid w:val="00247DBA"/>
    <w:rsid w:val="00247E7C"/>
    <w:rsid w:val="00247F99"/>
    <w:rsid w:val="00250498"/>
    <w:rsid w:val="00250671"/>
    <w:rsid w:val="00250683"/>
    <w:rsid w:val="00250856"/>
    <w:rsid w:val="00250943"/>
    <w:rsid w:val="002509AF"/>
    <w:rsid w:val="00250B2B"/>
    <w:rsid w:val="00250C3E"/>
    <w:rsid w:val="00250C5C"/>
    <w:rsid w:val="00250CEC"/>
    <w:rsid w:val="00250FB8"/>
    <w:rsid w:val="00251614"/>
    <w:rsid w:val="00251830"/>
    <w:rsid w:val="00251917"/>
    <w:rsid w:val="00251A36"/>
    <w:rsid w:val="00251AE0"/>
    <w:rsid w:val="00251BAB"/>
    <w:rsid w:val="00251BEA"/>
    <w:rsid w:val="00251C74"/>
    <w:rsid w:val="00251CA9"/>
    <w:rsid w:val="00251CC3"/>
    <w:rsid w:val="00251CED"/>
    <w:rsid w:val="0025211F"/>
    <w:rsid w:val="00252137"/>
    <w:rsid w:val="00252210"/>
    <w:rsid w:val="002522E8"/>
    <w:rsid w:val="002524F8"/>
    <w:rsid w:val="00252539"/>
    <w:rsid w:val="002525C4"/>
    <w:rsid w:val="00252665"/>
    <w:rsid w:val="00252851"/>
    <w:rsid w:val="002528E2"/>
    <w:rsid w:val="00252958"/>
    <w:rsid w:val="00252A97"/>
    <w:rsid w:val="00252AB6"/>
    <w:rsid w:val="00252C1C"/>
    <w:rsid w:val="00252C93"/>
    <w:rsid w:val="00252D02"/>
    <w:rsid w:val="00252D38"/>
    <w:rsid w:val="0025316E"/>
    <w:rsid w:val="0025323B"/>
    <w:rsid w:val="002532DE"/>
    <w:rsid w:val="002533DC"/>
    <w:rsid w:val="0025340F"/>
    <w:rsid w:val="0025343B"/>
    <w:rsid w:val="0025344D"/>
    <w:rsid w:val="0025369E"/>
    <w:rsid w:val="00253702"/>
    <w:rsid w:val="00253730"/>
    <w:rsid w:val="00253A59"/>
    <w:rsid w:val="00253A96"/>
    <w:rsid w:val="00253B22"/>
    <w:rsid w:val="00253B46"/>
    <w:rsid w:val="00253BC6"/>
    <w:rsid w:val="00253E0F"/>
    <w:rsid w:val="00253F53"/>
    <w:rsid w:val="00253FFF"/>
    <w:rsid w:val="00254002"/>
    <w:rsid w:val="002540DD"/>
    <w:rsid w:val="002541C8"/>
    <w:rsid w:val="002542CE"/>
    <w:rsid w:val="00254418"/>
    <w:rsid w:val="00254499"/>
    <w:rsid w:val="00254583"/>
    <w:rsid w:val="002548F2"/>
    <w:rsid w:val="00254B1E"/>
    <w:rsid w:val="00254D9B"/>
    <w:rsid w:val="00254DB4"/>
    <w:rsid w:val="00254F40"/>
    <w:rsid w:val="00254F70"/>
    <w:rsid w:val="00254F8A"/>
    <w:rsid w:val="00255098"/>
    <w:rsid w:val="002552C7"/>
    <w:rsid w:val="00255643"/>
    <w:rsid w:val="002556FB"/>
    <w:rsid w:val="002558C7"/>
    <w:rsid w:val="00255BBA"/>
    <w:rsid w:val="00255BF4"/>
    <w:rsid w:val="00255C2C"/>
    <w:rsid w:val="00255C4A"/>
    <w:rsid w:val="00255D26"/>
    <w:rsid w:val="00255D80"/>
    <w:rsid w:val="00255E54"/>
    <w:rsid w:val="0025601D"/>
    <w:rsid w:val="002560AC"/>
    <w:rsid w:val="002560D5"/>
    <w:rsid w:val="00256175"/>
    <w:rsid w:val="002561EB"/>
    <w:rsid w:val="0025626D"/>
    <w:rsid w:val="00256321"/>
    <w:rsid w:val="00256560"/>
    <w:rsid w:val="00256624"/>
    <w:rsid w:val="002567B0"/>
    <w:rsid w:val="00256B70"/>
    <w:rsid w:val="00256C87"/>
    <w:rsid w:val="00256CC2"/>
    <w:rsid w:val="00256DDA"/>
    <w:rsid w:val="00256ECE"/>
    <w:rsid w:val="00256EDB"/>
    <w:rsid w:val="0025716B"/>
    <w:rsid w:val="00257225"/>
    <w:rsid w:val="00257332"/>
    <w:rsid w:val="0025744E"/>
    <w:rsid w:val="0025753B"/>
    <w:rsid w:val="00257634"/>
    <w:rsid w:val="002576D3"/>
    <w:rsid w:val="00257719"/>
    <w:rsid w:val="00257738"/>
    <w:rsid w:val="0025783F"/>
    <w:rsid w:val="002578F9"/>
    <w:rsid w:val="00257981"/>
    <w:rsid w:val="00257BB4"/>
    <w:rsid w:val="00257D91"/>
    <w:rsid w:val="00257E80"/>
    <w:rsid w:val="00257F30"/>
    <w:rsid w:val="00257F46"/>
    <w:rsid w:val="00257F50"/>
    <w:rsid w:val="002600AD"/>
    <w:rsid w:val="00260278"/>
    <w:rsid w:val="002602F6"/>
    <w:rsid w:val="002604CC"/>
    <w:rsid w:val="0026075A"/>
    <w:rsid w:val="00260848"/>
    <w:rsid w:val="00260892"/>
    <w:rsid w:val="0026090C"/>
    <w:rsid w:val="002609F3"/>
    <w:rsid w:val="00260BB1"/>
    <w:rsid w:val="00260CB3"/>
    <w:rsid w:val="00260DC6"/>
    <w:rsid w:val="00260FF7"/>
    <w:rsid w:val="00261046"/>
    <w:rsid w:val="00261087"/>
    <w:rsid w:val="002611FB"/>
    <w:rsid w:val="00261317"/>
    <w:rsid w:val="00261321"/>
    <w:rsid w:val="002614AB"/>
    <w:rsid w:val="002614EE"/>
    <w:rsid w:val="00261625"/>
    <w:rsid w:val="0026176A"/>
    <w:rsid w:val="002618AA"/>
    <w:rsid w:val="002618F0"/>
    <w:rsid w:val="00261978"/>
    <w:rsid w:val="002619E4"/>
    <w:rsid w:val="00261D36"/>
    <w:rsid w:val="00261EA6"/>
    <w:rsid w:val="00261F7A"/>
    <w:rsid w:val="002620C0"/>
    <w:rsid w:val="002621A4"/>
    <w:rsid w:val="00262212"/>
    <w:rsid w:val="002622B1"/>
    <w:rsid w:val="0026235C"/>
    <w:rsid w:val="002624D6"/>
    <w:rsid w:val="00262566"/>
    <w:rsid w:val="002627BC"/>
    <w:rsid w:val="002628F9"/>
    <w:rsid w:val="00262ACE"/>
    <w:rsid w:val="00262C4C"/>
    <w:rsid w:val="00262E77"/>
    <w:rsid w:val="00262EDE"/>
    <w:rsid w:val="00262FDF"/>
    <w:rsid w:val="00263094"/>
    <w:rsid w:val="002632C9"/>
    <w:rsid w:val="00263373"/>
    <w:rsid w:val="002633E5"/>
    <w:rsid w:val="0026345A"/>
    <w:rsid w:val="00263470"/>
    <w:rsid w:val="002634B1"/>
    <w:rsid w:val="0026352B"/>
    <w:rsid w:val="0026358E"/>
    <w:rsid w:val="00263599"/>
    <w:rsid w:val="00263646"/>
    <w:rsid w:val="00263866"/>
    <w:rsid w:val="0026389C"/>
    <w:rsid w:val="002639D5"/>
    <w:rsid w:val="002639D6"/>
    <w:rsid w:val="00263AC1"/>
    <w:rsid w:val="00263DB3"/>
    <w:rsid w:val="00264054"/>
    <w:rsid w:val="0026409B"/>
    <w:rsid w:val="00264319"/>
    <w:rsid w:val="002646DC"/>
    <w:rsid w:val="00264767"/>
    <w:rsid w:val="002647C1"/>
    <w:rsid w:val="00264804"/>
    <w:rsid w:val="00264B53"/>
    <w:rsid w:val="00264BC6"/>
    <w:rsid w:val="00264E21"/>
    <w:rsid w:val="0026526E"/>
    <w:rsid w:val="00265270"/>
    <w:rsid w:val="0026540B"/>
    <w:rsid w:val="002654B4"/>
    <w:rsid w:val="002654E1"/>
    <w:rsid w:val="002657DD"/>
    <w:rsid w:val="002658BA"/>
    <w:rsid w:val="0026590F"/>
    <w:rsid w:val="00265B4D"/>
    <w:rsid w:val="00265BC4"/>
    <w:rsid w:val="00265C0D"/>
    <w:rsid w:val="00265C2E"/>
    <w:rsid w:val="00265DEB"/>
    <w:rsid w:val="00265F14"/>
    <w:rsid w:val="00265F7A"/>
    <w:rsid w:val="00265FFC"/>
    <w:rsid w:val="00266137"/>
    <w:rsid w:val="002662C1"/>
    <w:rsid w:val="002663F1"/>
    <w:rsid w:val="00266488"/>
    <w:rsid w:val="002664DA"/>
    <w:rsid w:val="0026655E"/>
    <w:rsid w:val="00266585"/>
    <w:rsid w:val="00266675"/>
    <w:rsid w:val="00266A5E"/>
    <w:rsid w:val="00266ACC"/>
    <w:rsid w:val="00266B57"/>
    <w:rsid w:val="00266CF8"/>
    <w:rsid w:val="00266EB7"/>
    <w:rsid w:val="002670C2"/>
    <w:rsid w:val="002674E0"/>
    <w:rsid w:val="002675C7"/>
    <w:rsid w:val="0026776B"/>
    <w:rsid w:val="0026795F"/>
    <w:rsid w:val="00267B47"/>
    <w:rsid w:val="00267C47"/>
    <w:rsid w:val="00267CF7"/>
    <w:rsid w:val="00267F2B"/>
    <w:rsid w:val="00267FDD"/>
    <w:rsid w:val="00270096"/>
    <w:rsid w:val="0027009D"/>
    <w:rsid w:val="002700A1"/>
    <w:rsid w:val="002702F7"/>
    <w:rsid w:val="00270324"/>
    <w:rsid w:val="002705E4"/>
    <w:rsid w:val="00270665"/>
    <w:rsid w:val="002707A0"/>
    <w:rsid w:val="002707B7"/>
    <w:rsid w:val="00270940"/>
    <w:rsid w:val="002709A1"/>
    <w:rsid w:val="00270F05"/>
    <w:rsid w:val="00271372"/>
    <w:rsid w:val="0027144D"/>
    <w:rsid w:val="0027146B"/>
    <w:rsid w:val="002714C2"/>
    <w:rsid w:val="0027171B"/>
    <w:rsid w:val="002719A5"/>
    <w:rsid w:val="00271ACE"/>
    <w:rsid w:val="00271B29"/>
    <w:rsid w:val="00271CD9"/>
    <w:rsid w:val="00271D02"/>
    <w:rsid w:val="00271DE1"/>
    <w:rsid w:val="00271EB7"/>
    <w:rsid w:val="00271FD2"/>
    <w:rsid w:val="00271FD7"/>
    <w:rsid w:val="00272037"/>
    <w:rsid w:val="0027226C"/>
    <w:rsid w:val="002722E0"/>
    <w:rsid w:val="00272326"/>
    <w:rsid w:val="00272332"/>
    <w:rsid w:val="0027240B"/>
    <w:rsid w:val="00272507"/>
    <w:rsid w:val="00272685"/>
    <w:rsid w:val="00272A9E"/>
    <w:rsid w:val="00272B32"/>
    <w:rsid w:val="00272D81"/>
    <w:rsid w:val="00272F24"/>
    <w:rsid w:val="0027324A"/>
    <w:rsid w:val="00273294"/>
    <w:rsid w:val="002732CF"/>
    <w:rsid w:val="00273322"/>
    <w:rsid w:val="002733FD"/>
    <w:rsid w:val="00273702"/>
    <w:rsid w:val="002738B5"/>
    <w:rsid w:val="002738DA"/>
    <w:rsid w:val="00273900"/>
    <w:rsid w:val="00273DB8"/>
    <w:rsid w:val="00273DD9"/>
    <w:rsid w:val="00273FA9"/>
    <w:rsid w:val="002742F2"/>
    <w:rsid w:val="0027432C"/>
    <w:rsid w:val="002745BE"/>
    <w:rsid w:val="002746D6"/>
    <w:rsid w:val="0027478F"/>
    <w:rsid w:val="002747A2"/>
    <w:rsid w:val="002747E3"/>
    <w:rsid w:val="002748A7"/>
    <w:rsid w:val="002748F4"/>
    <w:rsid w:val="002749E5"/>
    <w:rsid w:val="00274A11"/>
    <w:rsid w:val="00274AE2"/>
    <w:rsid w:val="00274C2D"/>
    <w:rsid w:val="00274DE8"/>
    <w:rsid w:val="00274DED"/>
    <w:rsid w:val="00274F37"/>
    <w:rsid w:val="00274F74"/>
    <w:rsid w:val="0027525B"/>
    <w:rsid w:val="0027527D"/>
    <w:rsid w:val="0027536C"/>
    <w:rsid w:val="00275384"/>
    <w:rsid w:val="00275622"/>
    <w:rsid w:val="002757AB"/>
    <w:rsid w:val="00275877"/>
    <w:rsid w:val="002758B4"/>
    <w:rsid w:val="002758DA"/>
    <w:rsid w:val="0027593C"/>
    <w:rsid w:val="00275A61"/>
    <w:rsid w:val="00275DEE"/>
    <w:rsid w:val="00275E45"/>
    <w:rsid w:val="00275E5E"/>
    <w:rsid w:val="00275F6F"/>
    <w:rsid w:val="00276015"/>
    <w:rsid w:val="0027601D"/>
    <w:rsid w:val="00276040"/>
    <w:rsid w:val="002760EF"/>
    <w:rsid w:val="00276224"/>
    <w:rsid w:val="00276341"/>
    <w:rsid w:val="00276347"/>
    <w:rsid w:val="0027663E"/>
    <w:rsid w:val="00276762"/>
    <w:rsid w:val="00276806"/>
    <w:rsid w:val="0027697E"/>
    <w:rsid w:val="002769DA"/>
    <w:rsid w:val="00276A82"/>
    <w:rsid w:val="00276B64"/>
    <w:rsid w:val="00276C54"/>
    <w:rsid w:val="00276E73"/>
    <w:rsid w:val="00276EFD"/>
    <w:rsid w:val="00276FF5"/>
    <w:rsid w:val="00277211"/>
    <w:rsid w:val="00277289"/>
    <w:rsid w:val="00277355"/>
    <w:rsid w:val="0027738D"/>
    <w:rsid w:val="002773F6"/>
    <w:rsid w:val="00277539"/>
    <w:rsid w:val="0027754C"/>
    <w:rsid w:val="0027759D"/>
    <w:rsid w:val="00277618"/>
    <w:rsid w:val="002778AD"/>
    <w:rsid w:val="00277953"/>
    <w:rsid w:val="00277B5C"/>
    <w:rsid w:val="00277DE7"/>
    <w:rsid w:val="00277EBA"/>
    <w:rsid w:val="00280010"/>
    <w:rsid w:val="00280177"/>
    <w:rsid w:val="00280220"/>
    <w:rsid w:val="00280319"/>
    <w:rsid w:val="00280359"/>
    <w:rsid w:val="002806F2"/>
    <w:rsid w:val="00280745"/>
    <w:rsid w:val="0028076D"/>
    <w:rsid w:val="00280858"/>
    <w:rsid w:val="00280895"/>
    <w:rsid w:val="00280A1F"/>
    <w:rsid w:val="00280B55"/>
    <w:rsid w:val="00280C6E"/>
    <w:rsid w:val="00280CB0"/>
    <w:rsid w:val="00280CBE"/>
    <w:rsid w:val="00280DA2"/>
    <w:rsid w:val="00280E77"/>
    <w:rsid w:val="00280F93"/>
    <w:rsid w:val="0028139F"/>
    <w:rsid w:val="0028144E"/>
    <w:rsid w:val="0028154A"/>
    <w:rsid w:val="00281575"/>
    <w:rsid w:val="002818C0"/>
    <w:rsid w:val="00281BBF"/>
    <w:rsid w:val="00281D9D"/>
    <w:rsid w:val="00281DF2"/>
    <w:rsid w:val="00281E6C"/>
    <w:rsid w:val="00281EEB"/>
    <w:rsid w:val="002820ED"/>
    <w:rsid w:val="00282112"/>
    <w:rsid w:val="00282329"/>
    <w:rsid w:val="00282407"/>
    <w:rsid w:val="00282548"/>
    <w:rsid w:val="0028256A"/>
    <w:rsid w:val="00282603"/>
    <w:rsid w:val="00282660"/>
    <w:rsid w:val="00282711"/>
    <w:rsid w:val="002827FE"/>
    <w:rsid w:val="00282800"/>
    <w:rsid w:val="00282A1D"/>
    <w:rsid w:val="00282A49"/>
    <w:rsid w:val="00282E1D"/>
    <w:rsid w:val="00282EA0"/>
    <w:rsid w:val="0028301E"/>
    <w:rsid w:val="0028304C"/>
    <w:rsid w:val="00283389"/>
    <w:rsid w:val="00283444"/>
    <w:rsid w:val="0028351E"/>
    <w:rsid w:val="00283565"/>
    <w:rsid w:val="00283648"/>
    <w:rsid w:val="002836B2"/>
    <w:rsid w:val="0028382A"/>
    <w:rsid w:val="0028389C"/>
    <w:rsid w:val="002839D3"/>
    <w:rsid w:val="00283A30"/>
    <w:rsid w:val="00283A59"/>
    <w:rsid w:val="00283CB4"/>
    <w:rsid w:val="00283D6D"/>
    <w:rsid w:val="00283E4D"/>
    <w:rsid w:val="00283EA9"/>
    <w:rsid w:val="00284001"/>
    <w:rsid w:val="0028415A"/>
    <w:rsid w:val="0028416F"/>
    <w:rsid w:val="002841C5"/>
    <w:rsid w:val="00284388"/>
    <w:rsid w:val="0028441B"/>
    <w:rsid w:val="00284438"/>
    <w:rsid w:val="00284465"/>
    <w:rsid w:val="002847E8"/>
    <w:rsid w:val="00284A0E"/>
    <w:rsid w:val="00284BDB"/>
    <w:rsid w:val="002850C3"/>
    <w:rsid w:val="00285107"/>
    <w:rsid w:val="00285129"/>
    <w:rsid w:val="002852A9"/>
    <w:rsid w:val="00285493"/>
    <w:rsid w:val="00285620"/>
    <w:rsid w:val="002857D1"/>
    <w:rsid w:val="00285A11"/>
    <w:rsid w:val="00285A96"/>
    <w:rsid w:val="00285AA2"/>
    <w:rsid w:val="00285ADC"/>
    <w:rsid w:val="00285CF5"/>
    <w:rsid w:val="00286082"/>
    <w:rsid w:val="002860F2"/>
    <w:rsid w:val="0028617F"/>
    <w:rsid w:val="002862FA"/>
    <w:rsid w:val="00286465"/>
    <w:rsid w:val="002864BE"/>
    <w:rsid w:val="00286C11"/>
    <w:rsid w:val="00286D6F"/>
    <w:rsid w:val="00286FC3"/>
    <w:rsid w:val="00287018"/>
    <w:rsid w:val="0028701B"/>
    <w:rsid w:val="002870DD"/>
    <w:rsid w:val="002874A5"/>
    <w:rsid w:val="002876C2"/>
    <w:rsid w:val="0028775C"/>
    <w:rsid w:val="00287851"/>
    <w:rsid w:val="00287C17"/>
    <w:rsid w:val="00287D24"/>
    <w:rsid w:val="002902D8"/>
    <w:rsid w:val="00290609"/>
    <w:rsid w:val="00290829"/>
    <w:rsid w:val="0029083E"/>
    <w:rsid w:val="00290859"/>
    <w:rsid w:val="00290933"/>
    <w:rsid w:val="00290957"/>
    <w:rsid w:val="00290A20"/>
    <w:rsid w:val="00290A5F"/>
    <w:rsid w:val="00290C12"/>
    <w:rsid w:val="00290C34"/>
    <w:rsid w:val="00290D5D"/>
    <w:rsid w:val="00290DFE"/>
    <w:rsid w:val="00290F79"/>
    <w:rsid w:val="0029111D"/>
    <w:rsid w:val="0029115F"/>
    <w:rsid w:val="002913E4"/>
    <w:rsid w:val="00291428"/>
    <w:rsid w:val="002916D6"/>
    <w:rsid w:val="00291D15"/>
    <w:rsid w:val="00291D62"/>
    <w:rsid w:val="00291D93"/>
    <w:rsid w:val="00291DBB"/>
    <w:rsid w:val="002920AB"/>
    <w:rsid w:val="00292389"/>
    <w:rsid w:val="00292399"/>
    <w:rsid w:val="002925A0"/>
    <w:rsid w:val="00292701"/>
    <w:rsid w:val="0029272E"/>
    <w:rsid w:val="002928B2"/>
    <w:rsid w:val="00292962"/>
    <w:rsid w:val="002929A8"/>
    <w:rsid w:val="00292BF8"/>
    <w:rsid w:val="00292D63"/>
    <w:rsid w:val="00292E4B"/>
    <w:rsid w:val="00292E81"/>
    <w:rsid w:val="00292E8C"/>
    <w:rsid w:val="00292F9C"/>
    <w:rsid w:val="002934E1"/>
    <w:rsid w:val="00293612"/>
    <w:rsid w:val="00293630"/>
    <w:rsid w:val="00293653"/>
    <w:rsid w:val="0029365D"/>
    <w:rsid w:val="002936EE"/>
    <w:rsid w:val="002936EF"/>
    <w:rsid w:val="0029372A"/>
    <w:rsid w:val="00293AB4"/>
    <w:rsid w:val="00293B49"/>
    <w:rsid w:val="00293B55"/>
    <w:rsid w:val="00293CCF"/>
    <w:rsid w:val="0029403A"/>
    <w:rsid w:val="00294158"/>
    <w:rsid w:val="00294170"/>
    <w:rsid w:val="0029450C"/>
    <w:rsid w:val="00294513"/>
    <w:rsid w:val="00294536"/>
    <w:rsid w:val="00294589"/>
    <w:rsid w:val="0029479A"/>
    <w:rsid w:val="002947E9"/>
    <w:rsid w:val="00294804"/>
    <w:rsid w:val="002948EB"/>
    <w:rsid w:val="00294965"/>
    <w:rsid w:val="002949B4"/>
    <w:rsid w:val="00294B0D"/>
    <w:rsid w:val="00294BA1"/>
    <w:rsid w:val="00294BCA"/>
    <w:rsid w:val="00294C10"/>
    <w:rsid w:val="00294DCA"/>
    <w:rsid w:val="00294FC8"/>
    <w:rsid w:val="00295115"/>
    <w:rsid w:val="00295190"/>
    <w:rsid w:val="00295246"/>
    <w:rsid w:val="0029533B"/>
    <w:rsid w:val="002953AB"/>
    <w:rsid w:val="002953E2"/>
    <w:rsid w:val="00295957"/>
    <w:rsid w:val="00295A37"/>
    <w:rsid w:val="00295B26"/>
    <w:rsid w:val="00295BFF"/>
    <w:rsid w:val="00295C21"/>
    <w:rsid w:val="00295C75"/>
    <w:rsid w:val="00295D95"/>
    <w:rsid w:val="00295E80"/>
    <w:rsid w:val="00296065"/>
    <w:rsid w:val="0029619B"/>
    <w:rsid w:val="00296311"/>
    <w:rsid w:val="00296429"/>
    <w:rsid w:val="00296441"/>
    <w:rsid w:val="0029644F"/>
    <w:rsid w:val="00296A7A"/>
    <w:rsid w:val="00296C56"/>
    <w:rsid w:val="00296C70"/>
    <w:rsid w:val="00296E38"/>
    <w:rsid w:val="0029752D"/>
    <w:rsid w:val="00297621"/>
    <w:rsid w:val="0029776C"/>
    <w:rsid w:val="0029780C"/>
    <w:rsid w:val="00297C2D"/>
    <w:rsid w:val="00297C94"/>
    <w:rsid w:val="00297C9B"/>
    <w:rsid w:val="00297D3D"/>
    <w:rsid w:val="00297F02"/>
    <w:rsid w:val="00297F37"/>
    <w:rsid w:val="002A00B4"/>
    <w:rsid w:val="002A020F"/>
    <w:rsid w:val="002A0222"/>
    <w:rsid w:val="002A0408"/>
    <w:rsid w:val="002A0440"/>
    <w:rsid w:val="002A0444"/>
    <w:rsid w:val="002A0474"/>
    <w:rsid w:val="002A07A0"/>
    <w:rsid w:val="002A07B7"/>
    <w:rsid w:val="002A0956"/>
    <w:rsid w:val="002A0A44"/>
    <w:rsid w:val="002A0BBA"/>
    <w:rsid w:val="002A0C1C"/>
    <w:rsid w:val="002A0C96"/>
    <w:rsid w:val="002A0E07"/>
    <w:rsid w:val="002A0FE5"/>
    <w:rsid w:val="002A11B8"/>
    <w:rsid w:val="002A120F"/>
    <w:rsid w:val="002A136D"/>
    <w:rsid w:val="002A1435"/>
    <w:rsid w:val="002A1613"/>
    <w:rsid w:val="002A1634"/>
    <w:rsid w:val="002A175E"/>
    <w:rsid w:val="002A19B8"/>
    <w:rsid w:val="002A19FA"/>
    <w:rsid w:val="002A1A37"/>
    <w:rsid w:val="002A1AEA"/>
    <w:rsid w:val="002A1BFB"/>
    <w:rsid w:val="002A1F74"/>
    <w:rsid w:val="002A2087"/>
    <w:rsid w:val="002A2461"/>
    <w:rsid w:val="002A259B"/>
    <w:rsid w:val="002A28DF"/>
    <w:rsid w:val="002A2ACC"/>
    <w:rsid w:val="002A2AEA"/>
    <w:rsid w:val="002A2BE2"/>
    <w:rsid w:val="002A2C14"/>
    <w:rsid w:val="002A2C61"/>
    <w:rsid w:val="002A2C70"/>
    <w:rsid w:val="002A2D43"/>
    <w:rsid w:val="002A2D77"/>
    <w:rsid w:val="002A2DED"/>
    <w:rsid w:val="002A2E62"/>
    <w:rsid w:val="002A301D"/>
    <w:rsid w:val="002A3349"/>
    <w:rsid w:val="002A34B7"/>
    <w:rsid w:val="002A366E"/>
    <w:rsid w:val="002A374B"/>
    <w:rsid w:val="002A395B"/>
    <w:rsid w:val="002A3982"/>
    <w:rsid w:val="002A39BB"/>
    <w:rsid w:val="002A39E9"/>
    <w:rsid w:val="002A3B81"/>
    <w:rsid w:val="002A3B83"/>
    <w:rsid w:val="002A3DFC"/>
    <w:rsid w:val="002A4049"/>
    <w:rsid w:val="002A40EC"/>
    <w:rsid w:val="002A4290"/>
    <w:rsid w:val="002A440A"/>
    <w:rsid w:val="002A4470"/>
    <w:rsid w:val="002A44BD"/>
    <w:rsid w:val="002A4637"/>
    <w:rsid w:val="002A466D"/>
    <w:rsid w:val="002A4855"/>
    <w:rsid w:val="002A4961"/>
    <w:rsid w:val="002A4AEB"/>
    <w:rsid w:val="002A4B4E"/>
    <w:rsid w:val="002A4C3B"/>
    <w:rsid w:val="002A4E0B"/>
    <w:rsid w:val="002A4E1B"/>
    <w:rsid w:val="002A5362"/>
    <w:rsid w:val="002A5480"/>
    <w:rsid w:val="002A54C1"/>
    <w:rsid w:val="002A56F2"/>
    <w:rsid w:val="002A57C6"/>
    <w:rsid w:val="002A5C63"/>
    <w:rsid w:val="002A5C78"/>
    <w:rsid w:val="002A5C9B"/>
    <w:rsid w:val="002A5CEC"/>
    <w:rsid w:val="002A5DB0"/>
    <w:rsid w:val="002A6006"/>
    <w:rsid w:val="002A600D"/>
    <w:rsid w:val="002A633A"/>
    <w:rsid w:val="002A6408"/>
    <w:rsid w:val="002A6464"/>
    <w:rsid w:val="002A64C3"/>
    <w:rsid w:val="002A65AC"/>
    <w:rsid w:val="002A65DA"/>
    <w:rsid w:val="002A662F"/>
    <w:rsid w:val="002A692B"/>
    <w:rsid w:val="002A69DD"/>
    <w:rsid w:val="002A6B33"/>
    <w:rsid w:val="002A6C39"/>
    <w:rsid w:val="002A6E56"/>
    <w:rsid w:val="002A70F0"/>
    <w:rsid w:val="002A732E"/>
    <w:rsid w:val="002A7606"/>
    <w:rsid w:val="002A7799"/>
    <w:rsid w:val="002A78AC"/>
    <w:rsid w:val="002A7A39"/>
    <w:rsid w:val="002A7AA6"/>
    <w:rsid w:val="002A7BF7"/>
    <w:rsid w:val="002A7D81"/>
    <w:rsid w:val="002A7D87"/>
    <w:rsid w:val="002A7E9C"/>
    <w:rsid w:val="002B0152"/>
    <w:rsid w:val="002B0154"/>
    <w:rsid w:val="002B04E3"/>
    <w:rsid w:val="002B0595"/>
    <w:rsid w:val="002B05CA"/>
    <w:rsid w:val="002B0A2E"/>
    <w:rsid w:val="002B0A80"/>
    <w:rsid w:val="002B0CC7"/>
    <w:rsid w:val="002B1079"/>
    <w:rsid w:val="002B118F"/>
    <w:rsid w:val="002B15CF"/>
    <w:rsid w:val="002B15DA"/>
    <w:rsid w:val="002B17B9"/>
    <w:rsid w:val="002B1A76"/>
    <w:rsid w:val="002B1AF7"/>
    <w:rsid w:val="002B1B59"/>
    <w:rsid w:val="002B1DBC"/>
    <w:rsid w:val="002B1FC5"/>
    <w:rsid w:val="002B23F8"/>
    <w:rsid w:val="002B25E7"/>
    <w:rsid w:val="002B267E"/>
    <w:rsid w:val="002B27FF"/>
    <w:rsid w:val="002B2979"/>
    <w:rsid w:val="002B2AB5"/>
    <w:rsid w:val="002B2B07"/>
    <w:rsid w:val="002B2E1D"/>
    <w:rsid w:val="002B2E9C"/>
    <w:rsid w:val="002B2EB4"/>
    <w:rsid w:val="002B2F0D"/>
    <w:rsid w:val="002B2FDF"/>
    <w:rsid w:val="002B3148"/>
    <w:rsid w:val="002B314D"/>
    <w:rsid w:val="002B32D6"/>
    <w:rsid w:val="002B3418"/>
    <w:rsid w:val="002B373F"/>
    <w:rsid w:val="002B37F6"/>
    <w:rsid w:val="002B3948"/>
    <w:rsid w:val="002B3999"/>
    <w:rsid w:val="002B3E11"/>
    <w:rsid w:val="002B3EDC"/>
    <w:rsid w:val="002B4031"/>
    <w:rsid w:val="002B4062"/>
    <w:rsid w:val="002B4142"/>
    <w:rsid w:val="002B41BF"/>
    <w:rsid w:val="002B426B"/>
    <w:rsid w:val="002B42E1"/>
    <w:rsid w:val="002B4303"/>
    <w:rsid w:val="002B44A4"/>
    <w:rsid w:val="002B4A7C"/>
    <w:rsid w:val="002B4ACA"/>
    <w:rsid w:val="002B4B9F"/>
    <w:rsid w:val="002B4D58"/>
    <w:rsid w:val="002B4DF2"/>
    <w:rsid w:val="002B4E2E"/>
    <w:rsid w:val="002B4E6A"/>
    <w:rsid w:val="002B4F2A"/>
    <w:rsid w:val="002B4F61"/>
    <w:rsid w:val="002B4F86"/>
    <w:rsid w:val="002B4F97"/>
    <w:rsid w:val="002B50F5"/>
    <w:rsid w:val="002B5140"/>
    <w:rsid w:val="002B5256"/>
    <w:rsid w:val="002B52C7"/>
    <w:rsid w:val="002B532D"/>
    <w:rsid w:val="002B541F"/>
    <w:rsid w:val="002B54EA"/>
    <w:rsid w:val="002B56F0"/>
    <w:rsid w:val="002B5E75"/>
    <w:rsid w:val="002B5E91"/>
    <w:rsid w:val="002B5FD4"/>
    <w:rsid w:val="002B6051"/>
    <w:rsid w:val="002B62AE"/>
    <w:rsid w:val="002B62EC"/>
    <w:rsid w:val="002B63BF"/>
    <w:rsid w:val="002B679E"/>
    <w:rsid w:val="002B685A"/>
    <w:rsid w:val="002B6875"/>
    <w:rsid w:val="002B68E6"/>
    <w:rsid w:val="002B6A29"/>
    <w:rsid w:val="002B6B22"/>
    <w:rsid w:val="002B6C13"/>
    <w:rsid w:val="002B6CB3"/>
    <w:rsid w:val="002B6D00"/>
    <w:rsid w:val="002B6FC7"/>
    <w:rsid w:val="002B70BC"/>
    <w:rsid w:val="002B70E9"/>
    <w:rsid w:val="002B71DB"/>
    <w:rsid w:val="002B71E0"/>
    <w:rsid w:val="002B71EF"/>
    <w:rsid w:val="002B728C"/>
    <w:rsid w:val="002B742D"/>
    <w:rsid w:val="002B750E"/>
    <w:rsid w:val="002B762D"/>
    <w:rsid w:val="002B7701"/>
    <w:rsid w:val="002B7911"/>
    <w:rsid w:val="002B7B5A"/>
    <w:rsid w:val="002B7B78"/>
    <w:rsid w:val="002B7C74"/>
    <w:rsid w:val="002B7C96"/>
    <w:rsid w:val="002B7CD5"/>
    <w:rsid w:val="002B7D2E"/>
    <w:rsid w:val="002C00C0"/>
    <w:rsid w:val="002C014F"/>
    <w:rsid w:val="002C02B3"/>
    <w:rsid w:val="002C09EB"/>
    <w:rsid w:val="002C0A66"/>
    <w:rsid w:val="002C0D03"/>
    <w:rsid w:val="002C1216"/>
    <w:rsid w:val="002C1481"/>
    <w:rsid w:val="002C16B0"/>
    <w:rsid w:val="002C1717"/>
    <w:rsid w:val="002C1758"/>
    <w:rsid w:val="002C1ADD"/>
    <w:rsid w:val="002C1BE2"/>
    <w:rsid w:val="002C1C12"/>
    <w:rsid w:val="002C1C4D"/>
    <w:rsid w:val="002C1D82"/>
    <w:rsid w:val="002C1FEA"/>
    <w:rsid w:val="002C2087"/>
    <w:rsid w:val="002C239E"/>
    <w:rsid w:val="002C27FD"/>
    <w:rsid w:val="002C29B1"/>
    <w:rsid w:val="002C2B76"/>
    <w:rsid w:val="002C2B96"/>
    <w:rsid w:val="002C2B99"/>
    <w:rsid w:val="002C2DC0"/>
    <w:rsid w:val="002C2E8C"/>
    <w:rsid w:val="002C2ED6"/>
    <w:rsid w:val="002C308C"/>
    <w:rsid w:val="002C342D"/>
    <w:rsid w:val="002C34D2"/>
    <w:rsid w:val="002C3665"/>
    <w:rsid w:val="002C37A5"/>
    <w:rsid w:val="002C3AB1"/>
    <w:rsid w:val="002C3B36"/>
    <w:rsid w:val="002C413B"/>
    <w:rsid w:val="002C4185"/>
    <w:rsid w:val="002C41F3"/>
    <w:rsid w:val="002C43DB"/>
    <w:rsid w:val="002C442A"/>
    <w:rsid w:val="002C4495"/>
    <w:rsid w:val="002C4A38"/>
    <w:rsid w:val="002C4B01"/>
    <w:rsid w:val="002C4DC4"/>
    <w:rsid w:val="002C4E59"/>
    <w:rsid w:val="002C4F15"/>
    <w:rsid w:val="002C4F74"/>
    <w:rsid w:val="002C500F"/>
    <w:rsid w:val="002C513B"/>
    <w:rsid w:val="002C5266"/>
    <w:rsid w:val="002C546E"/>
    <w:rsid w:val="002C567E"/>
    <w:rsid w:val="002C5691"/>
    <w:rsid w:val="002C5A7D"/>
    <w:rsid w:val="002C5BB7"/>
    <w:rsid w:val="002C5CA7"/>
    <w:rsid w:val="002C5D2D"/>
    <w:rsid w:val="002C5E06"/>
    <w:rsid w:val="002C5E68"/>
    <w:rsid w:val="002C6106"/>
    <w:rsid w:val="002C611D"/>
    <w:rsid w:val="002C6192"/>
    <w:rsid w:val="002C633A"/>
    <w:rsid w:val="002C63BE"/>
    <w:rsid w:val="002C64BA"/>
    <w:rsid w:val="002C6530"/>
    <w:rsid w:val="002C666F"/>
    <w:rsid w:val="002C6755"/>
    <w:rsid w:val="002C6963"/>
    <w:rsid w:val="002C69AC"/>
    <w:rsid w:val="002C6A7A"/>
    <w:rsid w:val="002C6C34"/>
    <w:rsid w:val="002C6D6C"/>
    <w:rsid w:val="002C6E26"/>
    <w:rsid w:val="002C7228"/>
    <w:rsid w:val="002C72A4"/>
    <w:rsid w:val="002C73F9"/>
    <w:rsid w:val="002C7431"/>
    <w:rsid w:val="002C7471"/>
    <w:rsid w:val="002C7596"/>
    <w:rsid w:val="002C75C5"/>
    <w:rsid w:val="002C7651"/>
    <w:rsid w:val="002C7694"/>
    <w:rsid w:val="002C77A3"/>
    <w:rsid w:val="002C786C"/>
    <w:rsid w:val="002C7E1A"/>
    <w:rsid w:val="002D00C2"/>
    <w:rsid w:val="002D01C6"/>
    <w:rsid w:val="002D01EA"/>
    <w:rsid w:val="002D040A"/>
    <w:rsid w:val="002D0450"/>
    <w:rsid w:val="002D047C"/>
    <w:rsid w:val="002D04D9"/>
    <w:rsid w:val="002D0781"/>
    <w:rsid w:val="002D079E"/>
    <w:rsid w:val="002D07F6"/>
    <w:rsid w:val="002D0A63"/>
    <w:rsid w:val="002D0E5B"/>
    <w:rsid w:val="002D0F26"/>
    <w:rsid w:val="002D1120"/>
    <w:rsid w:val="002D1252"/>
    <w:rsid w:val="002D12E0"/>
    <w:rsid w:val="002D139E"/>
    <w:rsid w:val="002D143E"/>
    <w:rsid w:val="002D18AC"/>
    <w:rsid w:val="002D1BFE"/>
    <w:rsid w:val="002D1CA1"/>
    <w:rsid w:val="002D1CB3"/>
    <w:rsid w:val="002D1CCE"/>
    <w:rsid w:val="002D1D4E"/>
    <w:rsid w:val="002D1E58"/>
    <w:rsid w:val="002D1E78"/>
    <w:rsid w:val="002D1EF3"/>
    <w:rsid w:val="002D1FE8"/>
    <w:rsid w:val="002D20AB"/>
    <w:rsid w:val="002D21AC"/>
    <w:rsid w:val="002D21C9"/>
    <w:rsid w:val="002D2271"/>
    <w:rsid w:val="002D2317"/>
    <w:rsid w:val="002D23C4"/>
    <w:rsid w:val="002D24B2"/>
    <w:rsid w:val="002D2577"/>
    <w:rsid w:val="002D2678"/>
    <w:rsid w:val="002D2715"/>
    <w:rsid w:val="002D271F"/>
    <w:rsid w:val="002D273A"/>
    <w:rsid w:val="002D28CF"/>
    <w:rsid w:val="002D2982"/>
    <w:rsid w:val="002D2A80"/>
    <w:rsid w:val="002D2AD5"/>
    <w:rsid w:val="002D2CBE"/>
    <w:rsid w:val="002D2D1D"/>
    <w:rsid w:val="002D2D90"/>
    <w:rsid w:val="002D2F00"/>
    <w:rsid w:val="002D3041"/>
    <w:rsid w:val="002D30F2"/>
    <w:rsid w:val="002D3177"/>
    <w:rsid w:val="002D3266"/>
    <w:rsid w:val="002D3290"/>
    <w:rsid w:val="002D3374"/>
    <w:rsid w:val="002D33C4"/>
    <w:rsid w:val="002D3407"/>
    <w:rsid w:val="002D3443"/>
    <w:rsid w:val="002D38A2"/>
    <w:rsid w:val="002D38F3"/>
    <w:rsid w:val="002D38FE"/>
    <w:rsid w:val="002D39DD"/>
    <w:rsid w:val="002D3A64"/>
    <w:rsid w:val="002D4010"/>
    <w:rsid w:val="002D4092"/>
    <w:rsid w:val="002D40C2"/>
    <w:rsid w:val="002D4174"/>
    <w:rsid w:val="002D436F"/>
    <w:rsid w:val="002D452F"/>
    <w:rsid w:val="002D45AC"/>
    <w:rsid w:val="002D473F"/>
    <w:rsid w:val="002D4942"/>
    <w:rsid w:val="002D4952"/>
    <w:rsid w:val="002D4969"/>
    <w:rsid w:val="002D49A4"/>
    <w:rsid w:val="002D4A22"/>
    <w:rsid w:val="002D4C13"/>
    <w:rsid w:val="002D4D3C"/>
    <w:rsid w:val="002D4DA2"/>
    <w:rsid w:val="002D4EB9"/>
    <w:rsid w:val="002D4ED5"/>
    <w:rsid w:val="002D5185"/>
    <w:rsid w:val="002D52F3"/>
    <w:rsid w:val="002D54AE"/>
    <w:rsid w:val="002D5501"/>
    <w:rsid w:val="002D55FC"/>
    <w:rsid w:val="002D5741"/>
    <w:rsid w:val="002D57B9"/>
    <w:rsid w:val="002D591D"/>
    <w:rsid w:val="002D5C8A"/>
    <w:rsid w:val="002D5F71"/>
    <w:rsid w:val="002D6127"/>
    <w:rsid w:val="002D6173"/>
    <w:rsid w:val="002D621F"/>
    <w:rsid w:val="002D6270"/>
    <w:rsid w:val="002D64FE"/>
    <w:rsid w:val="002D6766"/>
    <w:rsid w:val="002D6767"/>
    <w:rsid w:val="002D693F"/>
    <w:rsid w:val="002D6AAE"/>
    <w:rsid w:val="002D6B21"/>
    <w:rsid w:val="002D6D04"/>
    <w:rsid w:val="002D6E54"/>
    <w:rsid w:val="002D6EED"/>
    <w:rsid w:val="002D6FFC"/>
    <w:rsid w:val="002D70D2"/>
    <w:rsid w:val="002D7414"/>
    <w:rsid w:val="002D750D"/>
    <w:rsid w:val="002D757C"/>
    <w:rsid w:val="002D7760"/>
    <w:rsid w:val="002D7784"/>
    <w:rsid w:val="002D792E"/>
    <w:rsid w:val="002D7A21"/>
    <w:rsid w:val="002D7A5C"/>
    <w:rsid w:val="002D7AA5"/>
    <w:rsid w:val="002D7CA5"/>
    <w:rsid w:val="002D7E94"/>
    <w:rsid w:val="002E00DA"/>
    <w:rsid w:val="002E00F3"/>
    <w:rsid w:val="002E0133"/>
    <w:rsid w:val="002E022B"/>
    <w:rsid w:val="002E0377"/>
    <w:rsid w:val="002E052D"/>
    <w:rsid w:val="002E0581"/>
    <w:rsid w:val="002E0607"/>
    <w:rsid w:val="002E0889"/>
    <w:rsid w:val="002E0A36"/>
    <w:rsid w:val="002E0A8A"/>
    <w:rsid w:val="002E0BA3"/>
    <w:rsid w:val="002E0D37"/>
    <w:rsid w:val="002E0D48"/>
    <w:rsid w:val="002E0DB9"/>
    <w:rsid w:val="002E0ED2"/>
    <w:rsid w:val="002E0F57"/>
    <w:rsid w:val="002E0FA4"/>
    <w:rsid w:val="002E0FB3"/>
    <w:rsid w:val="002E0FFD"/>
    <w:rsid w:val="002E1373"/>
    <w:rsid w:val="002E13BB"/>
    <w:rsid w:val="002E1486"/>
    <w:rsid w:val="002E16AD"/>
    <w:rsid w:val="002E1764"/>
    <w:rsid w:val="002E1826"/>
    <w:rsid w:val="002E187F"/>
    <w:rsid w:val="002E18F7"/>
    <w:rsid w:val="002E191E"/>
    <w:rsid w:val="002E1949"/>
    <w:rsid w:val="002E1BA4"/>
    <w:rsid w:val="002E1C79"/>
    <w:rsid w:val="002E1CB5"/>
    <w:rsid w:val="002E1D49"/>
    <w:rsid w:val="002E1E86"/>
    <w:rsid w:val="002E1FBD"/>
    <w:rsid w:val="002E20EA"/>
    <w:rsid w:val="002E22C2"/>
    <w:rsid w:val="002E2336"/>
    <w:rsid w:val="002E2499"/>
    <w:rsid w:val="002E24CC"/>
    <w:rsid w:val="002E286A"/>
    <w:rsid w:val="002E2C1C"/>
    <w:rsid w:val="002E2C77"/>
    <w:rsid w:val="002E2EA6"/>
    <w:rsid w:val="002E2ECF"/>
    <w:rsid w:val="002E2FB4"/>
    <w:rsid w:val="002E3000"/>
    <w:rsid w:val="002E3165"/>
    <w:rsid w:val="002E32AF"/>
    <w:rsid w:val="002E32D3"/>
    <w:rsid w:val="002E338E"/>
    <w:rsid w:val="002E343B"/>
    <w:rsid w:val="002E34BC"/>
    <w:rsid w:val="002E34C5"/>
    <w:rsid w:val="002E3579"/>
    <w:rsid w:val="002E358E"/>
    <w:rsid w:val="002E368F"/>
    <w:rsid w:val="002E371D"/>
    <w:rsid w:val="002E3829"/>
    <w:rsid w:val="002E3970"/>
    <w:rsid w:val="002E3A0A"/>
    <w:rsid w:val="002E3A6C"/>
    <w:rsid w:val="002E3D8D"/>
    <w:rsid w:val="002E3DA4"/>
    <w:rsid w:val="002E3F4B"/>
    <w:rsid w:val="002E3F60"/>
    <w:rsid w:val="002E4345"/>
    <w:rsid w:val="002E4480"/>
    <w:rsid w:val="002E4491"/>
    <w:rsid w:val="002E44C4"/>
    <w:rsid w:val="002E45FA"/>
    <w:rsid w:val="002E4641"/>
    <w:rsid w:val="002E496D"/>
    <w:rsid w:val="002E4A88"/>
    <w:rsid w:val="002E4B07"/>
    <w:rsid w:val="002E4C87"/>
    <w:rsid w:val="002E4CC6"/>
    <w:rsid w:val="002E4E4D"/>
    <w:rsid w:val="002E5052"/>
    <w:rsid w:val="002E5064"/>
    <w:rsid w:val="002E524C"/>
    <w:rsid w:val="002E52CE"/>
    <w:rsid w:val="002E536E"/>
    <w:rsid w:val="002E557A"/>
    <w:rsid w:val="002E56D3"/>
    <w:rsid w:val="002E5711"/>
    <w:rsid w:val="002E5837"/>
    <w:rsid w:val="002E5866"/>
    <w:rsid w:val="002E5AE9"/>
    <w:rsid w:val="002E5D9F"/>
    <w:rsid w:val="002E5E0C"/>
    <w:rsid w:val="002E5E25"/>
    <w:rsid w:val="002E60A8"/>
    <w:rsid w:val="002E6285"/>
    <w:rsid w:val="002E6320"/>
    <w:rsid w:val="002E6323"/>
    <w:rsid w:val="002E643B"/>
    <w:rsid w:val="002E6506"/>
    <w:rsid w:val="002E6528"/>
    <w:rsid w:val="002E652B"/>
    <w:rsid w:val="002E6550"/>
    <w:rsid w:val="002E65FD"/>
    <w:rsid w:val="002E665A"/>
    <w:rsid w:val="002E6883"/>
    <w:rsid w:val="002E6955"/>
    <w:rsid w:val="002E6AA0"/>
    <w:rsid w:val="002E6C06"/>
    <w:rsid w:val="002E6D47"/>
    <w:rsid w:val="002E6E04"/>
    <w:rsid w:val="002E6E4A"/>
    <w:rsid w:val="002E707C"/>
    <w:rsid w:val="002E70BF"/>
    <w:rsid w:val="002E723F"/>
    <w:rsid w:val="002E72B6"/>
    <w:rsid w:val="002E72DB"/>
    <w:rsid w:val="002E739D"/>
    <w:rsid w:val="002E74A3"/>
    <w:rsid w:val="002E74AA"/>
    <w:rsid w:val="002E7522"/>
    <w:rsid w:val="002E75A8"/>
    <w:rsid w:val="002E76EC"/>
    <w:rsid w:val="002E782E"/>
    <w:rsid w:val="002E78EB"/>
    <w:rsid w:val="002E7951"/>
    <w:rsid w:val="002E7AA3"/>
    <w:rsid w:val="002E7BBF"/>
    <w:rsid w:val="002E7C71"/>
    <w:rsid w:val="002E7CBE"/>
    <w:rsid w:val="002E7EC2"/>
    <w:rsid w:val="002E7FF1"/>
    <w:rsid w:val="002F0112"/>
    <w:rsid w:val="002F01D2"/>
    <w:rsid w:val="002F01F1"/>
    <w:rsid w:val="002F0207"/>
    <w:rsid w:val="002F0297"/>
    <w:rsid w:val="002F029D"/>
    <w:rsid w:val="002F02D0"/>
    <w:rsid w:val="002F045C"/>
    <w:rsid w:val="002F04D8"/>
    <w:rsid w:val="002F0501"/>
    <w:rsid w:val="002F0517"/>
    <w:rsid w:val="002F065A"/>
    <w:rsid w:val="002F06E0"/>
    <w:rsid w:val="002F070C"/>
    <w:rsid w:val="002F0C37"/>
    <w:rsid w:val="002F0C97"/>
    <w:rsid w:val="002F0D9B"/>
    <w:rsid w:val="002F0DF6"/>
    <w:rsid w:val="002F0E1F"/>
    <w:rsid w:val="002F0ECD"/>
    <w:rsid w:val="002F0F9F"/>
    <w:rsid w:val="002F0FB9"/>
    <w:rsid w:val="002F113D"/>
    <w:rsid w:val="002F150C"/>
    <w:rsid w:val="002F1571"/>
    <w:rsid w:val="002F1788"/>
    <w:rsid w:val="002F1878"/>
    <w:rsid w:val="002F190C"/>
    <w:rsid w:val="002F19CF"/>
    <w:rsid w:val="002F1A29"/>
    <w:rsid w:val="002F1C21"/>
    <w:rsid w:val="002F1C85"/>
    <w:rsid w:val="002F1DDD"/>
    <w:rsid w:val="002F1EF7"/>
    <w:rsid w:val="002F1F3F"/>
    <w:rsid w:val="002F1FBA"/>
    <w:rsid w:val="002F21E8"/>
    <w:rsid w:val="002F26D9"/>
    <w:rsid w:val="002F27FF"/>
    <w:rsid w:val="002F283A"/>
    <w:rsid w:val="002F2B9C"/>
    <w:rsid w:val="002F2C74"/>
    <w:rsid w:val="002F2CA0"/>
    <w:rsid w:val="002F2D55"/>
    <w:rsid w:val="002F2D57"/>
    <w:rsid w:val="002F2E28"/>
    <w:rsid w:val="002F2E67"/>
    <w:rsid w:val="002F2E98"/>
    <w:rsid w:val="002F2ECF"/>
    <w:rsid w:val="002F2F0A"/>
    <w:rsid w:val="002F2F22"/>
    <w:rsid w:val="002F31AA"/>
    <w:rsid w:val="002F31C8"/>
    <w:rsid w:val="002F3208"/>
    <w:rsid w:val="002F3298"/>
    <w:rsid w:val="002F35A4"/>
    <w:rsid w:val="002F3625"/>
    <w:rsid w:val="002F3731"/>
    <w:rsid w:val="002F3782"/>
    <w:rsid w:val="002F379A"/>
    <w:rsid w:val="002F3A1F"/>
    <w:rsid w:val="002F3B13"/>
    <w:rsid w:val="002F41D9"/>
    <w:rsid w:val="002F4591"/>
    <w:rsid w:val="002F4619"/>
    <w:rsid w:val="002F4713"/>
    <w:rsid w:val="002F495B"/>
    <w:rsid w:val="002F4D2A"/>
    <w:rsid w:val="002F4D9F"/>
    <w:rsid w:val="002F4F65"/>
    <w:rsid w:val="002F504D"/>
    <w:rsid w:val="002F512A"/>
    <w:rsid w:val="002F5164"/>
    <w:rsid w:val="002F51EA"/>
    <w:rsid w:val="002F5473"/>
    <w:rsid w:val="002F554C"/>
    <w:rsid w:val="002F5887"/>
    <w:rsid w:val="002F597A"/>
    <w:rsid w:val="002F599D"/>
    <w:rsid w:val="002F5B3F"/>
    <w:rsid w:val="002F5B6B"/>
    <w:rsid w:val="002F5BBC"/>
    <w:rsid w:val="002F5BC8"/>
    <w:rsid w:val="002F5CC0"/>
    <w:rsid w:val="002F6102"/>
    <w:rsid w:val="002F62C5"/>
    <w:rsid w:val="002F6303"/>
    <w:rsid w:val="002F6337"/>
    <w:rsid w:val="002F64CD"/>
    <w:rsid w:val="002F6743"/>
    <w:rsid w:val="002F6809"/>
    <w:rsid w:val="002F68FE"/>
    <w:rsid w:val="002F6EE0"/>
    <w:rsid w:val="002F6FD8"/>
    <w:rsid w:val="002F7009"/>
    <w:rsid w:val="002F70F7"/>
    <w:rsid w:val="002F7244"/>
    <w:rsid w:val="002F7413"/>
    <w:rsid w:val="002F74E3"/>
    <w:rsid w:val="002F74EF"/>
    <w:rsid w:val="002F7531"/>
    <w:rsid w:val="002F75CD"/>
    <w:rsid w:val="002F7697"/>
    <w:rsid w:val="002F7748"/>
    <w:rsid w:val="002F7A57"/>
    <w:rsid w:val="002F7AB6"/>
    <w:rsid w:val="002F7B3B"/>
    <w:rsid w:val="002F7BF4"/>
    <w:rsid w:val="002F7C11"/>
    <w:rsid w:val="002F7C1B"/>
    <w:rsid w:val="002F7C6B"/>
    <w:rsid w:val="002F7D85"/>
    <w:rsid w:val="002F7DBC"/>
    <w:rsid w:val="002F7FE7"/>
    <w:rsid w:val="00300022"/>
    <w:rsid w:val="0030002E"/>
    <w:rsid w:val="00300109"/>
    <w:rsid w:val="003002FF"/>
    <w:rsid w:val="003003F1"/>
    <w:rsid w:val="003004C4"/>
    <w:rsid w:val="00300659"/>
    <w:rsid w:val="003007E5"/>
    <w:rsid w:val="00300843"/>
    <w:rsid w:val="003008E1"/>
    <w:rsid w:val="003008ED"/>
    <w:rsid w:val="00300C1A"/>
    <w:rsid w:val="00300D48"/>
    <w:rsid w:val="003010BE"/>
    <w:rsid w:val="003010CE"/>
    <w:rsid w:val="003011BE"/>
    <w:rsid w:val="00301482"/>
    <w:rsid w:val="003014F9"/>
    <w:rsid w:val="00301647"/>
    <w:rsid w:val="003016CB"/>
    <w:rsid w:val="00301767"/>
    <w:rsid w:val="0030194A"/>
    <w:rsid w:val="00301975"/>
    <w:rsid w:val="003019BF"/>
    <w:rsid w:val="003019FB"/>
    <w:rsid w:val="00301A3E"/>
    <w:rsid w:val="00301C5D"/>
    <w:rsid w:val="00301D9F"/>
    <w:rsid w:val="00301E77"/>
    <w:rsid w:val="003023F7"/>
    <w:rsid w:val="0030259D"/>
    <w:rsid w:val="003027CD"/>
    <w:rsid w:val="00302894"/>
    <w:rsid w:val="00302943"/>
    <w:rsid w:val="00302A9E"/>
    <w:rsid w:val="00302AB0"/>
    <w:rsid w:val="00302C9B"/>
    <w:rsid w:val="00302CA2"/>
    <w:rsid w:val="00302CCD"/>
    <w:rsid w:val="00303063"/>
    <w:rsid w:val="00303215"/>
    <w:rsid w:val="00303233"/>
    <w:rsid w:val="00303287"/>
    <w:rsid w:val="00303307"/>
    <w:rsid w:val="003033C6"/>
    <w:rsid w:val="003033F7"/>
    <w:rsid w:val="0030344F"/>
    <w:rsid w:val="0030349B"/>
    <w:rsid w:val="0030357D"/>
    <w:rsid w:val="003035E5"/>
    <w:rsid w:val="00303694"/>
    <w:rsid w:val="003036A7"/>
    <w:rsid w:val="00303948"/>
    <w:rsid w:val="003039CB"/>
    <w:rsid w:val="00303AB8"/>
    <w:rsid w:val="00303D3C"/>
    <w:rsid w:val="00303E9C"/>
    <w:rsid w:val="00303ECE"/>
    <w:rsid w:val="0030427C"/>
    <w:rsid w:val="0030429A"/>
    <w:rsid w:val="003042FF"/>
    <w:rsid w:val="00304333"/>
    <w:rsid w:val="003044D7"/>
    <w:rsid w:val="003045FC"/>
    <w:rsid w:val="00304912"/>
    <w:rsid w:val="00304BD4"/>
    <w:rsid w:val="00304BEB"/>
    <w:rsid w:val="00304E98"/>
    <w:rsid w:val="00305176"/>
    <w:rsid w:val="003051F4"/>
    <w:rsid w:val="0030521E"/>
    <w:rsid w:val="00305245"/>
    <w:rsid w:val="00305269"/>
    <w:rsid w:val="003056C8"/>
    <w:rsid w:val="003057DE"/>
    <w:rsid w:val="00305B43"/>
    <w:rsid w:val="00305BB8"/>
    <w:rsid w:val="00305D59"/>
    <w:rsid w:val="00305DE1"/>
    <w:rsid w:val="00306017"/>
    <w:rsid w:val="003060A4"/>
    <w:rsid w:val="0030613F"/>
    <w:rsid w:val="00306384"/>
    <w:rsid w:val="003063B6"/>
    <w:rsid w:val="00306444"/>
    <w:rsid w:val="00306490"/>
    <w:rsid w:val="003064FD"/>
    <w:rsid w:val="00306545"/>
    <w:rsid w:val="00306551"/>
    <w:rsid w:val="0030659E"/>
    <w:rsid w:val="00306892"/>
    <w:rsid w:val="00306BBB"/>
    <w:rsid w:val="00306C4D"/>
    <w:rsid w:val="00306D57"/>
    <w:rsid w:val="00306EA0"/>
    <w:rsid w:val="00306F84"/>
    <w:rsid w:val="00306FA8"/>
    <w:rsid w:val="00307001"/>
    <w:rsid w:val="00307356"/>
    <w:rsid w:val="003076F2"/>
    <w:rsid w:val="003077BC"/>
    <w:rsid w:val="00307817"/>
    <w:rsid w:val="0030784C"/>
    <w:rsid w:val="00307881"/>
    <w:rsid w:val="003079B3"/>
    <w:rsid w:val="00307A2F"/>
    <w:rsid w:val="00307A87"/>
    <w:rsid w:val="00307D29"/>
    <w:rsid w:val="00310015"/>
    <w:rsid w:val="003101A2"/>
    <w:rsid w:val="0031021C"/>
    <w:rsid w:val="00310334"/>
    <w:rsid w:val="00310469"/>
    <w:rsid w:val="00310621"/>
    <w:rsid w:val="00310765"/>
    <w:rsid w:val="00310968"/>
    <w:rsid w:val="00310B88"/>
    <w:rsid w:val="00310B91"/>
    <w:rsid w:val="00310CD7"/>
    <w:rsid w:val="00310E30"/>
    <w:rsid w:val="00310E60"/>
    <w:rsid w:val="00310E61"/>
    <w:rsid w:val="00310F28"/>
    <w:rsid w:val="00310F66"/>
    <w:rsid w:val="00311092"/>
    <w:rsid w:val="003110AA"/>
    <w:rsid w:val="00311385"/>
    <w:rsid w:val="003115F9"/>
    <w:rsid w:val="00311C4D"/>
    <w:rsid w:val="00311D6D"/>
    <w:rsid w:val="0031206C"/>
    <w:rsid w:val="003120C8"/>
    <w:rsid w:val="0031211F"/>
    <w:rsid w:val="00312218"/>
    <w:rsid w:val="00312288"/>
    <w:rsid w:val="003122B8"/>
    <w:rsid w:val="00312380"/>
    <w:rsid w:val="00312467"/>
    <w:rsid w:val="00312522"/>
    <w:rsid w:val="0031264F"/>
    <w:rsid w:val="0031270D"/>
    <w:rsid w:val="0031271D"/>
    <w:rsid w:val="003128A2"/>
    <w:rsid w:val="003129F0"/>
    <w:rsid w:val="00312AED"/>
    <w:rsid w:val="00312B81"/>
    <w:rsid w:val="00312D60"/>
    <w:rsid w:val="00312D76"/>
    <w:rsid w:val="00312E72"/>
    <w:rsid w:val="00312ED7"/>
    <w:rsid w:val="00313163"/>
    <w:rsid w:val="00313430"/>
    <w:rsid w:val="00313519"/>
    <w:rsid w:val="00313545"/>
    <w:rsid w:val="00313587"/>
    <w:rsid w:val="003135B3"/>
    <w:rsid w:val="003138C4"/>
    <w:rsid w:val="00313932"/>
    <w:rsid w:val="0031397D"/>
    <w:rsid w:val="00313987"/>
    <w:rsid w:val="00313CA4"/>
    <w:rsid w:val="00313D93"/>
    <w:rsid w:val="00314095"/>
    <w:rsid w:val="0031429A"/>
    <w:rsid w:val="00314344"/>
    <w:rsid w:val="00314457"/>
    <w:rsid w:val="0031470D"/>
    <w:rsid w:val="00314AC9"/>
    <w:rsid w:val="00314F21"/>
    <w:rsid w:val="00314FA2"/>
    <w:rsid w:val="003150BE"/>
    <w:rsid w:val="00315186"/>
    <w:rsid w:val="00315198"/>
    <w:rsid w:val="0031522A"/>
    <w:rsid w:val="003155E3"/>
    <w:rsid w:val="00315608"/>
    <w:rsid w:val="003156C5"/>
    <w:rsid w:val="003157EA"/>
    <w:rsid w:val="00315989"/>
    <w:rsid w:val="00315B07"/>
    <w:rsid w:val="00315B2F"/>
    <w:rsid w:val="00315B52"/>
    <w:rsid w:val="00315EFC"/>
    <w:rsid w:val="00316189"/>
    <w:rsid w:val="003162E2"/>
    <w:rsid w:val="0031633B"/>
    <w:rsid w:val="003164DD"/>
    <w:rsid w:val="003165AE"/>
    <w:rsid w:val="003165E3"/>
    <w:rsid w:val="003165E6"/>
    <w:rsid w:val="003165F4"/>
    <w:rsid w:val="003166F4"/>
    <w:rsid w:val="00316809"/>
    <w:rsid w:val="00316854"/>
    <w:rsid w:val="00316867"/>
    <w:rsid w:val="00316D2B"/>
    <w:rsid w:val="00316E66"/>
    <w:rsid w:val="00316E95"/>
    <w:rsid w:val="003170DE"/>
    <w:rsid w:val="003171B3"/>
    <w:rsid w:val="00317218"/>
    <w:rsid w:val="00317226"/>
    <w:rsid w:val="003172A7"/>
    <w:rsid w:val="003173B1"/>
    <w:rsid w:val="00317665"/>
    <w:rsid w:val="003177E3"/>
    <w:rsid w:val="00317857"/>
    <w:rsid w:val="00317B7C"/>
    <w:rsid w:val="00317BB0"/>
    <w:rsid w:val="00317C5E"/>
    <w:rsid w:val="00317D2D"/>
    <w:rsid w:val="00320188"/>
    <w:rsid w:val="003201BC"/>
    <w:rsid w:val="00320968"/>
    <w:rsid w:val="003209AD"/>
    <w:rsid w:val="00320D67"/>
    <w:rsid w:val="00320FDB"/>
    <w:rsid w:val="003211D4"/>
    <w:rsid w:val="003212C2"/>
    <w:rsid w:val="0032131F"/>
    <w:rsid w:val="00321421"/>
    <w:rsid w:val="00321495"/>
    <w:rsid w:val="00321590"/>
    <w:rsid w:val="0032168C"/>
    <w:rsid w:val="00321765"/>
    <w:rsid w:val="0032177B"/>
    <w:rsid w:val="0032179A"/>
    <w:rsid w:val="003217E3"/>
    <w:rsid w:val="00321B2F"/>
    <w:rsid w:val="00321BDB"/>
    <w:rsid w:val="00321C57"/>
    <w:rsid w:val="00321E6B"/>
    <w:rsid w:val="00321ED0"/>
    <w:rsid w:val="0032208C"/>
    <w:rsid w:val="00322271"/>
    <w:rsid w:val="00322371"/>
    <w:rsid w:val="0032239E"/>
    <w:rsid w:val="00322440"/>
    <w:rsid w:val="003225A7"/>
    <w:rsid w:val="00322684"/>
    <w:rsid w:val="003227E5"/>
    <w:rsid w:val="003228F3"/>
    <w:rsid w:val="00322A3A"/>
    <w:rsid w:val="00322A98"/>
    <w:rsid w:val="00322B21"/>
    <w:rsid w:val="00322C60"/>
    <w:rsid w:val="003230A2"/>
    <w:rsid w:val="003231B2"/>
    <w:rsid w:val="0032322C"/>
    <w:rsid w:val="00323279"/>
    <w:rsid w:val="0032337F"/>
    <w:rsid w:val="003233D3"/>
    <w:rsid w:val="003237B6"/>
    <w:rsid w:val="0032390B"/>
    <w:rsid w:val="003239F6"/>
    <w:rsid w:val="00323AA1"/>
    <w:rsid w:val="00323B95"/>
    <w:rsid w:val="00323D64"/>
    <w:rsid w:val="00323DB4"/>
    <w:rsid w:val="00323DC1"/>
    <w:rsid w:val="00323E94"/>
    <w:rsid w:val="00323EE7"/>
    <w:rsid w:val="003241EC"/>
    <w:rsid w:val="00324284"/>
    <w:rsid w:val="0032436C"/>
    <w:rsid w:val="0032452D"/>
    <w:rsid w:val="00324699"/>
    <w:rsid w:val="00324923"/>
    <w:rsid w:val="0032492C"/>
    <w:rsid w:val="003249BA"/>
    <w:rsid w:val="00324C0B"/>
    <w:rsid w:val="00324C5F"/>
    <w:rsid w:val="00324CA7"/>
    <w:rsid w:val="00324ED9"/>
    <w:rsid w:val="00325018"/>
    <w:rsid w:val="00325045"/>
    <w:rsid w:val="00325069"/>
    <w:rsid w:val="003250F0"/>
    <w:rsid w:val="00325136"/>
    <w:rsid w:val="00325572"/>
    <w:rsid w:val="003255DA"/>
    <w:rsid w:val="003257C8"/>
    <w:rsid w:val="00325824"/>
    <w:rsid w:val="00325884"/>
    <w:rsid w:val="003258F0"/>
    <w:rsid w:val="003259D7"/>
    <w:rsid w:val="003259ED"/>
    <w:rsid w:val="00325A09"/>
    <w:rsid w:val="00325A54"/>
    <w:rsid w:val="00325E0A"/>
    <w:rsid w:val="00325F13"/>
    <w:rsid w:val="00325FC6"/>
    <w:rsid w:val="0032600C"/>
    <w:rsid w:val="00326030"/>
    <w:rsid w:val="003261F0"/>
    <w:rsid w:val="00326269"/>
    <w:rsid w:val="003262EE"/>
    <w:rsid w:val="0032641A"/>
    <w:rsid w:val="00326432"/>
    <w:rsid w:val="00326559"/>
    <w:rsid w:val="00326665"/>
    <w:rsid w:val="003268E7"/>
    <w:rsid w:val="00326B06"/>
    <w:rsid w:val="00326B0D"/>
    <w:rsid w:val="00326B30"/>
    <w:rsid w:val="00326E1A"/>
    <w:rsid w:val="00326E4B"/>
    <w:rsid w:val="00326E64"/>
    <w:rsid w:val="00326F9E"/>
    <w:rsid w:val="00327120"/>
    <w:rsid w:val="00327199"/>
    <w:rsid w:val="003273C1"/>
    <w:rsid w:val="00327461"/>
    <w:rsid w:val="003274B5"/>
    <w:rsid w:val="00327578"/>
    <w:rsid w:val="003277C5"/>
    <w:rsid w:val="00327C3B"/>
    <w:rsid w:val="00327C8E"/>
    <w:rsid w:val="00327D0E"/>
    <w:rsid w:val="00327E25"/>
    <w:rsid w:val="00327F26"/>
    <w:rsid w:val="00327F88"/>
    <w:rsid w:val="003302AE"/>
    <w:rsid w:val="003302D8"/>
    <w:rsid w:val="00330540"/>
    <w:rsid w:val="003306BB"/>
    <w:rsid w:val="00330865"/>
    <w:rsid w:val="0033088E"/>
    <w:rsid w:val="00330913"/>
    <w:rsid w:val="00330A12"/>
    <w:rsid w:val="00330A7A"/>
    <w:rsid w:val="00330A98"/>
    <w:rsid w:val="00330D9D"/>
    <w:rsid w:val="0033122F"/>
    <w:rsid w:val="003312AE"/>
    <w:rsid w:val="003314BC"/>
    <w:rsid w:val="00331509"/>
    <w:rsid w:val="0033155C"/>
    <w:rsid w:val="00331607"/>
    <w:rsid w:val="00331625"/>
    <w:rsid w:val="00331762"/>
    <w:rsid w:val="00331766"/>
    <w:rsid w:val="0033182E"/>
    <w:rsid w:val="00331832"/>
    <w:rsid w:val="00331931"/>
    <w:rsid w:val="00331A40"/>
    <w:rsid w:val="00331E8A"/>
    <w:rsid w:val="00332060"/>
    <w:rsid w:val="00332132"/>
    <w:rsid w:val="00332485"/>
    <w:rsid w:val="003325D0"/>
    <w:rsid w:val="003327FA"/>
    <w:rsid w:val="0033293C"/>
    <w:rsid w:val="00332A80"/>
    <w:rsid w:val="00332ADB"/>
    <w:rsid w:val="00332AE3"/>
    <w:rsid w:val="00332B20"/>
    <w:rsid w:val="00332B5E"/>
    <w:rsid w:val="00332B93"/>
    <w:rsid w:val="00332EB7"/>
    <w:rsid w:val="0033301C"/>
    <w:rsid w:val="003330B9"/>
    <w:rsid w:val="003331AA"/>
    <w:rsid w:val="003332DD"/>
    <w:rsid w:val="00333567"/>
    <w:rsid w:val="0033356F"/>
    <w:rsid w:val="003335B4"/>
    <w:rsid w:val="00333635"/>
    <w:rsid w:val="003337C6"/>
    <w:rsid w:val="00333A7B"/>
    <w:rsid w:val="00333AB2"/>
    <w:rsid w:val="00333DA0"/>
    <w:rsid w:val="00333E31"/>
    <w:rsid w:val="00333F10"/>
    <w:rsid w:val="003343B7"/>
    <w:rsid w:val="003345E5"/>
    <w:rsid w:val="003347F7"/>
    <w:rsid w:val="0033483D"/>
    <w:rsid w:val="00334CA5"/>
    <w:rsid w:val="00334CCF"/>
    <w:rsid w:val="00334D85"/>
    <w:rsid w:val="00334DED"/>
    <w:rsid w:val="0033519F"/>
    <w:rsid w:val="003351A8"/>
    <w:rsid w:val="00335228"/>
    <w:rsid w:val="0033527F"/>
    <w:rsid w:val="00335296"/>
    <w:rsid w:val="0033540A"/>
    <w:rsid w:val="0033561D"/>
    <w:rsid w:val="0033561E"/>
    <w:rsid w:val="00335691"/>
    <w:rsid w:val="003357DB"/>
    <w:rsid w:val="0033592A"/>
    <w:rsid w:val="003359D7"/>
    <w:rsid w:val="00335F1C"/>
    <w:rsid w:val="00335F33"/>
    <w:rsid w:val="003361F8"/>
    <w:rsid w:val="00336245"/>
    <w:rsid w:val="0033624A"/>
    <w:rsid w:val="003365BF"/>
    <w:rsid w:val="003365EA"/>
    <w:rsid w:val="003368D0"/>
    <w:rsid w:val="003369E7"/>
    <w:rsid w:val="00336C9A"/>
    <w:rsid w:val="00336D05"/>
    <w:rsid w:val="00336F55"/>
    <w:rsid w:val="00336FA3"/>
    <w:rsid w:val="00337017"/>
    <w:rsid w:val="003371D4"/>
    <w:rsid w:val="0033755D"/>
    <w:rsid w:val="00337709"/>
    <w:rsid w:val="00337A11"/>
    <w:rsid w:val="00337BE5"/>
    <w:rsid w:val="00337DDB"/>
    <w:rsid w:val="00337F9A"/>
    <w:rsid w:val="003401E0"/>
    <w:rsid w:val="00340203"/>
    <w:rsid w:val="00340312"/>
    <w:rsid w:val="00340470"/>
    <w:rsid w:val="0034071E"/>
    <w:rsid w:val="00340863"/>
    <w:rsid w:val="003409C0"/>
    <w:rsid w:val="00340A4E"/>
    <w:rsid w:val="00340B27"/>
    <w:rsid w:val="00340E00"/>
    <w:rsid w:val="00340F88"/>
    <w:rsid w:val="0034149F"/>
    <w:rsid w:val="00341617"/>
    <w:rsid w:val="003416C5"/>
    <w:rsid w:val="00341796"/>
    <w:rsid w:val="003418CA"/>
    <w:rsid w:val="003419CC"/>
    <w:rsid w:val="00341AAE"/>
    <w:rsid w:val="00341D4C"/>
    <w:rsid w:val="00341F36"/>
    <w:rsid w:val="00341F4D"/>
    <w:rsid w:val="00342132"/>
    <w:rsid w:val="003425C3"/>
    <w:rsid w:val="003429A9"/>
    <w:rsid w:val="00342A07"/>
    <w:rsid w:val="00342B47"/>
    <w:rsid w:val="00342F46"/>
    <w:rsid w:val="00343028"/>
    <w:rsid w:val="00343100"/>
    <w:rsid w:val="003432B0"/>
    <w:rsid w:val="003434F5"/>
    <w:rsid w:val="003435E4"/>
    <w:rsid w:val="0034368D"/>
    <w:rsid w:val="0034389F"/>
    <w:rsid w:val="003438B3"/>
    <w:rsid w:val="00343A1F"/>
    <w:rsid w:val="00343DBB"/>
    <w:rsid w:val="00343F71"/>
    <w:rsid w:val="00343F93"/>
    <w:rsid w:val="003441FE"/>
    <w:rsid w:val="00344251"/>
    <w:rsid w:val="003442C5"/>
    <w:rsid w:val="003442E0"/>
    <w:rsid w:val="00344367"/>
    <w:rsid w:val="0034457D"/>
    <w:rsid w:val="00344664"/>
    <w:rsid w:val="003446BE"/>
    <w:rsid w:val="0034474D"/>
    <w:rsid w:val="0034488A"/>
    <w:rsid w:val="003448B3"/>
    <w:rsid w:val="00344A4A"/>
    <w:rsid w:val="00344AA2"/>
    <w:rsid w:val="00344D6A"/>
    <w:rsid w:val="00344DAB"/>
    <w:rsid w:val="00344E08"/>
    <w:rsid w:val="0034535B"/>
    <w:rsid w:val="003454C0"/>
    <w:rsid w:val="00345664"/>
    <w:rsid w:val="003457C5"/>
    <w:rsid w:val="003458C1"/>
    <w:rsid w:val="00345ACA"/>
    <w:rsid w:val="00345BD8"/>
    <w:rsid w:val="00345BF1"/>
    <w:rsid w:val="003460BE"/>
    <w:rsid w:val="0034612C"/>
    <w:rsid w:val="003465E9"/>
    <w:rsid w:val="003465FA"/>
    <w:rsid w:val="003468BB"/>
    <w:rsid w:val="00346998"/>
    <w:rsid w:val="00346ADF"/>
    <w:rsid w:val="00346AFF"/>
    <w:rsid w:val="00346EC5"/>
    <w:rsid w:val="00346F28"/>
    <w:rsid w:val="00346F9B"/>
    <w:rsid w:val="0034718F"/>
    <w:rsid w:val="003471A8"/>
    <w:rsid w:val="003474C4"/>
    <w:rsid w:val="00347812"/>
    <w:rsid w:val="00347932"/>
    <w:rsid w:val="00347CE2"/>
    <w:rsid w:val="00347CFF"/>
    <w:rsid w:val="00347E5F"/>
    <w:rsid w:val="00347E77"/>
    <w:rsid w:val="00347F2B"/>
    <w:rsid w:val="0035061C"/>
    <w:rsid w:val="003507CB"/>
    <w:rsid w:val="0035080F"/>
    <w:rsid w:val="00350A8D"/>
    <w:rsid w:val="00350B43"/>
    <w:rsid w:val="00350E30"/>
    <w:rsid w:val="00350E40"/>
    <w:rsid w:val="00350E54"/>
    <w:rsid w:val="0035106F"/>
    <w:rsid w:val="003510A3"/>
    <w:rsid w:val="003511E3"/>
    <w:rsid w:val="00351314"/>
    <w:rsid w:val="00351341"/>
    <w:rsid w:val="00351359"/>
    <w:rsid w:val="003514A9"/>
    <w:rsid w:val="003516DA"/>
    <w:rsid w:val="00351989"/>
    <w:rsid w:val="003519D5"/>
    <w:rsid w:val="00351A0C"/>
    <w:rsid w:val="00351A14"/>
    <w:rsid w:val="00351C52"/>
    <w:rsid w:val="00351DAE"/>
    <w:rsid w:val="00351E53"/>
    <w:rsid w:val="00351E9C"/>
    <w:rsid w:val="00351F6E"/>
    <w:rsid w:val="0035206E"/>
    <w:rsid w:val="003521A3"/>
    <w:rsid w:val="0035234A"/>
    <w:rsid w:val="003523B7"/>
    <w:rsid w:val="0035258A"/>
    <w:rsid w:val="00352682"/>
    <w:rsid w:val="003528CD"/>
    <w:rsid w:val="003529C7"/>
    <w:rsid w:val="00352A74"/>
    <w:rsid w:val="00352B4E"/>
    <w:rsid w:val="00352C6F"/>
    <w:rsid w:val="003530F7"/>
    <w:rsid w:val="003531FF"/>
    <w:rsid w:val="003537C1"/>
    <w:rsid w:val="00353827"/>
    <w:rsid w:val="00353910"/>
    <w:rsid w:val="00353985"/>
    <w:rsid w:val="00353BAE"/>
    <w:rsid w:val="00353FA1"/>
    <w:rsid w:val="00353FA5"/>
    <w:rsid w:val="00353FBD"/>
    <w:rsid w:val="00353FD6"/>
    <w:rsid w:val="003540B2"/>
    <w:rsid w:val="003544A7"/>
    <w:rsid w:val="0035450B"/>
    <w:rsid w:val="00354603"/>
    <w:rsid w:val="003547A1"/>
    <w:rsid w:val="003548C6"/>
    <w:rsid w:val="003549D7"/>
    <w:rsid w:val="00354A5A"/>
    <w:rsid w:val="00355392"/>
    <w:rsid w:val="003553BA"/>
    <w:rsid w:val="003554A0"/>
    <w:rsid w:val="003555DA"/>
    <w:rsid w:val="0035563B"/>
    <w:rsid w:val="0035572D"/>
    <w:rsid w:val="00355797"/>
    <w:rsid w:val="003558D7"/>
    <w:rsid w:val="00355921"/>
    <w:rsid w:val="00355941"/>
    <w:rsid w:val="00355ADF"/>
    <w:rsid w:val="00355C69"/>
    <w:rsid w:val="00355E2A"/>
    <w:rsid w:val="00355E4E"/>
    <w:rsid w:val="00356162"/>
    <w:rsid w:val="0035626F"/>
    <w:rsid w:val="003563BB"/>
    <w:rsid w:val="003563BC"/>
    <w:rsid w:val="003563ED"/>
    <w:rsid w:val="0035678E"/>
    <w:rsid w:val="0035683A"/>
    <w:rsid w:val="0035688B"/>
    <w:rsid w:val="003569D4"/>
    <w:rsid w:val="00356A63"/>
    <w:rsid w:val="00356AB1"/>
    <w:rsid w:val="00356B7A"/>
    <w:rsid w:val="00356D89"/>
    <w:rsid w:val="0035717A"/>
    <w:rsid w:val="0035727D"/>
    <w:rsid w:val="00357440"/>
    <w:rsid w:val="003574B3"/>
    <w:rsid w:val="003579E2"/>
    <w:rsid w:val="00357A94"/>
    <w:rsid w:val="00357C20"/>
    <w:rsid w:val="00357D0E"/>
    <w:rsid w:val="00357F1F"/>
    <w:rsid w:val="003601E1"/>
    <w:rsid w:val="00360311"/>
    <w:rsid w:val="003603C1"/>
    <w:rsid w:val="003604E5"/>
    <w:rsid w:val="00360521"/>
    <w:rsid w:val="00360564"/>
    <w:rsid w:val="003605E8"/>
    <w:rsid w:val="0036067D"/>
    <w:rsid w:val="00360924"/>
    <w:rsid w:val="003609EB"/>
    <w:rsid w:val="00360AF2"/>
    <w:rsid w:val="00360B16"/>
    <w:rsid w:val="00360D37"/>
    <w:rsid w:val="0036101F"/>
    <w:rsid w:val="003610A3"/>
    <w:rsid w:val="00361113"/>
    <w:rsid w:val="0036115E"/>
    <w:rsid w:val="00361312"/>
    <w:rsid w:val="003613E3"/>
    <w:rsid w:val="00361599"/>
    <w:rsid w:val="0036159B"/>
    <w:rsid w:val="00361632"/>
    <w:rsid w:val="00361639"/>
    <w:rsid w:val="003618B7"/>
    <w:rsid w:val="003619F8"/>
    <w:rsid w:val="00361BC6"/>
    <w:rsid w:val="00361D16"/>
    <w:rsid w:val="00361E5F"/>
    <w:rsid w:val="00361ECA"/>
    <w:rsid w:val="0036206B"/>
    <w:rsid w:val="00362070"/>
    <w:rsid w:val="0036224B"/>
    <w:rsid w:val="00362349"/>
    <w:rsid w:val="003623E6"/>
    <w:rsid w:val="00362487"/>
    <w:rsid w:val="00362583"/>
    <w:rsid w:val="0036258B"/>
    <w:rsid w:val="003626DF"/>
    <w:rsid w:val="003626FB"/>
    <w:rsid w:val="003627C9"/>
    <w:rsid w:val="0036286B"/>
    <w:rsid w:val="003628D6"/>
    <w:rsid w:val="00362A2F"/>
    <w:rsid w:val="00362A4A"/>
    <w:rsid w:val="00362ABD"/>
    <w:rsid w:val="00362AF3"/>
    <w:rsid w:val="00362B0F"/>
    <w:rsid w:val="00362BE8"/>
    <w:rsid w:val="00362C5C"/>
    <w:rsid w:val="00362D0A"/>
    <w:rsid w:val="00362DFA"/>
    <w:rsid w:val="00362FDF"/>
    <w:rsid w:val="003631E2"/>
    <w:rsid w:val="00363254"/>
    <w:rsid w:val="00363448"/>
    <w:rsid w:val="00363504"/>
    <w:rsid w:val="00363851"/>
    <w:rsid w:val="0036399A"/>
    <w:rsid w:val="00363B33"/>
    <w:rsid w:val="00363B3D"/>
    <w:rsid w:val="00363CF6"/>
    <w:rsid w:val="00363F47"/>
    <w:rsid w:val="00363FF8"/>
    <w:rsid w:val="003640D9"/>
    <w:rsid w:val="00364291"/>
    <w:rsid w:val="00364657"/>
    <w:rsid w:val="003647BD"/>
    <w:rsid w:val="0036489F"/>
    <w:rsid w:val="00364952"/>
    <w:rsid w:val="003649C9"/>
    <w:rsid w:val="003649DA"/>
    <w:rsid w:val="00364B80"/>
    <w:rsid w:val="00364CD5"/>
    <w:rsid w:val="00364D49"/>
    <w:rsid w:val="00364DC8"/>
    <w:rsid w:val="00364EC2"/>
    <w:rsid w:val="003650E3"/>
    <w:rsid w:val="00365367"/>
    <w:rsid w:val="003654F4"/>
    <w:rsid w:val="003655C5"/>
    <w:rsid w:val="003656A7"/>
    <w:rsid w:val="003657BB"/>
    <w:rsid w:val="00365981"/>
    <w:rsid w:val="00365A54"/>
    <w:rsid w:val="00365F22"/>
    <w:rsid w:val="00365F23"/>
    <w:rsid w:val="003660E4"/>
    <w:rsid w:val="003664C4"/>
    <w:rsid w:val="00366521"/>
    <w:rsid w:val="00366548"/>
    <w:rsid w:val="0036664E"/>
    <w:rsid w:val="00366821"/>
    <w:rsid w:val="0036689F"/>
    <w:rsid w:val="003668D6"/>
    <w:rsid w:val="00366A25"/>
    <w:rsid w:val="00366B8B"/>
    <w:rsid w:val="00366BC1"/>
    <w:rsid w:val="00366D17"/>
    <w:rsid w:val="00366E1B"/>
    <w:rsid w:val="003670D9"/>
    <w:rsid w:val="00367137"/>
    <w:rsid w:val="00367304"/>
    <w:rsid w:val="003673A6"/>
    <w:rsid w:val="0036741A"/>
    <w:rsid w:val="00367497"/>
    <w:rsid w:val="0036773E"/>
    <w:rsid w:val="0036774F"/>
    <w:rsid w:val="00367849"/>
    <w:rsid w:val="0036784F"/>
    <w:rsid w:val="00367877"/>
    <w:rsid w:val="00367F78"/>
    <w:rsid w:val="00367FAA"/>
    <w:rsid w:val="00367FB6"/>
    <w:rsid w:val="00370000"/>
    <w:rsid w:val="00370341"/>
    <w:rsid w:val="003704EA"/>
    <w:rsid w:val="0037056A"/>
    <w:rsid w:val="00370905"/>
    <w:rsid w:val="00370E94"/>
    <w:rsid w:val="00370F4E"/>
    <w:rsid w:val="003710C3"/>
    <w:rsid w:val="00371444"/>
    <w:rsid w:val="00371681"/>
    <w:rsid w:val="00371685"/>
    <w:rsid w:val="0037176F"/>
    <w:rsid w:val="00371776"/>
    <w:rsid w:val="003717B8"/>
    <w:rsid w:val="003717D4"/>
    <w:rsid w:val="00371810"/>
    <w:rsid w:val="00371DC4"/>
    <w:rsid w:val="00371E13"/>
    <w:rsid w:val="00371E66"/>
    <w:rsid w:val="00371FF7"/>
    <w:rsid w:val="00372030"/>
    <w:rsid w:val="003721CD"/>
    <w:rsid w:val="00372274"/>
    <w:rsid w:val="003722FF"/>
    <w:rsid w:val="0037233C"/>
    <w:rsid w:val="003723F2"/>
    <w:rsid w:val="0037242C"/>
    <w:rsid w:val="00372554"/>
    <w:rsid w:val="003727EE"/>
    <w:rsid w:val="00372870"/>
    <w:rsid w:val="00372959"/>
    <w:rsid w:val="003729A8"/>
    <w:rsid w:val="00372CAF"/>
    <w:rsid w:val="00372CB1"/>
    <w:rsid w:val="00373144"/>
    <w:rsid w:val="003731F4"/>
    <w:rsid w:val="00373204"/>
    <w:rsid w:val="00373331"/>
    <w:rsid w:val="003733A8"/>
    <w:rsid w:val="00373AA3"/>
    <w:rsid w:val="00373C41"/>
    <w:rsid w:val="00373D36"/>
    <w:rsid w:val="00373F5D"/>
    <w:rsid w:val="003740F6"/>
    <w:rsid w:val="003742BA"/>
    <w:rsid w:val="003742E5"/>
    <w:rsid w:val="00374445"/>
    <w:rsid w:val="00374482"/>
    <w:rsid w:val="00374529"/>
    <w:rsid w:val="003749F4"/>
    <w:rsid w:val="00374D48"/>
    <w:rsid w:val="00374DB5"/>
    <w:rsid w:val="00374DD8"/>
    <w:rsid w:val="00374E33"/>
    <w:rsid w:val="00374EF9"/>
    <w:rsid w:val="00374F12"/>
    <w:rsid w:val="00374FD5"/>
    <w:rsid w:val="0037528C"/>
    <w:rsid w:val="003752EB"/>
    <w:rsid w:val="003756A1"/>
    <w:rsid w:val="003756C4"/>
    <w:rsid w:val="00375747"/>
    <w:rsid w:val="00375904"/>
    <w:rsid w:val="00375A2D"/>
    <w:rsid w:val="00375C40"/>
    <w:rsid w:val="00375C5B"/>
    <w:rsid w:val="00375C7C"/>
    <w:rsid w:val="00375E34"/>
    <w:rsid w:val="0037614D"/>
    <w:rsid w:val="003761C9"/>
    <w:rsid w:val="003763C4"/>
    <w:rsid w:val="003763E8"/>
    <w:rsid w:val="00376458"/>
    <w:rsid w:val="00376818"/>
    <w:rsid w:val="0037684A"/>
    <w:rsid w:val="00376957"/>
    <w:rsid w:val="00376C25"/>
    <w:rsid w:val="00376D2B"/>
    <w:rsid w:val="00376D4E"/>
    <w:rsid w:val="00376F6B"/>
    <w:rsid w:val="00376F78"/>
    <w:rsid w:val="00376FD5"/>
    <w:rsid w:val="0037705F"/>
    <w:rsid w:val="003771F3"/>
    <w:rsid w:val="0037730A"/>
    <w:rsid w:val="0037738A"/>
    <w:rsid w:val="003773DE"/>
    <w:rsid w:val="0037742E"/>
    <w:rsid w:val="003779DD"/>
    <w:rsid w:val="00377B8F"/>
    <w:rsid w:val="00377C21"/>
    <w:rsid w:val="00377E3C"/>
    <w:rsid w:val="00377EC4"/>
    <w:rsid w:val="0038007B"/>
    <w:rsid w:val="00380138"/>
    <w:rsid w:val="0038029D"/>
    <w:rsid w:val="003803CA"/>
    <w:rsid w:val="00380408"/>
    <w:rsid w:val="003804DC"/>
    <w:rsid w:val="00380523"/>
    <w:rsid w:val="00380679"/>
    <w:rsid w:val="003807E5"/>
    <w:rsid w:val="0038095A"/>
    <w:rsid w:val="003809E8"/>
    <w:rsid w:val="00380AD9"/>
    <w:rsid w:val="00380AEF"/>
    <w:rsid w:val="00380B3B"/>
    <w:rsid w:val="00380B72"/>
    <w:rsid w:val="00380DAB"/>
    <w:rsid w:val="00381202"/>
    <w:rsid w:val="0038125F"/>
    <w:rsid w:val="003813AE"/>
    <w:rsid w:val="003815F5"/>
    <w:rsid w:val="0038160D"/>
    <w:rsid w:val="00381626"/>
    <w:rsid w:val="003816A7"/>
    <w:rsid w:val="00381710"/>
    <w:rsid w:val="0038175E"/>
    <w:rsid w:val="00381919"/>
    <w:rsid w:val="00381B1B"/>
    <w:rsid w:val="00381B2B"/>
    <w:rsid w:val="00381B2F"/>
    <w:rsid w:val="00381CB1"/>
    <w:rsid w:val="00381F41"/>
    <w:rsid w:val="00381F8A"/>
    <w:rsid w:val="00381FF5"/>
    <w:rsid w:val="003820A2"/>
    <w:rsid w:val="00382386"/>
    <w:rsid w:val="003823BB"/>
    <w:rsid w:val="003824AA"/>
    <w:rsid w:val="003824E2"/>
    <w:rsid w:val="00382733"/>
    <w:rsid w:val="00382753"/>
    <w:rsid w:val="003827E9"/>
    <w:rsid w:val="0038294B"/>
    <w:rsid w:val="00382B17"/>
    <w:rsid w:val="00382E85"/>
    <w:rsid w:val="00382F55"/>
    <w:rsid w:val="00382F96"/>
    <w:rsid w:val="0038325D"/>
    <w:rsid w:val="0038328F"/>
    <w:rsid w:val="003833AB"/>
    <w:rsid w:val="00383609"/>
    <w:rsid w:val="00383AB0"/>
    <w:rsid w:val="00383E80"/>
    <w:rsid w:val="00383F0C"/>
    <w:rsid w:val="00383F0E"/>
    <w:rsid w:val="0038424D"/>
    <w:rsid w:val="003845A8"/>
    <w:rsid w:val="003845E9"/>
    <w:rsid w:val="003846C5"/>
    <w:rsid w:val="003848DA"/>
    <w:rsid w:val="00384917"/>
    <w:rsid w:val="0038492F"/>
    <w:rsid w:val="00384A65"/>
    <w:rsid w:val="00384BB8"/>
    <w:rsid w:val="00384CBD"/>
    <w:rsid w:val="00384E72"/>
    <w:rsid w:val="00384E82"/>
    <w:rsid w:val="00384EAF"/>
    <w:rsid w:val="00384FA6"/>
    <w:rsid w:val="003853A3"/>
    <w:rsid w:val="00385418"/>
    <w:rsid w:val="0038552F"/>
    <w:rsid w:val="0038560C"/>
    <w:rsid w:val="003857C6"/>
    <w:rsid w:val="00385873"/>
    <w:rsid w:val="003859C4"/>
    <w:rsid w:val="00385AC7"/>
    <w:rsid w:val="00385D41"/>
    <w:rsid w:val="00386110"/>
    <w:rsid w:val="003863CD"/>
    <w:rsid w:val="003863EF"/>
    <w:rsid w:val="0038662A"/>
    <w:rsid w:val="00386768"/>
    <w:rsid w:val="003867F0"/>
    <w:rsid w:val="003869AF"/>
    <w:rsid w:val="00386AAD"/>
    <w:rsid w:val="00386B5F"/>
    <w:rsid w:val="00386BAA"/>
    <w:rsid w:val="00386C9A"/>
    <w:rsid w:val="00386DA2"/>
    <w:rsid w:val="00387709"/>
    <w:rsid w:val="00387811"/>
    <w:rsid w:val="00387A4C"/>
    <w:rsid w:val="00387B18"/>
    <w:rsid w:val="00387FCD"/>
    <w:rsid w:val="00390019"/>
    <w:rsid w:val="00390055"/>
    <w:rsid w:val="00390078"/>
    <w:rsid w:val="003901D0"/>
    <w:rsid w:val="00390491"/>
    <w:rsid w:val="003904BA"/>
    <w:rsid w:val="0039055E"/>
    <w:rsid w:val="00390560"/>
    <w:rsid w:val="003906C9"/>
    <w:rsid w:val="003907B6"/>
    <w:rsid w:val="003908FA"/>
    <w:rsid w:val="00390A82"/>
    <w:rsid w:val="00390D90"/>
    <w:rsid w:val="00390FE6"/>
    <w:rsid w:val="00390FEB"/>
    <w:rsid w:val="003913A4"/>
    <w:rsid w:val="003916EF"/>
    <w:rsid w:val="003917A7"/>
    <w:rsid w:val="003917DE"/>
    <w:rsid w:val="003919DB"/>
    <w:rsid w:val="00391A1C"/>
    <w:rsid w:val="00391A6F"/>
    <w:rsid w:val="00391B01"/>
    <w:rsid w:val="00391B65"/>
    <w:rsid w:val="00391BDC"/>
    <w:rsid w:val="00391C07"/>
    <w:rsid w:val="00391CE2"/>
    <w:rsid w:val="00391CE8"/>
    <w:rsid w:val="00391E12"/>
    <w:rsid w:val="00392218"/>
    <w:rsid w:val="0039222A"/>
    <w:rsid w:val="00392367"/>
    <w:rsid w:val="0039250C"/>
    <w:rsid w:val="00392534"/>
    <w:rsid w:val="003927FA"/>
    <w:rsid w:val="00392885"/>
    <w:rsid w:val="00392A12"/>
    <w:rsid w:val="00392C30"/>
    <w:rsid w:val="00392E70"/>
    <w:rsid w:val="00392F1B"/>
    <w:rsid w:val="00392F97"/>
    <w:rsid w:val="003931C8"/>
    <w:rsid w:val="003932F6"/>
    <w:rsid w:val="00393588"/>
    <w:rsid w:val="00393602"/>
    <w:rsid w:val="0039381B"/>
    <w:rsid w:val="003938DE"/>
    <w:rsid w:val="00393A99"/>
    <w:rsid w:val="00393AC3"/>
    <w:rsid w:val="00393C15"/>
    <w:rsid w:val="00393D43"/>
    <w:rsid w:val="00393FB6"/>
    <w:rsid w:val="00394119"/>
    <w:rsid w:val="0039425E"/>
    <w:rsid w:val="00394279"/>
    <w:rsid w:val="00394638"/>
    <w:rsid w:val="0039477E"/>
    <w:rsid w:val="0039484E"/>
    <w:rsid w:val="003948B8"/>
    <w:rsid w:val="003949AC"/>
    <w:rsid w:val="003949FF"/>
    <w:rsid w:val="00394B18"/>
    <w:rsid w:val="00394B7E"/>
    <w:rsid w:val="00394C32"/>
    <w:rsid w:val="00394CCC"/>
    <w:rsid w:val="00394E24"/>
    <w:rsid w:val="00394E2D"/>
    <w:rsid w:val="00394EE8"/>
    <w:rsid w:val="00394F92"/>
    <w:rsid w:val="003952D0"/>
    <w:rsid w:val="003955B4"/>
    <w:rsid w:val="00395668"/>
    <w:rsid w:val="003957AA"/>
    <w:rsid w:val="00395963"/>
    <w:rsid w:val="00395A4B"/>
    <w:rsid w:val="00395B59"/>
    <w:rsid w:val="00395DBD"/>
    <w:rsid w:val="003960ED"/>
    <w:rsid w:val="003963D5"/>
    <w:rsid w:val="00396529"/>
    <w:rsid w:val="003965F6"/>
    <w:rsid w:val="003967BA"/>
    <w:rsid w:val="00396877"/>
    <w:rsid w:val="00396913"/>
    <w:rsid w:val="0039696F"/>
    <w:rsid w:val="00396B28"/>
    <w:rsid w:val="00396E93"/>
    <w:rsid w:val="00396EC5"/>
    <w:rsid w:val="00396EDF"/>
    <w:rsid w:val="0039726C"/>
    <w:rsid w:val="003972DF"/>
    <w:rsid w:val="00397545"/>
    <w:rsid w:val="003975C3"/>
    <w:rsid w:val="00397656"/>
    <w:rsid w:val="003976B4"/>
    <w:rsid w:val="0039772E"/>
    <w:rsid w:val="00397822"/>
    <w:rsid w:val="0039785F"/>
    <w:rsid w:val="003978DE"/>
    <w:rsid w:val="00397B30"/>
    <w:rsid w:val="00397C28"/>
    <w:rsid w:val="00397CE2"/>
    <w:rsid w:val="00397D83"/>
    <w:rsid w:val="00397DA7"/>
    <w:rsid w:val="00397DB2"/>
    <w:rsid w:val="00397E74"/>
    <w:rsid w:val="00397ECE"/>
    <w:rsid w:val="00397FA2"/>
    <w:rsid w:val="003A00BE"/>
    <w:rsid w:val="003A014C"/>
    <w:rsid w:val="003A01BB"/>
    <w:rsid w:val="003A0279"/>
    <w:rsid w:val="003A042B"/>
    <w:rsid w:val="003A04A8"/>
    <w:rsid w:val="003A05D3"/>
    <w:rsid w:val="003A062D"/>
    <w:rsid w:val="003A066D"/>
    <w:rsid w:val="003A076D"/>
    <w:rsid w:val="003A0808"/>
    <w:rsid w:val="003A09C8"/>
    <w:rsid w:val="003A0C77"/>
    <w:rsid w:val="003A0E34"/>
    <w:rsid w:val="003A0F02"/>
    <w:rsid w:val="003A109B"/>
    <w:rsid w:val="003A11E3"/>
    <w:rsid w:val="003A1410"/>
    <w:rsid w:val="003A15BA"/>
    <w:rsid w:val="003A1726"/>
    <w:rsid w:val="003A1806"/>
    <w:rsid w:val="003A185A"/>
    <w:rsid w:val="003A19E9"/>
    <w:rsid w:val="003A19FC"/>
    <w:rsid w:val="003A1D52"/>
    <w:rsid w:val="003A1F07"/>
    <w:rsid w:val="003A1FEC"/>
    <w:rsid w:val="003A215F"/>
    <w:rsid w:val="003A21AE"/>
    <w:rsid w:val="003A224C"/>
    <w:rsid w:val="003A22A3"/>
    <w:rsid w:val="003A2405"/>
    <w:rsid w:val="003A24C2"/>
    <w:rsid w:val="003A2772"/>
    <w:rsid w:val="003A2AD9"/>
    <w:rsid w:val="003A2BB3"/>
    <w:rsid w:val="003A2CAE"/>
    <w:rsid w:val="003A2CCF"/>
    <w:rsid w:val="003A2E32"/>
    <w:rsid w:val="003A306D"/>
    <w:rsid w:val="003A30A4"/>
    <w:rsid w:val="003A32B6"/>
    <w:rsid w:val="003A33EB"/>
    <w:rsid w:val="003A34E9"/>
    <w:rsid w:val="003A350C"/>
    <w:rsid w:val="003A3544"/>
    <w:rsid w:val="003A3694"/>
    <w:rsid w:val="003A373E"/>
    <w:rsid w:val="003A3A53"/>
    <w:rsid w:val="003A3A56"/>
    <w:rsid w:val="003A3B8C"/>
    <w:rsid w:val="003A3BC3"/>
    <w:rsid w:val="003A3C92"/>
    <w:rsid w:val="003A3CB9"/>
    <w:rsid w:val="003A3D71"/>
    <w:rsid w:val="003A3D88"/>
    <w:rsid w:val="003A3EDD"/>
    <w:rsid w:val="003A439E"/>
    <w:rsid w:val="003A4633"/>
    <w:rsid w:val="003A4666"/>
    <w:rsid w:val="003A4728"/>
    <w:rsid w:val="003A4AD1"/>
    <w:rsid w:val="003A4D83"/>
    <w:rsid w:val="003A4E12"/>
    <w:rsid w:val="003A4EB4"/>
    <w:rsid w:val="003A5203"/>
    <w:rsid w:val="003A53DE"/>
    <w:rsid w:val="003A5641"/>
    <w:rsid w:val="003A5688"/>
    <w:rsid w:val="003A5716"/>
    <w:rsid w:val="003A5BB8"/>
    <w:rsid w:val="003A5CC7"/>
    <w:rsid w:val="003A5D86"/>
    <w:rsid w:val="003A5E61"/>
    <w:rsid w:val="003A5FBF"/>
    <w:rsid w:val="003A5FCE"/>
    <w:rsid w:val="003A6012"/>
    <w:rsid w:val="003A6079"/>
    <w:rsid w:val="003A60CD"/>
    <w:rsid w:val="003A62CF"/>
    <w:rsid w:val="003A6472"/>
    <w:rsid w:val="003A66F9"/>
    <w:rsid w:val="003A686F"/>
    <w:rsid w:val="003A68B5"/>
    <w:rsid w:val="003A690E"/>
    <w:rsid w:val="003A6993"/>
    <w:rsid w:val="003A6A33"/>
    <w:rsid w:val="003A6BD8"/>
    <w:rsid w:val="003A6CB3"/>
    <w:rsid w:val="003A6E10"/>
    <w:rsid w:val="003A6ED1"/>
    <w:rsid w:val="003A71D2"/>
    <w:rsid w:val="003A725F"/>
    <w:rsid w:val="003A72F2"/>
    <w:rsid w:val="003A7355"/>
    <w:rsid w:val="003A7606"/>
    <w:rsid w:val="003A76F8"/>
    <w:rsid w:val="003A7755"/>
    <w:rsid w:val="003A7785"/>
    <w:rsid w:val="003A7794"/>
    <w:rsid w:val="003A798C"/>
    <w:rsid w:val="003A7A3C"/>
    <w:rsid w:val="003A7A7D"/>
    <w:rsid w:val="003A7B6A"/>
    <w:rsid w:val="003A7CAE"/>
    <w:rsid w:val="003A7E6D"/>
    <w:rsid w:val="003A7EC9"/>
    <w:rsid w:val="003A7ED6"/>
    <w:rsid w:val="003A7F11"/>
    <w:rsid w:val="003B0121"/>
    <w:rsid w:val="003B0201"/>
    <w:rsid w:val="003B02F9"/>
    <w:rsid w:val="003B038E"/>
    <w:rsid w:val="003B0606"/>
    <w:rsid w:val="003B06D0"/>
    <w:rsid w:val="003B06D8"/>
    <w:rsid w:val="003B0740"/>
    <w:rsid w:val="003B076B"/>
    <w:rsid w:val="003B0781"/>
    <w:rsid w:val="003B0882"/>
    <w:rsid w:val="003B097E"/>
    <w:rsid w:val="003B09FF"/>
    <w:rsid w:val="003B0A47"/>
    <w:rsid w:val="003B0A4C"/>
    <w:rsid w:val="003B0C00"/>
    <w:rsid w:val="003B0C17"/>
    <w:rsid w:val="003B0DFF"/>
    <w:rsid w:val="003B0F46"/>
    <w:rsid w:val="003B0FCB"/>
    <w:rsid w:val="003B10F6"/>
    <w:rsid w:val="003B129E"/>
    <w:rsid w:val="003B17F2"/>
    <w:rsid w:val="003B1841"/>
    <w:rsid w:val="003B18A0"/>
    <w:rsid w:val="003B1932"/>
    <w:rsid w:val="003B1C54"/>
    <w:rsid w:val="003B1D62"/>
    <w:rsid w:val="003B1E75"/>
    <w:rsid w:val="003B2007"/>
    <w:rsid w:val="003B203E"/>
    <w:rsid w:val="003B2049"/>
    <w:rsid w:val="003B208D"/>
    <w:rsid w:val="003B21BA"/>
    <w:rsid w:val="003B24FD"/>
    <w:rsid w:val="003B26CA"/>
    <w:rsid w:val="003B289C"/>
    <w:rsid w:val="003B28CF"/>
    <w:rsid w:val="003B29F5"/>
    <w:rsid w:val="003B2A28"/>
    <w:rsid w:val="003B2B65"/>
    <w:rsid w:val="003B2BFF"/>
    <w:rsid w:val="003B2DA8"/>
    <w:rsid w:val="003B2E0D"/>
    <w:rsid w:val="003B3048"/>
    <w:rsid w:val="003B324F"/>
    <w:rsid w:val="003B32A4"/>
    <w:rsid w:val="003B32D3"/>
    <w:rsid w:val="003B37D4"/>
    <w:rsid w:val="003B38AF"/>
    <w:rsid w:val="003B3A41"/>
    <w:rsid w:val="003B3BAA"/>
    <w:rsid w:val="003B3CAC"/>
    <w:rsid w:val="003B3D81"/>
    <w:rsid w:val="003B3D94"/>
    <w:rsid w:val="003B3DAA"/>
    <w:rsid w:val="003B3E8D"/>
    <w:rsid w:val="003B4014"/>
    <w:rsid w:val="003B401F"/>
    <w:rsid w:val="003B41DA"/>
    <w:rsid w:val="003B42D7"/>
    <w:rsid w:val="003B42E7"/>
    <w:rsid w:val="003B442D"/>
    <w:rsid w:val="003B4540"/>
    <w:rsid w:val="003B45C4"/>
    <w:rsid w:val="003B45FF"/>
    <w:rsid w:val="003B4604"/>
    <w:rsid w:val="003B4729"/>
    <w:rsid w:val="003B49F8"/>
    <w:rsid w:val="003B4AFE"/>
    <w:rsid w:val="003B4C82"/>
    <w:rsid w:val="003B4CED"/>
    <w:rsid w:val="003B4CF8"/>
    <w:rsid w:val="003B4D3F"/>
    <w:rsid w:val="003B4DC2"/>
    <w:rsid w:val="003B4E52"/>
    <w:rsid w:val="003B4EEA"/>
    <w:rsid w:val="003B4F8C"/>
    <w:rsid w:val="003B5341"/>
    <w:rsid w:val="003B5342"/>
    <w:rsid w:val="003B53BD"/>
    <w:rsid w:val="003B55A9"/>
    <w:rsid w:val="003B56DB"/>
    <w:rsid w:val="003B5806"/>
    <w:rsid w:val="003B5892"/>
    <w:rsid w:val="003B5A34"/>
    <w:rsid w:val="003B5A36"/>
    <w:rsid w:val="003B5EEF"/>
    <w:rsid w:val="003B60EA"/>
    <w:rsid w:val="003B61B2"/>
    <w:rsid w:val="003B620C"/>
    <w:rsid w:val="003B64E3"/>
    <w:rsid w:val="003B65A4"/>
    <w:rsid w:val="003B6692"/>
    <w:rsid w:val="003B6B57"/>
    <w:rsid w:val="003B6CE2"/>
    <w:rsid w:val="003B6D60"/>
    <w:rsid w:val="003B6FC9"/>
    <w:rsid w:val="003B7497"/>
    <w:rsid w:val="003B74BE"/>
    <w:rsid w:val="003B75B1"/>
    <w:rsid w:val="003B7705"/>
    <w:rsid w:val="003B781B"/>
    <w:rsid w:val="003B791B"/>
    <w:rsid w:val="003B7A23"/>
    <w:rsid w:val="003B7A6E"/>
    <w:rsid w:val="003B7C6E"/>
    <w:rsid w:val="003B7D80"/>
    <w:rsid w:val="003B7DFC"/>
    <w:rsid w:val="003C00D0"/>
    <w:rsid w:val="003C012C"/>
    <w:rsid w:val="003C0285"/>
    <w:rsid w:val="003C03F7"/>
    <w:rsid w:val="003C080D"/>
    <w:rsid w:val="003C0A6E"/>
    <w:rsid w:val="003C0AD1"/>
    <w:rsid w:val="003C0BC8"/>
    <w:rsid w:val="003C0C05"/>
    <w:rsid w:val="003C0D8C"/>
    <w:rsid w:val="003C0D90"/>
    <w:rsid w:val="003C0EFD"/>
    <w:rsid w:val="003C1097"/>
    <w:rsid w:val="003C1105"/>
    <w:rsid w:val="003C1118"/>
    <w:rsid w:val="003C124B"/>
    <w:rsid w:val="003C14A0"/>
    <w:rsid w:val="003C14B5"/>
    <w:rsid w:val="003C1612"/>
    <w:rsid w:val="003C1699"/>
    <w:rsid w:val="003C174C"/>
    <w:rsid w:val="003C187B"/>
    <w:rsid w:val="003C1910"/>
    <w:rsid w:val="003C19C4"/>
    <w:rsid w:val="003C22B4"/>
    <w:rsid w:val="003C2351"/>
    <w:rsid w:val="003C2389"/>
    <w:rsid w:val="003C25F9"/>
    <w:rsid w:val="003C2748"/>
    <w:rsid w:val="003C27A5"/>
    <w:rsid w:val="003C2968"/>
    <w:rsid w:val="003C2C0D"/>
    <w:rsid w:val="003C2C30"/>
    <w:rsid w:val="003C2C60"/>
    <w:rsid w:val="003C2C66"/>
    <w:rsid w:val="003C2D7E"/>
    <w:rsid w:val="003C2DC3"/>
    <w:rsid w:val="003C2F1C"/>
    <w:rsid w:val="003C300B"/>
    <w:rsid w:val="003C3021"/>
    <w:rsid w:val="003C3102"/>
    <w:rsid w:val="003C3426"/>
    <w:rsid w:val="003C34A6"/>
    <w:rsid w:val="003C35B1"/>
    <w:rsid w:val="003C36EE"/>
    <w:rsid w:val="003C373A"/>
    <w:rsid w:val="003C3754"/>
    <w:rsid w:val="003C37DD"/>
    <w:rsid w:val="003C391B"/>
    <w:rsid w:val="003C3A8F"/>
    <w:rsid w:val="003C3B57"/>
    <w:rsid w:val="003C3B80"/>
    <w:rsid w:val="003C3BB4"/>
    <w:rsid w:val="003C3C7D"/>
    <w:rsid w:val="003C3CE0"/>
    <w:rsid w:val="003C3E77"/>
    <w:rsid w:val="003C3F93"/>
    <w:rsid w:val="003C4225"/>
    <w:rsid w:val="003C434A"/>
    <w:rsid w:val="003C44D2"/>
    <w:rsid w:val="003C48F9"/>
    <w:rsid w:val="003C49AA"/>
    <w:rsid w:val="003C4C01"/>
    <w:rsid w:val="003C4D74"/>
    <w:rsid w:val="003C4EFD"/>
    <w:rsid w:val="003C4F14"/>
    <w:rsid w:val="003C4FAD"/>
    <w:rsid w:val="003C509D"/>
    <w:rsid w:val="003C51A9"/>
    <w:rsid w:val="003C5203"/>
    <w:rsid w:val="003C5304"/>
    <w:rsid w:val="003C5607"/>
    <w:rsid w:val="003C567D"/>
    <w:rsid w:val="003C572D"/>
    <w:rsid w:val="003C57AD"/>
    <w:rsid w:val="003C5B0C"/>
    <w:rsid w:val="003C5C5B"/>
    <w:rsid w:val="003C5C66"/>
    <w:rsid w:val="003C5D77"/>
    <w:rsid w:val="003C5F6C"/>
    <w:rsid w:val="003C5FDE"/>
    <w:rsid w:val="003C6120"/>
    <w:rsid w:val="003C634C"/>
    <w:rsid w:val="003C635B"/>
    <w:rsid w:val="003C63A0"/>
    <w:rsid w:val="003C663A"/>
    <w:rsid w:val="003C6884"/>
    <w:rsid w:val="003C68FF"/>
    <w:rsid w:val="003C6AF0"/>
    <w:rsid w:val="003C6C0D"/>
    <w:rsid w:val="003C6C8E"/>
    <w:rsid w:val="003C705B"/>
    <w:rsid w:val="003C7151"/>
    <w:rsid w:val="003C71C0"/>
    <w:rsid w:val="003C7348"/>
    <w:rsid w:val="003C73E1"/>
    <w:rsid w:val="003C73FD"/>
    <w:rsid w:val="003C7438"/>
    <w:rsid w:val="003C757A"/>
    <w:rsid w:val="003C76D8"/>
    <w:rsid w:val="003C77F0"/>
    <w:rsid w:val="003C780E"/>
    <w:rsid w:val="003C783B"/>
    <w:rsid w:val="003C7AF9"/>
    <w:rsid w:val="003C7B24"/>
    <w:rsid w:val="003C7C59"/>
    <w:rsid w:val="003C7DAD"/>
    <w:rsid w:val="003D0132"/>
    <w:rsid w:val="003D0214"/>
    <w:rsid w:val="003D022A"/>
    <w:rsid w:val="003D03AC"/>
    <w:rsid w:val="003D03CD"/>
    <w:rsid w:val="003D03E3"/>
    <w:rsid w:val="003D0593"/>
    <w:rsid w:val="003D081F"/>
    <w:rsid w:val="003D0A79"/>
    <w:rsid w:val="003D0CB1"/>
    <w:rsid w:val="003D0CD5"/>
    <w:rsid w:val="003D0F60"/>
    <w:rsid w:val="003D133D"/>
    <w:rsid w:val="003D13D0"/>
    <w:rsid w:val="003D13D6"/>
    <w:rsid w:val="003D15F8"/>
    <w:rsid w:val="003D1784"/>
    <w:rsid w:val="003D18F6"/>
    <w:rsid w:val="003D1A60"/>
    <w:rsid w:val="003D1B14"/>
    <w:rsid w:val="003D1B6E"/>
    <w:rsid w:val="003D1B95"/>
    <w:rsid w:val="003D1C2F"/>
    <w:rsid w:val="003D1CFB"/>
    <w:rsid w:val="003D1F8D"/>
    <w:rsid w:val="003D1FC0"/>
    <w:rsid w:val="003D2092"/>
    <w:rsid w:val="003D2294"/>
    <w:rsid w:val="003D22F2"/>
    <w:rsid w:val="003D2384"/>
    <w:rsid w:val="003D2497"/>
    <w:rsid w:val="003D2562"/>
    <w:rsid w:val="003D2757"/>
    <w:rsid w:val="003D2771"/>
    <w:rsid w:val="003D2777"/>
    <w:rsid w:val="003D27AB"/>
    <w:rsid w:val="003D2AC1"/>
    <w:rsid w:val="003D2BF4"/>
    <w:rsid w:val="003D2D24"/>
    <w:rsid w:val="003D2D3B"/>
    <w:rsid w:val="003D2DEC"/>
    <w:rsid w:val="003D2EEC"/>
    <w:rsid w:val="003D2F2C"/>
    <w:rsid w:val="003D3012"/>
    <w:rsid w:val="003D306C"/>
    <w:rsid w:val="003D33B3"/>
    <w:rsid w:val="003D34E1"/>
    <w:rsid w:val="003D3717"/>
    <w:rsid w:val="003D3C5D"/>
    <w:rsid w:val="003D3CD9"/>
    <w:rsid w:val="003D3CF5"/>
    <w:rsid w:val="003D3EC8"/>
    <w:rsid w:val="003D3FC1"/>
    <w:rsid w:val="003D4062"/>
    <w:rsid w:val="003D40C1"/>
    <w:rsid w:val="003D40C5"/>
    <w:rsid w:val="003D412D"/>
    <w:rsid w:val="003D435F"/>
    <w:rsid w:val="003D4747"/>
    <w:rsid w:val="003D48B7"/>
    <w:rsid w:val="003D4DAC"/>
    <w:rsid w:val="003D4E10"/>
    <w:rsid w:val="003D52B1"/>
    <w:rsid w:val="003D549B"/>
    <w:rsid w:val="003D5887"/>
    <w:rsid w:val="003D5954"/>
    <w:rsid w:val="003D5A99"/>
    <w:rsid w:val="003D5AD0"/>
    <w:rsid w:val="003D5B61"/>
    <w:rsid w:val="003D5C0D"/>
    <w:rsid w:val="003D5DE0"/>
    <w:rsid w:val="003D5E2F"/>
    <w:rsid w:val="003D5F0F"/>
    <w:rsid w:val="003D600D"/>
    <w:rsid w:val="003D6120"/>
    <w:rsid w:val="003D627D"/>
    <w:rsid w:val="003D64F6"/>
    <w:rsid w:val="003D65BE"/>
    <w:rsid w:val="003D661B"/>
    <w:rsid w:val="003D67E8"/>
    <w:rsid w:val="003D6B39"/>
    <w:rsid w:val="003D6DE0"/>
    <w:rsid w:val="003D70B4"/>
    <w:rsid w:val="003D70C8"/>
    <w:rsid w:val="003D738B"/>
    <w:rsid w:val="003D759B"/>
    <w:rsid w:val="003D7758"/>
    <w:rsid w:val="003D77EF"/>
    <w:rsid w:val="003D78C3"/>
    <w:rsid w:val="003D7945"/>
    <w:rsid w:val="003D7B36"/>
    <w:rsid w:val="003D7CC3"/>
    <w:rsid w:val="003E002F"/>
    <w:rsid w:val="003E0325"/>
    <w:rsid w:val="003E05A8"/>
    <w:rsid w:val="003E05CF"/>
    <w:rsid w:val="003E0691"/>
    <w:rsid w:val="003E0699"/>
    <w:rsid w:val="003E0859"/>
    <w:rsid w:val="003E08C1"/>
    <w:rsid w:val="003E0905"/>
    <w:rsid w:val="003E0C66"/>
    <w:rsid w:val="003E0D9D"/>
    <w:rsid w:val="003E0F39"/>
    <w:rsid w:val="003E11D8"/>
    <w:rsid w:val="003E1299"/>
    <w:rsid w:val="003E1942"/>
    <w:rsid w:val="003E1BAD"/>
    <w:rsid w:val="003E1C09"/>
    <w:rsid w:val="003E1D34"/>
    <w:rsid w:val="003E1D84"/>
    <w:rsid w:val="003E1E5D"/>
    <w:rsid w:val="003E1E93"/>
    <w:rsid w:val="003E1FBC"/>
    <w:rsid w:val="003E23A8"/>
    <w:rsid w:val="003E25B6"/>
    <w:rsid w:val="003E260D"/>
    <w:rsid w:val="003E2737"/>
    <w:rsid w:val="003E27BA"/>
    <w:rsid w:val="003E27C1"/>
    <w:rsid w:val="003E27DC"/>
    <w:rsid w:val="003E28ED"/>
    <w:rsid w:val="003E297C"/>
    <w:rsid w:val="003E2B73"/>
    <w:rsid w:val="003E2DE0"/>
    <w:rsid w:val="003E2E44"/>
    <w:rsid w:val="003E30E9"/>
    <w:rsid w:val="003E329A"/>
    <w:rsid w:val="003E329B"/>
    <w:rsid w:val="003E3450"/>
    <w:rsid w:val="003E3508"/>
    <w:rsid w:val="003E3585"/>
    <w:rsid w:val="003E35D5"/>
    <w:rsid w:val="003E376A"/>
    <w:rsid w:val="003E3B32"/>
    <w:rsid w:val="003E3B36"/>
    <w:rsid w:val="003E3C1D"/>
    <w:rsid w:val="003E3DA2"/>
    <w:rsid w:val="003E3ED2"/>
    <w:rsid w:val="003E4129"/>
    <w:rsid w:val="003E41DD"/>
    <w:rsid w:val="003E4462"/>
    <w:rsid w:val="003E4715"/>
    <w:rsid w:val="003E4809"/>
    <w:rsid w:val="003E48EF"/>
    <w:rsid w:val="003E4957"/>
    <w:rsid w:val="003E4A01"/>
    <w:rsid w:val="003E4A26"/>
    <w:rsid w:val="003E4A31"/>
    <w:rsid w:val="003E4B95"/>
    <w:rsid w:val="003E4BD3"/>
    <w:rsid w:val="003E4BEB"/>
    <w:rsid w:val="003E4D65"/>
    <w:rsid w:val="003E4F05"/>
    <w:rsid w:val="003E4FC1"/>
    <w:rsid w:val="003E5011"/>
    <w:rsid w:val="003E51CD"/>
    <w:rsid w:val="003E55A4"/>
    <w:rsid w:val="003E578C"/>
    <w:rsid w:val="003E5922"/>
    <w:rsid w:val="003E596F"/>
    <w:rsid w:val="003E5C61"/>
    <w:rsid w:val="003E5CCC"/>
    <w:rsid w:val="003E5E54"/>
    <w:rsid w:val="003E5EDD"/>
    <w:rsid w:val="003E5F52"/>
    <w:rsid w:val="003E5F6D"/>
    <w:rsid w:val="003E60AC"/>
    <w:rsid w:val="003E629A"/>
    <w:rsid w:val="003E63D0"/>
    <w:rsid w:val="003E6482"/>
    <w:rsid w:val="003E674D"/>
    <w:rsid w:val="003E6765"/>
    <w:rsid w:val="003E68C2"/>
    <w:rsid w:val="003E6DFB"/>
    <w:rsid w:val="003E7024"/>
    <w:rsid w:val="003E7084"/>
    <w:rsid w:val="003E716A"/>
    <w:rsid w:val="003E7234"/>
    <w:rsid w:val="003E7281"/>
    <w:rsid w:val="003E7504"/>
    <w:rsid w:val="003E752A"/>
    <w:rsid w:val="003E7774"/>
    <w:rsid w:val="003E7842"/>
    <w:rsid w:val="003E7AC1"/>
    <w:rsid w:val="003E7D52"/>
    <w:rsid w:val="003E7E41"/>
    <w:rsid w:val="003E7F5B"/>
    <w:rsid w:val="003F0091"/>
    <w:rsid w:val="003F0159"/>
    <w:rsid w:val="003F026C"/>
    <w:rsid w:val="003F0346"/>
    <w:rsid w:val="003F0473"/>
    <w:rsid w:val="003F051A"/>
    <w:rsid w:val="003F093B"/>
    <w:rsid w:val="003F09FF"/>
    <w:rsid w:val="003F0A1C"/>
    <w:rsid w:val="003F0C5C"/>
    <w:rsid w:val="003F0C6C"/>
    <w:rsid w:val="003F0C8A"/>
    <w:rsid w:val="003F0C9C"/>
    <w:rsid w:val="003F0DFD"/>
    <w:rsid w:val="003F0E7A"/>
    <w:rsid w:val="003F0ED1"/>
    <w:rsid w:val="003F1037"/>
    <w:rsid w:val="003F10B9"/>
    <w:rsid w:val="003F121E"/>
    <w:rsid w:val="003F127F"/>
    <w:rsid w:val="003F13E8"/>
    <w:rsid w:val="003F15E1"/>
    <w:rsid w:val="003F176B"/>
    <w:rsid w:val="003F185B"/>
    <w:rsid w:val="003F1930"/>
    <w:rsid w:val="003F1A32"/>
    <w:rsid w:val="003F1A61"/>
    <w:rsid w:val="003F1A79"/>
    <w:rsid w:val="003F1B44"/>
    <w:rsid w:val="003F1B96"/>
    <w:rsid w:val="003F1E5A"/>
    <w:rsid w:val="003F1F88"/>
    <w:rsid w:val="003F1FE5"/>
    <w:rsid w:val="003F209A"/>
    <w:rsid w:val="003F21E5"/>
    <w:rsid w:val="003F2304"/>
    <w:rsid w:val="003F2714"/>
    <w:rsid w:val="003F2850"/>
    <w:rsid w:val="003F2AB6"/>
    <w:rsid w:val="003F2B74"/>
    <w:rsid w:val="003F2D5F"/>
    <w:rsid w:val="003F2EA4"/>
    <w:rsid w:val="003F2FE5"/>
    <w:rsid w:val="003F2FF6"/>
    <w:rsid w:val="003F385E"/>
    <w:rsid w:val="003F38A2"/>
    <w:rsid w:val="003F3A74"/>
    <w:rsid w:val="003F3CFF"/>
    <w:rsid w:val="003F3E07"/>
    <w:rsid w:val="003F3EF5"/>
    <w:rsid w:val="003F4104"/>
    <w:rsid w:val="003F41AE"/>
    <w:rsid w:val="003F426C"/>
    <w:rsid w:val="003F435E"/>
    <w:rsid w:val="003F437C"/>
    <w:rsid w:val="003F47F1"/>
    <w:rsid w:val="003F4837"/>
    <w:rsid w:val="003F48DA"/>
    <w:rsid w:val="003F49AD"/>
    <w:rsid w:val="003F4DC2"/>
    <w:rsid w:val="003F4E97"/>
    <w:rsid w:val="003F4F06"/>
    <w:rsid w:val="003F5188"/>
    <w:rsid w:val="003F5238"/>
    <w:rsid w:val="003F52A8"/>
    <w:rsid w:val="003F5380"/>
    <w:rsid w:val="003F558E"/>
    <w:rsid w:val="003F56D8"/>
    <w:rsid w:val="003F58AC"/>
    <w:rsid w:val="003F58C4"/>
    <w:rsid w:val="003F5CA7"/>
    <w:rsid w:val="003F5EDF"/>
    <w:rsid w:val="003F609A"/>
    <w:rsid w:val="003F6263"/>
    <w:rsid w:val="003F62F4"/>
    <w:rsid w:val="003F65E7"/>
    <w:rsid w:val="003F65FE"/>
    <w:rsid w:val="003F680D"/>
    <w:rsid w:val="003F69A8"/>
    <w:rsid w:val="003F6D02"/>
    <w:rsid w:val="003F6E37"/>
    <w:rsid w:val="003F6E44"/>
    <w:rsid w:val="003F6EBE"/>
    <w:rsid w:val="003F6F8D"/>
    <w:rsid w:val="003F705B"/>
    <w:rsid w:val="003F735F"/>
    <w:rsid w:val="003F73A2"/>
    <w:rsid w:val="003F754C"/>
    <w:rsid w:val="003F75E6"/>
    <w:rsid w:val="003F75EE"/>
    <w:rsid w:val="003F7658"/>
    <w:rsid w:val="003F7754"/>
    <w:rsid w:val="003F7789"/>
    <w:rsid w:val="003F782D"/>
    <w:rsid w:val="003F7A6E"/>
    <w:rsid w:val="003F7AF1"/>
    <w:rsid w:val="003F7BE0"/>
    <w:rsid w:val="003F7BFD"/>
    <w:rsid w:val="003F7DDE"/>
    <w:rsid w:val="00400210"/>
    <w:rsid w:val="00400436"/>
    <w:rsid w:val="0040049F"/>
    <w:rsid w:val="00400660"/>
    <w:rsid w:val="004006B2"/>
    <w:rsid w:val="004006EF"/>
    <w:rsid w:val="00400878"/>
    <w:rsid w:val="004009B6"/>
    <w:rsid w:val="00400AC3"/>
    <w:rsid w:val="00400B30"/>
    <w:rsid w:val="00400BA1"/>
    <w:rsid w:val="00400EA2"/>
    <w:rsid w:val="00400F9C"/>
    <w:rsid w:val="0040123F"/>
    <w:rsid w:val="0040151A"/>
    <w:rsid w:val="004015DA"/>
    <w:rsid w:val="00401803"/>
    <w:rsid w:val="0040182F"/>
    <w:rsid w:val="00401904"/>
    <w:rsid w:val="00401B9E"/>
    <w:rsid w:val="00401DC7"/>
    <w:rsid w:val="00401FCA"/>
    <w:rsid w:val="00402105"/>
    <w:rsid w:val="0040235C"/>
    <w:rsid w:val="00402740"/>
    <w:rsid w:val="004027EA"/>
    <w:rsid w:val="00402911"/>
    <w:rsid w:val="0040292D"/>
    <w:rsid w:val="00402B60"/>
    <w:rsid w:val="00402BF3"/>
    <w:rsid w:val="00402C33"/>
    <w:rsid w:val="00402F91"/>
    <w:rsid w:val="00402FAD"/>
    <w:rsid w:val="00403099"/>
    <w:rsid w:val="004031E8"/>
    <w:rsid w:val="0040325C"/>
    <w:rsid w:val="00403274"/>
    <w:rsid w:val="00403451"/>
    <w:rsid w:val="004034BD"/>
    <w:rsid w:val="004036DA"/>
    <w:rsid w:val="00403765"/>
    <w:rsid w:val="00403D55"/>
    <w:rsid w:val="00403D82"/>
    <w:rsid w:val="00403DAC"/>
    <w:rsid w:val="00403DC8"/>
    <w:rsid w:val="00404113"/>
    <w:rsid w:val="0040417B"/>
    <w:rsid w:val="00404230"/>
    <w:rsid w:val="00404740"/>
    <w:rsid w:val="00404A9E"/>
    <w:rsid w:val="00404BF4"/>
    <w:rsid w:val="00404CB2"/>
    <w:rsid w:val="00404DB2"/>
    <w:rsid w:val="00404E29"/>
    <w:rsid w:val="00404F52"/>
    <w:rsid w:val="004050C4"/>
    <w:rsid w:val="004051C3"/>
    <w:rsid w:val="00405202"/>
    <w:rsid w:val="00405280"/>
    <w:rsid w:val="004052AB"/>
    <w:rsid w:val="00405328"/>
    <w:rsid w:val="00405686"/>
    <w:rsid w:val="004058EA"/>
    <w:rsid w:val="00405C06"/>
    <w:rsid w:val="00405CE3"/>
    <w:rsid w:val="00405F5D"/>
    <w:rsid w:val="00406201"/>
    <w:rsid w:val="00406222"/>
    <w:rsid w:val="004062BC"/>
    <w:rsid w:val="004064F6"/>
    <w:rsid w:val="0040659E"/>
    <w:rsid w:val="0040661F"/>
    <w:rsid w:val="00406668"/>
    <w:rsid w:val="00406679"/>
    <w:rsid w:val="00406A83"/>
    <w:rsid w:val="00406AA0"/>
    <w:rsid w:val="00406B39"/>
    <w:rsid w:val="00407016"/>
    <w:rsid w:val="0040728B"/>
    <w:rsid w:val="004072F5"/>
    <w:rsid w:val="0040743E"/>
    <w:rsid w:val="004075A8"/>
    <w:rsid w:val="004075B0"/>
    <w:rsid w:val="004076E7"/>
    <w:rsid w:val="0040787D"/>
    <w:rsid w:val="00407885"/>
    <w:rsid w:val="004078E8"/>
    <w:rsid w:val="00407AFB"/>
    <w:rsid w:val="00407E6F"/>
    <w:rsid w:val="00407FF7"/>
    <w:rsid w:val="00410077"/>
    <w:rsid w:val="004100CC"/>
    <w:rsid w:val="004100F3"/>
    <w:rsid w:val="0041023F"/>
    <w:rsid w:val="00410766"/>
    <w:rsid w:val="00410852"/>
    <w:rsid w:val="00410888"/>
    <w:rsid w:val="004109AF"/>
    <w:rsid w:val="00410DDE"/>
    <w:rsid w:val="00410E19"/>
    <w:rsid w:val="00410E53"/>
    <w:rsid w:val="004113A8"/>
    <w:rsid w:val="00411440"/>
    <w:rsid w:val="004114F9"/>
    <w:rsid w:val="004116D9"/>
    <w:rsid w:val="004119E4"/>
    <w:rsid w:val="00411CC0"/>
    <w:rsid w:val="00411E94"/>
    <w:rsid w:val="00411F87"/>
    <w:rsid w:val="004121A8"/>
    <w:rsid w:val="00412234"/>
    <w:rsid w:val="004122BD"/>
    <w:rsid w:val="0041254B"/>
    <w:rsid w:val="004126AB"/>
    <w:rsid w:val="004127C4"/>
    <w:rsid w:val="00412820"/>
    <w:rsid w:val="004128C5"/>
    <w:rsid w:val="004128E3"/>
    <w:rsid w:val="00412ABA"/>
    <w:rsid w:val="00412B1E"/>
    <w:rsid w:val="00412EE9"/>
    <w:rsid w:val="004130E5"/>
    <w:rsid w:val="004134FB"/>
    <w:rsid w:val="0041356A"/>
    <w:rsid w:val="00413683"/>
    <w:rsid w:val="00413725"/>
    <w:rsid w:val="004138A2"/>
    <w:rsid w:val="004138B5"/>
    <w:rsid w:val="004138B6"/>
    <w:rsid w:val="00413939"/>
    <w:rsid w:val="0041395B"/>
    <w:rsid w:val="00413A28"/>
    <w:rsid w:val="00413B80"/>
    <w:rsid w:val="00413CFC"/>
    <w:rsid w:val="00413D88"/>
    <w:rsid w:val="00413F8E"/>
    <w:rsid w:val="0041402E"/>
    <w:rsid w:val="004140E8"/>
    <w:rsid w:val="00414155"/>
    <w:rsid w:val="0041418D"/>
    <w:rsid w:val="004141F0"/>
    <w:rsid w:val="004141F6"/>
    <w:rsid w:val="00414336"/>
    <w:rsid w:val="00414809"/>
    <w:rsid w:val="00414878"/>
    <w:rsid w:val="00414976"/>
    <w:rsid w:val="00414BA0"/>
    <w:rsid w:val="00414C7D"/>
    <w:rsid w:val="00414CA5"/>
    <w:rsid w:val="00414E0F"/>
    <w:rsid w:val="00414F69"/>
    <w:rsid w:val="00414FB3"/>
    <w:rsid w:val="004151CC"/>
    <w:rsid w:val="004153F7"/>
    <w:rsid w:val="004154A3"/>
    <w:rsid w:val="004155F4"/>
    <w:rsid w:val="00415648"/>
    <w:rsid w:val="0041564D"/>
    <w:rsid w:val="004156A9"/>
    <w:rsid w:val="0041578C"/>
    <w:rsid w:val="00415798"/>
    <w:rsid w:val="00415846"/>
    <w:rsid w:val="004158D2"/>
    <w:rsid w:val="00415B41"/>
    <w:rsid w:val="00415BD4"/>
    <w:rsid w:val="00415D38"/>
    <w:rsid w:val="00415DDD"/>
    <w:rsid w:val="00415E44"/>
    <w:rsid w:val="00416082"/>
    <w:rsid w:val="00416114"/>
    <w:rsid w:val="0041644D"/>
    <w:rsid w:val="004164CE"/>
    <w:rsid w:val="004166AE"/>
    <w:rsid w:val="004168CC"/>
    <w:rsid w:val="00416B61"/>
    <w:rsid w:val="00416C3A"/>
    <w:rsid w:val="00416D9C"/>
    <w:rsid w:val="00416E07"/>
    <w:rsid w:val="00416FBB"/>
    <w:rsid w:val="00417333"/>
    <w:rsid w:val="0041754E"/>
    <w:rsid w:val="00417638"/>
    <w:rsid w:val="004176B5"/>
    <w:rsid w:val="004176F5"/>
    <w:rsid w:val="0041778A"/>
    <w:rsid w:val="004177FB"/>
    <w:rsid w:val="004178B0"/>
    <w:rsid w:val="00417909"/>
    <w:rsid w:val="00417A53"/>
    <w:rsid w:val="00417AB7"/>
    <w:rsid w:val="00417C88"/>
    <w:rsid w:val="00417EBE"/>
    <w:rsid w:val="00417F55"/>
    <w:rsid w:val="0042045C"/>
    <w:rsid w:val="004204C0"/>
    <w:rsid w:val="00420744"/>
    <w:rsid w:val="004207D1"/>
    <w:rsid w:val="00420A31"/>
    <w:rsid w:val="00420EBC"/>
    <w:rsid w:val="00421208"/>
    <w:rsid w:val="004212A3"/>
    <w:rsid w:val="004212BE"/>
    <w:rsid w:val="0042135E"/>
    <w:rsid w:val="00421425"/>
    <w:rsid w:val="00421450"/>
    <w:rsid w:val="00421464"/>
    <w:rsid w:val="00421614"/>
    <w:rsid w:val="0042162D"/>
    <w:rsid w:val="00421A7B"/>
    <w:rsid w:val="00421AC1"/>
    <w:rsid w:val="00421B7A"/>
    <w:rsid w:val="00421BC3"/>
    <w:rsid w:val="00421DC1"/>
    <w:rsid w:val="00421F8F"/>
    <w:rsid w:val="004221FB"/>
    <w:rsid w:val="00422305"/>
    <w:rsid w:val="00422558"/>
    <w:rsid w:val="004226DA"/>
    <w:rsid w:val="00422C25"/>
    <w:rsid w:val="004236C1"/>
    <w:rsid w:val="004237AC"/>
    <w:rsid w:val="00423901"/>
    <w:rsid w:val="00423C52"/>
    <w:rsid w:val="00423F02"/>
    <w:rsid w:val="00423FAF"/>
    <w:rsid w:val="004241AA"/>
    <w:rsid w:val="004245B6"/>
    <w:rsid w:val="0042461D"/>
    <w:rsid w:val="00424701"/>
    <w:rsid w:val="00424794"/>
    <w:rsid w:val="004247E8"/>
    <w:rsid w:val="00424896"/>
    <w:rsid w:val="00424953"/>
    <w:rsid w:val="004249C3"/>
    <w:rsid w:val="004249CF"/>
    <w:rsid w:val="004249F6"/>
    <w:rsid w:val="00424A4B"/>
    <w:rsid w:val="00424A57"/>
    <w:rsid w:val="00424B0B"/>
    <w:rsid w:val="00424B7D"/>
    <w:rsid w:val="00424B82"/>
    <w:rsid w:val="00424BE7"/>
    <w:rsid w:val="00424CA9"/>
    <w:rsid w:val="00424CE9"/>
    <w:rsid w:val="00424E23"/>
    <w:rsid w:val="00424EB0"/>
    <w:rsid w:val="0042509D"/>
    <w:rsid w:val="00425181"/>
    <w:rsid w:val="00425188"/>
    <w:rsid w:val="004251A7"/>
    <w:rsid w:val="004254CD"/>
    <w:rsid w:val="004255DC"/>
    <w:rsid w:val="0042566E"/>
    <w:rsid w:val="0042583F"/>
    <w:rsid w:val="00425845"/>
    <w:rsid w:val="004258EF"/>
    <w:rsid w:val="00425916"/>
    <w:rsid w:val="00425943"/>
    <w:rsid w:val="0042598A"/>
    <w:rsid w:val="004259AA"/>
    <w:rsid w:val="00425A7C"/>
    <w:rsid w:val="00425DD9"/>
    <w:rsid w:val="00425E6B"/>
    <w:rsid w:val="0042622E"/>
    <w:rsid w:val="00426268"/>
    <w:rsid w:val="004264F6"/>
    <w:rsid w:val="00426500"/>
    <w:rsid w:val="00426A3B"/>
    <w:rsid w:val="00426B0B"/>
    <w:rsid w:val="00426B5D"/>
    <w:rsid w:val="00426C14"/>
    <w:rsid w:val="00426E3F"/>
    <w:rsid w:val="004270D3"/>
    <w:rsid w:val="00427223"/>
    <w:rsid w:val="0042755D"/>
    <w:rsid w:val="004276AC"/>
    <w:rsid w:val="004277B1"/>
    <w:rsid w:val="004279EE"/>
    <w:rsid w:val="00427A6F"/>
    <w:rsid w:val="00427BFB"/>
    <w:rsid w:val="00427D46"/>
    <w:rsid w:val="00430035"/>
    <w:rsid w:val="004302DE"/>
    <w:rsid w:val="00430335"/>
    <w:rsid w:val="00430362"/>
    <w:rsid w:val="004303D5"/>
    <w:rsid w:val="004304B2"/>
    <w:rsid w:val="00430577"/>
    <w:rsid w:val="0043057F"/>
    <w:rsid w:val="004305C0"/>
    <w:rsid w:val="0043066C"/>
    <w:rsid w:val="0043067E"/>
    <w:rsid w:val="004307C9"/>
    <w:rsid w:val="00430AF0"/>
    <w:rsid w:val="00430C1C"/>
    <w:rsid w:val="00430D04"/>
    <w:rsid w:val="00431185"/>
    <w:rsid w:val="0043127F"/>
    <w:rsid w:val="004312E6"/>
    <w:rsid w:val="0043144A"/>
    <w:rsid w:val="004318E7"/>
    <w:rsid w:val="00431987"/>
    <w:rsid w:val="0043198C"/>
    <w:rsid w:val="00431B03"/>
    <w:rsid w:val="00431B3C"/>
    <w:rsid w:val="00431C5C"/>
    <w:rsid w:val="00431F6A"/>
    <w:rsid w:val="0043228A"/>
    <w:rsid w:val="00432366"/>
    <w:rsid w:val="004325C6"/>
    <w:rsid w:val="004328CB"/>
    <w:rsid w:val="00432C2E"/>
    <w:rsid w:val="00432D12"/>
    <w:rsid w:val="00432D3D"/>
    <w:rsid w:val="00432F38"/>
    <w:rsid w:val="00432FBA"/>
    <w:rsid w:val="0043306C"/>
    <w:rsid w:val="00433266"/>
    <w:rsid w:val="004332D1"/>
    <w:rsid w:val="004334B2"/>
    <w:rsid w:val="004335DB"/>
    <w:rsid w:val="0043385F"/>
    <w:rsid w:val="00433AEA"/>
    <w:rsid w:val="00433BA8"/>
    <w:rsid w:val="00433C7D"/>
    <w:rsid w:val="00433D0D"/>
    <w:rsid w:val="00433E06"/>
    <w:rsid w:val="00433F43"/>
    <w:rsid w:val="004340F6"/>
    <w:rsid w:val="004342AE"/>
    <w:rsid w:val="0043439D"/>
    <w:rsid w:val="004343A5"/>
    <w:rsid w:val="00434606"/>
    <w:rsid w:val="004346DC"/>
    <w:rsid w:val="0043485C"/>
    <w:rsid w:val="004348BF"/>
    <w:rsid w:val="004349CF"/>
    <w:rsid w:val="00434A43"/>
    <w:rsid w:val="00434BD6"/>
    <w:rsid w:val="00434CE6"/>
    <w:rsid w:val="00434E8E"/>
    <w:rsid w:val="00434F85"/>
    <w:rsid w:val="00435092"/>
    <w:rsid w:val="00435178"/>
    <w:rsid w:val="004352CF"/>
    <w:rsid w:val="00435404"/>
    <w:rsid w:val="004354FA"/>
    <w:rsid w:val="0043556F"/>
    <w:rsid w:val="00435571"/>
    <w:rsid w:val="004357A4"/>
    <w:rsid w:val="00435A85"/>
    <w:rsid w:val="00435CB5"/>
    <w:rsid w:val="00435E44"/>
    <w:rsid w:val="00435F16"/>
    <w:rsid w:val="00435FE4"/>
    <w:rsid w:val="00436065"/>
    <w:rsid w:val="0043611D"/>
    <w:rsid w:val="00436175"/>
    <w:rsid w:val="00436191"/>
    <w:rsid w:val="004363D6"/>
    <w:rsid w:val="004364E4"/>
    <w:rsid w:val="004364F6"/>
    <w:rsid w:val="00436597"/>
    <w:rsid w:val="00436C0C"/>
    <w:rsid w:val="004370BE"/>
    <w:rsid w:val="004370EF"/>
    <w:rsid w:val="0043718F"/>
    <w:rsid w:val="0043720A"/>
    <w:rsid w:val="00437407"/>
    <w:rsid w:val="00437442"/>
    <w:rsid w:val="00437445"/>
    <w:rsid w:val="004376C7"/>
    <w:rsid w:val="004376D3"/>
    <w:rsid w:val="00437842"/>
    <w:rsid w:val="00437870"/>
    <w:rsid w:val="004378BD"/>
    <w:rsid w:val="004379AF"/>
    <w:rsid w:val="00437DC2"/>
    <w:rsid w:val="00437EFB"/>
    <w:rsid w:val="00437FEA"/>
    <w:rsid w:val="00437FF3"/>
    <w:rsid w:val="004400B5"/>
    <w:rsid w:val="00440226"/>
    <w:rsid w:val="0044052B"/>
    <w:rsid w:val="00440653"/>
    <w:rsid w:val="00440789"/>
    <w:rsid w:val="00440895"/>
    <w:rsid w:val="0044098D"/>
    <w:rsid w:val="00440A1A"/>
    <w:rsid w:val="00440A1F"/>
    <w:rsid w:val="00440AF0"/>
    <w:rsid w:val="00440C07"/>
    <w:rsid w:val="00440C8A"/>
    <w:rsid w:val="00440F4B"/>
    <w:rsid w:val="004410F1"/>
    <w:rsid w:val="00441161"/>
    <w:rsid w:val="0044121F"/>
    <w:rsid w:val="0044145F"/>
    <w:rsid w:val="00441BE1"/>
    <w:rsid w:val="00441F48"/>
    <w:rsid w:val="004421F1"/>
    <w:rsid w:val="00442209"/>
    <w:rsid w:val="00442221"/>
    <w:rsid w:val="00442247"/>
    <w:rsid w:val="0044238D"/>
    <w:rsid w:val="004423A6"/>
    <w:rsid w:val="00442419"/>
    <w:rsid w:val="00442495"/>
    <w:rsid w:val="004425B3"/>
    <w:rsid w:val="004425CD"/>
    <w:rsid w:val="004426AD"/>
    <w:rsid w:val="004426D8"/>
    <w:rsid w:val="0044281C"/>
    <w:rsid w:val="004428C5"/>
    <w:rsid w:val="004429BF"/>
    <w:rsid w:val="004429E9"/>
    <w:rsid w:val="00442C29"/>
    <w:rsid w:val="00442CC1"/>
    <w:rsid w:val="00442D93"/>
    <w:rsid w:val="00443040"/>
    <w:rsid w:val="004430C9"/>
    <w:rsid w:val="0044315F"/>
    <w:rsid w:val="004432F9"/>
    <w:rsid w:val="00443305"/>
    <w:rsid w:val="0044337E"/>
    <w:rsid w:val="004435BE"/>
    <w:rsid w:val="004435D3"/>
    <w:rsid w:val="00443629"/>
    <w:rsid w:val="00443711"/>
    <w:rsid w:val="004438E2"/>
    <w:rsid w:val="0044390A"/>
    <w:rsid w:val="00443944"/>
    <w:rsid w:val="00443D29"/>
    <w:rsid w:val="00443F26"/>
    <w:rsid w:val="004440F1"/>
    <w:rsid w:val="00444185"/>
    <w:rsid w:val="004441A5"/>
    <w:rsid w:val="004441C6"/>
    <w:rsid w:val="00444337"/>
    <w:rsid w:val="004445AC"/>
    <w:rsid w:val="004445FF"/>
    <w:rsid w:val="0044471D"/>
    <w:rsid w:val="0044492F"/>
    <w:rsid w:val="00444B30"/>
    <w:rsid w:val="00444BE2"/>
    <w:rsid w:val="00444E5D"/>
    <w:rsid w:val="0044504D"/>
    <w:rsid w:val="00445184"/>
    <w:rsid w:val="0044582B"/>
    <w:rsid w:val="00445938"/>
    <w:rsid w:val="00445A2F"/>
    <w:rsid w:val="00445A6D"/>
    <w:rsid w:val="00445B59"/>
    <w:rsid w:val="00445C44"/>
    <w:rsid w:val="00445FC0"/>
    <w:rsid w:val="004464F3"/>
    <w:rsid w:val="004465A9"/>
    <w:rsid w:val="00446745"/>
    <w:rsid w:val="004467E7"/>
    <w:rsid w:val="0044693C"/>
    <w:rsid w:val="004469F5"/>
    <w:rsid w:val="00446B15"/>
    <w:rsid w:val="00446B58"/>
    <w:rsid w:val="00446E25"/>
    <w:rsid w:val="00446E7B"/>
    <w:rsid w:val="00446F34"/>
    <w:rsid w:val="00447150"/>
    <w:rsid w:val="004471F1"/>
    <w:rsid w:val="00447256"/>
    <w:rsid w:val="004476B0"/>
    <w:rsid w:val="004476BC"/>
    <w:rsid w:val="004478E0"/>
    <w:rsid w:val="00447941"/>
    <w:rsid w:val="00447BC0"/>
    <w:rsid w:val="00447C2E"/>
    <w:rsid w:val="00447C4C"/>
    <w:rsid w:val="00447FE6"/>
    <w:rsid w:val="0045025E"/>
    <w:rsid w:val="004502C7"/>
    <w:rsid w:val="004502D3"/>
    <w:rsid w:val="00450324"/>
    <w:rsid w:val="00450329"/>
    <w:rsid w:val="00450350"/>
    <w:rsid w:val="00450486"/>
    <w:rsid w:val="0045049B"/>
    <w:rsid w:val="0045074B"/>
    <w:rsid w:val="004507C1"/>
    <w:rsid w:val="004508FA"/>
    <w:rsid w:val="004509D1"/>
    <w:rsid w:val="00450A01"/>
    <w:rsid w:val="00450ADE"/>
    <w:rsid w:val="00450DBA"/>
    <w:rsid w:val="00450E03"/>
    <w:rsid w:val="00450E12"/>
    <w:rsid w:val="0045105B"/>
    <w:rsid w:val="00451299"/>
    <w:rsid w:val="00451805"/>
    <w:rsid w:val="00451869"/>
    <w:rsid w:val="0045194E"/>
    <w:rsid w:val="00451A01"/>
    <w:rsid w:val="00451AED"/>
    <w:rsid w:val="00451B5A"/>
    <w:rsid w:val="00451BA9"/>
    <w:rsid w:val="00451CB5"/>
    <w:rsid w:val="00451CD9"/>
    <w:rsid w:val="00451E05"/>
    <w:rsid w:val="004521CE"/>
    <w:rsid w:val="00452263"/>
    <w:rsid w:val="00452294"/>
    <w:rsid w:val="004522D6"/>
    <w:rsid w:val="004523FC"/>
    <w:rsid w:val="00452568"/>
    <w:rsid w:val="0045266C"/>
    <w:rsid w:val="00452805"/>
    <w:rsid w:val="0045293D"/>
    <w:rsid w:val="00452A1D"/>
    <w:rsid w:val="00452E80"/>
    <w:rsid w:val="00452FF7"/>
    <w:rsid w:val="004530C1"/>
    <w:rsid w:val="004532C4"/>
    <w:rsid w:val="004538DC"/>
    <w:rsid w:val="0045395D"/>
    <w:rsid w:val="004539A6"/>
    <w:rsid w:val="00453C08"/>
    <w:rsid w:val="00453EFB"/>
    <w:rsid w:val="004540F0"/>
    <w:rsid w:val="004542F1"/>
    <w:rsid w:val="0045436E"/>
    <w:rsid w:val="004543BE"/>
    <w:rsid w:val="00454414"/>
    <w:rsid w:val="004546BE"/>
    <w:rsid w:val="004547DD"/>
    <w:rsid w:val="004548A6"/>
    <w:rsid w:val="00454A8D"/>
    <w:rsid w:val="00454A8F"/>
    <w:rsid w:val="00454C27"/>
    <w:rsid w:val="00454E49"/>
    <w:rsid w:val="00454EB1"/>
    <w:rsid w:val="0045502F"/>
    <w:rsid w:val="0045526F"/>
    <w:rsid w:val="00455376"/>
    <w:rsid w:val="004554AA"/>
    <w:rsid w:val="004555CF"/>
    <w:rsid w:val="004556FE"/>
    <w:rsid w:val="004558D9"/>
    <w:rsid w:val="004558E4"/>
    <w:rsid w:val="00455994"/>
    <w:rsid w:val="00455C55"/>
    <w:rsid w:val="00455D05"/>
    <w:rsid w:val="004560E1"/>
    <w:rsid w:val="00456111"/>
    <w:rsid w:val="00456210"/>
    <w:rsid w:val="00456296"/>
    <w:rsid w:val="004566DB"/>
    <w:rsid w:val="00456780"/>
    <w:rsid w:val="0045687C"/>
    <w:rsid w:val="004568EB"/>
    <w:rsid w:val="004569C9"/>
    <w:rsid w:val="00456E9A"/>
    <w:rsid w:val="00456FDC"/>
    <w:rsid w:val="004571AC"/>
    <w:rsid w:val="0045782F"/>
    <w:rsid w:val="0045794A"/>
    <w:rsid w:val="0045796F"/>
    <w:rsid w:val="00457A39"/>
    <w:rsid w:val="00457CE2"/>
    <w:rsid w:val="00457E39"/>
    <w:rsid w:val="00457E48"/>
    <w:rsid w:val="00457F1A"/>
    <w:rsid w:val="00457F6F"/>
    <w:rsid w:val="004600E5"/>
    <w:rsid w:val="004602AA"/>
    <w:rsid w:val="004603CC"/>
    <w:rsid w:val="00460986"/>
    <w:rsid w:val="00460B70"/>
    <w:rsid w:val="00460DE0"/>
    <w:rsid w:val="00460FAC"/>
    <w:rsid w:val="0046102E"/>
    <w:rsid w:val="004612C3"/>
    <w:rsid w:val="00461364"/>
    <w:rsid w:val="0046164D"/>
    <w:rsid w:val="00461708"/>
    <w:rsid w:val="0046181A"/>
    <w:rsid w:val="0046187D"/>
    <w:rsid w:val="0046188C"/>
    <w:rsid w:val="00461991"/>
    <w:rsid w:val="004619C4"/>
    <w:rsid w:val="00461CA0"/>
    <w:rsid w:val="00461CBC"/>
    <w:rsid w:val="00461CEB"/>
    <w:rsid w:val="00461E75"/>
    <w:rsid w:val="00461E7E"/>
    <w:rsid w:val="004620C7"/>
    <w:rsid w:val="00462145"/>
    <w:rsid w:val="0046219B"/>
    <w:rsid w:val="004621E1"/>
    <w:rsid w:val="00462210"/>
    <w:rsid w:val="0046221A"/>
    <w:rsid w:val="00462348"/>
    <w:rsid w:val="00462464"/>
    <w:rsid w:val="004624B5"/>
    <w:rsid w:val="004624D1"/>
    <w:rsid w:val="004625DC"/>
    <w:rsid w:val="00462700"/>
    <w:rsid w:val="00462AF0"/>
    <w:rsid w:val="00462B09"/>
    <w:rsid w:val="00462B7F"/>
    <w:rsid w:val="00462BEC"/>
    <w:rsid w:val="00462D48"/>
    <w:rsid w:val="00462F9C"/>
    <w:rsid w:val="00463079"/>
    <w:rsid w:val="004631EB"/>
    <w:rsid w:val="00463342"/>
    <w:rsid w:val="0046344D"/>
    <w:rsid w:val="004636E4"/>
    <w:rsid w:val="004637DC"/>
    <w:rsid w:val="00463973"/>
    <w:rsid w:val="00463BBC"/>
    <w:rsid w:val="00463E1E"/>
    <w:rsid w:val="00463E4B"/>
    <w:rsid w:val="00463E4C"/>
    <w:rsid w:val="00463FB5"/>
    <w:rsid w:val="004641A0"/>
    <w:rsid w:val="004644BB"/>
    <w:rsid w:val="004644EE"/>
    <w:rsid w:val="00464547"/>
    <w:rsid w:val="004646E4"/>
    <w:rsid w:val="0046474B"/>
    <w:rsid w:val="00464880"/>
    <w:rsid w:val="004649D4"/>
    <w:rsid w:val="00464A85"/>
    <w:rsid w:val="00464BB1"/>
    <w:rsid w:val="00464D77"/>
    <w:rsid w:val="00464E52"/>
    <w:rsid w:val="00464EDF"/>
    <w:rsid w:val="00465134"/>
    <w:rsid w:val="0046515F"/>
    <w:rsid w:val="0046518F"/>
    <w:rsid w:val="00465252"/>
    <w:rsid w:val="0046529F"/>
    <w:rsid w:val="004652B7"/>
    <w:rsid w:val="00465571"/>
    <w:rsid w:val="0046562F"/>
    <w:rsid w:val="00465A10"/>
    <w:rsid w:val="00465A2D"/>
    <w:rsid w:val="00465B06"/>
    <w:rsid w:val="00465BB6"/>
    <w:rsid w:val="00465BD9"/>
    <w:rsid w:val="00465C38"/>
    <w:rsid w:val="00465CBD"/>
    <w:rsid w:val="00465CF6"/>
    <w:rsid w:val="00465CFA"/>
    <w:rsid w:val="00465FBC"/>
    <w:rsid w:val="00466199"/>
    <w:rsid w:val="0046621E"/>
    <w:rsid w:val="0046628B"/>
    <w:rsid w:val="00466341"/>
    <w:rsid w:val="00466463"/>
    <w:rsid w:val="004664E1"/>
    <w:rsid w:val="004664F8"/>
    <w:rsid w:val="00466504"/>
    <w:rsid w:val="00466522"/>
    <w:rsid w:val="00466812"/>
    <w:rsid w:val="004669E4"/>
    <w:rsid w:val="00466A2F"/>
    <w:rsid w:val="00466A52"/>
    <w:rsid w:val="00466CDD"/>
    <w:rsid w:val="00466E2F"/>
    <w:rsid w:val="00466F4F"/>
    <w:rsid w:val="0046714A"/>
    <w:rsid w:val="00467420"/>
    <w:rsid w:val="004674AD"/>
    <w:rsid w:val="004674D2"/>
    <w:rsid w:val="004675F9"/>
    <w:rsid w:val="00467742"/>
    <w:rsid w:val="0046776C"/>
    <w:rsid w:val="004679FB"/>
    <w:rsid w:val="00467DB2"/>
    <w:rsid w:val="00467DD5"/>
    <w:rsid w:val="00467F25"/>
    <w:rsid w:val="00467F2B"/>
    <w:rsid w:val="00467F36"/>
    <w:rsid w:val="00470001"/>
    <w:rsid w:val="00470069"/>
    <w:rsid w:val="00470079"/>
    <w:rsid w:val="004701CA"/>
    <w:rsid w:val="0047043E"/>
    <w:rsid w:val="00470518"/>
    <w:rsid w:val="00470708"/>
    <w:rsid w:val="00470926"/>
    <w:rsid w:val="00470A5B"/>
    <w:rsid w:val="00470B33"/>
    <w:rsid w:val="00470B6F"/>
    <w:rsid w:val="00470DA5"/>
    <w:rsid w:val="00471200"/>
    <w:rsid w:val="00471218"/>
    <w:rsid w:val="004713FB"/>
    <w:rsid w:val="00471562"/>
    <w:rsid w:val="00471701"/>
    <w:rsid w:val="00471E01"/>
    <w:rsid w:val="00472025"/>
    <w:rsid w:val="00472060"/>
    <w:rsid w:val="00472202"/>
    <w:rsid w:val="00472551"/>
    <w:rsid w:val="00472602"/>
    <w:rsid w:val="00472612"/>
    <w:rsid w:val="004726B7"/>
    <w:rsid w:val="004726CE"/>
    <w:rsid w:val="00472B20"/>
    <w:rsid w:val="00472BB2"/>
    <w:rsid w:val="00472DA3"/>
    <w:rsid w:val="00472E7C"/>
    <w:rsid w:val="00472F05"/>
    <w:rsid w:val="00472F38"/>
    <w:rsid w:val="004730E8"/>
    <w:rsid w:val="004731D7"/>
    <w:rsid w:val="004732D1"/>
    <w:rsid w:val="004733B5"/>
    <w:rsid w:val="004733EC"/>
    <w:rsid w:val="004735EC"/>
    <w:rsid w:val="00473662"/>
    <w:rsid w:val="00473745"/>
    <w:rsid w:val="00473982"/>
    <w:rsid w:val="00473AC5"/>
    <w:rsid w:val="00473C20"/>
    <w:rsid w:val="00473CD3"/>
    <w:rsid w:val="00473FA3"/>
    <w:rsid w:val="0047410F"/>
    <w:rsid w:val="0047414E"/>
    <w:rsid w:val="00474156"/>
    <w:rsid w:val="004741C3"/>
    <w:rsid w:val="004744DC"/>
    <w:rsid w:val="004745F6"/>
    <w:rsid w:val="004746E5"/>
    <w:rsid w:val="00474714"/>
    <w:rsid w:val="00474924"/>
    <w:rsid w:val="0047495B"/>
    <w:rsid w:val="00474A0B"/>
    <w:rsid w:val="00474A91"/>
    <w:rsid w:val="00474ADA"/>
    <w:rsid w:val="00474BDE"/>
    <w:rsid w:val="00474C06"/>
    <w:rsid w:val="00474C5F"/>
    <w:rsid w:val="00474D7A"/>
    <w:rsid w:val="00474DDB"/>
    <w:rsid w:val="00474E91"/>
    <w:rsid w:val="00474F36"/>
    <w:rsid w:val="00474F66"/>
    <w:rsid w:val="00475088"/>
    <w:rsid w:val="00475145"/>
    <w:rsid w:val="0047517F"/>
    <w:rsid w:val="00475624"/>
    <w:rsid w:val="00475670"/>
    <w:rsid w:val="004756A4"/>
    <w:rsid w:val="0047598A"/>
    <w:rsid w:val="004759AC"/>
    <w:rsid w:val="00475A7E"/>
    <w:rsid w:val="00475AA8"/>
    <w:rsid w:val="00475AE7"/>
    <w:rsid w:val="00475D0B"/>
    <w:rsid w:val="00475D36"/>
    <w:rsid w:val="00475F3F"/>
    <w:rsid w:val="0047601D"/>
    <w:rsid w:val="0047603B"/>
    <w:rsid w:val="00476230"/>
    <w:rsid w:val="004765EA"/>
    <w:rsid w:val="004768FB"/>
    <w:rsid w:val="00476B9D"/>
    <w:rsid w:val="00476C79"/>
    <w:rsid w:val="00476C9D"/>
    <w:rsid w:val="00476CC7"/>
    <w:rsid w:val="00476D8D"/>
    <w:rsid w:val="00476DE7"/>
    <w:rsid w:val="00477263"/>
    <w:rsid w:val="0047727F"/>
    <w:rsid w:val="0047738E"/>
    <w:rsid w:val="00477499"/>
    <w:rsid w:val="00477775"/>
    <w:rsid w:val="00477844"/>
    <w:rsid w:val="00477FE9"/>
    <w:rsid w:val="00480015"/>
    <w:rsid w:val="00480038"/>
    <w:rsid w:val="00480149"/>
    <w:rsid w:val="0048036E"/>
    <w:rsid w:val="00480464"/>
    <w:rsid w:val="00480580"/>
    <w:rsid w:val="00480590"/>
    <w:rsid w:val="004806FB"/>
    <w:rsid w:val="004807BD"/>
    <w:rsid w:val="00480985"/>
    <w:rsid w:val="00480AF1"/>
    <w:rsid w:val="00480D67"/>
    <w:rsid w:val="00480F49"/>
    <w:rsid w:val="004810B9"/>
    <w:rsid w:val="0048120D"/>
    <w:rsid w:val="00481240"/>
    <w:rsid w:val="004813DD"/>
    <w:rsid w:val="00481459"/>
    <w:rsid w:val="004816B9"/>
    <w:rsid w:val="004817C6"/>
    <w:rsid w:val="004817F6"/>
    <w:rsid w:val="00481819"/>
    <w:rsid w:val="00481855"/>
    <w:rsid w:val="0048187C"/>
    <w:rsid w:val="004818CF"/>
    <w:rsid w:val="004818E7"/>
    <w:rsid w:val="004818F3"/>
    <w:rsid w:val="00481A08"/>
    <w:rsid w:val="00481BD7"/>
    <w:rsid w:val="00482008"/>
    <w:rsid w:val="00482039"/>
    <w:rsid w:val="0048230E"/>
    <w:rsid w:val="004824CF"/>
    <w:rsid w:val="00482534"/>
    <w:rsid w:val="0048263F"/>
    <w:rsid w:val="004826B5"/>
    <w:rsid w:val="00482725"/>
    <w:rsid w:val="004828C0"/>
    <w:rsid w:val="00482A25"/>
    <w:rsid w:val="00482B99"/>
    <w:rsid w:val="00482E68"/>
    <w:rsid w:val="00482FD6"/>
    <w:rsid w:val="00483025"/>
    <w:rsid w:val="004831EF"/>
    <w:rsid w:val="004833C9"/>
    <w:rsid w:val="004833F1"/>
    <w:rsid w:val="004833F7"/>
    <w:rsid w:val="0048342F"/>
    <w:rsid w:val="00483535"/>
    <w:rsid w:val="0048365C"/>
    <w:rsid w:val="0048370C"/>
    <w:rsid w:val="00483905"/>
    <w:rsid w:val="00483A0F"/>
    <w:rsid w:val="00483CE2"/>
    <w:rsid w:val="00483D17"/>
    <w:rsid w:val="00483DB4"/>
    <w:rsid w:val="00483F1B"/>
    <w:rsid w:val="00483F25"/>
    <w:rsid w:val="0048443F"/>
    <w:rsid w:val="004846D9"/>
    <w:rsid w:val="00484811"/>
    <w:rsid w:val="00484A83"/>
    <w:rsid w:val="00484B56"/>
    <w:rsid w:val="00484BF9"/>
    <w:rsid w:val="00484F7A"/>
    <w:rsid w:val="00484F99"/>
    <w:rsid w:val="00485007"/>
    <w:rsid w:val="00485496"/>
    <w:rsid w:val="004854CC"/>
    <w:rsid w:val="004855B9"/>
    <w:rsid w:val="00485618"/>
    <w:rsid w:val="004859A8"/>
    <w:rsid w:val="00485C23"/>
    <w:rsid w:val="00485C6F"/>
    <w:rsid w:val="0048616E"/>
    <w:rsid w:val="0048624C"/>
    <w:rsid w:val="00486499"/>
    <w:rsid w:val="0048649F"/>
    <w:rsid w:val="004864A7"/>
    <w:rsid w:val="0048667B"/>
    <w:rsid w:val="00486789"/>
    <w:rsid w:val="004867FA"/>
    <w:rsid w:val="004868E7"/>
    <w:rsid w:val="0048692B"/>
    <w:rsid w:val="00486A83"/>
    <w:rsid w:val="00486AF0"/>
    <w:rsid w:val="00486E56"/>
    <w:rsid w:val="00486F53"/>
    <w:rsid w:val="00486FE9"/>
    <w:rsid w:val="00487007"/>
    <w:rsid w:val="004873B7"/>
    <w:rsid w:val="00487467"/>
    <w:rsid w:val="0048759C"/>
    <w:rsid w:val="00487817"/>
    <w:rsid w:val="0048783D"/>
    <w:rsid w:val="00487934"/>
    <w:rsid w:val="00487AFC"/>
    <w:rsid w:val="00487B08"/>
    <w:rsid w:val="00487E40"/>
    <w:rsid w:val="00487E6D"/>
    <w:rsid w:val="004900DF"/>
    <w:rsid w:val="00490157"/>
    <w:rsid w:val="004901D3"/>
    <w:rsid w:val="004902B5"/>
    <w:rsid w:val="004902E1"/>
    <w:rsid w:val="0049038E"/>
    <w:rsid w:val="0049048D"/>
    <w:rsid w:val="00490510"/>
    <w:rsid w:val="00490822"/>
    <w:rsid w:val="00490897"/>
    <w:rsid w:val="004908FE"/>
    <w:rsid w:val="0049091A"/>
    <w:rsid w:val="00490AEC"/>
    <w:rsid w:val="00490CC0"/>
    <w:rsid w:val="00490D09"/>
    <w:rsid w:val="00490D35"/>
    <w:rsid w:val="00490DC3"/>
    <w:rsid w:val="00490DFC"/>
    <w:rsid w:val="00490EBB"/>
    <w:rsid w:val="00490F90"/>
    <w:rsid w:val="00491064"/>
    <w:rsid w:val="00491B57"/>
    <w:rsid w:val="00491BD0"/>
    <w:rsid w:val="00491F57"/>
    <w:rsid w:val="0049219A"/>
    <w:rsid w:val="004921AF"/>
    <w:rsid w:val="00492322"/>
    <w:rsid w:val="00492363"/>
    <w:rsid w:val="004924C0"/>
    <w:rsid w:val="004926ED"/>
    <w:rsid w:val="004926F7"/>
    <w:rsid w:val="0049279C"/>
    <w:rsid w:val="004928C6"/>
    <w:rsid w:val="00492911"/>
    <w:rsid w:val="0049294B"/>
    <w:rsid w:val="00492967"/>
    <w:rsid w:val="00492CB2"/>
    <w:rsid w:val="00492DD3"/>
    <w:rsid w:val="0049301B"/>
    <w:rsid w:val="00493297"/>
    <w:rsid w:val="00493401"/>
    <w:rsid w:val="004934EA"/>
    <w:rsid w:val="00493683"/>
    <w:rsid w:val="0049389F"/>
    <w:rsid w:val="00493CC0"/>
    <w:rsid w:val="00493D0C"/>
    <w:rsid w:val="004940DC"/>
    <w:rsid w:val="004940FE"/>
    <w:rsid w:val="00494330"/>
    <w:rsid w:val="00494580"/>
    <w:rsid w:val="00494692"/>
    <w:rsid w:val="00494756"/>
    <w:rsid w:val="0049484B"/>
    <w:rsid w:val="00494955"/>
    <w:rsid w:val="00494B16"/>
    <w:rsid w:val="00494CE4"/>
    <w:rsid w:val="00494D37"/>
    <w:rsid w:val="00494F79"/>
    <w:rsid w:val="00494FA3"/>
    <w:rsid w:val="004950D4"/>
    <w:rsid w:val="004952F2"/>
    <w:rsid w:val="004953E2"/>
    <w:rsid w:val="004953F4"/>
    <w:rsid w:val="004954FE"/>
    <w:rsid w:val="00495586"/>
    <w:rsid w:val="0049570C"/>
    <w:rsid w:val="00495721"/>
    <w:rsid w:val="004957BB"/>
    <w:rsid w:val="00495B7D"/>
    <w:rsid w:val="00495D6C"/>
    <w:rsid w:val="00495EE8"/>
    <w:rsid w:val="00495F2A"/>
    <w:rsid w:val="00495F95"/>
    <w:rsid w:val="0049623B"/>
    <w:rsid w:val="004962E0"/>
    <w:rsid w:val="00496481"/>
    <w:rsid w:val="0049671D"/>
    <w:rsid w:val="00496804"/>
    <w:rsid w:val="0049723A"/>
    <w:rsid w:val="0049733A"/>
    <w:rsid w:val="00497513"/>
    <w:rsid w:val="004976DF"/>
    <w:rsid w:val="004977B3"/>
    <w:rsid w:val="004978C0"/>
    <w:rsid w:val="004978FF"/>
    <w:rsid w:val="00497924"/>
    <w:rsid w:val="00497B7E"/>
    <w:rsid w:val="00497C6C"/>
    <w:rsid w:val="00497CA7"/>
    <w:rsid w:val="00497D41"/>
    <w:rsid w:val="00497D6E"/>
    <w:rsid w:val="004A011D"/>
    <w:rsid w:val="004A0593"/>
    <w:rsid w:val="004A05B6"/>
    <w:rsid w:val="004A0789"/>
    <w:rsid w:val="004A0A4B"/>
    <w:rsid w:val="004A0BEE"/>
    <w:rsid w:val="004A0CA6"/>
    <w:rsid w:val="004A0CD8"/>
    <w:rsid w:val="004A0D76"/>
    <w:rsid w:val="004A0D8B"/>
    <w:rsid w:val="004A0E3E"/>
    <w:rsid w:val="004A0F12"/>
    <w:rsid w:val="004A10CC"/>
    <w:rsid w:val="004A11BE"/>
    <w:rsid w:val="004A12A0"/>
    <w:rsid w:val="004A130C"/>
    <w:rsid w:val="004A1437"/>
    <w:rsid w:val="004A158C"/>
    <w:rsid w:val="004A1596"/>
    <w:rsid w:val="004A162E"/>
    <w:rsid w:val="004A1697"/>
    <w:rsid w:val="004A16D3"/>
    <w:rsid w:val="004A1722"/>
    <w:rsid w:val="004A18C6"/>
    <w:rsid w:val="004A1904"/>
    <w:rsid w:val="004A1919"/>
    <w:rsid w:val="004A1993"/>
    <w:rsid w:val="004A19BF"/>
    <w:rsid w:val="004A1ECB"/>
    <w:rsid w:val="004A20B1"/>
    <w:rsid w:val="004A2136"/>
    <w:rsid w:val="004A2220"/>
    <w:rsid w:val="004A23FA"/>
    <w:rsid w:val="004A254D"/>
    <w:rsid w:val="004A25B5"/>
    <w:rsid w:val="004A25BB"/>
    <w:rsid w:val="004A28C9"/>
    <w:rsid w:val="004A2A7B"/>
    <w:rsid w:val="004A2AC9"/>
    <w:rsid w:val="004A2B3B"/>
    <w:rsid w:val="004A2E53"/>
    <w:rsid w:val="004A2ED8"/>
    <w:rsid w:val="004A307A"/>
    <w:rsid w:val="004A3376"/>
    <w:rsid w:val="004A3610"/>
    <w:rsid w:val="004A36ED"/>
    <w:rsid w:val="004A3710"/>
    <w:rsid w:val="004A386C"/>
    <w:rsid w:val="004A395E"/>
    <w:rsid w:val="004A3AF6"/>
    <w:rsid w:val="004A3B87"/>
    <w:rsid w:val="004A3CBE"/>
    <w:rsid w:val="004A3DFC"/>
    <w:rsid w:val="004A3E52"/>
    <w:rsid w:val="004A3EAE"/>
    <w:rsid w:val="004A3ECC"/>
    <w:rsid w:val="004A3FD9"/>
    <w:rsid w:val="004A4181"/>
    <w:rsid w:val="004A4235"/>
    <w:rsid w:val="004A42A8"/>
    <w:rsid w:val="004A44BC"/>
    <w:rsid w:val="004A4527"/>
    <w:rsid w:val="004A4666"/>
    <w:rsid w:val="004A484F"/>
    <w:rsid w:val="004A4B11"/>
    <w:rsid w:val="004A4E86"/>
    <w:rsid w:val="004A4EEE"/>
    <w:rsid w:val="004A5396"/>
    <w:rsid w:val="004A5647"/>
    <w:rsid w:val="004A5A80"/>
    <w:rsid w:val="004A5DEB"/>
    <w:rsid w:val="004A5E24"/>
    <w:rsid w:val="004A5FA7"/>
    <w:rsid w:val="004A60FF"/>
    <w:rsid w:val="004A6103"/>
    <w:rsid w:val="004A61D9"/>
    <w:rsid w:val="004A61F4"/>
    <w:rsid w:val="004A61F7"/>
    <w:rsid w:val="004A6593"/>
    <w:rsid w:val="004A69CE"/>
    <w:rsid w:val="004A6AB5"/>
    <w:rsid w:val="004A6CF1"/>
    <w:rsid w:val="004A6DA8"/>
    <w:rsid w:val="004A6DC8"/>
    <w:rsid w:val="004A6F49"/>
    <w:rsid w:val="004A7033"/>
    <w:rsid w:val="004A715C"/>
    <w:rsid w:val="004A752F"/>
    <w:rsid w:val="004A764A"/>
    <w:rsid w:val="004A765C"/>
    <w:rsid w:val="004A793A"/>
    <w:rsid w:val="004A7C85"/>
    <w:rsid w:val="004A7D3E"/>
    <w:rsid w:val="004A7DBF"/>
    <w:rsid w:val="004A7F3E"/>
    <w:rsid w:val="004B0132"/>
    <w:rsid w:val="004B0150"/>
    <w:rsid w:val="004B0246"/>
    <w:rsid w:val="004B02F5"/>
    <w:rsid w:val="004B0328"/>
    <w:rsid w:val="004B03C0"/>
    <w:rsid w:val="004B0459"/>
    <w:rsid w:val="004B069E"/>
    <w:rsid w:val="004B0722"/>
    <w:rsid w:val="004B07D4"/>
    <w:rsid w:val="004B0969"/>
    <w:rsid w:val="004B0BD0"/>
    <w:rsid w:val="004B0CD8"/>
    <w:rsid w:val="004B0E20"/>
    <w:rsid w:val="004B0E55"/>
    <w:rsid w:val="004B0FC5"/>
    <w:rsid w:val="004B1022"/>
    <w:rsid w:val="004B1217"/>
    <w:rsid w:val="004B136D"/>
    <w:rsid w:val="004B13AE"/>
    <w:rsid w:val="004B13B1"/>
    <w:rsid w:val="004B1534"/>
    <w:rsid w:val="004B153A"/>
    <w:rsid w:val="004B1621"/>
    <w:rsid w:val="004B16A8"/>
    <w:rsid w:val="004B16B3"/>
    <w:rsid w:val="004B1845"/>
    <w:rsid w:val="004B1F0E"/>
    <w:rsid w:val="004B2218"/>
    <w:rsid w:val="004B229C"/>
    <w:rsid w:val="004B25CE"/>
    <w:rsid w:val="004B26E7"/>
    <w:rsid w:val="004B2721"/>
    <w:rsid w:val="004B2AE0"/>
    <w:rsid w:val="004B2D99"/>
    <w:rsid w:val="004B2EE2"/>
    <w:rsid w:val="004B2F18"/>
    <w:rsid w:val="004B2FF9"/>
    <w:rsid w:val="004B308D"/>
    <w:rsid w:val="004B30C4"/>
    <w:rsid w:val="004B3143"/>
    <w:rsid w:val="004B335F"/>
    <w:rsid w:val="004B34BB"/>
    <w:rsid w:val="004B34F1"/>
    <w:rsid w:val="004B3764"/>
    <w:rsid w:val="004B39AE"/>
    <w:rsid w:val="004B3A17"/>
    <w:rsid w:val="004B3D51"/>
    <w:rsid w:val="004B3D6E"/>
    <w:rsid w:val="004B3E77"/>
    <w:rsid w:val="004B3F0E"/>
    <w:rsid w:val="004B3FA3"/>
    <w:rsid w:val="004B40AB"/>
    <w:rsid w:val="004B43A4"/>
    <w:rsid w:val="004B44BF"/>
    <w:rsid w:val="004B4568"/>
    <w:rsid w:val="004B463A"/>
    <w:rsid w:val="004B4640"/>
    <w:rsid w:val="004B466B"/>
    <w:rsid w:val="004B46F1"/>
    <w:rsid w:val="004B4866"/>
    <w:rsid w:val="004B4BB8"/>
    <w:rsid w:val="004B4BE0"/>
    <w:rsid w:val="004B4F36"/>
    <w:rsid w:val="004B4F74"/>
    <w:rsid w:val="004B52B4"/>
    <w:rsid w:val="004B5784"/>
    <w:rsid w:val="004B5840"/>
    <w:rsid w:val="004B5875"/>
    <w:rsid w:val="004B5A91"/>
    <w:rsid w:val="004B5BB7"/>
    <w:rsid w:val="004B5C8D"/>
    <w:rsid w:val="004B5DB3"/>
    <w:rsid w:val="004B5E13"/>
    <w:rsid w:val="004B6050"/>
    <w:rsid w:val="004B60A3"/>
    <w:rsid w:val="004B6232"/>
    <w:rsid w:val="004B6287"/>
    <w:rsid w:val="004B668D"/>
    <w:rsid w:val="004B66C1"/>
    <w:rsid w:val="004B675E"/>
    <w:rsid w:val="004B6883"/>
    <w:rsid w:val="004B6C67"/>
    <w:rsid w:val="004B6CAC"/>
    <w:rsid w:val="004B6D33"/>
    <w:rsid w:val="004B6F02"/>
    <w:rsid w:val="004B6F19"/>
    <w:rsid w:val="004B6F45"/>
    <w:rsid w:val="004B700E"/>
    <w:rsid w:val="004B70D0"/>
    <w:rsid w:val="004B7159"/>
    <w:rsid w:val="004B733A"/>
    <w:rsid w:val="004B7485"/>
    <w:rsid w:val="004B75A2"/>
    <w:rsid w:val="004B7626"/>
    <w:rsid w:val="004B772D"/>
    <w:rsid w:val="004B7858"/>
    <w:rsid w:val="004B79C6"/>
    <w:rsid w:val="004B7C73"/>
    <w:rsid w:val="004B7D81"/>
    <w:rsid w:val="004B7DD6"/>
    <w:rsid w:val="004C00BE"/>
    <w:rsid w:val="004C00DD"/>
    <w:rsid w:val="004C013E"/>
    <w:rsid w:val="004C016B"/>
    <w:rsid w:val="004C0228"/>
    <w:rsid w:val="004C026D"/>
    <w:rsid w:val="004C0631"/>
    <w:rsid w:val="004C08A2"/>
    <w:rsid w:val="004C0978"/>
    <w:rsid w:val="004C0F7F"/>
    <w:rsid w:val="004C1067"/>
    <w:rsid w:val="004C14A6"/>
    <w:rsid w:val="004C14E5"/>
    <w:rsid w:val="004C17A2"/>
    <w:rsid w:val="004C1911"/>
    <w:rsid w:val="004C1AB9"/>
    <w:rsid w:val="004C1E38"/>
    <w:rsid w:val="004C1EF9"/>
    <w:rsid w:val="004C1FED"/>
    <w:rsid w:val="004C20EB"/>
    <w:rsid w:val="004C2263"/>
    <w:rsid w:val="004C227F"/>
    <w:rsid w:val="004C22AC"/>
    <w:rsid w:val="004C23C4"/>
    <w:rsid w:val="004C255B"/>
    <w:rsid w:val="004C25B0"/>
    <w:rsid w:val="004C2907"/>
    <w:rsid w:val="004C2A2C"/>
    <w:rsid w:val="004C2AFE"/>
    <w:rsid w:val="004C2B41"/>
    <w:rsid w:val="004C2B51"/>
    <w:rsid w:val="004C2D37"/>
    <w:rsid w:val="004C2EDF"/>
    <w:rsid w:val="004C304F"/>
    <w:rsid w:val="004C3117"/>
    <w:rsid w:val="004C313A"/>
    <w:rsid w:val="004C33C0"/>
    <w:rsid w:val="004C362D"/>
    <w:rsid w:val="004C368B"/>
    <w:rsid w:val="004C36D4"/>
    <w:rsid w:val="004C37BD"/>
    <w:rsid w:val="004C3810"/>
    <w:rsid w:val="004C3A25"/>
    <w:rsid w:val="004C3BB4"/>
    <w:rsid w:val="004C3D12"/>
    <w:rsid w:val="004C3FE0"/>
    <w:rsid w:val="004C411D"/>
    <w:rsid w:val="004C4381"/>
    <w:rsid w:val="004C46B1"/>
    <w:rsid w:val="004C46E5"/>
    <w:rsid w:val="004C48BD"/>
    <w:rsid w:val="004C4974"/>
    <w:rsid w:val="004C4A5D"/>
    <w:rsid w:val="004C4A76"/>
    <w:rsid w:val="004C4AA6"/>
    <w:rsid w:val="004C4AB5"/>
    <w:rsid w:val="004C4E31"/>
    <w:rsid w:val="004C4F2F"/>
    <w:rsid w:val="004C4F86"/>
    <w:rsid w:val="004C503B"/>
    <w:rsid w:val="004C5108"/>
    <w:rsid w:val="004C5121"/>
    <w:rsid w:val="004C518C"/>
    <w:rsid w:val="004C53B1"/>
    <w:rsid w:val="004C542C"/>
    <w:rsid w:val="004C57CB"/>
    <w:rsid w:val="004C599F"/>
    <w:rsid w:val="004C5A70"/>
    <w:rsid w:val="004C5E2B"/>
    <w:rsid w:val="004C5F06"/>
    <w:rsid w:val="004C6049"/>
    <w:rsid w:val="004C62AE"/>
    <w:rsid w:val="004C644F"/>
    <w:rsid w:val="004C675D"/>
    <w:rsid w:val="004C6794"/>
    <w:rsid w:val="004C681B"/>
    <w:rsid w:val="004C6941"/>
    <w:rsid w:val="004C6972"/>
    <w:rsid w:val="004C69F6"/>
    <w:rsid w:val="004C6B7E"/>
    <w:rsid w:val="004C6CAA"/>
    <w:rsid w:val="004C6D58"/>
    <w:rsid w:val="004C6D63"/>
    <w:rsid w:val="004C6DD3"/>
    <w:rsid w:val="004C6DDB"/>
    <w:rsid w:val="004C6E0D"/>
    <w:rsid w:val="004C6F4C"/>
    <w:rsid w:val="004C7088"/>
    <w:rsid w:val="004C715B"/>
    <w:rsid w:val="004C7207"/>
    <w:rsid w:val="004C73A7"/>
    <w:rsid w:val="004C73E6"/>
    <w:rsid w:val="004C7499"/>
    <w:rsid w:val="004C7630"/>
    <w:rsid w:val="004C767F"/>
    <w:rsid w:val="004C76AB"/>
    <w:rsid w:val="004C76F6"/>
    <w:rsid w:val="004C7712"/>
    <w:rsid w:val="004C7730"/>
    <w:rsid w:val="004C78B6"/>
    <w:rsid w:val="004C7A93"/>
    <w:rsid w:val="004C7ADF"/>
    <w:rsid w:val="004C7CDF"/>
    <w:rsid w:val="004C7E59"/>
    <w:rsid w:val="004C7F50"/>
    <w:rsid w:val="004D013E"/>
    <w:rsid w:val="004D019E"/>
    <w:rsid w:val="004D0445"/>
    <w:rsid w:val="004D063E"/>
    <w:rsid w:val="004D076C"/>
    <w:rsid w:val="004D085E"/>
    <w:rsid w:val="004D0A4D"/>
    <w:rsid w:val="004D0AE3"/>
    <w:rsid w:val="004D0BC9"/>
    <w:rsid w:val="004D0D50"/>
    <w:rsid w:val="004D0F0A"/>
    <w:rsid w:val="004D10D6"/>
    <w:rsid w:val="004D1309"/>
    <w:rsid w:val="004D161C"/>
    <w:rsid w:val="004D1677"/>
    <w:rsid w:val="004D186A"/>
    <w:rsid w:val="004D189D"/>
    <w:rsid w:val="004D1967"/>
    <w:rsid w:val="004D1995"/>
    <w:rsid w:val="004D1A0C"/>
    <w:rsid w:val="004D1A8C"/>
    <w:rsid w:val="004D1BD5"/>
    <w:rsid w:val="004D1C26"/>
    <w:rsid w:val="004D1CDF"/>
    <w:rsid w:val="004D1D0A"/>
    <w:rsid w:val="004D1DC4"/>
    <w:rsid w:val="004D1EF5"/>
    <w:rsid w:val="004D1FFC"/>
    <w:rsid w:val="004D20E2"/>
    <w:rsid w:val="004D2262"/>
    <w:rsid w:val="004D2328"/>
    <w:rsid w:val="004D24CD"/>
    <w:rsid w:val="004D2518"/>
    <w:rsid w:val="004D26A8"/>
    <w:rsid w:val="004D26B2"/>
    <w:rsid w:val="004D273F"/>
    <w:rsid w:val="004D2741"/>
    <w:rsid w:val="004D2856"/>
    <w:rsid w:val="004D2AD9"/>
    <w:rsid w:val="004D2ADA"/>
    <w:rsid w:val="004D2D17"/>
    <w:rsid w:val="004D2DAF"/>
    <w:rsid w:val="004D2F50"/>
    <w:rsid w:val="004D30E2"/>
    <w:rsid w:val="004D310C"/>
    <w:rsid w:val="004D334D"/>
    <w:rsid w:val="004D34ED"/>
    <w:rsid w:val="004D3519"/>
    <w:rsid w:val="004D364C"/>
    <w:rsid w:val="004D36AD"/>
    <w:rsid w:val="004D3852"/>
    <w:rsid w:val="004D3DC4"/>
    <w:rsid w:val="004D40BD"/>
    <w:rsid w:val="004D4371"/>
    <w:rsid w:val="004D43E4"/>
    <w:rsid w:val="004D4427"/>
    <w:rsid w:val="004D45C1"/>
    <w:rsid w:val="004D46CB"/>
    <w:rsid w:val="004D46F2"/>
    <w:rsid w:val="004D4A42"/>
    <w:rsid w:val="004D4C6C"/>
    <w:rsid w:val="004D4FAB"/>
    <w:rsid w:val="004D529A"/>
    <w:rsid w:val="004D52B4"/>
    <w:rsid w:val="004D52BF"/>
    <w:rsid w:val="004D555A"/>
    <w:rsid w:val="004D5708"/>
    <w:rsid w:val="004D576E"/>
    <w:rsid w:val="004D57BA"/>
    <w:rsid w:val="004D5882"/>
    <w:rsid w:val="004D591C"/>
    <w:rsid w:val="004D594B"/>
    <w:rsid w:val="004D5A8C"/>
    <w:rsid w:val="004D5AA8"/>
    <w:rsid w:val="004D5AEC"/>
    <w:rsid w:val="004D6133"/>
    <w:rsid w:val="004D65C2"/>
    <w:rsid w:val="004D6A4C"/>
    <w:rsid w:val="004D6A76"/>
    <w:rsid w:val="004D6A99"/>
    <w:rsid w:val="004D6AE9"/>
    <w:rsid w:val="004D6B0A"/>
    <w:rsid w:val="004D6D26"/>
    <w:rsid w:val="004D6D3F"/>
    <w:rsid w:val="004D6DA7"/>
    <w:rsid w:val="004D6EBD"/>
    <w:rsid w:val="004D6EC8"/>
    <w:rsid w:val="004D6F72"/>
    <w:rsid w:val="004D7009"/>
    <w:rsid w:val="004D736B"/>
    <w:rsid w:val="004D73D8"/>
    <w:rsid w:val="004D73FE"/>
    <w:rsid w:val="004D7494"/>
    <w:rsid w:val="004D7522"/>
    <w:rsid w:val="004D75B3"/>
    <w:rsid w:val="004D75E1"/>
    <w:rsid w:val="004D7652"/>
    <w:rsid w:val="004D7706"/>
    <w:rsid w:val="004D79DF"/>
    <w:rsid w:val="004D7B5A"/>
    <w:rsid w:val="004D7B62"/>
    <w:rsid w:val="004D7BD2"/>
    <w:rsid w:val="004D7EE1"/>
    <w:rsid w:val="004D7F40"/>
    <w:rsid w:val="004D7F6D"/>
    <w:rsid w:val="004D7FF9"/>
    <w:rsid w:val="004E00B3"/>
    <w:rsid w:val="004E00E6"/>
    <w:rsid w:val="004E0256"/>
    <w:rsid w:val="004E02C3"/>
    <w:rsid w:val="004E0381"/>
    <w:rsid w:val="004E04F3"/>
    <w:rsid w:val="004E05A7"/>
    <w:rsid w:val="004E05E2"/>
    <w:rsid w:val="004E063D"/>
    <w:rsid w:val="004E0641"/>
    <w:rsid w:val="004E0A83"/>
    <w:rsid w:val="004E0BB4"/>
    <w:rsid w:val="004E0BD3"/>
    <w:rsid w:val="004E0C35"/>
    <w:rsid w:val="004E0C97"/>
    <w:rsid w:val="004E0C9B"/>
    <w:rsid w:val="004E0CBC"/>
    <w:rsid w:val="004E0D02"/>
    <w:rsid w:val="004E0D12"/>
    <w:rsid w:val="004E120F"/>
    <w:rsid w:val="004E1432"/>
    <w:rsid w:val="004E1521"/>
    <w:rsid w:val="004E161D"/>
    <w:rsid w:val="004E1673"/>
    <w:rsid w:val="004E1C5E"/>
    <w:rsid w:val="004E1DF6"/>
    <w:rsid w:val="004E1FBF"/>
    <w:rsid w:val="004E2082"/>
    <w:rsid w:val="004E2227"/>
    <w:rsid w:val="004E25AF"/>
    <w:rsid w:val="004E273F"/>
    <w:rsid w:val="004E27FC"/>
    <w:rsid w:val="004E2919"/>
    <w:rsid w:val="004E2ACA"/>
    <w:rsid w:val="004E2B09"/>
    <w:rsid w:val="004E2D09"/>
    <w:rsid w:val="004E2D8A"/>
    <w:rsid w:val="004E2F2C"/>
    <w:rsid w:val="004E3119"/>
    <w:rsid w:val="004E36D4"/>
    <w:rsid w:val="004E3761"/>
    <w:rsid w:val="004E3926"/>
    <w:rsid w:val="004E39AD"/>
    <w:rsid w:val="004E3B23"/>
    <w:rsid w:val="004E3B39"/>
    <w:rsid w:val="004E3FAB"/>
    <w:rsid w:val="004E4007"/>
    <w:rsid w:val="004E4211"/>
    <w:rsid w:val="004E4259"/>
    <w:rsid w:val="004E4294"/>
    <w:rsid w:val="004E4329"/>
    <w:rsid w:val="004E4494"/>
    <w:rsid w:val="004E460B"/>
    <w:rsid w:val="004E46B9"/>
    <w:rsid w:val="004E47A3"/>
    <w:rsid w:val="004E486C"/>
    <w:rsid w:val="004E4A9A"/>
    <w:rsid w:val="004E4B70"/>
    <w:rsid w:val="004E4E6D"/>
    <w:rsid w:val="004E5083"/>
    <w:rsid w:val="004E50FA"/>
    <w:rsid w:val="004E522A"/>
    <w:rsid w:val="004E52E7"/>
    <w:rsid w:val="004E53D3"/>
    <w:rsid w:val="004E53F9"/>
    <w:rsid w:val="004E5480"/>
    <w:rsid w:val="004E5785"/>
    <w:rsid w:val="004E598D"/>
    <w:rsid w:val="004E5AC7"/>
    <w:rsid w:val="004E5BA2"/>
    <w:rsid w:val="004E5C06"/>
    <w:rsid w:val="004E5CFE"/>
    <w:rsid w:val="004E5D51"/>
    <w:rsid w:val="004E5D65"/>
    <w:rsid w:val="004E5E36"/>
    <w:rsid w:val="004E5F4C"/>
    <w:rsid w:val="004E5F89"/>
    <w:rsid w:val="004E5FC2"/>
    <w:rsid w:val="004E60D2"/>
    <w:rsid w:val="004E60F4"/>
    <w:rsid w:val="004E61FB"/>
    <w:rsid w:val="004E64CB"/>
    <w:rsid w:val="004E654F"/>
    <w:rsid w:val="004E663A"/>
    <w:rsid w:val="004E66DE"/>
    <w:rsid w:val="004E6898"/>
    <w:rsid w:val="004E68E7"/>
    <w:rsid w:val="004E6AC5"/>
    <w:rsid w:val="004E6C19"/>
    <w:rsid w:val="004E6DF8"/>
    <w:rsid w:val="004E7423"/>
    <w:rsid w:val="004E7714"/>
    <w:rsid w:val="004E7751"/>
    <w:rsid w:val="004E78B5"/>
    <w:rsid w:val="004E7B8F"/>
    <w:rsid w:val="004E7BC5"/>
    <w:rsid w:val="004E7C9B"/>
    <w:rsid w:val="004E7D68"/>
    <w:rsid w:val="004E7D8F"/>
    <w:rsid w:val="004E7EEE"/>
    <w:rsid w:val="004E7F67"/>
    <w:rsid w:val="004F00AC"/>
    <w:rsid w:val="004F0137"/>
    <w:rsid w:val="004F01D6"/>
    <w:rsid w:val="004F0218"/>
    <w:rsid w:val="004F03C8"/>
    <w:rsid w:val="004F03F3"/>
    <w:rsid w:val="004F0584"/>
    <w:rsid w:val="004F06F2"/>
    <w:rsid w:val="004F080F"/>
    <w:rsid w:val="004F093A"/>
    <w:rsid w:val="004F0B99"/>
    <w:rsid w:val="004F0C61"/>
    <w:rsid w:val="004F0C8C"/>
    <w:rsid w:val="004F0CEE"/>
    <w:rsid w:val="004F0D10"/>
    <w:rsid w:val="004F0F64"/>
    <w:rsid w:val="004F1114"/>
    <w:rsid w:val="004F1172"/>
    <w:rsid w:val="004F1442"/>
    <w:rsid w:val="004F195E"/>
    <w:rsid w:val="004F1BC8"/>
    <w:rsid w:val="004F1C3A"/>
    <w:rsid w:val="004F1EBF"/>
    <w:rsid w:val="004F2046"/>
    <w:rsid w:val="004F2086"/>
    <w:rsid w:val="004F2148"/>
    <w:rsid w:val="004F2277"/>
    <w:rsid w:val="004F22F2"/>
    <w:rsid w:val="004F2815"/>
    <w:rsid w:val="004F28C9"/>
    <w:rsid w:val="004F28D7"/>
    <w:rsid w:val="004F2942"/>
    <w:rsid w:val="004F2B64"/>
    <w:rsid w:val="004F2C14"/>
    <w:rsid w:val="004F2CB0"/>
    <w:rsid w:val="004F2E8C"/>
    <w:rsid w:val="004F310F"/>
    <w:rsid w:val="004F3116"/>
    <w:rsid w:val="004F3189"/>
    <w:rsid w:val="004F3395"/>
    <w:rsid w:val="004F356F"/>
    <w:rsid w:val="004F362E"/>
    <w:rsid w:val="004F364E"/>
    <w:rsid w:val="004F36FB"/>
    <w:rsid w:val="004F3731"/>
    <w:rsid w:val="004F374B"/>
    <w:rsid w:val="004F37D8"/>
    <w:rsid w:val="004F3832"/>
    <w:rsid w:val="004F390A"/>
    <w:rsid w:val="004F3A4F"/>
    <w:rsid w:val="004F3B36"/>
    <w:rsid w:val="004F3C0F"/>
    <w:rsid w:val="004F3E12"/>
    <w:rsid w:val="004F3EAF"/>
    <w:rsid w:val="004F3F76"/>
    <w:rsid w:val="004F4402"/>
    <w:rsid w:val="004F4449"/>
    <w:rsid w:val="004F455D"/>
    <w:rsid w:val="004F46D1"/>
    <w:rsid w:val="004F4B06"/>
    <w:rsid w:val="004F4B7F"/>
    <w:rsid w:val="004F4D18"/>
    <w:rsid w:val="004F4DA4"/>
    <w:rsid w:val="004F4ED4"/>
    <w:rsid w:val="004F4EF6"/>
    <w:rsid w:val="004F52B5"/>
    <w:rsid w:val="004F5363"/>
    <w:rsid w:val="004F53CB"/>
    <w:rsid w:val="004F5412"/>
    <w:rsid w:val="004F542A"/>
    <w:rsid w:val="004F55DB"/>
    <w:rsid w:val="004F575B"/>
    <w:rsid w:val="004F5794"/>
    <w:rsid w:val="004F57B8"/>
    <w:rsid w:val="004F5A3E"/>
    <w:rsid w:val="004F5B4B"/>
    <w:rsid w:val="004F5E16"/>
    <w:rsid w:val="004F6084"/>
    <w:rsid w:val="004F61E2"/>
    <w:rsid w:val="004F6454"/>
    <w:rsid w:val="004F64D0"/>
    <w:rsid w:val="004F6A7D"/>
    <w:rsid w:val="004F6B99"/>
    <w:rsid w:val="004F6C4A"/>
    <w:rsid w:val="004F6C9E"/>
    <w:rsid w:val="004F6DC1"/>
    <w:rsid w:val="004F6EB7"/>
    <w:rsid w:val="004F7523"/>
    <w:rsid w:val="004F77BE"/>
    <w:rsid w:val="004F7853"/>
    <w:rsid w:val="004F79F1"/>
    <w:rsid w:val="004F7A92"/>
    <w:rsid w:val="004F7AC5"/>
    <w:rsid w:val="004F7B9E"/>
    <w:rsid w:val="004F7CC1"/>
    <w:rsid w:val="004F7DE8"/>
    <w:rsid w:val="004F7F03"/>
    <w:rsid w:val="004F7FD3"/>
    <w:rsid w:val="00500036"/>
    <w:rsid w:val="0050015D"/>
    <w:rsid w:val="00500192"/>
    <w:rsid w:val="00500318"/>
    <w:rsid w:val="00500354"/>
    <w:rsid w:val="00500458"/>
    <w:rsid w:val="00500589"/>
    <w:rsid w:val="00500645"/>
    <w:rsid w:val="00500689"/>
    <w:rsid w:val="005006FA"/>
    <w:rsid w:val="005008CD"/>
    <w:rsid w:val="005009A5"/>
    <w:rsid w:val="00500A43"/>
    <w:rsid w:val="00500B38"/>
    <w:rsid w:val="00500C6B"/>
    <w:rsid w:val="00500DCF"/>
    <w:rsid w:val="005010A0"/>
    <w:rsid w:val="005010BD"/>
    <w:rsid w:val="0050122D"/>
    <w:rsid w:val="005012BE"/>
    <w:rsid w:val="005012F2"/>
    <w:rsid w:val="00501310"/>
    <w:rsid w:val="0050131A"/>
    <w:rsid w:val="00501397"/>
    <w:rsid w:val="00501481"/>
    <w:rsid w:val="005014D5"/>
    <w:rsid w:val="00501737"/>
    <w:rsid w:val="005017A2"/>
    <w:rsid w:val="005019B4"/>
    <w:rsid w:val="00501ADE"/>
    <w:rsid w:val="00501E14"/>
    <w:rsid w:val="00501F15"/>
    <w:rsid w:val="00502196"/>
    <w:rsid w:val="005021BD"/>
    <w:rsid w:val="005022B7"/>
    <w:rsid w:val="00502393"/>
    <w:rsid w:val="005024D5"/>
    <w:rsid w:val="00502666"/>
    <w:rsid w:val="005026DD"/>
    <w:rsid w:val="00502721"/>
    <w:rsid w:val="0050286C"/>
    <w:rsid w:val="00502A72"/>
    <w:rsid w:val="00502CDC"/>
    <w:rsid w:val="00502E5C"/>
    <w:rsid w:val="0050312E"/>
    <w:rsid w:val="0050313D"/>
    <w:rsid w:val="0050349D"/>
    <w:rsid w:val="00503585"/>
    <w:rsid w:val="00503592"/>
    <w:rsid w:val="0050359C"/>
    <w:rsid w:val="005037E5"/>
    <w:rsid w:val="00503A1B"/>
    <w:rsid w:val="00503A96"/>
    <w:rsid w:val="00503AA3"/>
    <w:rsid w:val="00503F25"/>
    <w:rsid w:val="00503F6A"/>
    <w:rsid w:val="00503F8E"/>
    <w:rsid w:val="00503FB6"/>
    <w:rsid w:val="00504037"/>
    <w:rsid w:val="005040D3"/>
    <w:rsid w:val="0050410F"/>
    <w:rsid w:val="00504364"/>
    <w:rsid w:val="00504664"/>
    <w:rsid w:val="0050475F"/>
    <w:rsid w:val="005047D7"/>
    <w:rsid w:val="005048E5"/>
    <w:rsid w:val="005049B5"/>
    <w:rsid w:val="005049C8"/>
    <w:rsid w:val="00504AD1"/>
    <w:rsid w:val="00504AF5"/>
    <w:rsid w:val="00504D7E"/>
    <w:rsid w:val="00504EEE"/>
    <w:rsid w:val="0050535D"/>
    <w:rsid w:val="005053F9"/>
    <w:rsid w:val="005055CE"/>
    <w:rsid w:val="00505825"/>
    <w:rsid w:val="00505955"/>
    <w:rsid w:val="00505A11"/>
    <w:rsid w:val="00505A9A"/>
    <w:rsid w:val="00505BDF"/>
    <w:rsid w:val="00505D3E"/>
    <w:rsid w:val="00505DDF"/>
    <w:rsid w:val="00505FFB"/>
    <w:rsid w:val="00506022"/>
    <w:rsid w:val="00506226"/>
    <w:rsid w:val="005064C3"/>
    <w:rsid w:val="00506569"/>
    <w:rsid w:val="005067E5"/>
    <w:rsid w:val="005068AE"/>
    <w:rsid w:val="00506983"/>
    <w:rsid w:val="005069E5"/>
    <w:rsid w:val="00506B7A"/>
    <w:rsid w:val="00507105"/>
    <w:rsid w:val="0050711A"/>
    <w:rsid w:val="00507163"/>
    <w:rsid w:val="00507206"/>
    <w:rsid w:val="005074FD"/>
    <w:rsid w:val="005077E9"/>
    <w:rsid w:val="00507831"/>
    <w:rsid w:val="005078BF"/>
    <w:rsid w:val="00507966"/>
    <w:rsid w:val="00507A0C"/>
    <w:rsid w:val="00507A21"/>
    <w:rsid w:val="00507B0D"/>
    <w:rsid w:val="00507B26"/>
    <w:rsid w:val="00507B78"/>
    <w:rsid w:val="00507D53"/>
    <w:rsid w:val="0051037F"/>
    <w:rsid w:val="00510658"/>
    <w:rsid w:val="00510729"/>
    <w:rsid w:val="0051091A"/>
    <w:rsid w:val="00510C9F"/>
    <w:rsid w:val="00510F81"/>
    <w:rsid w:val="00511009"/>
    <w:rsid w:val="005112E2"/>
    <w:rsid w:val="0051132A"/>
    <w:rsid w:val="0051132C"/>
    <w:rsid w:val="00511349"/>
    <w:rsid w:val="00511683"/>
    <w:rsid w:val="005117D3"/>
    <w:rsid w:val="00511932"/>
    <w:rsid w:val="00511A00"/>
    <w:rsid w:val="00511B28"/>
    <w:rsid w:val="00511B8E"/>
    <w:rsid w:val="0051204E"/>
    <w:rsid w:val="0051213A"/>
    <w:rsid w:val="005121E7"/>
    <w:rsid w:val="00512266"/>
    <w:rsid w:val="005122AE"/>
    <w:rsid w:val="005122F9"/>
    <w:rsid w:val="00512573"/>
    <w:rsid w:val="005125C6"/>
    <w:rsid w:val="0051270C"/>
    <w:rsid w:val="0051273F"/>
    <w:rsid w:val="00512742"/>
    <w:rsid w:val="005127F0"/>
    <w:rsid w:val="00512A5A"/>
    <w:rsid w:val="00512AAF"/>
    <w:rsid w:val="00512D6D"/>
    <w:rsid w:val="00512D92"/>
    <w:rsid w:val="00512E03"/>
    <w:rsid w:val="00512FB5"/>
    <w:rsid w:val="00513013"/>
    <w:rsid w:val="0051306A"/>
    <w:rsid w:val="005130B5"/>
    <w:rsid w:val="00513153"/>
    <w:rsid w:val="00513214"/>
    <w:rsid w:val="0051327D"/>
    <w:rsid w:val="005137F4"/>
    <w:rsid w:val="00513886"/>
    <w:rsid w:val="00513898"/>
    <w:rsid w:val="0051397C"/>
    <w:rsid w:val="00513B6A"/>
    <w:rsid w:val="00513D22"/>
    <w:rsid w:val="00513D2A"/>
    <w:rsid w:val="00513F07"/>
    <w:rsid w:val="00513FCF"/>
    <w:rsid w:val="005143D4"/>
    <w:rsid w:val="00514688"/>
    <w:rsid w:val="005146E5"/>
    <w:rsid w:val="00514861"/>
    <w:rsid w:val="005148FC"/>
    <w:rsid w:val="00514900"/>
    <w:rsid w:val="00514906"/>
    <w:rsid w:val="0051493D"/>
    <w:rsid w:val="005149BD"/>
    <w:rsid w:val="00514A14"/>
    <w:rsid w:val="00514A77"/>
    <w:rsid w:val="00514A93"/>
    <w:rsid w:val="00514B1A"/>
    <w:rsid w:val="00514B50"/>
    <w:rsid w:val="00514CB4"/>
    <w:rsid w:val="00514CE1"/>
    <w:rsid w:val="00514F0B"/>
    <w:rsid w:val="00514FF5"/>
    <w:rsid w:val="005153BB"/>
    <w:rsid w:val="0051584C"/>
    <w:rsid w:val="00515B6F"/>
    <w:rsid w:val="00515C74"/>
    <w:rsid w:val="00515E87"/>
    <w:rsid w:val="00516049"/>
    <w:rsid w:val="005162AF"/>
    <w:rsid w:val="0051651B"/>
    <w:rsid w:val="00516942"/>
    <w:rsid w:val="005169A7"/>
    <w:rsid w:val="00516AC3"/>
    <w:rsid w:val="00516B48"/>
    <w:rsid w:val="00516B7D"/>
    <w:rsid w:val="00516BAA"/>
    <w:rsid w:val="00516BE0"/>
    <w:rsid w:val="00516DFC"/>
    <w:rsid w:val="00516E5B"/>
    <w:rsid w:val="00516EE3"/>
    <w:rsid w:val="00516F16"/>
    <w:rsid w:val="005170FB"/>
    <w:rsid w:val="00517170"/>
    <w:rsid w:val="005171FE"/>
    <w:rsid w:val="0051723C"/>
    <w:rsid w:val="00517250"/>
    <w:rsid w:val="00517431"/>
    <w:rsid w:val="005174FC"/>
    <w:rsid w:val="005175A0"/>
    <w:rsid w:val="00517663"/>
    <w:rsid w:val="0051794C"/>
    <w:rsid w:val="00517B27"/>
    <w:rsid w:val="00517DE4"/>
    <w:rsid w:val="0052020C"/>
    <w:rsid w:val="005202B8"/>
    <w:rsid w:val="00520357"/>
    <w:rsid w:val="0052036A"/>
    <w:rsid w:val="00520485"/>
    <w:rsid w:val="00520511"/>
    <w:rsid w:val="00520541"/>
    <w:rsid w:val="005206A8"/>
    <w:rsid w:val="0052087B"/>
    <w:rsid w:val="005209BF"/>
    <w:rsid w:val="00520A14"/>
    <w:rsid w:val="00520A4C"/>
    <w:rsid w:val="00520AA8"/>
    <w:rsid w:val="00520AFC"/>
    <w:rsid w:val="00520C38"/>
    <w:rsid w:val="00520C88"/>
    <w:rsid w:val="00520E6B"/>
    <w:rsid w:val="00520EF9"/>
    <w:rsid w:val="00520FA3"/>
    <w:rsid w:val="0052127F"/>
    <w:rsid w:val="005212A2"/>
    <w:rsid w:val="00521349"/>
    <w:rsid w:val="0052149B"/>
    <w:rsid w:val="005215A0"/>
    <w:rsid w:val="00521AEA"/>
    <w:rsid w:val="00521B35"/>
    <w:rsid w:val="00521E10"/>
    <w:rsid w:val="00521E56"/>
    <w:rsid w:val="0052256A"/>
    <w:rsid w:val="0052256C"/>
    <w:rsid w:val="0052258A"/>
    <w:rsid w:val="00522628"/>
    <w:rsid w:val="00522946"/>
    <w:rsid w:val="00522B1D"/>
    <w:rsid w:val="00522D92"/>
    <w:rsid w:val="00522E45"/>
    <w:rsid w:val="00522EBC"/>
    <w:rsid w:val="00522F17"/>
    <w:rsid w:val="005230E7"/>
    <w:rsid w:val="00523134"/>
    <w:rsid w:val="0052317F"/>
    <w:rsid w:val="005232A6"/>
    <w:rsid w:val="00523484"/>
    <w:rsid w:val="005234B7"/>
    <w:rsid w:val="005234E9"/>
    <w:rsid w:val="0052369E"/>
    <w:rsid w:val="005237C8"/>
    <w:rsid w:val="0052381D"/>
    <w:rsid w:val="005238F1"/>
    <w:rsid w:val="005238F2"/>
    <w:rsid w:val="00523A19"/>
    <w:rsid w:val="00523CAA"/>
    <w:rsid w:val="00523CBF"/>
    <w:rsid w:val="00523FE8"/>
    <w:rsid w:val="005242EF"/>
    <w:rsid w:val="0052436B"/>
    <w:rsid w:val="005243E4"/>
    <w:rsid w:val="00524435"/>
    <w:rsid w:val="00524743"/>
    <w:rsid w:val="005247AF"/>
    <w:rsid w:val="00524843"/>
    <w:rsid w:val="00524AB7"/>
    <w:rsid w:val="00524ABC"/>
    <w:rsid w:val="00524CD3"/>
    <w:rsid w:val="00524CE4"/>
    <w:rsid w:val="00524CFF"/>
    <w:rsid w:val="00524E12"/>
    <w:rsid w:val="00525115"/>
    <w:rsid w:val="0052512A"/>
    <w:rsid w:val="0052512C"/>
    <w:rsid w:val="0052513E"/>
    <w:rsid w:val="0052522B"/>
    <w:rsid w:val="00525302"/>
    <w:rsid w:val="005253B8"/>
    <w:rsid w:val="005253E2"/>
    <w:rsid w:val="005254F3"/>
    <w:rsid w:val="005257FF"/>
    <w:rsid w:val="0052596A"/>
    <w:rsid w:val="00525B9D"/>
    <w:rsid w:val="00525FC8"/>
    <w:rsid w:val="00526047"/>
    <w:rsid w:val="0052626F"/>
    <w:rsid w:val="005262AA"/>
    <w:rsid w:val="00526482"/>
    <w:rsid w:val="00526717"/>
    <w:rsid w:val="0052683B"/>
    <w:rsid w:val="00526914"/>
    <w:rsid w:val="00526CA4"/>
    <w:rsid w:val="00526DB8"/>
    <w:rsid w:val="00526FDA"/>
    <w:rsid w:val="00527335"/>
    <w:rsid w:val="00527350"/>
    <w:rsid w:val="00527417"/>
    <w:rsid w:val="00527534"/>
    <w:rsid w:val="005275E8"/>
    <w:rsid w:val="005276D5"/>
    <w:rsid w:val="005278C3"/>
    <w:rsid w:val="00527CF7"/>
    <w:rsid w:val="00527D23"/>
    <w:rsid w:val="00527F61"/>
    <w:rsid w:val="00530056"/>
    <w:rsid w:val="00530153"/>
    <w:rsid w:val="005301A2"/>
    <w:rsid w:val="00530287"/>
    <w:rsid w:val="0053045B"/>
    <w:rsid w:val="005305D4"/>
    <w:rsid w:val="005307A3"/>
    <w:rsid w:val="00530829"/>
    <w:rsid w:val="00530880"/>
    <w:rsid w:val="005308BB"/>
    <w:rsid w:val="00530A08"/>
    <w:rsid w:val="00530B36"/>
    <w:rsid w:val="00530C39"/>
    <w:rsid w:val="00530D12"/>
    <w:rsid w:val="00530DE0"/>
    <w:rsid w:val="00530E0D"/>
    <w:rsid w:val="00531129"/>
    <w:rsid w:val="00531259"/>
    <w:rsid w:val="005312A5"/>
    <w:rsid w:val="00531408"/>
    <w:rsid w:val="0053142E"/>
    <w:rsid w:val="005314A4"/>
    <w:rsid w:val="00531510"/>
    <w:rsid w:val="00531539"/>
    <w:rsid w:val="005316A1"/>
    <w:rsid w:val="00531776"/>
    <w:rsid w:val="00531836"/>
    <w:rsid w:val="00531896"/>
    <w:rsid w:val="00531979"/>
    <w:rsid w:val="00531B07"/>
    <w:rsid w:val="00531BE4"/>
    <w:rsid w:val="00531E26"/>
    <w:rsid w:val="00532004"/>
    <w:rsid w:val="00532204"/>
    <w:rsid w:val="00532364"/>
    <w:rsid w:val="005327B9"/>
    <w:rsid w:val="0053298E"/>
    <w:rsid w:val="005329DB"/>
    <w:rsid w:val="00532B38"/>
    <w:rsid w:val="00532B6D"/>
    <w:rsid w:val="00532D87"/>
    <w:rsid w:val="00533113"/>
    <w:rsid w:val="00533175"/>
    <w:rsid w:val="005331E1"/>
    <w:rsid w:val="00533442"/>
    <w:rsid w:val="00533535"/>
    <w:rsid w:val="00533548"/>
    <w:rsid w:val="00533636"/>
    <w:rsid w:val="005337D1"/>
    <w:rsid w:val="00533879"/>
    <w:rsid w:val="00533905"/>
    <w:rsid w:val="00533913"/>
    <w:rsid w:val="005339C9"/>
    <w:rsid w:val="00533AC3"/>
    <w:rsid w:val="00533C69"/>
    <w:rsid w:val="00533DDA"/>
    <w:rsid w:val="00533E5F"/>
    <w:rsid w:val="00533E61"/>
    <w:rsid w:val="00533F66"/>
    <w:rsid w:val="005340D4"/>
    <w:rsid w:val="005341D4"/>
    <w:rsid w:val="005341F4"/>
    <w:rsid w:val="00534233"/>
    <w:rsid w:val="0053440D"/>
    <w:rsid w:val="00534453"/>
    <w:rsid w:val="00534610"/>
    <w:rsid w:val="00534688"/>
    <w:rsid w:val="005347AD"/>
    <w:rsid w:val="00534C97"/>
    <w:rsid w:val="00534D4A"/>
    <w:rsid w:val="00534E6F"/>
    <w:rsid w:val="00534FA1"/>
    <w:rsid w:val="00535041"/>
    <w:rsid w:val="0053505D"/>
    <w:rsid w:val="0053508B"/>
    <w:rsid w:val="00535397"/>
    <w:rsid w:val="005353CC"/>
    <w:rsid w:val="005353F0"/>
    <w:rsid w:val="005353F3"/>
    <w:rsid w:val="0053547C"/>
    <w:rsid w:val="005355E0"/>
    <w:rsid w:val="0053563D"/>
    <w:rsid w:val="00535694"/>
    <w:rsid w:val="005357A6"/>
    <w:rsid w:val="005359F9"/>
    <w:rsid w:val="00535A55"/>
    <w:rsid w:val="00535B40"/>
    <w:rsid w:val="00535E74"/>
    <w:rsid w:val="00535F5E"/>
    <w:rsid w:val="00535FC6"/>
    <w:rsid w:val="005361E2"/>
    <w:rsid w:val="005361F6"/>
    <w:rsid w:val="00536497"/>
    <w:rsid w:val="00536537"/>
    <w:rsid w:val="00536691"/>
    <w:rsid w:val="0053671B"/>
    <w:rsid w:val="00536878"/>
    <w:rsid w:val="005368A5"/>
    <w:rsid w:val="00536918"/>
    <w:rsid w:val="0053694C"/>
    <w:rsid w:val="00536AD2"/>
    <w:rsid w:val="00536AF7"/>
    <w:rsid w:val="00536B92"/>
    <w:rsid w:val="00536BA6"/>
    <w:rsid w:val="00536BC8"/>
    <w:rsid w:val="00536BF5"/>
    <w:rsid w:val="00536D6E"/>
    <w:rsid w:val="00536DFB"/>
    <w:rsid w:val="0053703D"/>
    <w:rsid w:val="00537090"/>
    <w:rsid w:val="005371E5"/>
    <w:rsid w:val="00537321"/>
    <w:rsid w:val="0053746A"/>
    <w:rsid w:val="00537502"/>
    <w:rsid w:val="0053764A"/>
    <w:rsid w:val="0053773E"/>
    <w:rsid w:val="00537910"/>
    <w:rsid w:val="005401D7"/>
    <w:rsid w:val="0054050A"/>
    <w:rsid w:val="005406BA"/>
    <w:rsid w:val="0054079E"/>
    <w:rsid w:val="005407D0"/>
    <w:rsid w:val="005407DF"/>
    <w:rsid w:val="0054086F"/>
    <w:rsid w:val="00540919"/>
    <w:rsid w:val="00540929"/>
    <w:rsid w:val="00540958"/>
    <w:rsid w:val="005409F5"/>
    <w:rsid w:val="00540A8B"/>
    <w:rsid w:val="00540A9B"/>
    <w:rsid w:val="00540C73"/>
    <w:rsid w:val="00540EEA"/>
    <w:rsid w:val="00540F28"/>
    <w:rsid w:val="005412C3"/>
    <w:rsid w:val="00541385"/>
    <w:rsid w:val="005416D0"/>
    <w:rsid w:val="00541718"/>
    <w:rsid w:val="00541724"/>
    <w:rsid w:val="00541973"/>
    <w:rsid w:val="00541A04"/>
    <w:rsid w:val="00541A5F"/>
    <w:rsid w:val="00541C46"/>
    <w:rsid w:val="00541FE1"/>
    <w:rsid w:val="00542038"/>
    <w:rsid w:val="00542120"/>
    <w:rsid w:val="00542169"/>
    <w:rsid w:val="005421F8"/>
    <w:rsid w:val="0054229C"/>
    <w:rsid w:val="00542300"/>
    <w:rsid w:val="00542301"/>
    <w:rsid w:val="00542313"/>
    <w:rsid w:val="005423F5"/>
    <w:rsid w:val="0054259E"/>
    <w:rsid w:val="00542A09"/>
    <w:rsid w:val="00542C22"/>
    <w:rsid w:val="00542D07"/>
    <w:rsid w:val="00542E94"/>
    <w:rsid w:val="00542FBF"/>
    <w:rsid w:val="0054304B"/>
    <w:rsid w:val="005432D0"/>
    <w:rsid w:val="0054341C"/>
    <w:rsid w:val="0054343E"/>
    <w:rsid w:val="005436F6"/>
    <w:rsid w:val="005439D6"/>
    <w:rsid w:val="00543B49"/>
    <w:rsid w:val="00543B71"/>
    <w:rsid w:val="00543CA8"/>
    <w:rsid w:val="00543F81"/>
    <w:rsid w:val="00543F8E"/>
    <w:rsid w:val="00544143"/>
    <w:rsid w:val="00544263"/>
    <w:rsid w:val="0054444A"/>
    <w:rsid w:val="00544484"/>
    <w:rsid w:val="00544662"/>
    <w:rsid w:val="005448A8"/>
    <w:rsid w:val="00544B65"/>
    <w:rsid w:val="00544CA3"/>
    <w:rsid w:val="00544D97"/>
    <w:rsid w:val="00544E62"/>
    <w:rsid w:val="00544F75"/>
    <w:rsid w:val="00545012"/>
    <w:rsid w:val="00545148"/>
    <w:rsid w:val="00545397"/>
    <w:rsid w:val="00545489"/>
    <w:rsid w:val="00545576"/>
    <w:rsid w:val="005455DC"/>
    <w:rsid w:val="00545663"/>
    <w:rsid w:val="00545766"/>
    <w:rsid w:val="0054587E"/>
    <w:rsid w:val="005458EE"/>
    <w:rsid w:val="00545A0A"/>
    <w:rsid w:val="00545A90"/>
    <w:rsid w:val="00545F35"/>
    <w:rsid w:val="005462D6"/>
    <w:rsid w:val="005464F5"/>
    <w:rsid w:val="0054654E"/>
    <w:rsid w:val="005465C0"/>
    <w:rsid w:val="005465F1"/>
    <w:rsid w:val="0054665D"/>
    <w:rsid w:val="00546801"/>
    <w:rsid w:val="00546933"/>
    <w:rsid w:val="00546986"/>
    <w:rsid w:val="00546BD8"/>
    <w:rsid w:val="00546C56"/>
    <w:rsid w:val="00546D0B"/>
    <w:rsid w:val="00546E37"/>
    <w:rsid w:val="00546ECF"/>
    <w:rsid w:val="00547136"/>
    <w:rsid w:val="005471EE"/>
    <w:rsid w:val="0054725D"/>
    <w:rsid w:val="005473CC"/>
    <w:rsid w:val="00547433"/>
    <w:rsid w:val="00547515"/>
    <w:rsid w:val="005476BD"/>
    <w:rsid w:val="005477B5"/>
    <w:rsid w:val="005478DC"/>
    <w:rsid w:val="00547998"/>
    <w:rsid w:val="005479CE"/>
    <w:rsid w:val="00547BB6"/>
    <w:rsid w:val="00547C11"/>
    <w:rsid w:val="00547C61"/>
    <w:rsid w:val="00547FAD"/>
    <w:rsid w:val="00550005"/>
    <w:rsid w:val="00550076"/>
    <w:rsid w:val="0055012B"/>
    <w:rsid w:val="00550196"/>
    <w:rsid w:val="00550220"/>
    <w:rsid w:val="0055034B"/>
    <w:rsid w:val="005503E4"/>
    <w:rsid w:val="005505AF"/>
    <w:rsid w:val="005506E6"/>
    <w:rsid w:val="00550705"/>
    <w:rsid w:val="0055079C"/>
    <w:rsid w:val="00550C73"/>
    <w:rsid w:val="00550C77"/>
    <w:rsid w:val="00550D5A"/>
    <w:rsid w:val="00550FE9"/>
    <w:rsid w:val="005510AB"/>
    <w:rsid w:val="00551123"/>
    <w:rsid w:val="0055116E"/>
    <w:rsid w:val="00551203"/>
    <w:rsid w:val="0055144A"/>
    <w:rsid w:val="005515AC"/>
    <w:rsid w:val="005516A4"/>
    <w:rsid w:val="00551761"/>
    <w:rsid w:val="0055188A"/>
    <w:rsid w:val="00551C4B"/>
    <w:rsid w:val="00551D55"/>
    <w:rsid w:val="00551FB5"/>
    <w:rsid w:val="0055299C"/>
    <w:rsid w:val="00552C1A"/>
    <w:rsid w:val="00552C9E"/>
    <w:rsid w:val="00552D61"/>
    <w:rsid w:val="00552F3A"/>
    <w:rsid w:val="005532DD"/>
    <w:rsid w:val="0055338D"/>
    <w:rsid w:val="005534F1"/>
    <w:rsid w:val="00553554"/>
    <w:rsid w:val="005535AA"/>
    <w:rsid w:val="005535CA"/>
    <w:rsid w:val="0055391D"/>
    <w:rsid w:val="00553A48"/>
    <w:rsid w:val="00553CC2"/>
    <w:rsid w:val="00553D0F"/>
    <w:rsid w:val="00553D45"/>
    <w:rsid w:val="00553E52"/>
    <w:rsid w:val="00553F2B"/>
    <w:rsid w:val="00554063"/>
    <w:rsid w:val="00554085"/>
    <w:rsid w:val="005542F9"/>
    <w:rsid w:val="00554366"/>
    <w:rsid w:val="005543B6"/>
    <w:rsid w:val="00554422"/>
    <w:rsid w:val="00554A12"/>
    <w:rsid w:val="00554A45"/>
    <w:rsid w:val="00554B87"/>
    <w:rsid w:val="00554D69"/>
    <w:rsid w:val="00554FEF"/>
    <w:rsid w:val="00555569"/>
    <w:rsid w:val="00555669"/>
    <w:rsid w:val="00555699"/>
    <w:rsid w:val="005556D9"/>
    <w:rsid w:val="005556EE"/>
    <w:rsid w:val="0055571A"/>
    <w:rsid w:val="0055578A"/>
    <w:rsid w:val="0055584D"/>
    <w:rsid w:val="00555BD9"/>
    <w:rsid w:val="00555CC6"/>
    <w:rsid w:val="00555E6A"/>
    <w:rsid w:val="00556573"/>
    <w:rsid w:val="0055677B"/>
    <w:rsid w:val="005567C0"/>
    <w:rsid w:val="005568FF"/>
    <w:rsid w:val="00556955"/>
    <w:rsid w:val="0055698F"/>
    <w:rsid w:val="00556A5F"/>
    <w:rsid w:val="00556C8A"/>
    <w:rsid w:val="00556CDC"/>
    <w:rsid w:val="00556D96"/>
    <w:rsid w:val="00556DC1"/>
    <w:rsid w:val="00556E6B"/>
    <w:rsid w:val="00556E96"/>
    <w:rsid w:val="005570B6"/>
    <w:rsid w:val="005571BD"/>
    <w:rsid w:val="00557340"/>
    <w:rsid w:val="0055735D"/>
    <w:rsid w:val="005574C6"/>
    <w:rsid w:val="00557724"/>
    <w:rsid w:val="00557951"/>
    <w:rsid w:val="00557C5D"/>
    <w:rsid w:val="00560199"/>
    <w:rsid w:val="0056034C"/>
    <w:rsid w:val="00560519"/>
    <w:rsid w:val="00560853"/>
    <w:rsid w:val="00560B95"/>
    <w:rsid w:val="00560D77"/>
    <w:rsid w:val="0056105A"/>
    <w:rsid w:val="005610C5"/>
    <w:rsid w:val="0056126E"/>
    <w:rsid w:val="005612BE"/>
    <w:rsid w:val="005612CB"/>
    <w:rsid w:val="0056131F"/>
    <w:rsid w:val="00561337"/>
    <w:rsid w:val="005613B6"/>
    <w:rsid w:val="00561429"/>
    <w:rsid w:val="0056151C"/>
    <w:rsid w:val="005615BD"/>
    <w:rsid w:val="005615E7"/>
    <w:rsid w:val="00561871"/>
    <w:rsid w:val="00561AB3"/>
    <w:rsid w:val="00561B2B"/>
    <w:rsid w:val="00561BFF"/>
    <w:rsid w:val="00561C3A"/>
    <w:rsid w:val="00561D3B"/>
    <w:rsid w:val="00561F8E"/>
    <w:rsid w:val="00562255"/>
    <w:rsid w:val="0056226B"/>
    <w:rsid w:val="00562285"/>
    <w:rsid w:val="005622E2"/>
    <w:rsid w:val="005627D8"/>
    <w:rsid w:val="005628B3"/>
    <w:rsid w:val="005628EE"/>
    <w:rsid w:val="0056290A"/>
    <w:rsid w:val="00562E1C"/>
    <w:rsid w:val="00563040"/>
    <w:rsid w:val="00563085"/>
    <w:rsid w:val="0056310A"/>
    <w:rsid w:val="00563198"/>
    <w:rsid w:val="0056324D"/>
    <w:rsid w:val="00563424"/>
    <w:rsid w:val="00563559"/>
    <w:rsid w:val="0056356C"/>
    <w:rsid w:val="00563577"/>
    <w:rsid w:val="00563671"/>
    <w:rsid w:val="00563779"/>
    <w:rsid w:val="005637AD"/>
    <w:rsid w:val="00563A90"/>
    <w:rsid w:val="00563AA1"/>
    <w:rsid w:val="00563C5E"/>
    <w:rsid w:val="00563C7C"/>
    <w:rsid w:val="00563F9A"/>
    <w:rsid w:val="005640B7"/>
    <w:rsid w:val="005641FC"/>
    <w:rsid w:val="00564203"/>
    <w:rsid w:val="00564225"/>
    <w:rsid w:val="005642D3"/>
    <w:rsid w:val="00564363"/>
    <w:rsid w:val="0056439F"/>
    <w:rsid w:val="00564410"/>
    <w:rsid w:val="005645B7"/>
    <w:rsid w:val="005646E3"/>
    <w:rsid w:val="0056470E"/>
    <w:rsid w:val="0056484E"/>
    <w:rsid w:val="005648B2"/>
    <w:rsid w:val="005648C4"/>
    <w:rsid w:val="0056497B"/>
    <w:rsid w:val="00564A29"/>
    <w:rsid w:val="00564A3A"/>
    <w:rsid w:val="00564AA6"/>
    <w:rsid w:val="00564B64"/>
    <w:rsid w:val="00565021"/>
    <w:rsid w:val="00565117"/>
    <w:rsid w:val="00565168"/>
    <w:rsid w:val="0056520E"/>
    <w:rsid w:val="0056529C"/>
    <w:rsid w:val="005653AD"/>
    <w:rsid w:val="0056544B"/>
    <w:rsid w:val="00565462"/>
    <w:rsid w:val="005655F1"/>
    <w:rsid w:val="00565AF5"/>
    <w:rsid w:val="00565B6E"/>
    <w:rsid w:val="00565CA0"/>
    <w:rsid w:val="00565D8F"/>
    <w:rsid w:val="00565DD8"/>
    <w:rsid w:val="00565E7C"/>
    <w:rsid w:val="00565E9C"/>
    <w:rsid w:val="0056601A"/>
    <w:rsid w:val="0056602F"/>
    <w:rsid w:val="005660F4"/>
    <w:rsid w:val="005661FB"/>
    <w:rsid w:val="005663EA"/>
    <w:rsid w:val="005663ED"/>
    <w:rsid w:val="005664B7"/>
    <w:rsid w:val="0056671D"/>
    <w:rsid w:val="005667F0"/>
    <w:rsid w:val="00566BA3"/>
    <w:rsid w:val="00566C00"/>
    <w:rsid w:val="00566C6B"/>
    <w:rsid w:val="00566CC2"/>
    <w:rsid w:val="00566D0C"/>
    <w:rsid w:val="00566D5F"/>
    <w:rsid w:val="00566E04"/>
    <w:rsid w:val="00566E07"/>
    <w:rsid w:val="00566E51"/>
    <w:rsid w:val="00566EED"/>
    <w:rsid w:val="00566F0D"/>
    <w:rsid w:val="00567025"/>
    <w:rsid w:val="00567180"/>
    <w:rsid w:val="005671FF"/>
    <w:rsid w:val="00567264"/>
    <w:rsid w:val="005672E9"/>
    <w:rsid w:val="005673FE"/>
    <w:rsid w:val="0056743E"/>
    <w:rsid w:val="00567453"/>
    <w:rsid w:val="00567529"/>
    <w:rsid w:val="00567606"/>
    <w:rsid w:val="0056763B"/>
    <w:rsid w:val="00567876"/>
    <w:rsid w:val="005679F5"/>
    <w:rsid w:val="00567B78"/>
    <w:rsid w:val="00567BC7"/>
    <w:rsid w:val="00567BF7"/>
    <w:rsid w:val="00567FA5"/>
    <w:rsid w:val="00570052"/>
    <w:rsid w:val="005700D8"/>
    <w:rsid w:val="005701E6"/>
    <w:rsid w:val="0057020B"/>
    <w:rsid w:val="005702C7"/>
    <w:rsid w:val="005702ED"/>
    <w:rsid w:val="00570335"/>
    <w:rsid w:val="0057038B"/>
    <w:rsid w:val="005703FE"/>
    <w:rsid w:val="0057048D"/>
    <w:rsid w:val="00570893"/>
    <w:rsid w:val="0057092B"/>
    <w:rsid w:val="0057098B"/>
    <w:rsid w:val="00570A2E"/>
    <w:rsid w:val="00570A9D"/>
    <w:rsid w:val="00570C9A"/>
    <w:rsid w:val="00570D71"/>
    <w:rsid w:val="0057108F"/>
    <w:rsid w:val="0057113C"/>
    <w:rsid w:val="00571167"/>
    <w:rsid w:val="0057149D"/>
    <w:rsid w:val="005718E0"/>
    <w:rsid w:val="0057191E"/>
    <w:rsid w:val="0057197F"/>
    <w:rsid w:val="00571C34"/>
    <w:rsid w:val="00571F36"/>
    <w:rsid w:val="00572016"/>
    <w:rsid w:val="0057207D"/>
    <w:rsid w:val="00572133"/>
    <w:rsid w:val="005724BE"/>
    <w:rsid w:val="0057279D"/>
    <w:rsid w:val="005727CB"/>
    <w:rsid w:val="0057285B"/>
    <w:rsid w:val="00572B8A"/>
    <w:rsid w:val="00572DB6"/>
    <w:rsid w:val="00572F2F"/>
    <w:rsid w:val="00572F4C"/>
    <w:rsid w:val="00572FCC"/>
    <w:rsid w:val="0057326F"/>
    <w:rsid w:val="005732F7"/>
    <w:rsid w:val="005736B5"/>
    <w:rsid w:val="005738B6"/>
    <w:rsid w:val="00573993"/>
    <w:rsid w:val="005739CD"/>
    <w:rsid w:val="00573AA7"/>
    <w:rsid w:val="00573BD1"/>
    <w:rsid w:val="00573C11"/>
    <w:rsid w:val="00573E71"/>
    <w:rsid w:val="00573F9B"/>
    <w:rsid w:val="00574121"/>
    <w:rsid w:val="00574132"/>
    <w:rsid w:val="00574164"/>
    <w:rsid w:val="0057418E"/>
    <w:rsid w:val="00574345"/>
    <w:rsid w:val="00574466"/>
    <w:rsid w:val="0057458D"/>
    <w:rsid w:val="005746BF"/>
    <w:rsid w:val="0057470E"/>
    <w:rsid w:val="0057474C"/>
    <w:rsid w:val="0057481F"/>
    <w:rsid w:val="0057498E"/>
    <w:rsid w:val="00574B87"/>
    <w:rsid w:val="00574B8B"/>
    <w:rsid w:val="00574E3E"/>
    <w:rsid w:val="00574ED2"/>
    <w:rsid w:val="00574F1B"/>
    <w:rsid w:val="00575020"/>
    <w:rsid w:val="005750A7"/>
    <w:rsid w:val="005751BD"/>
    <w:rsid w:val="005752C5"/>
    <w:rsid w:val="00575350"/>
    <w:rsid w:val="005753EB"/>
    <w:rsid w:val="00575563"/>
    <w:rsid w:val="00575663"/>
    <w:rsid w:val="00575918"/>
    <w:rsid w:val="00575A44"/>
    <w:rsid w:val="00575B10"/>
    <w:rsid w:val="00575C54"/>
    <w:rsid w:val="00575CF4"/>
    <w:rsid w:val="00575D91"/>
    <w:rsid w:val="00575E73"/>
    <w:rsid w:val="00575EEC"/>
    <w:rsid w:val="0057640D"/>
    <w:rsid w:val="00576762"/>
    <w:rsid w:val="00576814"/>
    <w:rsid w:val="00576A81"/>
    <w:rsid w:val="00576B62"/>
    <w:rsid w:val="00577186"/>
    <w:rsid w:val="00577341"/>
    <w:rsid w:val="005776FA"/>
    <w:rsid w:val="0057772C"/>
    <w:rsid w:val="00577734"/>
    <w:rsid w:val="0057787B"/>
    <w:rsid w:val="00577A6A"/>
    <w:rsid w:val="00577BAD"/>
    <w:rsid w:val="00577BDA"/>
    <w:rsid w:val="00577DC1"/>
    <w:rsid w:val="00577DF2"/>
    <w:rsid w:val="00577E22"/>
    <w:rsid w:val="00577FFE"/>
    <w:rsid w:val="00580106"/>
    <w:rsid w:val="005805D7"/>
    <w:rsid w:val="00580665"/>
    <w:rsid w:val="005806D3"/>
    <w:rsid w:val="005808C1"/>
    <w:rsid w:val="00580951"/>
    <w:rsid w:val="00580A62"/>
    <w:rsid w:val="00580B35"/>
    <w:rsid w:val="00580BD7"/>
    <w:rsid w:val="00580C57"/>
    <w:rsid w:val="00580F4E"/>
    <w:rsid w:val="00580F89"/>
    <w:rsid w:val="00581033"/>
    <w:rsid w:val="00581037"/>
    <w:rsid w:val="005810FF"/>
    <w:rsid w:val="00581263"/>
    <w:rsid w:val="005812BA"/>
    <w:rsid w:val="00581557"/>
    <w:rsid w:val="00581721"/>
    <w:rsid w:val="00581807"/>
    <w:rsid w:val="00581901"/>
    <w:rsid w:val="00581C03"/>
    <w:rsid w:val="00581C8F"/>
    <w:rsid w:val="00581CB8"/>
    <w:rsid w:val="00581F11"/>
    <w:rsid w:val="00581FB1"/>
    <w:rsid w:val="00581FD7"/>
    <w:rsid w:val="00582033"/>
    <w:rsid w:val="005820AB"/>
    <w:rsid w:val="005821F4"/>
    <w:rsid w:val="005822ED"/>
    <w:rsid w:val="00582406"/>
    <w:rsid w:val="00582760"/>
    <w:rsid w:val="005827FE"/>
    <w:rsid w:val="005828C5"/>
    <w:rsid w:val="00582A0A"/>
    <w:rsid w:val="00582B69"/>
    <w:rsid w:val="00582EAD"/>
    <w:rsid w:val="00582EDF"/>
    <w:rsid w:val="00582F8C"/>
    <w:rsid w:val="00583164"/>
    <w:rsid w:val="005832F7"/>
    <w:rsid w:val="00583411"/>
    <w:rsid w:val="00583492"/>
    <w:rsid w:val="0058379D"/>
    <w:rsid w:val="00583839"/>
    <w:rsid w:val="0058385A"/>
    <w:rsid w:val="005838A5"/>
    <w:rsid w:val="00583940"/>
    <w:rsid w:val="00583B4D"/>
    <w:rsid w:val="00583B4E"/>
    <w:rsid w:val="00583BE1"/>
    <w:rsid w:val="00583D9B"/>
    <w:rsid w:val="00583F4C"/>
    <w:rsid w:val="00584219"/>
    <w:rsid w:val="005845E6"/>
    <w:rsid w:val="0058460E"/>
    <w:rsid w:val="00584795"/>
    <w:rsid w:val="005849EE"/>
    <w:rsid w:val="00584AFD"/>
    <w:rsid w:val="00584B98"/>
    <w:rsid w:val="00584DDE"/>
    <w:rsid w:val="00584ED3"/>
    <w:rsid w:val="00584EE6"/>
    <w:rsid w:val="0058504F"/>
    <w:rsid w:val="00585162"/>
    <w:rsid w:val="005851ED"/>
    <w:rsid w:val="00585334"/>
    <w:rsid w:val="0058545D"/>
    <w:rsid w:val="005854E5"/>
    <w:rsid w:val="005856D9"/>
    <w:rsid w:val="00585734"/>
    <w:rsid w:val="00585988"/>
    <w:rsid w:val="00585B2A"/>
    <w:rsid w:val="00585CFB"/>
    <w:rsid w:val="00585D6E"/>
    <w:rsid w:val="00585DA0"/>
    <w:rsid w:val="00585E31"/>
    <w:rsid w:val="00585ED8"/>
    <w:rsid w:val="00585F79"/>
    <w:rsid w:val="005860C5"/>
    <w:rsid w:val="005861FE"/>
    <w:rsid w:val="00586438"/>
    <w:rsid w:val="0058654B"/>
    <w:rsid w:val="00586559"/>
    <w:rsid w:val="0058657E"/>
    <w:rsid w:val="0058659F"/>
    <w:rsid w:val="0058661C"/>
    <w:rsid w:val="005867CF"/>
    <w:rsid w:val="00586852"/>
    <w:rsid w:val="00586D68"/>
    <w:rsid w:val="00586EB8"/>
    <w:rsid w:val="00586EC0"/>
    <w:rsid w:val="00586EF6"/>
    <w:rsid w:val="0058705F"/>
    <w:rsid w:val="00587167"/>
    <w:rsid w:val="005871CC"/>
    <w:rsid w:val="00587356"/>
    <w:rsid w:val="00587391"/>
    <w:rsid w:val="00587610"/>
    <w:rsid w:val="0058776B"/>
    <w:rsid w:val="0058786F"/>
    <w:rsid w:val="00587C55"/>
    <w:rsid w:val="00587D25"/>
    <w:rsid w:val="00587DFD"/>
    <w:rsid w:val="00587EEB"/>
    <w:rsid w:val="00587F14"/>
    <w:rsid w:val="00590193"/>
    <w:rsid w:val="00590372"/>
    <w:rsid w:val="005904AA"/>
    <w:rsid w:val="0059081A"/>
    <w:rsid w:val="00590A64"/>
    <w:rsid w:val="00590BE1"/>
    <w:rsid w:val="00590CE5"/>
    <w:rsid w:val="00590D61"/>
    <w:rsid w:val="00590E44"/>
    <w:rsid w:val="00590FAC"/>
    <w:rsid w:val="0059129D"/>
    <w:rsid w:val="005913C8"/>
    <w:rsid w:val="005915BE"/>
    <w:rsid w:val="005915EA"/>
    <w:rsid w:val="00591663"/>
    <w:rsid w:val="005917AA"/>
    <w:rsid w:val="00591810"/>
    <w:rsid w:val="005918EC"/>
    <w:rsid w:val="0059190F"/>
    <w:rsid w:val="00591AC9"/>
    <w:rsid w:val="00591AFC"/>
    <w:rsid w:val="00591B0F"/>
    <w:rsid w:val="00591C9C"/>
    <w:rsid w:val="00591D1A"/>
    <w:rsid w:val="00591DC3"/>
    <w:rsid w:val="00591DF7"/>
    <w:rsid w:val="00591FEE"/>
    <w:rsid w:val="0059205E"/>
    <w:rsid w:val="005920FF"/>
    <w:rsid w:val="00592192"/>
    <w:rsid w:val="005921E6"/>
    <w:rsid w:val="0059235B"/>
    <w:rsid w:val="00592635"/>
    <w:rsid w:val="005926B8"/>
    <w:rsid w:val="0059278E"/>
    <w:rsid w:val="00592848"/>
    <w:rsid w:val="00592951"/>
    <w:rsid w:val="005929B3"/>
    <w:rsid w:val="00592B2E"/>
    <w:rsid w:val="00592BE8"/>
    <w:rsid w:val="00592CD2"/>
    <w:rsid w:val="00592D23"/>
    <w:rsid w:val="00592D32"/>
    <w:rsid w:val="00592E50"/>
    <w:rsid w:val="00593011"/>
    <w:rsid w:val="005931D2"/>
    <w:rsid w:val="00593334"/>
    <w:rsid w:val="005934BE"/>
    <w:rsid w:val="0059358C"/>
    <w:rsid w:val="0059363D"/>
    <w:rsid w:val="0059378B"/>
    <w:rsid w:val="00593814"/>
    <w:rsid w:val="005938A8"/>
    <w:rsid w:val="005938D1"/>
    <w:rsid w:val="005938D8"/>
    <w:rsid w:val="00593952"/>
    <w:rsid w:val="00593A4D"/>
    <w:rsid w:val="00593DC6"/>
    <w:rsid w:val="00593E31"/>
    <w:rsid w:val="00593E3F"/>
    <w:rsid w:val="00593ECE"/>
    <w:rsid w:val="00593EF8"/>
    <w:rsid w:val="0059403C"/>
    <w:rsid w:val="0059404D"/>
    <w:rsid w:val="00594188"/>
    <w:rsid w:val="00594325"/>
    <w:rsid w:val="00594355"/>
    <w:rsid w:val="0059474F"/>
    <w:rsid w:val="00594808"/>
    <w:rsid w:val="00594844"/>
    <w:rsid w:val="0059489A"/>
    <w:rsid w:val="00594B25"/>
    <w:rsid w:val="00594E01"/>
    <w:rsid w:val="00594E2C"/>
    <w:rsid w:val="00594F89"/>
    <w:rsid w:val="0059509C"/>
    <w:rsid w:val="0059513E"/>
    <w:rsid w:val="0059516F"/>
    <w:rsid w:val="005952D3"/>
    <w:rsid w:val="0059582D"/>
    <w:rsid w:val="005958FF"/>
    <w:rsid w:val="00595972"/>
    <w:rsid w:val="00595C4B"/>
    <w:rsid w:val="00595CE1"/>
    <w:rsid w:val="005961AC"/>
    <w:rsid w:val="005962CA"/>
    <w:rsid w:val="0059663C"/>
    <w:rsid w:val="00596741"/>
    <w:rsid w:val="005967F3"/>
    <w:rsid w:val="0059683C"/>
    <w:rsid w:val="00596879"/>
    <w:rsid w:val="0059696E"/>
    <w:rsid w:val="00596AE1"/>
    <w:rsid w:val="00596AF9"/>
    <w:rsid w:val="00596E34"/>
    <w:rsid w:val="00596FEE"/>
    <w:rsid w:val="00596FF9"/>
    <w:rsid w:val="005970E4"/>
    <w:rsid w:val="00597190"/>
    <w:rsid w:val="005972E6"/>
    <w:rsid w:val="00597709"/>
    <w:rsid w:val="00597710"/>
    <w:rsid w:val="005978A5"/>
    <w:rsid w:val="005978C0"/>
    <w:rsid w:val="00597912"/>
    <w:rsid w:val="00597BD7"/>
    <w:rsid w:val="00597BE5"/>
    <w:rsid w:val="00597CCE"/>
    <w:rsid w:val="00597DE7"/>
    <w:rsid w:val="005A0196"/>
    <w:rsid w:val="005A045E"/>
    <w:rsid w:val="005A047A"/>
    <w:rsid w:val="005A0501"/>
    <w:rsid w:val="005A05C0"/>
    <w:rsid w:val="005A0929"/>
    <w:rsid w:val="005A098E"/>
    <w:rsid w:val="005A09FD"/>
    <w:rsid w:val="005A0A0D"/>
    <w:rsid w:val="005A0AAE"/>
    <w:rsid w:val="005A0B21"/>
    <w:rsid w:val="005A0DA3"/>
    <w:rsid w:val="005A0F86"/>
    <w:rsid w:val="005A1021"/>
    <w:rsid w:val="005A10CE"/>
    <w:rsid w:val="005A1370"/>
    <w:rsid w:val="005A1399"/>
    <w:rsid w:val="005A17A6"/>
    <w:rsid w:val="005A185E"/>
    <w:rsid w:val="005A1A53"/>
    <w:rsid w:val="005A1AB7"/>
    <w:rsid w:val="005A1C45"/>
    <w:rsid w:val="005A1C9F"/>
    <w:rsid w:val="005A1D4E"/>
    <w:rsid w:val="005A1DE8"/>
    <w:rsid w:val="005A1EE2"/>
    <w:rsid w:val="005A2034"/>
    <w:rsid w:val="005A20C3"/>
    <w:rsid w:val="005A21F4"/>
    <w:rsid w:val="005A2289"/>
    <w:rsid w:val="005A23E4"/>
    <w:rsid w:val="005A24F1"/>
    <w:rsid w:val="005A26DE"/>
    <w:rsid w:val="005A2716"/>
    <w:rsid w:val="005A277E"/>
    <w:rsid w:val="005A27CB"/>
    <w:rsid w:val="005A2898"/>
    <w:rsid w:val="005A2B15"/>
    <w:rsid w:val="005A2BC7"/>
    <w:rsid w:val="005A2CA9"/>
    <w:rsid w:val="005A2CFF"/>
    <w:rsid w:val="005A2F9C"/>
    <w:rsid w:val="005A2FC3"/>
    <w:rsid w:val="005A31CC"/>
    <w:rsid w:val="005A34B5"/>
    <w:rsid w:val="005A35E2"/>
    <w:rsid w:val="005A393D"/>
    <w:rsid w:val="005A3A4E"/>
    <w:rsid w:val="005A3B3E"/>
    <w:rsid w:val="005A3DCB"/>
    <w:rsid w:val="005A3EAF"/>
    <w:rsid w:val="005A40A5"/>
    <w:rsid w:val="005A40D4"/>
    <w:rsid w:val="005A43C4"/>
    <w:rsid w:val="005A448E"/>
    <w:rsid w:val="005A46E2"/>
    <w:rsid w:val="005A476B"/>
    <w:rsid w:val="005A47DF"/>
    <w:rsid w:val="005A47E1"/>
    <w:rsid w:val="005A4966"/>
    <w:rsid w:val="005A4C03"/>
    <w:rsid w:val="005A4F4C"/>
    <w:rsid w:val="005A4FB8"/>
    <w:rsid w:val="005A50D0"/>
    <w:rsid w:val="005A532A"/>
    <w:rsid w:val="005A54CF"/>
    <w:rsid w:val="005A5545"/>
    <w:rsid w:val="005A580B"/>
    <w:rsid w:val="005A58DC"/>
    <w:rsid w:val="005A5916"/>
    <w:rsid w:val="005A5964"/>
    <w:rsid w:val="005A6119"/>
    <w:rsid w:val="005A620A"/>
    <w:rsid w:val="005A62F9"/>
    <w:rsid w:val="005A63A8"/>
    <w:rsid w:val="005A6582"/>
    <w:rsid w:val="005A6671"/>
    <w:rsid w:val="005A6699"/>
    <w:rsid w:val="005A67D2"/>
    <w:rsid w:val="005A69FC"/>
    <w:rsid w:val="005A6AB7"/>
    <w:rsid w:val="005A6E1A"/>
    <w:rsid w:val="005A6FCE"/>
    <w:rsid w:val="005A71BF"/>
    <w:rsid w:val="005A71C0"/>
    <w:rsid w:val="005A71F2"/>
    <w:rsid w:val="005A7231"/>
    <w:rsid w:val="005A7278"/>
    <w:rsid w:val="005A728F"/>
    <w:rsid w:val="005A74AC"/>
    <w:rsid w:val="005A76F4"/>
    <w:rsid w:val="005A799E"/>
    <w:rsid w:val="005A7BE7"/>
    <w:rsid w:val="005A7D26"/>
    <w:rsid w:val="005B040B"/>
    <w:rsid w:val="005B0593"/>
    <w:rsid w:val="005B076B"/>
    <w:rsid w:val="005B0790"/>
    <w:rsid w:val="005B07F8"/>
    <w:rsid w:val="005B0819"/>
    <w:rsid w:val="005B09EB"/>
    <w:rsid w:val="005B0A15"/>
    <w:rsid w:val="005B0A1F"/>
    <w:rsid w:val="005B0A47"/>
    <w:rsid w:val="005B0D51"/>
    <w:rsid w:val="005B0E1A"/>
    <w:rsid w:val="005B1087"/>
    <w:rsid w:val="005B10C0"/>
    <w:rsid w:val="005B146D"/>
    <w:rsid w:val="005B159F"/>
    <w:rsid w:val="005B1749"/>
    <w:rsid w:val="005B17F5"/>
    <w:rsid w:val="005B185B"/>
    <w:rsid w:val="005B18AF"/>
    <w:rsid w:val="005B1992"/>
    <w:rsid w:val="005B1D5F"/>
    <w:rsid w:val="005B1E85"/>
    <w:rsid w:val="005B1FB7"/>
    <w:rsid w:val="005B20C2"/>
    <w:rsid w:val="005B212A"/>
    <w:rsid w:val="005B2183"/>
    <w:rsid w:val="005B2222"/>
    <w:rsid w:val="005B25DD"/>
    <w:rsid w:val="005B25E2"/>
    <w:rsid w:val="005B26AE"/>
    <w:rsid w:val="005B27DE"/>
    <w:rsid w:val="005B29A5"/>
    <w:rsid w:val="005B29AE"/>
    <w:rsid w:val="005B2A4C"/>
    <w:rsid w:val="005B2BB4"/>
    <w:rsid w:val="005B2C08"/>
    <w:rsid w:val="005B2C38"/>
    <w:rsid w:val="005B2D40"/>
    <w:rsid w:val="005B2D47"/>
    <w:rsid w:val="005B314B"/>
    <w:rsid w:val="005B364C"/>
    <w:rsid w:val="005B36B7"/>
    <w:rsid w:val="005B36C1"/>
    <w:rsid w:val="005B3A0E"/>
    <w:rsid w:val="005B3A21"/>
    <w:rsid w:val="005B3B0B"/>
    <w:rsid w:val="005B4034"/>
    <w:rsid w:val="005B425E"/>
    <w:rsid w:val="005B47B1"/>
    <w:rsid w:val="005B4C1D"/>
    <w:rsid w:val="005B4FF2"/>
    <w:rsid w:val="005B5187"/>
    <w:rsid w:val="005B538F"/>
    <w:rsid w:val="005B542A"/>
    <w:rsid w:val="005B5656"/>
    <w:rsid w:val="005B56A8"/>
    <w:rsid w:val="005B56E9"/>
    <w:rsid w:val="005B5770"/>
    <w:rsid w:val="005B57B9"/>
    <w:rsid w:val="005B580B"/>
    <w:rsid w:val="005B5866"/>
    <w:rsid w:val="005B58EC"/>
    <w:rsid w:val="005B5AE1"/>
    <w:rsid w:val="005B5B33"/>
    <w:rsid w:val="005B5C6C"/>
    <w:rsid w:val="005B5D26"/>
    <w:rsid w:val="005B5DB5"/>
    <w:rsid w:val="005B5EA5"/>
    <w:rsid w:val="005B5EA7"/>
    <w:rsid w:val="005B5F4A"/>
    <w:rsid w:val="005B6202"/>
    <w:rsid w:val="005B658E"/>
    <w:rsid w:val="005B66BF"/>
    <w:rsid w:val="005B6761"/>
    <w:rsid w:val="005B6854"/>
    <w:rsid w:val="005B6B04"/>
    <w:rsid w:val="005B6B22"/>
    <w:rsid w:val="005B6E4E"/>
    <w:rsid w:val="005B7161"/>
    <w:rsid w:val="005B71D3"/>
    <w:rsid w:val="005B71E3"/>
    <w:rsid w:val="005B7246"/>
    <w:rsid w:val="005B72A6"/>
    <w:rsid w:val="005B747C"/>
    <w:rsid w:val="005B7B1A"/>
    <w:rsid w:val="005B7BB9"/>
    <w:rsid w:val="005B7CC3"/>
    <w:rsid w:val="005B7E8F"/>
    <w:rsid w:val="005C0035"/>
    <w:rsid w:val="005C0093"/>
    <w:rsid w:val="005C03D3"/>
    <w:rsid w:val="005C03FE"/>
    <w:rsid w:val="005C04CB"/>
    <w:rsid w:val="005C052A"/>
    <w:rsid w:val="005C066B"/>
    <w:rsid w:val="005C067E"/>
    <w:rsid w:val="005C0D13"/>
    <w:rsid w:val="005C0DAF"/>
    <w:rsid w:val="005C0F16"/>
    <w:rsid w:val="005C1029"/>
    <w:rsid w:val="005C1160"/>
    <w:rsid w:val="005C1816"/>
    <w:rsid w:val="005C189C"/>
    <w:rsid w:val="005C1B7A"/>
    <w:rsid w:val="005C1D80"/>
    <w:rsid w:val="005C1E38"/>
    <w:rsid w:val="005C1E85"/>
    <w:rsid w:val="005C1E87"/>
    <w:rsid w:val="005C1F16"/>
    <w:rsid w:val="005C1F74"/>
    <w:rsid w:val="005C2011"/>
    <w:rsid w:val="005C2084"/>
    <w:rsid w:val="005C20C6"/>
    <w:rsid w:val="005C2240"/>
    <w:rsid w:val="005C23AB"/>
    <w:rsid w:val="005C257A"/>
    <w:rsid w:val="005C2699"/>
    <w:rsid w:val="005C26E2"/>
    <w:rsid w:val="005C27CE"/>
    <w:rsid w:val="005C281C"/>
    <w:rsid w:val="005C28BB"/>
    <w:rsid w:val="005C28E8"/>
    <w:rsid w:val="005C2923"/>
    <w:rsid w:val="005C2C62"/>
    <w:rsid w:val="005C2C78"/>
    <w:rsid w:val="005C2CD3"/>
    <w:rsid w:val="005C2E04"/>
    <w:rsid w:val="005C2E14"/>
    <w:rsid w:val="005C2E61"/>
    <w:rsid w:val="005C2F35"/>
    <w:rsid w:val="005C3386"/>
    <w:rsid w:val="005C3924"/>
    <w:rsid w:val="005C392C"/>
    <w:rsid w:val="005C39BA"/>
    <w:rsid w:val="005C3A16"/>
    <w:rsid w:val="005C3B66"/>
    <w:rsid w:val="005C3B67"/>
    <w:rsid w:val="005C3B77"/>
    <w:rsid w:val="005C3BB7"/>
    <w:rsid w:val="005C3DD0"/>
    <w:rsid w:val="005C3EF5"/>
    <w:rsid w:val="005C3F9D"/>
    <w:rsid w:val="005C4166"/>
    <w:rsid w:val="005C424B"/>
    <w:rsid w:val="005C437A"/>
    <w:rsid w:val="005C43D5"/>
    <w:rsid w:val="005C44BE"/>
    <w:rsid w:val="005C455A"/>
    <w:rsid w:val="005C45AD"/>
    <w:rsid w:val="005C46A4"/>
    <w:rsid w:val="005C4740"/>
    <w:rsid w:val="005C4789"/>
    <w:rsid w:val="005C482F"/>
    <w:rsid w:val="005C4988"/>
    <w:rsid w:val="005C49EA"/>
    <w:rsid w:val="005C4D6D"/>
    <w:rsid w:val="005C4DD1"/>
    <w:rsid w:val="005C5022"/>
    <w:rsid w:val="005C542F"/>
    <w:rsid w:val="005C564D"/>
    <w:rsid w:val="005C56EB"/>
    <w:rsid w:val="005C58C9"/>
    <w:rsid w:val="005C5D78"/>
    <w:rsid w:val="005C5E17"/>
    <w:rsid w:val="005C62AE"/>
    <w:rsid w:val="005C6386"/>
    <w:rsid w:val="005C639B"/>
    <w:rsid w:val="005C63EA"/>
    <w:rsid w:val="005C64C7"/>
    <w:rsid w:val="005C650D"/>
    <w:rsid w:val="005C6576"/>
    <w:rsid w:val="005C660B"/>
    <w:rsid w:val="005C66D0"/>
    <w:rsid w:val="005C66D5"/>
    <w:rsid w:val="005C678B"/>
    <w:rsid w:val="005C68B1"/>
    <w:rsid w:val="005C6CB1"/>
    <w:rsid w:val="005C6EBE"/>
    <w:rsid w:val="005C706F"/>
    <w:rsid w:val="005C7167"/>
    <w:rsid w:val="005C71DA"/>
    <w:rsid w:val="005C7222"/>
    <w:rsid w:val="005C7756"/>
    <w:rsid w:val="005C7855"/>
    <w:rsid w:val="005C7959"/>
    <w:rsid w:val="005C7A79"/>
    <w:rsid w:val="005C7AC0"/>
    <w:rsid w:val="005C7AE9"/>
    <w:rsid w:val="005C7E15"/>
    <w:rsid w:val="005D0152"/>
    <w:rsid w:val="005D02DD"/>
    <w:rsid w:val="005D02F7"/>
    <w:rsid w:val="005D0410"/>
    <w:rsid w:val="005D042C"/>
    <w:rsid w:val="005D067E"/>
    <w:rsid w:val="005D075C"/>
    <w:rsid w:val="005D0A82"/>
    <w:rsid w:val="005D0C2E"/>
    <w:rsid w:val="005D0D40"/>
    <w:rsid w:val="005D0E79"/>
    <w:rsid w:val="005D11FF"/>
    <w:rsid w:val="005D1297"/>
    <w:rsid w:val="005D12CC"/>
    <w:rsid w:val="005D12D2"/>
    <w:rsid w:val="005D135F"/>
    <w:rsid w:val="005D15AB"/>
    <w:rsid w:val="005D173D"/>
    <w:rsid w:val="005D1979"/>
    <w:rsid w:val="005D1C18"/>
    <w:rsid w:val="005D1D17"/>
    <w:rsid w:val="005D20C9"/>
    <w:rsid w:val="005D21B8"/>
    <w:rsid w:val="005D238F"/>
    <w:rsid w:val="005D2504"/>
    <w:rsid w:val="005D2523"/>
    <w:rsid w:val="005D25FA"/>
    <w:rsid w:val="005D2666"/>
    <w:rsid w:val="005D2700"/>
    <w:rsid w:val="005D273E"/>
    <w:rsid w:val="005D2955"/>
    <w:rsid w:val="005D2A69"/>
    <w:rsid w:val="005D2A97"/>
    <w:rsid w:val="005D2B88"/>
    <w:rsid w:val="005D2C39"/>
    <w:rsid w:val="005D2C7F"/>
    <w:rsid w:val="005D2DE7"/>
    <w:rsid w:val="005D2DEB"/>
    <w:rsid w:val="005D2E74"/>
    <w:rsid w:val="005D2ED4"/>
    <w:rsid w:val="005D2F93"/>
    <w:rsid w:val="005D30D6"/>
    <w:rsid w:val="005D313B"/>
    <w:rsid w:val="005D3322"/>
    <w:rsid w:val="005D33E3"/>
    <w:rsid w:val="005D35A8"/>
    <w:rsid w:val="005D35DA"/>
    <w:rsid w:val="005D35E6"/>
    <w:rsid w:val="005D3751"/>
    <w:rsid w:val="005D3759"/>
    <w:rsid w:val="005D390E"/>
    <w:rsid w:val="005D3BC1"/>
    <w:rsid w:val="005D3BC3"/>
    <w:rsid w:val="005D3BF2"/>
    <w:rsid w:val="005D3C66"/>
    <w:rsid w:val="005D3C93"/>
    <w:rsid w:val="005D3D8C"/>
    <w:rsid w:val="005D3E04"/>
    <w:rsid w:val="005D3E70"/>
    <w:rsid w:val="005D3FAE"/>
    <w:rsid w:val="005D3FCC"/>
    <w:rsid w:val="005D40A0"/>
    <w:rsid w:val="005D4230"/>
    <w:rsid w:val="005D428F"/>
    <w:rsid w:val="005D42E4"/>
    <w:rsid w:val="005D44D5"/>
    <w:rsid w:val="005D44F5"/>
    <w:rsid w:val="005D45F1"/>
    <w:rsid w:val="005D472A"/>
    <w:rsid w:val="005D4837"/>
    <w:rsid w:val="005D4AE4"/>
    <w:rsid w:val="005D4B96"/>
    <w:rsid w:val="005D4C02"/>
    <w:rsid w:val="005D52F0"/>
    <w:rsid w:val="005D54C4"/>
    <w:rsid w:val="005D5517"/>
    <w:rsid w:val="005D5588"/>
    <w:rsid w:val="005D59E8"/>
    <w:rsid w:val="005D5BBF"/>
    <w:rsid w:val="005D6218"/>
    <w:rsid w:val="005D62E0"/>
    <w:rsid w:val="005D6427"/>
    <w:rsid w:val="005D6457"/>
    <w:rsid w:val="005D6474"/>
    <w:rsid w:val="005D6617"/>
    <w:rsid w:val="005D6721"/>
    <w:rsid w:val="005D6796"/>
    <w:rsid w:val="005D6820"/>
    <w:rsid w:val="005D6848"/>
    <w:rsid w:val="005D688F"/>
    <w:rsid w:val="005D691E"/>
    <w:rsid w:val="005D6A01"/>
    <w:rsid w:val="005D6A41"/>
    <w:rsid w:val="005D6A7D"/>
    <w:rsid w:val="005D6AE7"/>
    <w:rsid w:val="005D6B07"/>
    <w:rsid w:val="005D6ED6"/>
    <w:rsid w:val="005D7177"/>
    <w:rsid w:val="005D71A2"/>
    <w:rsid w:val="005D71D0"/>
    <w:rsid w:val="005D73F1"/>
    <w:rsid w:val="005D75A8"/>
    <w:rsid w:val="005D75FF"/>
    <w:rsid w:val="005D7A0D"/>
    <w:rsid w:val="005D7A18"/>
    <w:rsid w:val="005D7C95"/>
    <w:rsid w:val="005D7CDC"/>
    <w:rsid w:val="005D7E75"/>
    <w:rsid w:val="005D7E86"/>
    <w:rsid w:val="005E00E2"/>
    <w:rsid w:val="005E058C"/>
    <w:rsid w:val="005E0591"/>
    <w:rsid w:val="005E071D"/>
    <w:rsid w:val="005E0856"/>
    <w:rsid w:val="005E08EA"/>
    <w:rsid w:val="005E09CF"/>
    <w:rsid w:val="005E0A1F"/>
    <w:rsid w:val="005E0A7E"/>
    <w:rsid w:val="005E0CD4"/>
    <w:rsid w:val="005E0D40"/>
    <w:rsid w:val="005E0FF0"/>
    <w:rsid w:val="005E106E"/>
    <w:rsid w:val="005E122B"/>
    <w:rsid w:val="005E131A"/>
    <w:rsid w:val="005E135D"/>
    <w:rsid w:val="005E139D"/>
    <w:rsid w:val="005E14B3"/>
    <w:rsid w:val="005E172E"/>
    <w:rsid w:val="005E188C"/>
    <w:rsid w:val="005E1903"/>
    <w:rsid w:val="005E1914"/>
    <w:rsid w:val="005E1A2A"/>
    <w:rsid w:val="005E1DC4"/>
    <w:rsid w:val="005E20ED"/>
    <w:rsid w:val="005E2173"/>
    <w:rsid w:val="005E2460"/>
    <w:rsid w:val="005E248F"/>
    <w:rsid w:val="005E26CF"/>
    <w:rsid w:val="005E27DC"/>
    <w:rsid w:val="005E2AA8"/>
    <w:rsid w:val="005E2C86"/>
    <w:rsid w:val="005E2D46"/>
    <w:rsid w:val="005E2F1E"/>
    <w:rsid w:val="005E304F"/>
    <w:rsid w:val="005E3188"/>
    <w:rsid w:val="005E31B2"/>
    <w:rsid w:val="005E31C9"/>
    <w:rsid w:val="005E3347"/>
    <w:rsid w:val="005E352C"/>
    <w:rsid w:val="005E35F3"/>
    <w:rsid w:val="005E367E"/>
    <w:rsid w:val="005E39AB"/>
    <w:rsid w:val="005E3D4E"/>
    <w:rsid w:val="005E3DA2"/>
    <w:rsid w:val="005E3E2D"/>
    <w:rsid w:val="005E3E70"/>
    <w:rsid w:val="005E40F9"/>
    <w:rsid w:val="005E412A"/>
    <w:rsid w:val="005E41D6"/>
    <w:rsid w:val="005E4270"/>
    <w:rsid w:val="005E43CB"/>
    <w:rsid w:val="005E46F8"/>
    <w:rsid w:val="005E4840"/>
    <w:rsid w:val="005E48D8"/>
    <w:rsid w:val="005E4952"/>
    <w:rsid w:val="005E4A4D"/>
    <w:rsid w:val="005E4C26"/>
    <w:rsid w:val="005E4F6F"/>
    <w:rsid w:val="005E50BE"/>
    <w:rsid w:val="005E544F"/>
    <w:rsid w:val="005E5476"/>
    <w:rsid w:val="005E5799"/>
    <w:rsid w:val="005E580F"/>
    <w:rsid w:val="005E58FF"/>
    <w:rsid w:val="005E5A4B"/>
    <w:rsid w:val="005E5EF8"/>
    <w:rsid w:val="005E5FAB"/>
    <w:rsid w:val="005E61F5"/>
    <w:rsid w:val="005E625E"/>
    <w:rsid w:val="005E63CE"/>
    <w:rsid w:val="005E6448"/>
    <w:rsid w:val="005E648E"/>
    <w:rsid w:val="005E6495"/>
    <w:rsid w:val="005E64B6"/>
    <w:rsid w:val="005E64E1"/>
    <w:rsid w:val="005E6864"/>
    <w:rsid w:val="005E69D4"/>
    <w:rsid w:val="005E6BFF"/>
    <w:rsid w:val="005E6C6D"/>
    <w:rsid w:val="005E6EA4"/>
    <w:rsid w:val="005E6F52"/>
    <w:rsid w:val="005E7018"/>
    <w:rsid w:val="005E70BA"/>
    <w:rsid w:val="005E72F4"/>
    <w:rsid w:val="005E73A3"/>
    <w:rsid w:val="005E77A9"/>
    <w:rsid w:val="005E77ED"/>
    <w:rsid w:val="005E78A3"/>
    <w:rsid w:val="005E7B94"/>
    <w:rsid w:val="005E7D4F"/>
    <w:rsid w:val="005E7D8E"/>
    <w:rsid w:val="005E7DA0"/>
    <w:rsid w:val="005F0022"/>
    <w:rsid w:val="005F0030"/>
    <w:rsid w:val="005F015B"/>
    <w:rsid w:val="005F0473"/>
    <w:rsid w:val="005F04BD"/>
    <w:rsid w:val="005F04E4"/>
    <w:rsid w:val="005F05D7"/>
    <w:rsid w:val="005F05EA"/>
    <w:rsid w:val="005F0649"/>
    <w:rsid w:val="005F0653"/>
    <w:rsid w:val="005F0AB8"/>
    <w:rsid w:val="005F0B9E"/>
    <w:rsid w:val="005F0CAB"/>
    <w:rsid w:val="005F1175"/>
    <w:rsid w:val="005F1263"/>
    <w:rsid w:val="005F13F9"/>
    <w:rsid w:val="005F161A"/>
    <w:rsid w:val="005F1675"/>
    <w:rsid w:val="005F1C89"/>
    <w:rsid w:val="005F1D36"/>
    <w:rsid w:val="005F1D8F"/>
    <w:rsid w:val="005F1DF9"/>
    <w:rsid w:val="005F210C"/>
    <w:rsid w:val="005F2407"/>
    <w:rsid w:val="005F242A"/>
    <w:rsid w:val="005F2586"/>
    <w:rsid w:val="005F25F9"/>
    <w:rsid w:val="005F267B"/>
    <w:rsid w:val="005F28F9"/>
    <w:rsid w:val="005F2AF9"/>
    <w:rsid w:val="005F2B09"/>
    <w:rsid w:val="005F2EFC"/>
    <w:rsid w:val="005F2FC5"/>
    <w:rsid w:val="005F2FD2"/>
    <w:rsid w:val="005F3020"/>
    <w:rsid w:val="005F30C1"/>
    <w:rsid w:val="005F3471"/>
    <w:rsid w:val="005F348B"/>
    <w:rsid w:val="005F3769"/>
    <w:rsid w:val="005F37EF"/>
    <w:rsid w:val="005F381F"/>
    <w:rsid w:val="005F38C8"/>
    <w:rsid w:val="005F3973"/>
    <w:rsid w:val="005F398D"/>
    <w:rsid w:val="005F3BFD"/>
    <w:rsid w:val="005F3CC6"/>
    <w:rsid w:val="005F3DAB"/>
    <w:rsid w:val="005F41D7"/>
    <w:rsid w:val="005F4284"/>
    <w:rsid w:val="005F42EE"/>
    <w:rsid w:val="005F448C"/>
    <w:rsid w:val="005F455B"/>
    <w:rsid w:val="005F455E"/>
    <w:rsid w:val="005F45D9"/>
    <w:rsid w:val="005F4660"/>
    <w:rsid w:val="005F488F"/>
    <w:rsid w:val="005F4A5C"/>
    <w:rsid w:val="005F4F76"/>
    <w:rsid w:val="005F4F9A"/>
    <w:rsid w:val="005F4FE9"/>
    <w:rsid w:val="005F50C2"/>
    <w:rsid w:val="005F53DA"/>
    <w:rsid w:val="005F544A"/>
    <w:rsid w:val="005F545F"/>
    <w:rsid w:val="005F548C"/>
    <w:rsid w:val="005F560E"/>
    <w:rsid w:val="005F582E"/>
    <w:rsid w:val="005F5919"/>
    <w:rsid w:val="005F5BA0"/>
    <w:rsid w:val="005F5BE8"/>
    <w:rsid w:val="005F5C42"/>
    <w:rsid w:val="005F5D78"/>
    <w:rsid w:val="005F5DBD"/>
    <w:rsid w:val="005F5DF8"/>
    <w:rsid w:val="005F5E7C"/>
    <w:rsid w:val="005F601C"/>
    <w:rsid w:val="005F60B9"/>
    <w:rsid w:val="005F61C7"/>
    <w:rsid w:val="005F6236"/>
    <w:rsid w:val="005F62F2"/>
    <w:rsid w:val="005F6324"/>
    <w:rsid w:val="005F64AA"/>
    <w:rsid w:val="005F652A"/>
    <w:rsid w:val="005F65DF"/>
    <w:rsid w:val="005F672A"/>
    <w:rsid w:val="005F675D"/>
    <w:rsid w:val="005F68C3"/>
    <w:rsid w:val="005F6924"/>
    <w:rsid w:val="005F69F2"/>
    <w:rsid w:val="005F6BA2"/>
    <w:rsid w:val="005F6C57"/>
    <w:rsid w:val="005F6C5D"/>
    <w:rsid w:val="005F6CE2"/>
    <w:rsid w:val="005F6DE9"/>
    <w:rsid w:val="005F6F4C"/>
    <w:rsid w:val="005F6FDF"/>
    <w:rsid w:val="005F70DE"/>
    <w:rsid w:val="005F719B"/>
    <w:rsid w:val="005F7365"/>
    <w:rsid w:val="005F73A3"/>
    <w:rsid w:val="005F73D5"/>
    <w:rsid w:val="005F7634"/>
    <w:rsid w:val="005F7725"/>
    <w:rsid w:val="005F7760"/>
    <w:rsid w:val="005F77D0"/>
    <w:rsid w:val="005F7A60"/>
    <w:rsid w:val="005F7CDF"/>
    <w:rsid w:val="005F7DCB"/>
    <w:rsid w:val="005F7FBB"/>
    <w:rsid w:val="0060001D"/>
    <w:rsid w:val="006000E3"/>
    <w:rsid w:val="0060068E"/>
    <w:rsid w:val="006007EC"/>
    <w:rsid w:val="0060081E"/>
    <w:rsid w:val="006008A5"/>
    <w:rsid w:val="006008BD"/>
    <w:rsid w:val="00600A11"/>
    <w:rsid w:val="00600A13"/>
    <w:rsid w:val="00600CEB"/>
    <w:rsid w:val="00600E41"/>
    <w:rsid w:val="00600F0D"/>
    <w:rsid w:val="00601270"/>
    <w:rsid w:val="00601491"/>
    <w:rsid w:val="0060152F"/>
    <w:rsid w:val="006017F8"/>
    <w:rsid w:val="00601890"/>
    <w:rsid w:val="006019F4"/>
    <w:rsid w:val="00601A3F"/>
    <w:rsid w:val="00601A93"/>
    <w:rsid w:val="00601AB5"/>
    <w:rsid w:val="00601B35"/>
    <w:rsid w:val="00601C33"/>
    <w:rsid w:val="00601E40"/>
    <w:rsid w:val="00601E71"/>
    <w:rsid w:val="00601F81"/>
    <w:rsid w:val="00602180"/>
    <w:rsid w:val="0060218B"/>
    <w:rsid w:val="0060252C"/>
    <w:rsid w:val="006026E0"/>
    <w:rsid w:val="006027AE"/>
    <w:rsid w:val="006027C0"/>
    <w:rsid w:val="00602BDA"/>
    <w:rsid w:val="00602D10"/>
    <w:rsid w:val="00602DB6"/>
    <w:rsid w:val="00602E99"/>
    <w:rsid w:val="00602EF7"/>
    <w:rsid w:val="006031FC"/>
    <w:rsid w:val="00603607"/>
    <w:rsid w:val="0060385F"/>
    <w:rsid w:val="006038BB"/>
    <w:rsid w:val="006039AA"/>
    <w:rsid w:val="006039BA"/>
    <w:rsid w:val="006039DD"/>
    <w:rsid w:val="00603A0B"/>
    <w:rsid w:val="00603A46"/>
    <w:rsid w:val="00603C8D"/>
    <w:rsid w:val="00603CE8"/>
    <w:rsid w:val="00603D18"/>
    <w:rsid w:val="00603EC6"/>
    <w:rsid w:val="00603F52"/>
    <w:rsid w:val="00604044"/>
    <w:rsid w:val="0060436F"/>
    <w:rsid w:val="00604509"/>
    <w:rsid w:val="0060450C"/>
    <w:rsid w:val="006046A4"/>
    <w:rsid w:val="006047AA"/>
    <w:rsid w:val="00604860"/>
    <w:rsid w:val="00604880"/>
    <w:rsid w:val="00604933"/>
    <w:rsid w:val="00604B4C"/>
    <w:rsid w:val="00604D12"/>
    <w:rsid w:val="00604E34"/>
    <w:rsid w:val="00604EC7"/>
    <w:rsid w:val="0060506B"/>
    <w:rsid w:val="006051BF"/>
    <w:rsid w:val="006058A4"/>
    <w:rsid w:val="00605A86"/>
    <w:rsid w:val="00605C02"/>
    <w:rsid w:val="00605D22"/>
    <w:rsid w:val="00605D5D"/>
    <w:rsid w:val="00605D82"/>
    <w:rsid w:val="00605EC1"/>
    <w:rsid w:val="00605ECF"/>
    <w:rsid w:val="00605F50"/>
    <w:rsid w:val="00605FD7"/>
    <w:rsid w:val="006060CB"/>
    <w:rsid w:val="00606364"/>
    <w:rsid w:val="0060640A"/>
    <w:rsid w:val="00606474"/>
    <w:rsid w:val="00606643"/>
    <w:rsid w:val="0060670F"/>
    <w:rsid w:val="00606751"/>
    <w:rsid w:val="00606788"/>
    <w:rsid w:val="006067BE"/>
    <w:rsid w:val="006067CA"/>
    <w:rsid w:val="006067EF"/>
    <w:rsid w:val="00606864"/>
    <w:rsid w:val="00606C29"/>
    <w:rsid w:val="00606E4C"/>
    <w:rsid w:val="00606F9A"/>
    <w:rsid w:val="0060708F"/>
    <w:rsid w:val="00607178"/>
    <w:rsid w:val="00607433"/>
    <w:rsid w:val="006074CE"/>
    <w:rsid w:val="006077C5"/>
    <w:rsid w:val="0060797D"/>
    <w:rsid w:val="00607997"/>
    <w:rsid w:val="00607AB7"/>
    <w:rsid w:val="00607B66"/>
    <w:rsid w:val="00607C05"/>
    <w:rsid w:val="00607CF2"/>
    <w:rsid w:val="00607CFE"/>
    <w:rsid w:val="00607DAC"/>
    <w:rsid w:val="00607F2B"/>
    <w:rsid w:val="0061015B"/>
    <w:rsid w:val="00610324"/>
    <w:rsid w:val="0061037C"/>
    <w:rsid w:val="00610479"/>
    <w:rsid w:val="006104B2"/>
    <w:rsid w:val="006104EC"/>
    <w:rsid w:val="00610636"/>
    <w:rsid w:val="00610646"/>
    <w:rsid w:val="006107F0"/>
    <w:rsid w:val="00610842"/>
    <w:rsid w:val="00610983"/>
    <w:rsid w:val="00610ABE"/>
    <w:rsid w:val="00610BE3"/>
    <w:rsid w:val="00610FD3"/>
    <w:rsid w:val="00611181"/>
    <w:rsid w:val="00611193"/>
    <w:rsid w:val="006111E1"/>
    <w:rsid w:val="00611366"/>
    <w:rsid w:val="006113D7"/>
    <w:rsid w:val="006114F7"/>
    <w:rsid w:val="00611523"/>
    <w:rsid w:val="00611544"/>
    <w:rsid w:val="00611587"/>
    <w:rsid w:val="0061169F"/>
    <w:rsid w:val="0061177E"/>
    <w:rsid w:val="00611795"/>
    <w:rsid w:val="006117B2"/>
    <w:rsid w:val="006117BA"/>
    <w:rsid w:val="006118C8"/>
    <w:rsid w:val="00611909"/>
    <w:rsid w:val="0061193D"/>
    <w:rsid w:val="00611A74"/>
    <w:rsid w:val="00611BCD"/>
    <w:rsid w:val="00611CCA"/>
    <w:rsid w:val="00611CD7"/>
    <w:rsid w:val="00611D35"/>
    <w:rsid w:val="00611EA5"/>
    <w:rsid w:val="00611F0C"/>
    <w:rsid w:val="00611F16"/>
    <w:rsid w:val="00611FB4"/>
    <w:rsid w:val="00611FCC"/>
    <w:rsid w:val="00612169"/>
    <w:rsid w:val="00612394"/>
    <w:rsid w:val="006125BD"/>
    <w:rsid w:val="00612702"/>
    <w:rsid w:val="00612785"/>
    <w:rsid w:val="006127B1"/>
    <w:rsid w:val="00612910"/>
    <w:rsid w:val="0061294C"/>
    <w:rsid w:val="0061299E"/>
    <w:rsid w:val="00612A58"/>
    <w:rsid w:val="00612A69"/>
    <w:rsid w:val="00612C47"/>
    <w:rsid w:val="00612E4F"/>
    <w:rsid w:val="00612FF4"/>
    <w:rsid w:val="00612FFE"/>
    <w:rsid w:val="00613011"/>
    <w:rsid w:val="0061306D"/>
    <w:rsid w:val="006130F3"/>
    <w:rsid w:val="00613188"/>
    <w:rsid w:val="0061347C"/>
    <w:rsid w:val="0061356A"/>
    <w:rsid w:val="0061357A"/>
    <w:rsid w:val="006135E3"/>
    <w:rsid w:val="0061394B"/>
    <w:rsid w:val="00613A93"/>
    <w:rsid w:val="00613C21"/>
    <w:rsid w:val="00613E2F"/>
    <w:rsid w:val="00613E95"/>
    <w:rsid w:val="00613F4D"/>
    <w:rsid w:val="00613FD8"/>
    <w:rsid w:val="006140F3"/>
    <w:rsid w:val="006142DD"/>
    <w:rsid w:val="006143B0"/>
    <w:rsid w:val="006144B7"/>
    <w:rsid w:val="00614571"/>
    <w:rsid w:val="00614576"/>
    <w:rsid w:val="006146AC"/>
    <w:rsid w:val="006146C8"/>
    <w:rsid w:val="006146FD"/>
    <w:rsid w:val="00614EDE"/>
    <w:rsid w:val="00614F3E"/>
    <w:rsid w:val="00614FC2"/>
    <w:rsid w:val="00615236"/>
    <w:rsid w:val="006153AA"/>
    <w:rsid w:val="0061545F"/>
    <w:rsid w:val="006155C3"/>
    <w:rsid w:val="00615621"/>
    <w:rsid w:val="006157BB"/>
    <w:rsid w:val="00615910"/>
    <w:rsid w:val="00615BDA"/>
    <w:rsid w:val="00615D11"/>
    <w:rsid w:val="00615D6F"/>
    <w:rsid w:val="00615DA6"/>
    <w:rsid w:val="0061628C"/>
    <w:rsid w:val="00616345"/>
    <w:rsid w:val="006163BB"/>
    <w:rsid w:val="00616561"/>
    <w:rsid w:val="0061657C"/>
    <w:rsid w:val="006165C9"/>
    <w:rsid w:val="006166AC"/>
    <w:rsid w:val="006168F4"/>
    <w:rsid w:val="00616A70"/>
    <w:rsid w:val="00616B0F"/>
    <w:rsid w:val="00616BAF"/>
    <w:rsid w:val="00616D97"/>
    <w:rsid w:val="00616E3E"/>
    <w:rsid w:val="006171D1"/>
    <w:rsid w:val="00617286"/>
    <w:rsid w:val="006173CE"/>
    <w:rsid w:val="0061742A"/>
    <w:rsid w:val="006177D0"/>
    <w:rsid w:val="00617869"/>
    <w:rsid w:val="006178C7"/>
    <w:rsid w:val="006178F2"/>
    <w:rsid w:val="00617A35"/>
    <w:rsid w:val="00617C14"/>
    <w:rsid w:val="00617CFB"/>
    <w:rsid w:val="00617DDE"/>
    <w:rsid w:val="00620023"/>
    <w:rsid w:val="006200E8"/>
    <w:rsid w:val="00620219"/>
    <w:rsid w:val="006203F0"/>
    <w:rsid w:val="00620AF3"/>
    <w:rsid w:val="00620B5C"/>
    <w:rsid w:val="00620E1B"/>
    <w:rsid w:val="00620E3C"/>
    <w:rsid w:val="00620F20"/>
    <w:rsid w:val="0062138B"/>
    <w:rsid w:val="006214B9"/>
    <w:rsid w:val="006215B0"/>
    <w:rsid w:val="00621870"/>
    <w:rsid w:val="00621B5E"/>
    <w:rsid w:val="00621D3C"/>
    <w:rsid w:val="00621E6D"/>
    <w:rsid w:val="00621EA3"/>
    <w:rsid w:val="00622049"/>
    <w:rsid w:val="00622263"/>
    <w:rsid w:val="006222A5"/>
    <w:rsid w:val="006222E3"/>
    <w:rsid w:val="00622494"/>
    <w:rsid w:val="0062257F"/>
    <w:rsid w:val="006225C9"/>
    <w:rsid w:val="006225D3"/>
    <w:rsid w:val="00622747"/>
    <w:rsid w:val="00622891"/>
    <w:rsid w:val="0062295E"/>
    <w:rsid w:val="00622A6A"/>
    <w:rsid w:val="00622A6F"/>
    <w:rsid w:val="00622AD7"/>
    <w:rsid w:val="00622C6D"/>
    <w:rsid w:val="00622CE8"/>
    <w:rsid w:val="00622CFF"/>
    <w:rsid w:val="00622F2A"/>
    <w:rsid w:val="00622F6F"/>
    <w:rsid w:val="00623084"/>
    <w:rsid w:val="00623324"/>
    <w:rsid w:val="0062334E"/>
    <w:rsid w:val="00623492"/>
    <w:rsid w:val="006234CC"/>
    <w:rsid w:val="0062356E"/>
    <w:rsid w:val="00623672"/>
    <w:rsid w:val="0062396F"/>
    <w:rsid w:val="006239C1"/>
    <w:rsid w:val="00623A50"/>
    <w:rsid w:val="00623B58"/>
    <w:rsid w:val="00623B9C"/>
    <w:rsid w:val="00623BA8"/>
    <w:rsid w:val="00623D57"/>
    <w:rsid w:val="00623F8D"/>
    <w:rsid w:val="00623FAA"/>
    <w:rsid w:val="00624117"/>
    <w:rsid w:val="00624161"/>
    <w:rsid w:val="00624217"/>
    <w:rsid w:val="006242D2"/>
    <w:rsid w:val="0062433D"/>
    <w:rsid w:val="00624806"/>
    <w:rsid w:val="00624A0C"/>
    <w:rsid w:val="00624C96"/>
    <w:rsid w:val="00624D00"/>
    <w:rsid w:val="0062517D"/>
    <w:rsid w:val="006251ED"/>
    <w:rsid w:val="006251F6"/>
    <w:rsid w:val="00625296"/>
    <w:rsid w:val="006252EC"/>
    <w:rsid w:val="006256B2"/>
    <w:rsid w:val="0062582E"/>
    <w:rsid w:val="00625835"/>
    <w:rsid w:val="00625898"/>
    <w:rsid w:val="006258D4"/>
    <w:rsid w:val="006258E5"/>
    <w:rsid w:val="00625A53"/>
    <w:rsid w:val="00625F5E"/>
    <w:rsid w:val="00625FD9"/>
    <w:rsid w:val="006260D3"/>
    <w:rsid w:val="00626444"/>
    <w:rsid w:val="00626681"/>
    <w:rsid w:val="0062674A"/>
    <w:rsid w:val="006267D9"/>
    <w:rsid w:val="006269F0"/>
    <w:rsid w:val="00626A37"/>
    <w:rsid w:val="00626A54"/>
    <w:rsid w:val="00626C57"/>
    <w:rsid w:val="00626FFB"/>
    <w:rsid w:val="0062702A"/>
    <w:rsid w:val="00627034"/>
    <w:rsid w:val="006270CD"/>
    <w:rsid w:val="0062725A"/>
    <w:rsid w:val="00627524"/>
    <w:rsid w:val="00627606"/>
    <w:rsid w:val="00627729"/>
    <w:rsid w:val="00627866"/>
    <w:rsid w:val="006279E2"/>
    <w:rsid w:val="00627A21"/>
    <w:rsid w:val="00627DB2"/>
    <w:rsid w:val="00627EC1"/>
    <w:rsid w:val="00627FBE"/>
    <w:rsid w:val="00630231"/>
    <w:rsid w:val="0063027C"/>
    <w:rsid w:val="00630287"/>
    <w:rsid w:val="00630554"/>
    <w:rsid w:val="00630754"/>
    <w:rsid w:val="00630797"/>
    <w:rsid w:val="00630A96"/>
    <w:rsid w:val="00630D17"/>
    <w:rsid w:val="00630DD9"/>
    <w:rsid w:val="00630F2D"/>
    <w:rsid w:val="00630F52"/>
    <w:rsid w:val="0063110D"/>
    <w:rsid w:val="00631343"/>
    <w:rsid w:val="0063145A"/>
    <w:rsid w:val="006315B2"/>
    <w:rsid w:val="00631601"/>
    <w:rsid w:val="006316E0"/>
    <w:rsid w:val="00631836"/>
    <w:rsid w:val="0063184A"/>
    <w:rsid w:val="006318FD"/>
    <w:rsid w:val="00631BAF"/>
    <w:rsid w:val="00631C23"/>
    <w:rsid w:val="00631CE7"/>
    <w:rsid w:val="00631DAD"/>
    <w:rsid w:val="00631E9E"/>
    <w:rsid w:val="006320C1"/>
    <w:rsid w:val="00632211"/>
    <w:rsid w:val="00632257"/>
    <w:rsid w:val="006324DB"/>
    <w:rsid w:val="00632590"/>
    <w:rsid w:val="00632658"/>
    <w:rsid w:val="00632666"/>
    <w:rsid w:val="00632704"/>
    <w:rsid w:val="006327BF"/>
    <w:rsid w:val="006327F7"/>
    <w:rsid w:val="00632F20"/>
    <w:rsid w:val="00632F36"/>
    <w:rsid w:val="006330AA"/>
    <w:rsid w:val="006330C2"/>
    <w:rsid w:val="00633197"/>
    <w:rsid w:val="00633382"/>
    <w:rsid w:val="006334D3"/>
    <w:rsid w:val="006336BF"/>
    <w:rsid w:val="006336F9"/>
    <w:rsid w:val="0063371A"/>
    <w:rsid w:val="00633828"/>
    <w:rsid w:val="00633A21"/>
    <w:rsid w:val="00633B72"/>
    <w:rsid w:val="00633B7A"/>
    <w:rsid w:val="00634143"/>
    <w:rsid w:val="00634169"/>
    <w:rsid w:val="00634198"/>
    <w:rsid w:val="0063441A"/>
    <w:rsid w:val="00634483"/>
    <w:rsid w:val="00634484"/>
    <w:rsid w:val="006344FA"/>
    <w:rsid w:val="00634574"/>
    <w:rsid w:val="00634609"/>
    <w:rsid w:val="0063464A"/>
    <w:rsid w:val="0063480A"/>
    <w:rsid w:val="0063480D"/>
    <w:rsid w:val="006348E3"/>
    <w:rsid w:val="0063496C"/>
    <w:rsid w:val="006349B4"/>
    <w:rsid w:val="00634B6D"/>
    <w:rsid w:val="00634BF8"/>
    <w:rsid w:val="00634C8C"/>
    <w:rsid w:val="00634CE3"/>
    <w:rsid w:val="00634F46"/>
    <w:rsid w:val="00635033"/>
    <w:rsid w:val="006350AC"/>
    <w:rsid w:val="00635272"/>
    <w:rsid w:val="00635377"/>
    <w:rsid w:val="006353CC"/>
    <w:rsid w:val="006356DF"/>
    <w:rsid w:val="006356E3"/>
    <w:rsid w:val="0063571C"/>
    <w:rsid w:val="00635742"/>
    <w:rsid w:val="006357C9"/>
    <w:rsid w:val="00635A49"/>
    <w:rsid w:val="00635B95"/>
    <w:rsid w:val="00635C9A"/>
    <w:rsid w:val="00636043"/>
    <w:rsid w:val="006361F0"/>
    <w:rsid w:val="0063626C"/>
    <w:rsid w:val="006363DF"/>
    <w:rsid w:val="006364AC"/>
    <w:rsid w:val="006364F7"/>
    <w:rsid w:val="006368E5"/>
    <w:rsid w:val="00636985"/>
    <w:rsid w:val="006369E9"/>
    <w:rsid w:val="00636AC6"/>
    <w:rsid w:val="00636B5C"/>
    <w:rsid w:val="00636BED"/>
    <w:rsid w:val="00636E8A"/>
    <w:rsid w:val="00636F11"/>
    <w:rsid w:val="00637017"/>
    <w:rsid w:val="006371AE"/>
    <w:rsid w:val="00637609"/>
    <w:rsid w:val="0063773F"/>
    <w:rsid w:val="00637785"/>
    <w:rsid w:val="00637809"/>
    <w:rsid w:val="006378D1"/>
    <w:rsid w:val="00637912"/>
    <w:rsid w:val="006379BD"/>
    <w:rsid w:val="00637AF7"/>
    <w:rsid w:val="00637BBF"/>
    <w:rsid w:val="00637BD5"/>
    <w:rsid w:val="00637C68"/>
    <w:rsid w:val="00637DB2"/>
    <w:rsid w:val="00637E93"/>
    <w:rsid w:val="00637F77"/>
    <w:rsid w:val="006403AE"/>
    <w:rsid w:val="0064050D"/>
    <w:rsid w:val="006405AC"/>
    <w:rsid w:val="0064068F"/>
    <w:rsid w:val="00640752"/>
    <w:rsid w:val="006407E8"/>
    <w:rsid w:val="00640904"/>
    <w:rsid w:val="00640A0E"/>
    <w:rsid w:val="00640D22"/>
    <w:rsid w:val="00640FC7"/>
    <w:rsid w:val="0064109B"/>
    <w:rsid w:val="006410CE"/>
    <w:rsid w:val="006410EE"/>
    <w:rsid w:val="00641114"/>
    <w:rsid w:val="00641511"/>
    <w:rsid w:val="006416CE"/>
    <w:rsid w:val="006416DC"/>
    <w:rsid w:val="00641748"/>
    <w:rsid w:val="006417CD"/>
    <w:rsid w:val="0064191E"/>
    <w:rsid w:val="006419C0"/>
    <w:rsid w:val="00641C88"/>
    <w:rsid w:val="00641CB0"/>
    <w:rsid w:val="00641D52"/>
    <w:rsid w:val="00641D63"/>
    <w:rsid w:val="00641DFE"/>
    <w:rsid w:val="00641ED0"/>
    <w:rsid w:val="00641EDC"/>
    <w:rsid w:val="00641EE1"/>
    <w:rsid w:val="006422DF"/>
    <w:rsid w:val="00642421"/>
    <w:rsid w:val="0064267E"/>
    <w:rsid w:val="00642811"/>
    <w:rsid w:val="006428AC"/>
    <w:rsid w:val="00642A8F"/>
    <w:rsid w:val="00642BA2"/>
    <w:rsid w:val="00642CB0"/>
    <w:rsid w:val="00642D20"/>
    <w:rsid w:val="00642E31"/>
    <w:rsid w:val="00642E8E"/>
    <w:rsid w:val="00642EC1"/>
    <w:rsid w:val="00642F31"/>
    <w:rsid w:val="00643282"/>
    <w:rsid w:val="006434D6"/>
    <w:rsid w:val="00643896"/>
    <w:rsid w:val="006439C1"/>
    <w:rsid w:val="00643B8D"/>
    <w:rsid w:val="006440CD"/>
    <w:rsid w:val="00644298"/>
    <w:rsid w:val="006443E1"/>
    <w:rsid w:val="0064441C"/>
    <w:rsid w:val="006445AD"/>
    <w:rsid w:val="0064486E"/>
    <w:rsid w:val="006448F4"/>
    <w:rsid w:val="00644B67"/>
    <w:rsid w:val="00644D5E"/>
    <w:rsid w:val="00644FEB"/>
    <w:rsid w:val="0064507E"/>
    <w:rsid w:val="006451D0"/>
    <w:rsid w:val="006452C5"/>
    <w:rsid w:val="006453CF"/>
    <w:rsid w:val="00645485"/>
    <w:rsid w:val="0064548D"/>
    <w:rsid w:val="006454A4"/>
    <w:rsid w:val="006455D3"/>
    <w:rsid w:val="00645A28"/>
    <w:rsid w:val="00645D80"/>
    <w:rsid w:val="00645F59"/>
    <w:rsid w:val="00646061"/>
    <w:rsid w:val="0064610F"/>
    <w:rsid w:val="006463C3"/>
    <w:rsid w:val="006463E4"/>
    <w:rsid w:val="00646736"/>
    <w:rsid w:val="006467CC"/>
    <w:rsid w:val="00646B60"/>
    <w:rsid w:val="00646B87"/>
    <w:rsid w:val="00646D21"/>
    <w:rsid w:val="00646F2E"/>
    <w:rsid w:val="00646FFB"/>
    <w:rsid w:val="00647410"/>
    <w:rsid w:val="006474E6"/>
    <w:rsid w:val="0064766D"/>
    <w:rsid w:val="0064786A"/>
    <w:rsid w:val="006478F5"/>
    <w:rsid w:val="0064795A"/>
    <w:rsid w:val="00647960"/>
    <w:rsid w:val="006479B4"/>
    <w:rsid w:val="006479F6"/>
    <w:rsid w:val="00647BE9"/>
    <w:rsid w:val="00647C11"/>
    <w:rsid w:val="00647C29"/>
    <w:rsid w:val="00650308"/>
    <w:rsid w:val="0065037E"/>
    <w:rsid w:val="00650453"/>
    <w:rsid w:val="006505A6"/>
    <w:rsid w:val="00650650"/>
    <w:rsid w:val="006506B9"/>
    <w:rsid w:val="0065083F"/>
    <w:rsid w:val="006509CD"/>
    <w:rsid w:val="00650C5A"/>
    <w:rsid w:val="00650C9F"/>
    <w:rsid w:val="00650CDB"/>
    <w:rsid w:val="00650E25"/>
    <w:rsid w:val="00650F43"/>
    <w:rsid w:val="00650F8A"/>
    <w:rsid w:val="00650F95"/>
    <w:rsid w:val="00651009"/>
    <w:rsid w:val="00651239"/>
    <w:rsid w:val="006512D9"/>
    <w:rsid w:val="006512FF"/>
    <w:rsid w:val="00651422"/>
    <w:rsid w:val="0065151A"/>
    <w:rsid w:val="00651550"/>
    <w:rsid w:val="00651639"/>
    <w:rsid w:val="006516B4"/>
    <w:rsid w:val="006516C2"/>
    <w:rsid w:val="00651914"/>
    <w:rsid w:val="00651999"/>
    <w:rsid w:val="00651C8E"/>
    <w:rsid w:val="00651D5F"/>
    <w:rsid w:val="00651D63"/>
    <w:rsid w:val="00651E26"/>
    <w:rsid w:val="00651FE4"/>
    <w:rsid w:val="00652043"/>
    <w:rsid w:val="0065219C"/>
    <w:rsid w:val="006524F3"/>
    <w:rsid w:val="006525E6"/>
    <w:rsid w:val="0065280D"/>
    <w:rsid w:val="00652821"/>
    <w:rsid w:val="006528F3"/>
    <w:rsid w:val="0065293D"/>
    <w:rsid w:val="0065298B"/>
    <w:rsid w:val="00652B8E"/>
    <w:rsid w:val="00652BD7"/>
    <w:rsid w:val="00652C58"/>
    <w:rsid w:val="00652C8B"/>
    <w:rsid w:val="00652F67"/>
    <w:rsid w:val="006531AA"/>
    <w:rsid w:val="006531C2"/>
    <w:rsid w:val="00653477"/>
    <w:rsid w:val="00653791"/>
    <w:rsid w:val="00653A03"/>
    <w:rsid w:val="00653B1B"/>
    <w:rsid w:val="00653B99"/>
    <w:rsid w:val="00653BDB"/>
    <w:rsid w:val="00653D56"/>
    <w:rsid w:val="0065426E"/>
    <w:rsid w:val="006542F6"/>
    <w:rsid w:val="00654620"/>
    <w:rsid w:val="006547A0"/>
    <w:rsid w:val="00654A30"/>
    <w:rsid w:val="00654AD5"/>
    <w:rsid w:val="00654C2D"/>
    <w:rsid w:val="00654CA9"/>
    <w:rsid w:val="00654D9D"/>
    <w:rsid w:val="00654E4E"/>
    <w:rsid w:val="00655239"/>
    <w:rsid w:val="0065529C"/>
    <w:rsid w:val="00655504"/>
    <w:rsid w:val="0065577E"/>
    <w:rsid w:val="00655857"/>
    <w:rsid w:val="00655DF1"/>
    <w:rsid w:val="00655E96"/>
    <w:rsid w:val="00656089"/>
    <w:rsid w:val="00656091"/>
    <w:rsid w:val="006561D3"/>
    <w:rsid w:val="00656477"/>
    <w:rsid w:val="00656653"/>
    <w:rsid w:val="006566F5"/>
    <w:rsid w:val="006566FF"/>
    <w:rsid w:val="00656779"/>
    <w:rsid w:val="006568DC"/>
    <w:rsid w:val="006569F8"/>
    <w:rsid w:val="00656CCE"/>
    <w:rsid w:val="00656D5E"/>
    <w:rsid w:val="00656ED4"/>
    <w:rsid w:val="00657067"/>
    <w:rsid w:val="006570A0"/>
    <w:rsid w:val="00657141"/>
    <w:rsid w:val="0065739C"/>
    <w:rsid w:val="00657564"/>
    <w:rsid w:val="006575A7"/>
    <w:rsid w:val="00657805"/>
    <w:rsid w:val="006579BA"/>
    <w:rsid w:val="006579F9"/>
    <w:rsid w:val="00657D8F"/>
    <w:rsid w:val="00657E03"/>
    <w:rsid w:val="00657E5D"/>
    <w:rsid w:val="00657E9B"/>
    <w:rsid w:val="00657F69"/>
    <w:rsid w:val="00657F6C"/>
    <w:rsid w:val="00660234"/>
    <w:rsid w:val="0066026B"/>
    <w:rsid w:val="0066034F"/>
    <w:rsid w:val="00660587"/>
    <w:rsid w:val="00660650"/>
    <w:rsid w:val="0066066C"/>
    <w:rsid w:val="0066072A"/>
    <w:rsid w:val="006607FA"/>
    <w:rsid w:val="00660820"/>
    <w:rsid w:val="00660881"/>
    <w:rsid w:val="006608BC"/>
    <w:rsid w:val="00660A56"/>
    <w:rsid w:val="00660A5F"/>
    <w:rsid w:val="00660F61"/>
    <w:rsid w:val="00661081"/>
    <w:rsid w:val="006610EF"/>
    <w:rsid w:val="00661154"/>
    <w:rsid w:val="0066116A"/>
    <w:rsid w:val="00661269"/>
    <w:rsid w:val="0066144E"/>
    <w:rsid w:val="006615FB"/>
    <w:rsid w:val="00661624"/>
    <w:rsid w:val="006616EA"/>
    <w:rsid w:val="0066174B"/>
    <w:rsid w:val="006617D0"/>
    <w:rsid w:val="0066194A"/>
    <w:rsid w:val="00661B19"/>
    <w:rsid w:val="00661D37"/>
    <w:rsid w:val="00661E9A"/>
    <w:rsid w:val="00661FBC"/>
    <w:rsid w:val="00662012"/>
    <w:rsid w:val="006620F9"/>
    <w:rsid w:val="0066236C"/>
    <w:rsid w:val="00662517"/>
    <w:rsid w:val="00662857"/>
    <w:rsid w:val="006628D1"/>
    <w:rsid w:val="00662B04"/>
    <w:rsid w:val="00662B22"/>
    <w:rsid w:val="00662B32"/>
    <w:rsid w:val="00662CF4"/>
    <w:rsid w:val="00662CF9"/>
    <w:rsid w:val="00662DAB"/>
    <w:rsid w:val="00662DF2"/>
    <w:rsid w:val="00662E80"/>
    <w:rsid w:val="00662EDE"/>
    <w:rsid w:val="00662F6A"/>
    <w:rsid w:val="006630F4"/>
    <w:rsid w:val="00663111"/>
    <w:rsid w:val="0066311C"/>
    <w:rsid w:val="0066320B"/>
    <w:rsid w:val="00663563"/>
    <w:rsid w:val="006635E8"/>
    <w:rsid w:val="00663679"/>
    <w:rsid w:val="00663AF1"/>
    <w:rsid w:val="00663D4E"/>
    <w:rsid w:val="00663EE3"/>
    <w:rsid w:val="00663FBF"/>
    <w:rsid w:val="00664075"/>
    <w:rsid w:val="0066413E"/>
    <w:rsid w:val="00664173"/>
    <w:rsid w:val="00664433"/>
    <w:rsid w:val="00664650"/>
    <w:rsid w:val="00664ABB"/>
    <w:rsid w:val="00664D04"/>
    <w:rsid w:val="00664E67"/>
    <w:rsid w:val="00664F19"/>
    <w:rsid w:val="00664FF8"/>
    <w:rsid w:val="006650D8"/>
    <w:rsid w:val="00665372"/>
    <w:rsid w:val="006653B4"/>
    <w:rsid w:val="0066551F"/>
    <w:rsid w:val="0066554F"/>
    <w:rsid w:val="00665642"/>
    <w:rsid w:val="0066570D"/>
    <w:rsid w:val="006657CA"/>
    <w:rsid w:val="006658F8"/>
    <w:rsid w:val="006658FC"/>
    <w:rsid w:val="00665962"/>
    <w:rsid w:val="00665B44"/>
    <w:rsid w:val="00665B70"/>
    <w:rsid w:val="00665C8E"/>
    <w:rsid w:val="00665EFC"/>
    <w:rsid w:val="00665F9F"/>
    <w:rsid w:val="00666127"/>
    <w:rsid w:val="00666162"/>
    <w:rsid w:val="006661FF"/>
    <w:rsid w:val="00666259"/>
    <w:rsid w:val="0066629A"/>
    <w:rsid w:val="006662CC"/>
    <w:rsid w:val="00666497"/>
    <w:rsid w:val="006664E8"/>
    <w:rsid w:val="00666545"/>
    <w:rsid w:val="006666BD"/>
    <w:rsid w:val="00666858"/>
    <w:rsid w:val="00666878"/>
    <w:rsid w:val="00666B52"/>
    <w:rsid w:val="00667016"/>
    <w:rsid w:val="00667144"/>
    <w:rsid w:val="00667174"/>
    <w:rsid w:val="00667226"/>
    <w:rsid w:val="00667343"/>
    <w:rsid w:val="00667401"/>
    <w:rsid w:val="00667458"/>
    <w:rsid w:val="0066748F"/>
    <w:rsid w:val="006676B1"/>
    <w:rsid w:val="0066792E"/>
    <w:rsid w:val="00667984"/>
    <w:rsid w:val="00667BA9"/>
    <w:rsid w:val="00667DAB"/>
    <w:rsid w:val="00667E68"/>
    <w:rsid w:val="00667EB4"/>
    <w:rsid w:val="00667FEF"/>
    <w:rsid w:val="0067003B"/>
    <w:rsid w:val="00670115"/>
    <w:rsid w:val="0067016B"/>
    <w:rsid w:val="006702E4"/>
    <w:rsid w:val="00670302"/>
    <w:rsid w:val="006705F4"/>
    <w:rsid w:val="006706AE"/>
    <w:rsid w:val="006707AE"/>
    <w:rsid w:val="00670827"/>
    <w:rsid w:val="0067092A"/>
    <w:rsid w:val="00670D17"/>
    <w:rsid w:val="00670EBB"/>
    <w:rsid w:val="00670EF8"/>
    <w:rsid w:val="00670FE8"/>
    <w:rsid w:val="00671021"/>
    <w:rsid w:val="0067104B"/>
    <w:rsid w:val="00671154"/>
    <w:rsid w:val="0067129B"/>
    <w:rsid w:val="00671371"/>
    <w:rsid w:val="0067166B"/>
    <w:rsid w:val="00671802"/>
    <w:rsid w:val="00671D1A"/>
    <w:rsid w:val="00671DE5"/>
    <w:rsid w:val="00671EB6"/>
    <w:rsid w:val="00671FE5"/>
    <w:rsid w:val="006720CC"/>
    <w:rsid w:val="006720D8"/>
    <w:rsid w:val="006720EA"/>
    <w:rsid w:val="006725A2"/>
    <w:rsid w:val="006725D5"/>
    <w:rsid w:val="00672738"/>
    <w:rsid w:val="00672868"/>
    <w:rsid w:val="00672955"/>
    <w:rsid w:val="00672AF6"/>
    <w:rsid w:val="00672CEF"/>
    <w:rsid w:val="00672F18"/>
    <w:rsid w:val="00672F1B"/>
    <w:rsid w:val="00672FFE"/>
    <w:rsid w:val="006730D3"/>
    <w:rsid w:val="00673285"/>
    <w:rsid w:val="0067337B"/>
    <w:rsid w:val="006734C4"/>
    <w:rsid w:val="00673506"/>
    <w:rsid w:val="006736FE"/>
    <w:rsid w:val="006738E0"/>
    <w:rsid w:val="00673C85"/>
    <w:rsid w:val="00673C98"/>
    <w:rsid w:val="00673D76"/>
    <w:rsid w:val="00673EB5"/>
    <w:rsid w:val="00673F58"/>
    <w:rsid w:val="006740CC"/>
    <w:rsid w:val="006740E4"/>
    <w:rsid w:val="0067427A"/>
    <w:rsid w:val="00674584"/>
    <w:rsid w:val="0067478C"/>
    <w:rsid w:val="00674898"/>
    <w:rsid w:val="00674921"/>
    <w:rsid w:val="006749B7"/>
    <w:rsid w:val="00674B94"/>
    <w:rsid w:val="00674BD4"/>
    <w:rsid w:val="00674C00"/>
    <w:rsid w:val="00674E07"/>
    <w:rsid w:val="00674F2D"/>
    <w:rsid w:val="00675240"/>
    <w:rsid w:val="00675267"/>
    <w:rsid w:val="006757AD"/>
    <w:rsid w:val="0067584C"/>
    <w:rsid w:val="00675968"/>
    <w:rsid w:val="006759F7"/>
    <w:rsid w:val="00675E5A"/>
    <w:rsid w:val="00675EC2"/>
    <w:rsid w:val="00675F7A"/>
    <w:rsid w:val="006761C2"/>
    <w:rsid w:val="0067623E"/>
    <w:rsid w:val="00676303"/>
    <w:rsid w:val="006763CF"/>
    <w:rsid w:val="0067664F"/>
    <w:rsid w:val="00676696"/>
    <w:rsid w:val="006768B6"/>
    <w:rsid w:val="0067695A"/>
    <w:rsid w:val="00676C36"/>
    <w:rsid w:val="00676C50"/>
    <w:rsid w:val="00676E08"/>
    <w:rsid w:val="006772D0"/>
    <w:rsid w:val="00677476"/>
    <w:rsid w:val="006776FF"/>
    <w:rsid w:val="0067785A"/>
    <w:rsid w:val="006778CF"/>
    <w:rsid w:val="00677AAE"/>
    <w:rsid w:val="00677AF1"/>
    <w:rsid w:val="00677CF9"/>
    <w:rsid w:val="00680156"/>
    <w:rsid w:val="006803BB"/>
    <w:rsid w:val="006805EF"/>
    <w:rsid w:val="006807C2"/>
    <w:rsid w:val="00680B6B"/>
    <w:rsid w:val="00680B8F"/>
    <w:rsid w:val="00680C0A"/>
    <w:rsid w:val="00680D23"/>
    <w:rsid w:val="00680DF3"/>
    <w:rsid w:val="00680DFD"/>
    <w:rsid w:val="00680E60"/>
    <w:rsid w:val="00680F3D"/>
    <w:rsid w:val="00680F4D"/>
    <w:rsid w:val="00681276"/>
    <w:rsid w:val="006813DB"/>
    <w:rsid w:val="006814A4"/>
    <w:rsid w:val="006817F4"/>
    <w:rsid w:val="006819FF"/>
    <w:rsid w:val="00681C8D"/>
    <w:rsid w:val="00681CD1"/>
    <w:rsid w:val="00681EC1"/>
    <w:rsid w:val="00681F26"/>
    <w:rsid w:val="00682145"/>
    <w:rsid w:val="00682199"/>
    <w:rsid w:val="006823D6"/>
    <w:rsid w:val="00682458"/>
    <w:rsid w:val="00682954"/>
    <w:rsid w:val="00682AF3"/>
    <w:rsid w:val="00682CDC"/>
    <w:rsid w:val="00682DD8"/>
    <w:rsid w:val="00682DED"/>
    <w:rsid w:val="00682E45"/>
    <w:rsid w:val="00683092"/>
    <w:rsid w:val="006830ED"/>
    <w:rsid w:val="00683165"/>
    <w:rsid w:val="00683172"/>
    <w:rsid w:val="0068329F"/>
    <w:rsid w:val="006833C4"/>
    <w:rsid w:val="006834C6"/>
    <w:rsid w:val="0068352D"/>
    <w:rsid w:val="00683547"/>
    <w:rsid w:val="0068371B"/>
    <w:rsid w:val="006838E5"/>
    <w:rsid w:val="006838F2"/>
    <w:rsid w:val="00683BFC"/>
    <w:rsid w:val="00683EEE"/>
    <w:rsid w:val="006840CA"/>
    <w:rsid w:val="00684112"/>
    <w:rsid w:val="00684232"/>
    <w:rsid w:val="00684344"/>
    <w:rsid w:val="006844DA"/>
    <w:rsid w:val="0068455D"/>
    <w:rsid w:val="00684640"/>
    <w:rsid w:val="00684AB8"/>
    <w:rsid w:val="00684B88"/>
    <w:rsid w:val="00684B8A"/>
    <w:rsid w:val="00684C13"/>
    <w:rsid w:val="00684E31"/>
    <w:rsid w:val="0068526B"/>
    <w:rsid w:val="00685376"/>
    <w:rsid w:val="00685400"/>
    <w:rsid w:val="006854A5"/>
    <w:rsid w:val="00685531"/>
    <w:rsid w:val="006855D9"/>
    <w:rsid w:val="00685797"/>
    <w:rsid w:val="00685850"/>
    <w:rsid w:val="00685855"/>
    <w:rsid w:val="00685C89"/>
    <w:rsid w:val="00685CB2"/>
    <w:rsid w:val="00685CEE"/>
    <w:rsid w:val="00685F76"/>
    <w:rsid w:val="00685FFD"/>
    <w:rsid w:val="00686058"/>
    <w:rsid w:val="0068612D"/>
    <w:rsid w:val="0068613D"/>
    <w:rsid w:val="00686146"/>
    <w:rsid w:val="006861CF"/>
    <w:rsid w:val="00686324"/>
    <w:rsid w:val="00686476"/>
    <w:rsid w:val="00686492"/>
    <w:rsid w:val="006864B9"/>
    <w:rsid w:val="00686502"/>
    <w:rsid w:val="00686579"/>
    <w:rsid w:val="006866B6"/>
    <w:rsid w:val="00686702"/>
    <w:rsid w:val="006868FA"/>
    <w:rsid w:val="0068693A"/>
    <w:rsid w:val="00686978"/>
    <w:rsid w:val="00686A0D"/>
    <w:rsid w:val="00686BD6"/>
    <w:rsid w:val="00686CD1"/>
    <w:rsid w:val="00686FD7"/>
    <w:rsid w:val="006871F4"/>
    <w:rsid w:val="006872C1"/>
    <w:rsid w:val="00687598"/>
    <w:rsid w:val="006876A9"/>
    <w:rsid w:val="0068770A"/>
    <w:rsid w:val="006878B5"/>
    <w:rsid w:val="006878E5"/>
    <w:rsid w:val="00687A2C"/>
    <w:rsid w:val="00687B38"/>
    <w:rsid w:val="00687B57"/>
    <w:rsid w:val="00687B5E"/>
    <w:rsid w:val="00687BC4"/>
    <w:rsid w:val="00687BE0"/>
    <w:rsid w:val="00687D44"/>
    <w:rsid w:val="00687FC4"/>
    <w:rsid w:val="00690075"/>
    <w:rsid w:val="00690266"/>
    <w:rsid w:val="0069039B"/>
    <w:rsid w:val="006903F4"/>
    <w:rsid w:val="006905BD"/>
    <w:rsid w:val="006905F6"/>
    <w:rsid w:val="00690683"/>
    <w:rsid w:val="00690848"/>
    <w:rsid w:val="006908C7"/>
    <w:rsid w:val="00690990"/>
    <w:rsid w:val="00690A58"/>
    <w:rsid w:val="00690A83"/>
    <w:rsid w:val="00690A97"/>
    <w:rsid w:val="00690E0C"/>
    <w:rsid w:val="00690F74"/>
    <w:rsid w:val="00690FA3"/>
    <w:rsid w:val="0069115D"/>
    <w:rsid w:val="006911E3"/>
    <w:rsid w:val="006911F8"/>
    <w:rsid w:val="00691348"/>
    <w:rsid w:val="006919E8"/>
    <w:rsid w:val="00691F19"/>
    <w:rsid w:val="00691FAF"/>
    <w:rsid w:val="00691FFE"/>
    <w:rsid w:val="00692141"/>
    <w:rsid w:val="006922FA"/>
    <w:rsid w:val="00692433"/>
    <w:rsid w:val="006924C2"/>
    <w:rsid w:val="00692658"/>
    <w:rsid w:val="00692A2E"/>
    <w:rsid w:val="00692A9E"/>
    <w:rsid w:val="00692DC6"/>
    <w:rsid w:val="00693514"/>
    <w:rsid w:val="00693633"/>
    <w:rsid w:val="00693CE4"/>
    <w:rsid w:val="00693D35"/>
    <w:rsid w:val="00693D4D"/>
    <w:rsid w:val="00693F5A"/>
    <w:rsid w:val="00693FAD"/>
    <w:rsid w:val="00694066"/>
    <w:rsid w:val="0069409B"/>
    <w:rsid w:val="006940CE"/>
    <w:rsid w:val="00694249"/>
    <w:rsid w:val="00694350"/>
    <w:rsid w:val="00694470"/>
    <w:rsid w:val="006944CE"/>
    <w:rsid w:val="0069452D"/>
    <w:rsid w:val="00694558"/>
    <w:rsid w:val="00694680"/>
    <w:rsid w:val="0069478F"/>
    <w:rsid w:val="006947A8"/>
    <w:rsid w:val="006947E6"/>
    <w:rsid w:val="006948F7"/>
    <w:rsid w:val="00694A70"/>
    <w:rsid w:val="00694AEA"/>
    <w:rsid w:val="00694B6F"/>
    <w:rsid w:val="00694BB5"/>
    <w:rsid w:val="00695164"/>
    <w:rsid w:val="006951AC"/>
    <w:rsid w:val="006951EC"/>
    <w:rsid w:val="0069529F"/>
    <w:rsid w:val="00695629"/>
    <w:rsid w:val="00695649"/>
    <w:rsid w:val="0069567B"/>
    <w:rsid w:val="00695704"/>
    <w:rsid w:val="006957DC"/>
    <w:rsid w:val="00695B1A"/>
    <w:rsid w:val="00695B88"/>
    <w:rsid w:val="00695E10"/>
    <w:rsid w:val="00695E47"/>
    <w:rsid w:val="006962C8"/>
    <w:rsid w:val="006962E9"/>
    <w:rsid w:val="006964B8"/>
    <w:rsid w:val="006966AF"/>
    <w:rsid w:val="006966BC"/>
    <w:rsid w:val="00696951"/>
    <w:rsid w:val="006969CD"/>
    <w:rsid w:val="00696C40"/>
    <w:rsid w:val="00696FA5"/>
    <w:rsid w:val="00697042"/>
    <w:rsid w:val="00697127"/>
    <w:rsid w:val="006972CD"/>
    <w:rsid w:val="006972CF"/>
    <w:rsid w:val="006973ED"/>
    <w:rsid w:val="0069763A"/>
    <w:rsid w:val="00697923"/>
    <w:rsid w:val="0069795E"/>
    <w:rsid w:val="00697ADE"/>
    <w:rsid w:val="00697B4F"/>
    <w:rsid w:val="00697FD3"/>
    <w:rsid w:val="006A01E3"/>
    <w:rsid w:val="006A0233"/>
    <w:rsid w:val="006A0268"/>
    <w:rsid w:val="006A0315"/>
    <w:rsid w:val="006A053C"/>
    <w:rsid w:val="006A057D"/>
    <w:rsid w:val="006A0A34"/>
    <w:rsid w:val="006A0A53"/>
    <w:rsid w:val="006A0A8A"/>
    <w:rsid w:val="006A0B15"/>
    <w:rsid w:val="006A0BC9"/>
    <w:rsid w:val="006A0EB4"/>
    <w:rsid w:val="006A0EE1"/>
    <w:rsid w:val="006A0F76"/>
    <w:rsid w:val="006A1300"/>
    <w:rsid w:val="006A14B0"/>
    <w:rsid w:val="006A1504"/>
    <w:rsid w:val="006A19A1"/>
    <w:rsid w:val="006A1B79"/>
    <w:rsid w:val="006A1B96"/>
    <w:rsid w:val="006A1BCD"/>
    <w:rsid w:val="006A1D63"/>
    <w:rsid w:val="006A1DD8"/>
    <w:rsid w:val="006A1EB4"/>
    <w:rsid w:val="006A1F2D"/>
    <w:rsid w:val="006A1F30"/>
    <w:rsid w:val="006A21EA"/>
    <w:rsid w:val="006A256D"/>
    <w:rsid w:val="006A2592"/>
    <w:rsid w:val="006A2907"/>
    <w:rsid w:val="006A2A95"/>
    <w:rsid w:val="006A2B8C"/>
    <w:rsid w:val="006A2B9A"/>
    <w:rsid w:val="006A2C1A"/>
    <w:rsid w:val="006A2C59"/>
    <w:rsid w:val="006A2E1E"/>
    <w:rsid w:val="006A2ECF"/>
    <w:rsid w:val="006A2F9F"/>
    <w:rsid w:val="006A30DB"/>
    <w:rsid w:val="006A30E7"/>
    <w:rsid w:val="006A314A"/>
    <w:rsid w:val="006A31CA"/>
    <w:rsid w:val="006A31D2"/>
    <w:rsid w:val="006A3600"/>
    <w:rsid w:val="006A36D7"/>
    <w:rsid w:val="006A36E5"/>
    <w:rsid w:val="006A3781"/>
    <w:rsid w:val="006A382D"/>
    <w:rsid w:val="006A384C"/>
    <w:rsid w:val="006A3CD2"/>
    <w:rsid w:val="006A3CE7"/>
    <w:rsid w:val="006A3EFC"/>
    <w:rsid w:val="006A40F7"/>
    <w:rsid w:val="006A4316"/>
    <w:rsid w:val="006A4526"/>
    <w:rsid w:val="006A457C"/>
    <w:rsid w:val="006A4702"/>
    <w:rsid w:val="006A48D7"/>
    <w:rsid w:val="006A4A22"/>
    <w:rsid w:val="006A4A6E"/>
    <w:rsid w:val="006A4AB2"/>
    <w:rsid w:val="006A4F60"/>
    <w:rsid w:val="006A5089"/>
    <w:rsid w:val="006A5094"/>
    <w:rsid w:val="006A5095"/>
    <w:rsid w:val="006A516A"/>
    <w:rsid w:val="006A520C"/>
    <w:rsid w:val="006A5405"/>
    <w:rsid w:val="006A5438"/>
    <w:rsid w:val="006A55B9"/>
    <w:rsid w:val="006A5769"/>
    <w:rsid w:val="006A59DF"/>
    <w:rsid w:val="006A5A8C"/>
    <w:rsid w:val="006A5CCD"/>
    <w:rsid w:val="006A5DE3"/>
    <w:rsid w:val="006A5FB1"/>
    <w:rsid w:val="006A5FBF"/>
    <w:rsid w:val="006A6060"/>
    <w:rsid w:val="006A608A"/>
    <w:rsid w:val="006A63FD"/>
    <w:rsid w:val="006A64CE"/>
    <w:rsid w:val="006A654F"/>
    <w:rsid w:val="006A68B1"/>
    <w:rsid w:val="006A68CD"/>
    <w:rsid w:val="006A68F8"/>
    <w:rsid w:val="006A6926"/>
    <w:rsid w:val="006A6BDB"/>
    <w:rsid w:val="006A6D18"/>
    <w:rsid w:val="006A70C2"/>
    <w:rsid w:val="006A7110"/>
    <w:rsid w:val="006A7145"/>
    <w:rsid w:val="006A720D"/>
    <w:rsid w:val="006A7251"/>
    <w:rsid w:val="006A76E2"/>
    <w:rsid w:val="006A7845"/>
    <w:rsid w:val="006A7AC5"/>
    <w:rsid w:val="006A7B3D"/>
    <w:rsid w:val="006A7B78"/>
    <w:rsid w:val="006A7B9D"/>
    <w:rsid w:val="006A7CAE"/>
    <w:rsid w:val="006A7FFC"/>
    <w:rsid w:val="006B0121"/>
    <w:rsid w:val="006B037A"/>
    <w:rsid w:val="006B0408"/>
    <w:rsid w:val="006B0500"/>
    <w:rsid w:val="006B0686"/>
    <w:rsid w:val="006B06DD"/>
    <w:rsid w:val="006B06E0"/>
    <w:rsid w:val="006B095E"/>
    <w:rsid w:val="006B0AAD"/>
    <w:rsid w:val="006B0AFA"/>
    <w:rsid w:val="006B0CFE"/>
    <w:rsid w:val="006B0DE2"/>
    <w:rsid w:val="006B0E35"/>
    <w:rsid w:val="006B0E92"/>
    <w:rsid w:val="006B0FE1"/>
    <w:rsid w:val="006B1172"/>
    <w:rsid w:val="006B1427"/>
    <w:rsid w:val="006B1537"/>
    <w:rsid w:val="006B17FF"/>
    <w:rsid w:val="006B1A89"/>
    <w:rsid w:val="006B1D5E"/>
    <w:rsid w:val="006B1E11"/>
    <w:rsid w:val="006B1EF2"/>
    <w:rsid w:val="006B22BF"/>
    <w:rsid w:val="006B22EF"/>
    <w:rsid w:val="006B2567"/>
    <w:rsid w:val="006B2849"/>
    <w:rsid w:val="006B286A"/>
    <w:rsid w:val="006B29D0"/>
    <w:rsid w:val="006B2AD2"/>
    <w:rsid w:val="006B2B7F"/>
    <w:rsid w:val="006B2D3E"/>
    <w:rsid w:val="006B2E23"/>
    <w:rsid w:val="006B2E3B"/>
    <w:rsid w:val="006B33F2"/>
    <w:rsid w:val="006B3437"/>
    <w:rsid w:val="006B346F"/>
    <w:rsid w:val="006B3492"/>
    <w:rsid w:val="006B3497"/>
    <w:rsid w:val="006B3513"/>
    <w:rsid w:val="006B3656"/>
    <w:rsid w:val="006B369F"/>
    <w:rsid w:val="006B36B1"/>
    <w:rsid w:val="006B36BE"/>
    <w:rsid w:val="006B37D9"/>
    <w:rsid w:val="006B38E0"/>
    <w:rsid w:val="006B3A65"/>
    <w:rsid w:val="006B3A87"/>
    <w:rsid w:val="006B3B6B"/>
    <w:rsid w:val="006B3B8A"/>
    <w:rsid w:val="006B3BAB"/>
    <w:rsid w:val="006B3BF1"/>
    <w:rsid w:val="006B3C14"/>
    <w:rsid w:val="006B3D1C"/>
    <w:rsid w:val="006B3E40"/>
    <w:rsid w:val="006B4148"/>
    <w:rsid w:val="006B4337"/>
    <w:rsid w:val="006B43FE"/>
    <w:rsid w:val="006B443C"/>
    <w:rsid w:val="006B44C2"/>
    <w:rsid w:val="006B45C3"/>
    <w:rsid w:val="006B45FE"/>
    <w:rsid w:val="006B4639"/>
    <w:rsid w:val="006B46E3"/>
    <w:rsid w:val="006B4822"/>
    <w:rsid w:val="006B488E"/>
    <w:rsid w:val="006B4A53"/>
    <w:rsid w:val="006B4AE3"/>
    <w:rsid w:val="006B4CED"/>
    <w:rsid w:val="006B4CF1"/>
    <w:rsid w:val="006B5022"/>
    <w:rsid w:val="006B5038"/>
    <w:rsid w:val="006B50A1"/>
    <w:rsid w:val="006B50AD"/>
    <w:rsid w:val="006B511E"/>
    <w:rsid w:val="006B5154"/>
    <w:rsid w:val="006B5193"/>
    <w:rsid w:val="006B525B"/>
    <w:rsid w:val="006B5403"/>
    <w:rsid w:val="006B5553"/>
    <w:rsid w:val="006B56B7"/>
    <w:rsid w:val="006B57A7"/>
    <w:rsid w:val="006B5895"/>
    <w:rsid w:val="006B59B7"/>
    <w:rsid w:val="006B5D39"/>
    <w:rsid w:val="006B5F5F"/>
    <w:rsid w:val="006B5F7B"/>
    <w:rsid w:val="006B5FFD"/>
    <w:rsid w:val="006B6067"/>
    <w:rsid w:val="006B60A3"/>
    <w:rsid w:val="006B60E1"/>
    <w:rsid w:val="006B61C3"/>
    <w:rsid w:val="006B6249"/>
    <w:rsid w:val="006B6285"/>
    <w:rsid w:val="006B67F7"/>
    <w:rsid w:val="006B67FF"/>
    <w:rsid w:val="006B6887"/>
    <w:rsid w:val="006B691F"/>
    <w:rsid w:val="006B6A6F"/>
    <w:rsid w:val="006B6A7F"/>
    <w:rsid w:val="006B6AFD"/>
    <w:rsid w:val="006B6B7F"/>
    <w:rsid w:val="006B6CBE"/>
    <w:rsid w:val="006B707D"/>
    <w:rsid w:val="006B70E7"/>
    <w:rsid w:val="006B71B9"/>
    <w:rsid w:val="006B7380"/>
    <w:rsid w:val="006B74DB"/>
    <w:rsid w:val="006B75DC"/>
    <w:rsid w:val="006B772C"/>
    <w:rsid w:val="006B7769"/>
    <w:rsid w:val="006B7909"/>
    <w:rsid w:val="006B7A72"/>
    <w:rsid w:val="006B7A77"/>
    <w:rsid w:val="006B7AC6"/>
    <w:rsid w:val="006B7F1D"/>
    <w:rsid w:val="006B7FB7"/>
    <w:rsid w:val="006B7FE3"/>
    <w:rsid w:val="006C03D7"/>
    <w:rsid w:val="006C0426"/>
    <w:rsid w:val="006C042D"/>
    <w:rsid w:val="006C07CC"/>
    <w:rsid w:val="006C0989"/>
    <w:rsid w:val="006C09AD"/>
    <w:rsid w:val="006C0B33"/>
    <w:rsid w:val="006C0BCB"/>
    <w:rsid w:val="006C0BCD"/>
    <w:rsid w:val="006C0DCB"/>
    <w:rsid w:val="006C0F08"/>
    <w:rsid w:val="006C0FB4"/>
    <w:rsid w:val="006C105F"/>
    <w:rsid w:val="006C113B"/>
    <w:rsid w:val="006C12E8"/>
    <w:rsid w:val="006C13EC"/>
    <w:rsid w:val="006C155B"/>
    <w:rsid w:val="006C1619"/>
    <w:rsid w:val="006C1650"/>
    <w:rsid w:val="006C1892"/>
    <w:rsid w:val="006C18CB"/>
    <w:rsid w:val="006C18FF"/>
    <w:rsid w:val="006C197E"/>
    <w:rsid w:val="006C1A7D"/>
    <w:rsid w:val="006C1A9F"/>
    <w:rsid w:val="006C1C57"/>
    <w:rsid w:val="006C1D8D"/>
    <w:rsid w:val="006C1EE5"/>
    <w:rsid w:val="006C1F8D"/>
    <w:rsid w:val="006C1FB8"/>
    <w:rsid w:val="006C20B6"/>
    <w:rsid w:val="006C2386"/>
    <w:rsid w:val="006C245E"/>
    <w:rsid w:val="006C24C7"/>
    <w:rsid w:val="006C287F"/>
    <w:rsid w:val="006C2890"/>
    <w:rsid w:val="006C28B1"/>
    <w:rsid w:val="006C2DAD"/>
    <w:rsid w:val="006C2DB2"/>
    <w:rsid w:val="006C2F8F"/>
    <w:rsid w:val="006C3467"/>
    <w:rsid w:val="006C3638"/>
    <w:rsid w:val="006C363F"/>
    <w:rsid w:val="006C37A6"/>
    <w:rsid w:val="006C38A8"/>
    <w:rsid w:val="006C3C22"/>
    <w:rsid w:val="006C3D68"/>
    <w:rsid w:val="006C3EE6"/>
    <w:rsid w:val="006C3F19"/>
    <w:rsid w:val="006C3F38"/>
    <w:rsid w:val="006C3F39"/>
    <w:rsid w:val="006C4086"/>
    <w:rsid w:val="006C415F"/>
    <w:rsid w:val="006C4224"/>
    <w:rsid w:val="006C42D8"/>
    <w:rsid w:val="006C4400"/>
    <w:rsid w:val="006C4547"/>
    <w:rsid w:val="006C462B"/>
    <w:rsid w:val="006C46CB"/>
    <w:rsid w:val="006C46F7"/>
    <w:rsid w:val="006C47AB"/>
    <w:rsid w:val="006C47C1"/>
    <w:rsid w:val="006C49D7"/>
    <w:rsid w:val="006C4C14"/>
    <w:rsid w:val="006C4D32"/>
    <w:rsid w:val="006C5030"/>
    <w:rsid w:val="006C50AF"/>
    <w:rsid w:val="006C5214"/>
    <w:rsid w:val="006C54C8"/>
    <w:rsid w:val="006C55E4"/>
    <w:rsid w:val="006C56B6"/>
    <w:rsid w:val="006C56E6"/>
    <w:rsid w:val="006C574A"/>
    <w:rsid w:val="006C5874"/>
    <w:rsid w:val="006C59B3"/>
    <w:rsid w:val="006C5DD2"/>
    <w:rsid w:val="006C5DEC"/>
    <w:rsid w:val="006C5FC0"/>
    <w:rsid w:val="006C6243"/>
    <w:rsid w:val="006C6250"/>
    <w:rsid w:val="006C63E8"/>
    <w:rsid w:val="006C651F"/>
    <w:rsid w:val="006C656B"/>
    <w:rsid w:val="006C671A"/>
    <w:rsid w:val="006C68F6"/>
    <w:rsid w:val="006C6901"/>
    <w:rsid w:val="006C6912"/>
    <w:rsid w:val="006C6CE4"/>
    <w:rsid w:val="006C6D7D"/>
    <w:rsid w:val="006C6DBD"/>
    <w:rsid w:val="006C6F24"/>
    <w:rsid w:val="006C6F89"/>
    <w:rsid w:val="006C7061"/>
    <w:rsid w:val="006C7138"/>
    <w:rsid w:val="006C721B"/>
    <w:rsid w:val="006C7236"/>
    <w:rsid w:val="006C72B6"/>
    <w:rsid w:val="006C736D"/>
    <w:rsid w:val="006C7661"/>
    <w:rsid w:val="006C7878"/>
    <w:rsid w:val="006C7911"/>
    <w:rsid w:val="006C7BE6"/>
    <w:rsid w:val="006C7C89"/>
    <w:rsid w:val="006C7DA2"/>
    <w:rsid w:val="006D00C9"/>
    <w:rsid w:val="006D0193"/>
    <w:rsid w:val="006D01BC"/>
    <w:rsid w:val="006D01F5"/>
    <w:rsid w:val="006D03E1"/>
    <w:rsid w:val="006D03F1"/>
    <w:rsid w:val="006D0618"/>
    <w:rsid w:val="006D06B0"/>
    <w:rsid w:val="006D07BE"/>
    <w:rsid w:val="006D0973"/>
    <w:rsid w:val="006D09E2"/>
    <w:rsid w:val="006D0F04"/>
    <w:rsid w:val="006D0FA5"/>
    <w:rsid w:val="006D0FDD"/>
    <w:rsid w:val="006D1319"/>
    <w:rsid w:val="006D13C1"/>
    <w:rsid w:val="006D1458"/>
    <w:rsid w:val="006D147C"/>
    <w:rsid w:val="006D170D"/>
    <w:rsid w:val="006D1926"/>
    <w:rsid w:val="006D1AE2"/>
    <w:rsid w:val="006D1BCB"/>
    <w:rsid w:val="006D1CB7"/>
    <w:rsid w:val="006D1D6F"/>
    <w:rsid w:val="006D1E34"/>
    <w:rsid w:val="006D2036"/>
    <w:rsid w:val="006D2089"/>
    <w:rsid w:val="006D20BB"/>
    <w:rsid w:val="006D2349"/>
    <w:rsid w:val="006D25A3"/>
    <w:rsid w:val="006D2896"/>
    <w:rsid w:val="006D28B1"/>
    <w:rsid w:val="006D2926"/>
    <w:rsid w:val="006D2951"/>
    <w:rsid w:val="006D29E1"/>
    <w:rsid w:val="006D2AE7"/>
    <w:rsid w:val="006D2C99"/>
    <w:rsid w:val="006D2E75"/>
    <w:rsid w:val="006D2FCD"/>
    <w:rsid w:val="006D306C"/>
    <w:rsid w:val="006D31DA"/>
    <w:rsid w:val="006D35BD"/>
    <w:rsid w:val="006D35DB"/>
    <w:rsid w:val="006D35E5"/>
    <w:rsid w:val="006D36F3"/>
    <w:rsid w:val="006D372D"/>
    <w:rsid w:val="006D37D2"/>
    <w:rsid w:val="006D3BE0"/>
    <w:rsid w:val="006D3C31"/>
    <w:rsid w:val="006D3E0F"/>
    <w:rsid w:val="006D3E91"/>
    <w:rsid w:val="006D41D6"/>
    <w:rsid w:val="006D42FD"/>
    <w:rsid w:val="006D44AB"/>
    <w:rsid w:val="006D44BA"/>
    <w:rsid w:val="006D45F0"/>
    <w:rsid w:val="006D48B9"/>
    <w:rsid w:val="006D494C"/>
    <w:rsid w:val="006D4A88"/>
    <w:rsid w:val="006D4B89"/>
    <w:rsid w:val="006D4CFD"/>
    <w:rsid w:val="006D4E59"/>
    <w:rsid w:val="006D4EA3"/>
    <w:rsid w:val="006D4ED8"/>
    <w:rsid w:val="006D4F8F"/>
    <w:rsid w:val="006D4FBD"/>
    <w:rsid w:val="006D51BE"/>
    <w:rsid w:val="006D52EA"/>
    <w:rsid w:val="006D54DB"/>
    <w:rsid w:val="006D59A1"/>
    <w:rsid w:val="006D5A30"/>
    <w:rsid w:val="006D5B46"/>
    <w:rsid w:val="006D5C54"/>
    <w:rsid w:val="006D5C67"/>
    <w:rsid w:val="006D5DAD"/>
    <w:rsid w:val="006D5E68"/>
    <w:rsid w:val="006D5EA4"/>
    <w:rsid w:val="006D6250"/>
    <w:rsid w:val="006D62F0"/>
    <w:rsid w:val="006D62FD"/>
    <w:rsid w:val="006D6420"/>
    <w:rsid w:val="006D655E"/>
    <w:rsid w:val="006D68E8"/>
    <w:rsid w:val="006D69A9"/>
    <w:rsid w:val="006D6A3E"/>
    <w:rsid w:val="006D7183"/>
    <w:rsid w:val="006D731C"/>
    <w:rsid w:val="006D73DB"/>
    <w:rsid w:val="006D740F"/>
    <w:rsid w:val="006D77D8"/>
    <w:rsid w:val="006D7AB4"/>
    <w:rsid w:val="006D7CDE"/>
    <w:rsid w:val="006D7E30"/>
    <w:rsid w:val="006D7EA3"/>
    <w:rsid w:val="006D7F84"/>
    <w:rsid w:val="006E02E3"/>
    <w:rsid w:val="006E044E"/>
    <w:rsid w:val="006E0B00"/>
    <w:rsid w:val="006E0B7E"/>
    <w:rsid w:val="006E0BBE"/>
    <w:rsid w:val="006E0CF3"/>
    <w:rsid w:val="006E0DFB"/>
    <w:rsid w:val="006E0F6F"/>
    <w:rsid w:val="006E0FAB"/>
    <w:rsid w:val="006E11DF"/>
    <w:rsid w:val="006E1509"/>
    <w:rsid w:val="006E15F6"/>
    <w:rsid w:val="006E1708"/>
    <w:rsid w:val="006E1745"/>
    <w:rsid w:val="006E1972"/>
    <w:rsid w:val="006E1997"/>
    <w:rsid w:val="006E1A65"/>
    <w:rsid w:val="006E1AB2"/>
    <w:rsid w:val="006E1B78"/>
    <w:rsid w:val="006E1CCE"/>
    <w:rsid w:val="006E1EA3"/>
    <w:rsid w:val="006E1F09"/>
    <w:rsid w:val="006E1F89"/>
    <w:rsid w:val="006E20DF"/>
    <w:rsid w:val="006E2296"/>
    <w:rsid w:val="006E237B"/>
    <w:rsid w:val="006E2602"/>
    <w:rsid w:val="006E2604"/>
    <w:rsid w:val="006E2714"/>
    <w:rsid w:val="006E2988"/>
    <w:rsid w:val="006E2A84"/>
    <w:rsid w:val="006E2B0D"/>
    <w:rsid w:val="006E2E47"/>
    <w:rsid w:val="006E2ED6"/>
    <w:rsid w:val="006E2F0A"/>
    <w:rsid w:val="006E2F4F"/>
    <w:rsid w:val="006E2F6D"/>
    <w:rsid w:val="006E2F83"/>
    <w:rsid w:val="006E33AF"/>
    <w:rsid w:val="006E34F2"/>
    <w:rsid w:val="006E3598"/>
    <w:rsid w:val="006E363A"/>
    <w:rsid w:val="006E37AA"/>
    <w:rsid w:val="006E3BB1"/>
    <w:rsid w:val="006E3BEA"/>
    <w:rsid w:val="006E3F16"/>
    <w:rsid w:val="006E4115"/>
    <w:rsid w:val="006E420E"/>
    <w:rsid w:val="006E43A3"/>
    <w:rsid w:val="006E43BB"/>
    <w:rsid w:val="006E46E7"/>
    <w:rsid w:val="006E4802"/>
    <w:rsid w:val="006E4819"/>
    <w:rsid w:val="006E4AD4"/>
    <w:rsid w:val="006E4B61"/>
    <w:rsid w:val="006E4CF0"/>
    <w:rsid w:val="006E4D04"/>
    <w:rsid w:val="006E4EB7"/>
    <w:rsid w:val="006E4FAB"/>
    <w:rsid w:val="006E528D"/>
    <w:rsid w:val="006E53AF"/>
    <w:rsid w:val="006E53BB"/>
    <w:rsid w:val="006E54AE"/>
    <w:rsid w:val="006E55B6"/>
    <w:rsid w:val="006E55F5"/>
    <w:rsid w:val="006E5608"/>
    <w:rsid w:val="006E5689"/>
    <w:rsid w:val="006E584A"/>
    <w:rsid w:val="006E590A"/>
    <w:rsid w:val="006E59FD"/>
    <w:rsid w:val="006E5B12"/>
    <w:rsid w:val="006E5BD3"/>
    <w:rsid w:val="006E5CAE"/>
    <w:rsid w:val="006E5DCA"/>
    <w:rsid w:val="006E5FEA"/>
    <w:rsid w:val="006E6002"/>
    <w:rsid w:val="006E601F"/>
    <w:rsid w:val="006E6056"/>
    <w:rsid w:val="006E619F"/>
    <w:rsid w:val="006E624D"/>
    <w:rsid w:val="006E6433"/>
    <w:rsid w:val="006E6765"/>
    <w:rsid w:val="006E67B2"/>
    <w:rsid w:val="006E6828"/>
    <w:rsid w:val="006E691A"/>
    <w:rsid w:val="006E6A0C"/>
    <w:rsid w:val="006E6A33"/>
    <w:rsid w:val="006E6B48"/>
    <w:rsid w:val="006E6BA7"/>
    <w:rsid w:val="006E6C03"/>
    <w:rsid w:val="006E6D63"/>
    <w:rsid w:val="006E6E06"/>
    <w:rsid w:val="006E6E1A"/>
    <w:rsid w:val="006E6E7E"/>
    <w:rsid w:val="006E6F2C"/>
    <w:rsid w:val="006E6FF1"/>
    <w:rsid w:val="006E7180"/>
    <w:rsid w:val="006E721F"/>
    <w:rsid w:val="006E7277"/>
    <w:rsid w:val="006E72AB"/>
    <w:rsid w:val="006E7442"/>
    <w:rsid w:val="006E74C2"/>
    <w:rsid w:val="006E75BE"/>
    <w:rsid w:val="006E75F9"/>
    <w:rsid w:val="006E774A"/>
    <w:rsid w:val="006E777C"/>
    <w:rsid w:val="006E77D4"/>
    <w:rsid w:val="006E7968"/>
    <w:rsid w:val="006E7B58"/>
    <w:rsid w:val="006E7C93"/>
    <w:rsid w:val="006E7C95"/>
    <w:rsid w:val="006F01ED"/>
    <w:rsid w:val="006F0264"/>
    <w:rsid w:val="006F04BD"/>
    <w:rsid w:val="006F0923"/>
    <w:rsid w:val="006F0DA4"/>
    <w:rsid w:val="006F1056"/>
    <w:rsid w:val="006F1141"/>
    <w:rsid w:val="006F14A8"/>
    <w:rsid w:val="006F15BC"/>
    <w:rsid w:val="006F15E3"/>
    <w:rsid w:val="006F1608"/>
    <w:rsid w:val="006F1656"/>
    <w:rsid w:val="006F17C3"/>
    <w:rsid w:val="006F1869"/>
    <w:rsid w:val="006F18B4"/>
    <w:rsid w:val="006F1C1C"/>
    <w:rsid w:val="006F1DED"/>
    <w:rsid w:val="006F1E69"/>
    <w:rsid w:val="006F1E95"/>
    <w:rsid w:val="006F2158"/>
    <w:rsid w:val="006F21A5"/>
    <w:rsid w:val="006F2225"/>
    <w:rsid w:val="006F22AB"/>
    <w:rsid w:val="006F24BE"/>
    <w:rsid w:val="006F250E"/>
    <w:rsid w:val="006F27D9"/>
    <w:rsid w:val="006F27DA"/>
    <w:rsid w:val="006F2834"/>
    <w:rsid w:val="006F2A01"/>
    <w:rsid w:val="006F2A6E"/>
    <w:rsid w:val="006F2B3C"/>
    <w:rsid w:val="006F2B50"/>
    <w:rsid w:val="006F2D87"/>
    <w:rsid w:val="006F2E2B"/>
    <w:rsid w:val="006F2E96"/>
    <w:rsid w:val="006F2ECF"/>
    <w:rsid w:val="006F2EE6"/>
    <w:rsid w:val="006F3080"/>
    <w:rsid w:val="006F32AD"/>
    <w:rsid w:val="006F33D5"/>
    <w:rsid w:val="006F33E7"/>
    <w:rsid w:val="006F3444"/>
    <w:rsid w:val="006F351E"/>
    <w:rsid w:val="006F354E"/>
    <w:rsid w:val="006F36B5"/>
    <w:rsid w:val="006F3779"/>
    <w:rsid w:val="006F38AD"/>
    <w:rsid w:val="006F395A"/>
    <w:rsid w:val="006F3C4E"/>
    <w:rsid w:val="006F3CCB"/>
    <w:rsid w:val="006F3E5A"/>
    <w:rsid w:val="006F3EC0"/>
    <w:rsid w:val="006F3FD0"/>
    <w:rsid w:val="006F4189"/>
    <w:rsid w:val="006F4220"/>
    <w:rsid w:val="006F433B"/>
    <w:rsid w:val="006F4460"/>
    <w:rsid w:val="006F46E0"/>
    <w:rsid w:val="006F474E"/>
    <w:rsid w:val="006F497F"/>
    <w:rsid w:val="006F4A12"/>
    <w:rsid w:val="006F4BE4"/>
    <w:rsid w:val="006F4D2E"/>
    <w:rsid w:val="006F4EF6"/>
    <w:rsid w:val="006F5054"/>
    <w:rsid w:val="006F5194"/>
    <w:rsid w:val="006F51BD"/>
    <w:rsid w:val="006F52EE"/>
    <w:rsid w:val="006F5319"/>
    <w:rsid w:val="006F5362"/>
    <w:rsid w:val="006F5468"/>
    <w:rsid w:val="006F556F"/>
    <w:rsid w:val="006F55F6"/>
    <w:rsid w:val="006F58AC"/>
    <w:rsid w:val="006F5B92"/>
    <w:rsid w:val="006F5BE0"/>
    <w:rsid w:val="006F5C05"/>
    <w:rsid w:val="006F5C45"/>
    <w:rsid w:val="006F5CFA"/>
    <w:rsid w:val="006F5EE0"/>
    <w:rsid w:val="006F60C2"/>
    <w:rsid w:val="006F60D8"/>
    <w:rsid w:val="006F618A"/>
    <w:rsid w:val="006F65AD"/>
    <w:rsid w:val="006F66D8"/>
    <w:rsid w:val="006F66DD"/>
    <w:rsid w:val="006F67EC"/>
    <w:rsid w:val="006F6AAD"/>
    <w:rsid w:val="006F6B21"/>
    <w:rsid w:val="006F6B54"/>
    <w:rsid w:val="006F6BD5"/>
    <w:rsid w:val="006F6D37"/>
    <w:rsid w:val="006F6DE6"/>
    <w:rsid w:val="006F6EBA"/>
    <w:rsid w:val="006F6FD9"/>
    <w:rsid w:val="006F7012"/>
    <w:rsid w:val="006F7104"/>
    <w:rsid w:val="006F79CE"/>
    <w:rsid w:val="006F7A5B"/>
    <w:rsid w:val="006F7B71"/>
    <w:rsid w:val="006F7DEF"/>
    <w:rsid w:val="006F7EF2"/>
    <w:rsid w:val="00700020"/>
    <w:rsid w:val="00700040"/>
    <w:rsid w:val="00700533"/>
    <w:rsid w:val="007005BB"/>
    <w:rsid w:val="007005ED"/>
    <w:rsid w:val="00700857"/>
    <w:rsid w:val="0070090A"/>
    <w:rsid w:val="00700977"/>
    <w:rsid w:val="00700B00"/>
    <w:rsid w:val="00700B4F"/>
    <w:rsid w:val="00700DB3"/>
    <w:rsid w:val="00700F09"/>
    <w:rsid w:val="00701020"/>
    <w:rsid w:val="00701175"/>
    <w:rsid w:val="00701192"/>
    <w:rsid w:val="007011BA"/>
    <w:rsid w:val="007011CA"/>
    <w:rsid w:val="00701467"/>
    <w:rsid w:val="0070147F"/>
    <w:rsid w:val="007014CB"/>
    <w:rsid w:val="007014E3"/>
    <w:rsid w:val="0070172D"/>
    <w:rsid w:val="007019EA"/>
    <w:rsid w:val="00701B0A"/>
    <w:rsid w:val="00701C0B"/>
    <w:rsid w:val="00701E36"/>
    <w:rsid w:val="00701F3E"/>
    <w:rsid w:val="00702037"/>
    <w:rsid w:val="00702186"/>
    <w:rsid w:val="00702269"/>
    <w:rsid w:val="007027CA"/>
    <w:rsid w:val="007027D3"/>
    <w:rsid w:val="00702CE7"/>
    <w:rsid w:val="00702EDC"/>
    <w:rsid w:val="00702F40"/>
    <w:rsid w:val="00702F99"/>
    <w:rsid w:val="00702FDF"/>
    <w:rsid w:val="00703039"/>
    <w:rsid w:val="00703052"/>
    <w:rsid w:val="00703455"/>
    <w:rsid w:val="0070365F"/>
    <w:rsid w:val="007039FB"/>
    <w:rsid w:val="00703BB5"/>
    <w:rsid w:val="00703CB5"/>
    <w:rsid w:val="00704174"/>
    <w:rsid w:val="00704409"/>
    <w:rsid w:val="007045F2"/>
    <w:rsid w:val="00704849"/>
    <w:rsid w:val="0070490D"/>
    <w:rsid w:val="00704A07"/>
    <w:rsid w:val="00704BD1"/>
    <w:rsid w:val="00704C1B"/>
    <w:rsid w:val="00704C6F"/>
    <w:rsid w:val="00704CA6"/>
    <w:rsid w:val="00704CFD"/>
    <w:rsid w:val="00704D45"/>
    <w:rsid w:val="00704E28"/>
    <w:rsid w:val="00704F7F"/>
    <w:rsid w:val="00704F98"/>
    <w:rsid w:val="00704FD2"/>
    <w:rsid w:val="0070500B"/>
    <w:rsid w:val="00705023"/>
    <w:rsid w:val="0070517F"/>
    <w:rsid w:val="00705190"/>
    <w:rsid w:val="007052FB"/>
    <w:rsid w:val="0070530F"/>
    <w:rsid w:val="0070537B"/>
    <w:rsid w:val="0070547E"/>
    <w:rsid w:val="0070564C"/>
    <w:rsid w:val="007058A5"/>
    <w:rsid w:val="0070598F"/>
    <w:rsid w:val="00705A9F"/>
    <w:rsid w:val="00705B0A"/>
    <w:rsid w:val="00705BED"/>
    <w:rsid w:val="00705CD3"/>
    <w:rsid w:val="00705D67"/>
    <w:rsid w:val="00705DA9"/>
    <w:rsid w:val="00705F80"/>
    <w:rsid w:val="0070614D"/>
    <w:rsid w:val="00706286"/>
    <w:rsid w:val="007065A0"/>
    <w:rsid w:val="007065B9"/>
    <w:rsid w:val="00706656"/>
    <w:rsid w:val="0070669C"/>
    <w:rsid w:val="007066FB"/>
    <w:rsid w:val="00706757"/>
    <w:rsid w:val="00706868"/>
    <w:rsid w:val="007068BC"/>
    <w:rsid w:val="00706A23"/>
    <w:rsid w:val="00706B92"/>
    <w:rsid w:val="00706CDC"/>
    <w:rsid w:val="00706D14"/>
    <w:rsid w:val="00706D16"/>
    <w:rsid w:val="00706DB8"/>
    <w:rsid w:val="00706DC4"/>
    <w:rsid w:val="00706DFF"/>
    <w:rsid w:val="0070705D"/>
    <w:rsid w:val="00707136"/>
    <w:rsid w:val="0070720C"/>
    <w:rsid w:val="00707467"/>
    <w:rsid w:val="00707575"/>
    <w:rsid w:val="00707868"/>
    <w:rsid w:val="007078AB"/>
    <w:rsid w:val="007079B9"/>
    <w:rsid w:val="00707AAB"/>
    <w:rsid w:val="00707D68"/>
    <w:rsid w:val="00707F4F"/>
    <w:rsid w:val="00707F86"/>
    <w:rsid w:val="00710016"/>
    <w:rsid w:val="00710052"/>
    <w:rsid w:val="00710094"/>
    <w:rsid w:val="00710158"/>
    <w:rsid w:val="007103D3"/>
    <w:rsid w:val="007103DD"/>
    <w:rsid w:val="00710719"/>
    <w:rsid w:val="007108D1"/>
    <w:rsid w:val="00710C75"/>
    <w:rsid w:val="00710CCA"/>
    <w:rsid w:val="00710D16"/>
    <w:rsid w:val="00710DCB"/>
    <w:rsid w:val="0071114F"/>
    <w:rsid w:val="007111AB"/>
    <w:rsid w:val="007111B5"/>
    <w:rsid w:val="007113CC"/>
    <w:rsid w:val="007113ED"/>
    <w:rsid w:val="007114C4"/>
    <w:rsid w:val="00711797"/>
    <w:rsid w:val="007119A5"/>
    <w:rsid w:val="00711B17"/>
    <w:rsid w:val="00711CA7"/>
    <w:rsid w:val="00711DA3"/>
    <w:rsid w:val="00712060"/>
    <w:rsid w:val="00712269"/>
    <w:rsid w:val="00712277"/>
    <w:rsid w:val="0071228A"/>
    <w:rsid w:val="007122B1"/>
    <w:rsid w:val="00712433"/>
    <w:rsid w:val="007124A3"/>
    <w:rsid w:val="00712852"/>
    <w:rsid w:val="00712885"/>
    <w:rsid w:val="007128BF"/>
    <w:rsid w:val="0071297A"/>
    <w:rsid w:val="00712A89"/>
    <w:rsid w:val="00712DF1"/>
    <w:rsid w:val="00712F95"/>
    <w:rsid w:val="00712FEC"/>
    <w:rsid w:val="00713106"/>
    <w:rsid w:val="00713179"/>
    <w:rsid w:val="007133FD"/>
    <w:rsid w:val="00713431"/>
    <w:rsid w:val="0071343A"/>
    <w:rsid w:val="00713483"/>
    <w:rsid w:val="00713700"/>
    <w:rsid w:val="00713711"/>
    <w:rsid w:val="00713B6B"/>
    <w:rsid w:val="00713D85"/>
    <w:rsid w:val="00713EA8"/>
    <w:rsid w:val="00713F67"/>
    <w:rsid w:val="00714091"/>
    <w:rsid w:val="00714132"/>
    <w:rsid w:val="00714349"/>
    <w:rsid w:val="00714368"/>
    <w:rsid w:val="00714372"/>
    <w:rsid w:val="007145C1"/>
    <w:rsid w:val="0071462F"/>
    <w:rsid w:val="00714635"/>
    <w:rsid w:val="00714715"/>
    <w:rsid w:val="00714A52"/>
    <w:rsid w:val="00714BD1"/>
    <w:rsid w:val="00714BF2"/>
    <w:rsid w:val="00714D2A"/>
    <w:rsid w:val="00714E2D"/>
    <w:rsid w:val="00714E7B"/>
    <w:rsid w:val="00715097"/>
    <w:rsid w:val="0071519F"/>
    <w:rsid w:val="00715356"/>
    <w:rsid w:val="00715587"/>
    <w:rsid w:val="00715639"/>
    <w:rsid w:val="0071579D"/>
    <w:rsid w:val="00715904"/>
    <w:rsid w:val="00715B14"/>
    <w:rsid w:val="00715C71"/>
    <w:rsid w:val="00715D1E"/>
    <w:rsid w:val="00715D21"/>
    <w:rsid w:val="00715DF2"/>
    <w:rsid w:val="00715F46"/>
    <w:rsid w:val="007161C1"/>
    <w:rsid w:val="007164A3"/>
    <w:rsid w:val="00716576"/>
    <w:rsid w:val="00716661"/>
    <w:rsid w:val="007168D3"/>
    <w:rsid w:val="00716974"/>
    <w:rsid w:val="00716AE3"/>
    <w:rsid w:val="00716B9E"/>
    <w:rsid w:val="00716E02"/>
    <w:rsid w:val="0071704E"/>
    <w:rsid w:val="007170FF"/>
    <w:rsid w:val="0071713A"/>
    <w:rsid w:val="00717327"/>
    <w:rsid w:val="007173B3"/>
    <w:rsid w:val="00717432"/>
    <w:rsid w:val="00717478"/>
    <w:rsid w:val="0071751B"/>
    <w:rsid w:val="00717668"/>
    <w:rsid w:val="00717753"/>
    <w:rsid w:val="007177BF"/>
    <w:rsid w:val="007178F0"/>
    <w:rsid w:val="00717A36"/>
    <w:rsid w:val="00717A64"/>
    <w:rsid w:val="00717A91"/>
    <w:rsid w:val="00717AA7"/>
    <w:rsid w:val="00717AAF"/>
    <w:rsid w:val="00717B46"/>
    <w:rsid w:val="00720182"/>
    <w:rsid w:val="007201E5"/>
    <w:rsid w:val="00720315"/>
    <w:rsid w:val="00720321"/>
    <w:rsid w:val="0072037A"/>
    <w:rsid w:val="00720AC0"/>
    <w:rsid w:val="00720B79"/>
    <w:rsid w:val="00720E9A"/>
    <w:rsid w:val="00720F36"/>
    <w:rsid w:val="00720F52"/>
    <w:rsid w:val="00721087"/>
    <w:rsid w:val="00721118"/>
    <w:rsid w:val="007211BE"/>
    <w:rsid w:val="007213D0"/>
    <w:rsid w:val="00721583"/>
    <w:rsid w:val="007215B5"/>
    <w:rsid w:val="007218AE"/>
    <w:rsid w:val="00721A02"/>
    <w:rsid w:val="00721BF0"/>
    <w:rsid w:val="00721C15"/>
    <w:rsid w:val="00721CA1"/>
    <w:rsid w:val="00721CB8"/>
    <w:rsid w:val="00722010"/>
    <w:rsid w:val="00722098"/>
    <w:rsid w:val="007220F7"/>
    <w:rsid w:val="0072228E"/>
    <w:rsid w:val="00722328"/>
    <w:rsid w:val="00722330"/>
    <w:rsid w:val="00722447"/>
    <w:rsid w:val="00722464"/>
    <w:rsid w:val="00722587"/>
    <w:rsid w:val="007226E6"/>
    <w:rsid w:val="007227DD"/>
    <w:rsid w:val="007228FE"/>
    <w:rsid w:val="00722D31"/>
    <w:rsid w:val="00722DAE"/>
    <w:rsid w:val="00722ECE"/>
    <w:rsid w:val="00722F1D"/>
    <w:rsid w:val="00722F7F"/>
    <w:rsid w:val="0072309A"/>
    <w:rsid w:val="00723285"/>
    <w:rsid w:val="00723475"/>
    <w:rsid w:val="007234AB"/>
    <w:rsid w:val="007234E0"/>
    <w:rsid w:val="0072357C"/>
    <w:rsid w:val="007236EC"/>
    <w:rsid w:val="00723705"/>
    <w:rsid w:val="00723C4D"/>
    <w:rsid w:val="00724339"/>
    <w:rsid w:val="00724386"/>
    <w:rsid w:val="0072438B"/>
    <w:rsid w:val="00724426"/>
    <w:rsid w:val="0072442F"/>
    <w:rsid w:val="00724623"/>
    <w:rsid w:val="0072483E"/>
    <w:rsid w:val="0072490D"/>
    <w:rsid w:val="00724B21"/>
    <w:rsid w:val="00724D9D"/>
    <w:rsid w:val="00724E16"/>
    <w:rsid w:val="00724ED6"/>
    <w:rsid w:val="0072547E"/>
    <w:rsid w:val="007256E5"/>
    <w:rsid w:val="007257E3"/>
    <w:rsid w:val="0072596F"/>
    <w:rsid w:val="00725A9A"/>
    <w:rsid w:val="00725E20"/>
    <w:rsid w:val="007260D8"/>
    <w:rsid w:val="007261A7"/>
    <w:rsid w:val="00726270"/>
    <w:rsid w:val="00726330"/>
    <w:rsid w:val="00726441"/>
    <w:rsid w:val="00726600"/>
    <w:rsid w:val="0072665E"/>
    <w:rsid w:val="00726835"/>
    <w:rsid w:val="00726AA1"/>
    <w:rsid w:val="00726D20"/>
    <w:rsid w:val="00726E8D"/>
    <w:rsid w:val="00727117"/>
    <w:rsid w:val="00727446"/>
    <w:rsid w:val="0072744C"/>
    <w:rsid w:val="00727522"/>
    <w:rsid w:val="007276C8"/>
    <w:rsid w:val="00727E0A"/>
    <w:rsid w:val="00727F09"/>
    <w:rsid w:val="00730093"/>
    <w:rsid w:val="0073027D"/>
    <w:rsid w:val="0073035D"/>
    <w:rsid w:val="007304A6"/>
    <w:rsid w:val="00730549"/>
    <w:rsid w:val="0073072C"/>
    <w:rsid w:val="0073078B"/>
    <w:rsid w:val="007308CC"/>
    <w:rsid w:val="007309ED"/>
    <w:rsid w:val="00730A8A"/>
    <w:rsid w:val="00730B26"/>
    <w:rsid w:val="00730BDA"/>
    <w:rsid w:val="00730BE8"/>
    <w:rsid w:val="00730FBD"/>
    <w:rsid w:val="00731103"/>
    <w:rsid w:val="00731170"/>
    <w:rsid w:val="00731292"/>
    <w:rsid w:val="00731437"/>
    <w:rsid w:val="0073144F"/>
    <w:rsid w:val="00731542"/>
    <w:rsid w:val="00731583"/>
    <w:rsid w:val="00731639"/>
    <w:rsid w:val="00731776"/>
    <w:rsid w:val="00731782"/>
    <w:rsid w:val="007318F5"/>
    <w:rsid w:val="00731CCF"/>
    <w:rsid w:val="00731D4B"/>
    <w:rsid w:val="00731DF4"/>
    <w:rsid w:val="00731F7D"/>
    <w:rsid w:val="0073207A"/>
    <w:rsid w:val="00732389"/>
    <w:rsid w:val="00732488"/>
    <w:rsid w:val="00732679"/>
    <w:rsid w:val="007326A1"/>
    <w:rsid w:val="007326B1"/>
    <w:rsid w:val="00732763"/>
    <w:rsid w:val="00732771"/>
    <w:rsid w:val="00732912"/>
    <w:rsid w:val="00732B81"/>
    <w:rsid w:val="00732D9E"/>
    <w:rsid w:val="00732ECD"/>
    <w:rsid w:val="00732F5A"/>
    <w:rsid w:val="0073315A"/>
    <w:rsid w:val="007332E1"/>
    <w:rsid w:val="00733331"/>
    <w:rsid w:val="00733365"/>
    <w:rsid w:val="007335C3"/>
    <w:rsid w:val="00733696"/>
    <w:rsid w:val="007336AA"/>
    <w:rsid w:val="007336F8"/>
    <w:rsid w:val="007339D7"/>
    <w:rsid w:val="00733AA0"/>
    <w:rsid w:val="00733D48"/>
    <w:rsid w:val="00733E9D"/>
    <w:rsid w:val="00733ED3"/>
    <w:rsid w:val="00733FC6"/>
    <w:rsid w:val="00734133"/>
    <w:rsid w:val="00734184"/>
    <w:rsid w:val="00734391"/>
    <w:rsid w:val="00734432"/>
    <w:rsid w:val="00734459"/>
    <w:rsid w:val="007345FF"/>
    <w:rsid w:val="00734A1C"/>
    <w:rsid w:val="00734B7B"/>
    <w:rsid w:val="00734CF0"/>
    <w:rsid w:val="00734F1F"/>
    <w:rsid w:val="007350E6"/>
    <w:rsid w:val="00735212"/>
    <w:rsid w:val="00735607"/>
    <w:rsid w:val="0073564E"/>
    <w:rsid w:val="007358B2"/>
    <w:rsid w:val="007359B3"/>
    <w:rsid w:val="00735A26"/>
    <w:rsid w:val="00735A4E"/>
    <w:rsid w:val="00735AE4"/>
    <w:rsid w:val="00735B54"/>
    <w:rsid w:val="00735B87"/>
    <w:rsid w:val="00735B9E"/>
    <w:rsid w:val="00735C04"/>
    <w:rsid w:val="00735D19"/>
    <w:rsid w:val="00735D41"/>
    <w:rsid w:val="00735ED6"/>
    <w:rsid w:val="00735F29"/>
    <w:rsid w:val="00736006"/>
    <w:rsid w:val="007361A8"/>
    <w:rsid w:val="0073629D"/>
    <w:rsid w:val="007362CF"/>
    <w:rsid w:val="0073648C"/>
    <w:rsid w:val="007364E1"/>
    <w:rsid w:val="0073654C"/>
    <w:rsid w:val="007365DD"/>
    <w:rsid w:val="0073663C"/>
    <w:rsid w:val="007368CC"/>
    <w:rsid w:val="00736AB8"/>
    <w:rsid w:val="00736BE5"/>
    <w:rsid w:val="00736BED"/>
    <w:rsid w:val="00736BF9"/>
    <w:rsid w:val="00736C28"/>
    <w:rsid w:val="00736C93"/>
    <w:rsid w:val="00736F22"/>
    <w:rsid w:val="007372B2"/>
    <w:rsid w:val="0073735B"/>
    <w:rsid w:val="007374B5"/>
    <w:rsid w:val="007378A6"/>
    <w:rsid w:val="007378DA"/>
    <w:rsid w:val="00737A1D"/>
    <w:rsid w:val="00737BC7"/>
    <w:rsid w:val="00737F14"/>
    <w:rsid w:val="0074001F"/>
    <w:rsid w:val="007401E3"/>
    <w:rsid w:val="0074031E"/>
    <w:rsid w:val="0074035F"/>
    <w:rsid w:val="00740661"/>
    <w:rsid w:val="007408E9"/>
    <w:rsid w:val="0074093D"/>
    <w:rsid w:val="00740AE3"/>
    <w:rsid w:val="00740BB2"/>
    <w:rsid w:val="00740CE4"/>
    <w:rsid w:val="00740DBD"/>
    <w:rsid w:val="00740E46"/>
    <w:rsid w:val="00740F8A"/>
    <w:rsid w:val="00740FD5"/>
    <w:rsid w:val="007410DB"/>
    <w:rsid w:val="0074139E"/>
    <w:rsid w:val="007413AF"/>
    <w:rsid w:val="0074142B"/>
    <w:rsid w:val="0074156D"/>
    <w:rsid w:val="007417E5"/>
    <w:rsid w:val="007418ED"/>
    <w:rsid w:val="00741A15"/>
    <w:rsid w:val="00741A78"/>
    <w:rsid w:val="00741B80"/>
    <w:rsid w:val="00741BDB"/>
    <w:rsid w:val="00741C35"/>
    <w:rsid w:val="00741DDE"/>
    <w:rsid w:val="00741E10"/>
    <w:rsid w:val="00742033"/>
    <w:rsid w:val="007420E2"/>
    <w:rsid w:val="007421C1"/>
    <w:rsid w:val="00742236"/>
    <w:rsid w:val="0074223A"/>
    <w:rsid w:val="0074243B"/>
    <w:rsid w:val="007425D7"/>
    <w:rsid w:val="0074268D"/>
    <w:rsid w:val="007426C3"/>
    <w:rsid w:val="00742868"/>
    <w:rsid w:val="007428B3"/>
    <w:rsid w:val="00742930"/>
    <w:rsid w:val="00742B00"/>
    <w:rsid w:val="00742B29"/>
    <w:rsid w:val="00742B4D"/>
    <w:rsid w:val="00742C64"/>
    <w:rsid w:val="00743042"/>
    <w:rsid w:val="0074307C"/>
    <w:rsid w:val="0074325B"/>
    <w:rsid w:val="00743365"/>
    <w:rsid w:val="00743543"/>
    <w:rsid w:val="007436C9"/>
    <w:rsid w:val="007438B4"/>
    <w:rsid w:val="00743AD6"/>
    <w:rsid w:val="00743BB0"/>
    <w:rsid w:val="00743E49"/>
    <w:rsid w:val="00743E8C"/>
    <w:rsid w:val="00744138"/>
    <w:rsid w:val="007442B2"/>
    <w:rsid w:val="00744572"/>
    <w:rsid w:val="007446F9"/>
    <w:rsid w:val="007447D4"/>
    <w:rsid w:val="00744A3C"/>
    <w:rsid w:val="00744C72"/>
    <w:rsid w:val="00744C85"/>
    <w:rsid w:val="00744D71"/>
    <w:rsid w:val="007453B2"/>
    <w:rsid w:val="00745436"/>
    <w:rsid w:val="0074544E"/>
    <w:rsid w:val="007454D8"/>
    <w:rsid w:val="0074566C"/>
    <w:rsid w:val="007456C9"/>
    <w:rsid w:val="00745781"/>
    <w:rsid w:val="00745853"/>
    <w:rsid w:val="00745894"/>
    <w:rsid w:val="007458A1"/>
    <w:rsid w:val="00745AA3"/>
    <w:rsid w:val="00746385"/>
    <w:rsid w:val="007464F4"/>
    <w:rsid w:val="007465CD"/>
    <w:rsid w:val="00746708"/>
    <w:rsid w:val="007469D6"/>
    <w:rsid w:val="00746A02"/>
    <w:rsid w:val="00746A65"/>
    <w:rsid w:val="00746BF7"/>
    <w:rsid w:val="00747052"/>
    <w:rsid w:val="00747095"/>
    <w:rsid w:val="00747173"/>
    <w:rsid w:val="00747286"/>
    <w:rsid w:val="00747296"/>
    <w:rsid w:val="007472B8"/>
    <w:rsid w:val="007472D2"/>
    <w:rsid w:val="00747303"/>
    <w:rsid w:val="007474FC"/>
    <w:rsid w:val="00747500"/>
    <w:rsid w:val="007475B7"/>
    <w:rsid w:val="00747643"/>
    <w:rsid w:val="00747656"/>
    <w:rsid w:val="007478E5"/>
    <w:rsid w:val="00747925"/>
    <w:rsid w:val="00747CB9"/>
    <w:rsid w:val="00747D8C"/>
    <w:rsid w:val="00747E21"/>
    <w:rsid w:val="00747E43"/>
    <w:rsid w:val="00747FBF"/>
    <w:rsid w:val="00750067"/>
    <w:rsid w:val="007500A9"/>
    <w:rsid w:val="00750192"/>
    <w:rsid w:val="00750224"/>
    <w:rsid w:val="00750254"/>
    <w:rsid w:val="007507C4"/>
    <w:rsid w:val="0075081C"/>
    <w:rsid w:val="007508B8"/>
    <w:rsid w:val="00750999"/>
    <w:rsid w:val="00750CB6"/>
    <w:rsid w:val="00750D34"/>
    <w:rsid w:val="00750E35"/>
    <w:rsid w:val="00750FE3"/>
    <w:rsid w:val="007514E3"/>
    <w:rsid w:val="00751596"/>
    <w:rsid w:val="00751660"/>
    <w:rsid w:val="007517AE"/>
    <w:rsid w:val="00751956"/>
    <w:rsid w:val="00751A24"/>
    <w:rsid w:val="00751AB8"/>
    <w:rsid w:val="00751B6B"/>
    <w:rsid w:val="00751EE2"/>
    <w:rsid w:val="00751F02"/>
    <w:rsid w:val="00752365"/>
    <w:rsid w:val="00752581"/>
    <w:rsid w:val="0075263B"/>
    <w:rsid w:val="0075267F"/>
    <w:rsid w:val="00752700"/>
    <w:rsid w:val="00752722"/>
    <w:rsid w:val="00752799"/>
    <w:rsid w:val="00752804"/>
    <w:rsid w:val="0075284B"/>
    <w:rsid w:val="007528AA"/>
    <w:rsid w:val="00752A55"/>
    <w:rsid w:val="00752B55"/>
    <w:rsid w:val="00752B70"/>
    <w:rsid w:val="00752BA2"/>
    <w:rsid w:val="00752C27"/>
    <w:rsid w:val="00752DA3"/>
    <w:rsid w:val="00752E0A"/>
    <w:rsid w:val="00752E26"/>
    <w:rsid w:val="00752E73"/>
    <w:rsid w:val="0075305C"/>
    <w:rsid w:val="00753320"/>
    <w:rsid w:val="007533E8"/>
    <w:rsid w:val="0075362A"/>
    <w:rsid w:val="0075374D"/>
    <w:rsid w:val="00753851"/>
    <w:rsid w:val="00753854"/>
    <w:rsid w:val="00753980"/>
    <w:rsid w:val="00753A79"/>
    <w:rsid w:val="00753B20"/>
    <w:rsid w:val="00753C41"/>
    <w:rsid w:val="00753CBF"/>
    <w:rsid w:val="00753D76"/>
    <w:rsid w:val="00753DD9"/>
    <w:rsid w:val="007540C3"/>
    <w:rsid w:val="0075423F"/>
    <w:rsid w:val="007543DC"/>
    <w:rsid w:val="007545E0"/>
    <w:rsid w:val="00754A4C"/>
    <w:rsid w:val="00754B46"/>
    <w:rsid w:val="00754BDF"/>
    <w:rsid w:val="00754C11"/>
    <w:rsid w:val="00754D80"/>
    <w:rsid w:val="0075501D"/>
    <w:rsid w:val="00755053"/>
    <w:rsid w:val="00755078"/>
    <w:rsid w:val="0075513E"/>
    <w:rsid w:val="00755837"/>
    <w:rsid w:val="00755994"/>
    <w:rsid w:val="00755B44"/>
    <w:rsid w:val="00755C96"/>
    <w:rsid w:val="00755CF2"/>
    <w:rsid w:val="0075613E"/>
    <w:rsid w:val="0075614F"/>
    <w:rsid w:val="007561BB"/>
    <w:rsid w:val="007563EC"/>
    <w:rsid w:val="0075649A"/>
    <w:rsid w:val="00756558"/>
    <w:rsid w:val="00756864"/>
    <w:rsid w:val="00756881"/>
    <w:rsid w:val="007568D0"/>
    <w:rsid w:val="00756929"/>
    <w:rsid w:val="00756B22"/>
    <w:rsid w:val="00756E05"/>
    <w:rsid w:val="00756F98"/>
    <w:rsid w:val="00756FB2"/>
    <w:rsid w:val="007570A0"/>
    <w:rsid w:val="007570D5"/>
    <w:rsid w:val="007573D4"/>
    <w:rsid w:val="007573E3"/>
    <w:rsid w:val="007575DE"/>
    <w:rsid w:val="007576D0"/>
    <w:rsid w:val="00757B74"/>
    <w:rsid w:val="00757BDE"/>
    <w:rsid w:val="00757D8F"/>
    <w:rsid w:val="00757E01"/>
    <w:rsid w:val="00757E3A"/>
    <w:rsid w:val="007601A9"/>
    <w:rsid w:val="007601FF"/>
    <w:rsid w:val="007605A6"/>
    <w:rsid w:val="0076062F"/>
    <w:rsid w:val="00760A4E"/>
    <w:rsid w:val="00760ADB"/>
    <w:rsid w:val="00760D0A"/>
    <w:rsid w:val="00760F2B"/>
    <w:rsid w:val="00761323"/>
    <w:rsid w:val="00761438"/>
    <w:rsid w:val="0076167D"/>
    <w:rsid w:val="007616E4"/>
    <w:rsid w:val="00761750"/>
    <w:rsid w:val="00761767"/>
    <w:rsid w:val="00761793"/>
    <w:rsid w:val="007617DF"/>
    <w:rsid w:val="00761A20"/>
    <w:rsid w:val="00761BD3"/>
    <w:rsid w:val="00761C1E"/>
    <w:rsid w:val="00761DBE"/>
    <w:rsid w:val="00761E58"/>
    <w:rsid w:val="00762020"/>
    <w:rsid w:val="007620AF"/>
    <w:rsid w:val="00762184"/>
    <w:rsid w:val="0076219C"/>
    <w:rsid w:val="00762278"/>
    <w:rsid w:val="007624C2"/>
    <w:rsid w:val="00762550"/>
    <w:rsid w:val="0076259C"/>
    <w:rsid w:val="00762651"/>
    <w:rsid w:val="0076295B"/>
    <w:rsid w:val="00762A20"/>
    <w:rsid w:val="00762AA1"/>
    <w:rsid w:val="00762B35"/>
    <w:rsid w:val="00762B58"/>
    <w:rsid w:val="00762CAC"/>
    <w:rsid w:val="00762CFC"/>
    <w:rsid w:val="00762EF4"/>
    <w:rsid w:val="0076301D"/>
    <w:rsid w:val="00763050"/>
    <w:rsid w:val="0076316F"/>
    <w:rsid w:val="00763229"/>
    <w:rsid w:val="0076327E"/>
    <w:rsid w:val="0076330B"/>
    <w:rsid w:val="00763314"/>
    <w:rsid w:val="0076334A"/>
    <w:rsid w:val="00763564"/>
    <w:rsid w:val="0076364B"/>
    <w:rsid w:val="007636F5"/>
    <w:rsid w:val="0076370D"/>
    <w:rsid w:val="00763900"/>
    <w:rsid w:val="00763B42"/>
    <w:rsid w:val="00763BBB"/>
    <w:rsid w:val="00763CB5"/>
    <w:rsid w:val="00763DD7"/>
    <w:rsid w:val="00763F69"/>
    <w:rsid w:val="00763FCE"/>
    <w:rsid w:val="0076405D"/>
    <w:rsid w:val="0076409B"/>
    <w:rsid w:val="00764118"/>
    <w:rsid w:val="0076417C"/>
    <w:rsid w:val="0076418B"/>
    <w:rsid w:val="0076436E"/>
    <w:rsid w:val="007646C3"/>
    <w:rsid w:val="00764877"/>
    <w:rsid w:val="007648A9"/>
    <w:rsid w:val="00764ADF"/>
    <w:rsid w:val="00764D97"/>
    <w:rsid w:val="007652AB"/>
    <w:rsid w:val="007652D6"/>
    <w:rsid w:val="007652DD"/>
    <w:rsid w:val="00765B04"/>
    <w:rsid w:val="00765D6E"/>
    <w:rsid w:val="00765E29"/>
    <w:rsid w:val="00765FB0"/>
    <w:rsid w:val="0076604A"/>
    <w:rsid w:val="007661B9"/>
    <w:rsid w:val="007663EC"/>
    <w:rsid w:val="00766446"/>
    <w:rsid w:val="007664D4"/>
    <w:rsid w:val="007664DF"/>
    <w:rsid w:val="0076650C"/>
    <w:rsid w:val="0076664F"/>
    <w:rsid w:val="0076698E"/>
    <w:rsid w:val="00766A74"/>
    <w:rsid w:val="00766D01"/>
    <w:rsid w:val="00766D74"/>
    <w:rsid w:val="00766DAC"/>
    <w:rsid w:val="00766E5F"/>
    <w:rsid w:val="0076701C"/>
    <w:rsid w:val="00767520"/>
    <w:rsid w:val="007675A4"/>
    <w:rsid w:val="00767747"/>
    <w:rsid w:val="00767827"/>
    <w:rsid w:val="00767949"/>
    <w:rsid w:val="00767A17"/>
    <w:rsid w:val="00767B8B"/>
    <w:rsid w:val="00767C6A"/>
    <w:rsid w:val="00767D9D"/>
    <w:rsid w:val="007701ED"/>
    <w:rsid w:val="007701FF"/>
    <w:rsid w:val="0077022B"/>
    <w:rsid w:val="007702B4"/>
    <w:rsid w:val="00770302"/>
    <w:rsid w:val="00770499"/>
    <w:rsid w:val="007706BC"/>
    <w:rsid w:val="007706DB"/>
    <w:rsid w:val="00770716"/>
    <w:rsid w:val="0077077A"/>
    <w:rsid w:val="0077092C"/>
    <w:rsid w:val="007709A3"/>
    <w:rsid w:val="007709F0"/>
    <w:rsid w:val="00770A3B"/>
    <w:rsid w:val="00770AC6"/>
    <w:rsid w:val="00770C41"/>
    <w:rsid w:val="00770CE0"/>
    <w:rsid w:val="00770CF9"/>
    <w:rsid w:val="00770EBB"/>
    <w:rsid w:val="00770ECB"/>
    <w:rsid w:val="00770F17"/>
    <w:rsid w:val="00770F4A"/>
    <w:rsid w:val="007710F6"/>
    <w:rsid w:val="007711A4"/>
    <w:rsid w:val="007712B9"/>
    <w:rsid w:val="00771301"/>
    <w:rsid w:val="007713CA"/>
    <w:rsid w:val="007714CB"/>
    <w:rsid w:val="00771584"/>
    <w:rsid w:val="007716F9"/>
    <w:rsid w:val="0077196E"/>
    <w:rsid w:val="00771A9B"/>
    <w:rsid w:val="00771B76"/>
    <w:rsid w:val="00771BD6"/>
    <w:rsid w:val="00771D19"/>
    <w:rsid w:val="00771E33"/>
    <w:rsid w:val="00771F41"/>
    <w:rsid w:val="00772093"/>
    <w:rsid w:val="00772103"/>
    <w:rsid w:val="00772426"/>
    <w:rsid w:val="00772489"/>
    <w:rsid w:val="007726BB"/>
    <w:rsid w:val="00772840"/>
    <w:rsid w:val="0077291B"/>
    <w:rsid w:val="00772A3C"/>
    <w:rsid w:val="00772E26"/>
    <w:rsid w:val="00772E3D"/>
    <w:rsid w:val="00772E65"/>
    <w:rsid w:val="00772E8F"/>
    <w:rsid w:val="00772F6A"/>
    <w:rsid w:val="00773138"/>
    <w:rsid w:val="0077337A"/>
    <w:rsid w:val="00773397"/>
    <w:rsid w:val="007734B9"/>
    <w:rsid w:val="007735DE"/>
    <w:rsid w:val="007735F1"/>
    <w:rsid w:val="00773881"/>
    <w:rsid w:val="00773C4D"/>
    <w:rsid w:val="00773CD6"/>
    <w:rsid w:val="00773CFB"/>
    <w:rsid w:val="00773E08"/>
    <w:rsid w:val="00773F09"/>
    <w:rsid w:val="0077448F"/>
    <w:rsid w:val="007745F4"/>
    <w:rsid w:val="00774723"/>
    <w:rsid w:val="0077473C"/>
    <w:rsid w:val="00774992"/>
    <w:rsid w:val="00774A2C"/>
    <w:rsid w:val="00774A3C"/>
    <w:rsid w:val="00774CDB"/>
    <w:rsid w:val="00774F01"/>
    <w:rsid w:val="00774FA9"/>
    <w:rsid w:val="00774FB9"/>
    <w:rsid w:val="007751F1"/>
    <w:rsid w:val="0077526D"/>
    <w:rsid w:val="007752EE"/>
    <w:rsid w:val="00775561"/>
    <w:rsid w:val="00775688"/>
    <w:rsid w:val="0077581B"/>
    <w:rsid w:val="00775987"/>
    <w:rsid w:val="00775B3A"/>
    <w:rsid w:val="00775B6E"/>
    <w:rsid w:val="00775B80"/>
    <w:rsid w:val="00775CF6"/>
    <w:rsid w:val="00775D73"/>
    <w:rsid w:val="007761D1"/>
    <w:rsid w:val="00776548"/>
    <w:rsid w:val="007766F9"/>
    <w:rsid w:val="007767AC"/>
    <w:rsid w:val="007767BB"/>
    <w:rsid w:val="00776853"/>
    <w:rsid w:val="0077699F"/>
    <w:rsid w:val="007769AC"/>
    <w:rsid w:val="00776A53"/>
    <w:rsid w:val="00776BAD"/>
    <w:rsid w:val="00776C15"/>
    <w:rsid w:val="00776C67"/>
    <w:rsid w:val="00776D33"/>
    <w:rsid w:val="00776D4B"/>
    <w:rsid w:val="00777094"/>
    <w:rsid w:val="00777221"/>
    <w:rsid w:val="007772D6"/>
    <w:rsid w:val="00777347"/>
    <w:rsid w:val="0077736C"/>
    <w:rsid w:val="007775EE"/>
    <w:rsid w:val="00777AF9"/>
    <w:rsid w:val="00777B72"/>
    <w:rsid w:val="00777EC2"/>
    <w:rsid w:val="00777F22"/>
    <w:rsid w:val="00777FF6"/>
    <w:rsid w:val="00780450"/>
    <w:rsid w:val="0078053C"/>
    <w:rsid w:val="007805F8"/>
    <w:rsid w:val="00780705"/>
    <w:rsid w:val="0078075E"/>
    <w:rsid w:val="00780775"/>
    <w:rsid w:val="00780B7B"/>
    <w:rsid w:val="00780BFA"/>
    <w:rsid w:val="00780C31"/>
    <w:rsid w:val="00780CFA"/>
    <w:rsid w:val="00780D72"/>
    <w:rsid w:val="00781102"/>
    <w:rsid w:val="0078112F"/>
    <w:rsid w:val="0078114D"/>
    <w:rsid w:val="007811E0"/>
    <w:rsid w:val="00781580"/>
    <w:rsid w:val="007815E8"/>
    <w:rsid w:val="00781783"/>
    <w:rsid w:val="00781960"/>
    <w:rsid w:val="00781974"/>
    <w:rsid w:val="00781B08"/>
    <w:rsid w:val="00781B85"/>
    <w:rsid w:val="00781C0B"/>
    <w:rsid w:val="00781C55"/>
    <w:rsid w:val="00781CB6"/>
    <w:rsid w:val="00781F13"/>
    <w:rsid w:val="00782365"/>
    <w:rsid w:val="00782397"/>
    <w:rsid w:val="007823B1"/>
    <w:rsid w:val="00782640"/>
    <w:rsid w:val="0078265D"/>
    <w:rsid w:val="007826A4"/>
    <w:rsid w:val="00782783"/>
    <w:rsid w:val="00782A2E"/>
    <w:rsid w:val="00782AD4"/>
    <w:rsid w:val="00782C42"/>
    <w:rsid w:val="00782CFA"/>
    <w:rsid w:val="00782EF3"/>
    <w:rsid w:val="00782FCD"/>
    <w:rsid w:val="00783165"/>
    <w:rsid w:val="007833B8"/>
    <w:rsid w:val="007834DB"/>
    <w:rsid w:val="0078364F"/>
    <w:rsid w:val="007837DE"/>
    <w:rsid w:val="00783988"/>
    <w:rsid w:val="00783A4B"/>
    <w:rsid w:val="00783A6A"/>
    <w:rsid w:val="00783B07"/>
    <w:rsid w:val="00783CA7"/>
    <w:rsid w:val="00784026"/>
    <w:rsid w:val="0078411D"/>
    <w:rsid w:val="00784132"/>
    <w:rsid w:val="007841A6"/>
    <w:rsid w:val="007842FC"/>
    <w:rsid w:val="0078430F"/>
    <w:rsid w:val="00784407"/>
    <w:rsid w:val="0078465E"/>
    <w:rsid w:val="0078478A"/>
    <w:rsid w:val="00784791"/>
    <w:rsid w:val="007847F2"/>
    <w:rsid w:val="00784A0F"/>
    <w:rsid w:val="00784A4E"/>
    <w:rsid w:val="00784AC9"/>
    <w:rsid w:val="00784B28"/>
    <w:rsid w:val="00784B6A"/>
    <w:rsid w:val="00784DD7"/>
    <w:rsid w:val="00784E6F"/>
    <w:rsid w:val="0078506A"/>
    <w:rsid w:val="007851C7"/>
    <w:rsid w:val="007852F8"/>
    <w:rsid w:val="007853B2"/>
    <w:rsid w:val="0078567C"/>
    <w:rsid w:val="007856BC"/>
    <w:rsid w:val="007856C7"/>
    <w:rsid w:val="007857AC"/>
    <w:rsid w:val="007858A1"/>
    <w:rsid w:val="007858C1"/>
    <w:rsid w:val="007858D7"/>
    <w:rsid w:val="0078590E"/>
    <w:rsid w:val="00785AAE"/>
    <w:rsid w:val="00785B52"/>
    <w:rsid w:val="00785F2D"/>
    <w:rsid w:val="00785F63"/>
    <w:rsid w:val="0078609C"/>
    <w:rsid w:val="00786205"/>
    <w:rsid w:val="00786461"/>
    <w:rsid w:val="0078659A"/>
    <w:rsid w:val="00786810"/>
    <w:rsid w:val="00786A55"/>
    <w:rsid w:val="00786AD5"/>
    <w:rsid w:val="00786B9F"/>
    <w:rsid w:val="00786C99"/>
    <w:rsid w:val="00786D70"/>
    <w:rsid w:val="00786D86"/>
    <w:rsid w:val="00786E59"/>
    <w:rsid w:val="00787141"/>
    <w:rsid w:val="00787238"/>
    <w:rsid w:val="00787293"/>
    <w:rsid w:val="00787302"/>
    <w:rsid w:val="0078731E"/>
    <w:rsid w:val="0078739C"/>
    <w:rsid w:val="007873BB"/>
    <w:rsid w:val="00787561"/>
    <w:rsid w:val="007875B0"/>
    <w:rsid w:val="007875B3"/>
    <w:rsid w:val="007878CF"/>
    <w:rsid w:val="00787945"/>
    <w:rsid w:val="00787B0D"/>
    <w:rsid w:val="00787B8A"/>
    <w:rsid w:val="00787BBB"/>
    <w:rsid w:val="00787BEB"/>
    <w:rsid w:val="00787C90"/>
    <w:rsid w:val="00787D5D"/>
    <w:rsid w:val="00787E09"/>
    <w:rsid w:val="00787F8E"/>
    <w:rsid w:val="0079038E"/>
    <w:rsid w:val="007903FE"/>
    <w:rsid w:val="00790518"/>
    <w:rsid w:val="0079054B"/>
    <w:rsid w:val="00790573"/>
    <w:rsid w:val="00790657"/>
    <w:rsid w:val="007906A8"/>
    <w:rsid w:val="007906F1"/>
    <w:rsid w:val="007907CC"/>
    <w:rsid w:val="007908AC"/>
    <w:rsid w:val="007909A5"/>
    <w:rsid w:val="00790A17"/>
    <w:rsid w:val="00790A24"/>
    <w:rsid w:val="00790A8A"/>
    <w:rsid w:val="00790F41"/>
    <w:rsid w:val="00791126"/>
    <w:rsid w:val="00791607"/>
    <w:rsid w:val="0079166A"/>
    <w:rsid w:val="00791893"/>
    <w:rsid w:val="007918ED"/>
    <w:rsid w:val="0079194F"/>
    <w:rsid w:val="00791AA5"/>
    <w:rsid w:val="00791B5F"/>
    <w:rsid w:val="00791C27"/>
    <w:rsid w:val="00791E68"/>
    <w:rsid w:val="007921AF"/>
    <w:rsid w:val="007921BA"/>
    <w:rsid w:val="007921C2"/>
    <w:rsid w:val="00792358"/>
    <w:rsid w:val="0079236F"/>
    <w:rsid w:val="0079238C"/>
    <w:rsid w:val="007923F8"/>
    <w:rsid w:val="007924F5"/>
    <w:rsid w:val="007925C8"/>
    <w:rsid w:val="00792924"/>
    <w:rsid w:val="007929DB"/>
    <w:rsid w:val="00792B70"/>
    <w:rsid w:val="00792D28"/>
    <w:rsid w:val="00792EE2"/>
    <w:rsid w:val="0079304D"/>
    <w:rsid w:val="007933FA"/>
    <w:rsid w:val="00793657"/>
    <w:rsid w:val="00793815"/>
    <w:rsid w:val="007938EF"/>
    <w:rsid w:val="007939AF"/>
    <w:rsid w:val="00793A36"/>
    <w:rsid w:val="00793C2A"/>
    <w:rsid w:val="00793DAC"/>
    <w:rsid w:val="00793F26"/>
    <w:rsid w:val="00794436"/>
    <w:rsid w:val="007944EA"/>
    <w:rsid w:val="007945B4"/>
    <w:rsid w:val="007947F5"/>
    <w:rsid w:val="0079481F"/>
    <w:rsid w:val="00794862"/>
    <w:rsid w:val="00794880"/>
    <w:rsid w:val="007948EE"/>
    <w:rsid w:val="00794A05"/>
    <w:rsid w:val="00794A15"/>
    <w:rsid w:val="00794B0B"/>
    <w:rsid w:val="00794B8D"/>
    <w:rsid w:val="00794D12"/>
    <w:rsid w:val="00794DE2"/>
    <w:rsid w:val="00794EA5"/>
    <w:rsid w:val="00794ECD"/>
    <w:rsid w:val="00794F05"/>
    <w:rsid w:val="00794F14"/>
    <w:rsid w:val="007950A7"/>
    <w:rsid w:val="007950E2"/>
    <w:rsid w:val="00795317"/>
    <w:rsid w:val="00795888"/>
    <w:rsid w:val="00795AE2"/>
    <w:rsid w:val="00795D26"/>
    <w:rsid w:val="007960BA"/>
    <w:rsid w:val="00796867"/>
    <w:rsid w:val="0079687C"/>
    <w:rsid w:val="00796AF2"/>
    <w:rsid w:val="00796BDA"/>
    <w:rsid w:val="00796C05"/>
    <w:rsid w:val="00796D58"/>
    <w:rsid w:val="00796F33"/>
    <w:rsid w:val="00796FB4"/>
    <w:rsid w:val="00797102"/>
    <w:rsid w:val="007971AF"/>
    <w:rsid w:val="007972BD"/>
    <w:rsid w:val="007974DB"/>
    <w:rsid w:val="00797A0A"/>
    <w:rsid w:val="00797BBD"/>
    <w:rsid w:val="00797CE1"/>
    <w:rsid w:val="00797DBF"/>
    <w:rsid w:val="00797E66"/>
    <w:rsid w:val="007A018D"/>
    <w:rsid w:val="007A026C"/>
    <w:rsid w:val="007A030E"/>
    <w:rsid w:val="007A0391"/>
    <w:rsid w:val="007A0404"/>
    <w:rsid w:val="007A043D"/>
    <w:rsid w:val="007A0464"/>
    <w:rsid w:val="007A0654"/>
    <w:rsid w:val="007A0707"/>
    <w:rsid w:val="007A0767"/>
    <w:rsid w:val="007A07D4"/>
    <w:rsid w:val="007A0AAA"/>
    <w:rsid w:val="007A0B37"/>
    <w:rsid w:val="007A0B6D"/>
    <w:rsid w:val="007A0E07"/>
    <w:rsid w:val="007A0EBD"/>
    <w:rsid w:val="007A147F"/>
    <w:rsid w:val="007A17DE"/>
    <w:rsid w:val="007A1ABC"/>
    <w:rsid w:val="007A1BAA"/>
    <w:rsid w:val="007A1C19"/>
    <w:rsid w:val="007A1DB6"/>
    <w:rsid w:val="007A20C6"/>
    <w:rsid w:val="007A21EA"/>
    <w:rsid w:val="007A2527"/>
    <w:rsid w:val="007A2757"/>
    <w:rsid w:val="007A2852"/>
    <w:rsid w:val="007A287B"/>
    <w:rsid w:val="007A28A6"/>
    <w:rsid w:val="007A2A56"/>
    <w:rsid w:val="007A2A65"/>
    <w:rsid w:val="007A2B64"/>
    <w:rsid w:val="007A2BAB"/>
    <w:rsid w:val="007A2CCE"/>
    <w:rsid w:val="007A2D06"/>
    <w:rsid w:val="007A2D8F"/>
    <w:rsid w:val="007A3089"/>
    <w:rsid w:val="007A336F"/>
    <w:rsid w:val="007A34FF"/>
    <w:rsid w:val="007A351D"/>
    <w:rsid w:val="007A3633"/>
    <w:rsid w:val="007A3740"/>
    <w:rsid w:val="007A37E6"/>
    <w:rsid w:val="007A39C0"/>
    <w:rsid w:val="007A39DA"/>
    <w:rsid w:val="007A3BA7"/>
    <w:rsid w:val="007A3DBF"/>
    <w:rsid w:val="007A3DFE"/>
    <w:rsid w:val="007A3F24"/>
    <w:rsid w:val="007A40B9"/>
    <w:rsid w:val="007A40D5"/>
    <w:rsid w:val="007A41FA"/>
    <w:rsid w:val="007A4241"/>
    <w:rsid w:val="007A42A9"/>
    <w:rsid w:val="007A44CE"/>
    <w:rsid w:val="007A4644"/>
    <w:rsid w:val="007A47BB"/>
    <w:rsid w:val="007A4888"/>
    <w:rsid w:val="007A4B1F"/>
    <w:rsid w:val="007A5009"/>
    <w:rsid w:val="007A505F"/>
    <w:rsid w:val="007A51BF"/>
    <w:rsid w:val="007A53EC"/>
    <w:rsid w:val="007A55B0"/>
    <w:rsid w:val="007A59C1"/>
    <w:rsid w:val="007A59E1"/>
    <w:rsid w:val="007A5E90"/>
    <w:rsid w:val="007A5EB0"/>
    <w:rsid w:val="007A5FC2"/>
    <w:rsid w:val="007A5FF7"/>
    <w:rsid w:val="007A60D4"/>
    <w:rsid w:val="007A6373"/>
    <w:rsid w:val="007A65AA"/>
    <w:rsid w:val="007A6724"/>
    <w:rsid w:val="007A69CD"/>
    <w:rsid w:val="007A6AC2"/>
    <w:rsid w:val="007A6B9B"/>
    <w:rsid w:val="007A6E62"/>
    <w:rsid w:val="007A7181"/>
    <w:rsid w:val="007A736E"/>
    <w:rsid w:val="007A7446"/>
    <w:rsid w:val="007A74E3"/>
    <w:rsid w:val="007A76EF"/>
    <w:rsid w:val="007A77D1"/>
    <w:rsid w:val="007A7817"/>
    <w:rsid w:val="007A78DE"/>
    <w:rsid w:val="007A790B"/>
    <w:rsid w:val="007A790E"/>
    <w:rsid w:val="007A791F"/>
    <w:rsid w:val="007A7944"/>
    <w:rsid w:val="007A7AE8"/>
    <w:rsid w:val="007A7D68"/>
    <w:rsid w:val="007A7E39"/>
    <w:rsid w:val="007A7E72"/>
    <w:rsid w:val="007A7E87"/>
    <w:rsid w:val="007A7F5B"/>
    <w:rsid w:val="007B026E"/>
    <w:rsid w:val="007B03F8"/>
    <w:rsid w:val="007B05A3"/>
    <w:rsid w:val="007B06E8"/>
    <w:rsid w:val="007B0738"/>
    <w:rsid w:val="007B0936"/>
    <w:rsid w:val="007B09F6"/>
    <w:rsid w:val="007B0A4E"/>
    <w:rsid w:val="007B0B3F"/>
    <w:rsid w:val="007B0C22"/>
    <w:rsid w:val="007B0DC0"/>
    <w:rsid w:val="007B0DE6"/>
    <w:rsid w:val="007B0E10"/>
    <w:rsid w:val="007B1032"/>
    <w:rsid w:val="007B1063"/>
    <w:rsid w:val="007B11F5"/>
    <w:rsid w:val="007B1285"/>
    <w:rsid w:val="007B153E"/>
    <w:rsid w:val="007B1956"/>
    <w:rsid w:val="007B196E"/>
    <w:rsid w:val="007B19C2"/>
    <w:rsid w:val="007B19CD"/>
    <w:rsid w:val="007B1C82"/>
    <w:rsid w:val="007B1D4C"/>
    <w:rsid w:val="007B1EFA"/>
    <w:rsid w:val="007B2172"/>
    <w:rsid w:val="007B23A6"/>
    <w:rsid w:val="007B2527"/>
    <w:rsid w:val="007B25B0"/>
    <w:rsid w:val="007B266E"/>
    <w:rsid w:val="007B270D"/>
    <w:rsid w:val="007B284A"/>
    <w:rsid w:val="007B29D8"/>
    <w:rsid w:val="007B2B44"/>
    <w:rsid w:val="007B3335"/>
    <w:rsid w:val="007B3554"/>
    <w:rsid w:val="007B3766"/>
    <w:rsid w:val="007B38A8"/>
    <w:rsid w:val="007B3972"/>
    <w:rsid w:val="007B3A6C"/>
    <w:rsid w:val="007B3DE1"/>
    <w:rsid w:val="007B4102"/>
    <w:rsid w:val="007B4229"/>
    <w:rsid w:val="007B424D"/>
    <w:rsid w:val="007B45BC"/>
    <w:rsid w:val="007B464C"/>
    <w:rsid w:val="007B4655"/>
    <w:rsid w:val="007B49CE"/>
    <w:rsid w:val="007B4AA6"/>
    <w:rsid w:val="007B4B89"/>
    <w:rsid w:val="007B4BB9"/>
    <w:rsid w:val="007B4DCA"/>
    <w:rsid w:val="007B4E32"/>
    <w:rsid w:val="007B4EF7"/>
    <w:rsid w:val="007B50BF"/>
    <w:rsid w:val="007B5104"/>
    <w:rsid w:val="007B51C3"/>
    <w:rsid w:val="007B51D7"/>
    <w:rsid w:val="007B5695"/>
    <w:rsid w:val="007B590A"/>
    <w:rsid w:val="007B59CC"/>
    <w:rsid w:val="007B5A6E"/>
    <w:rsid w:val="007B5AC8"/>
    <w:rsid w:val="007B5DA9"/>
    <w:rsid w:val="007B6391"/>
    <w:rsid w:val="007B63AA"/>
    <w:rsid w:val="007B63CD"/>
    <w:rsid w:val="007B63DB"/>
    <w:rsid w:val="007B6547"/>
    <w:rsid w:val="007B6667"/>
    <w:rsid w:val="007B66E6"/>
    <w:rsid w:val="007B67ED"/>
    <w:rsid w:val="007B680F"/>
    <w:rsid w:val="007B683B"/>
    <w:rsid w:val="007B6885"/>
    <w:rsid w:val="007B6906"/>
    <w:rsid w:val="007B6990"/>
    <w:rsid w:val="007B69BD"/>
    <w:rsid w:val="007B6A2B"/>
    <w:rsid w:val="007B6B40"/>
    <w:rsid w:val="007B6CCE"/>
    <w:rsid w:val="007B6E13"/>
    <w:rsid w:val="007B6F0F"/>
    <w:rsid w:val="007B708B"/>
    <w:rsid w:val="007B7185"/>
    <w:rsid w:val="007B71B3"/>
    <w:rsid w:val="007B720C"/>
    <w:rsid w:val="007B720F"/>
    <w:rsid w:val="007B7220"/>
    <w:rsid w:val="007B724E"/>
    <w:rsid w:val="007B75C1"/>
    <w:rsid w:val="007B768D"/>
    <w:rsid w:val="007B7697"/>
    <w:rsid w:val="007B7933"/>
    <w:rsid w:val="007B79D8"/>
    <w:rsid w:val="007B7ABA"/>
    <w:rsid w:val="007B7C80"/>
    <w:rsid w:val="007B7CCB"/>
    <w:rsid w:val="007B7CED"/>
    <w:rsid w:val="007B7D37"/>
    <w:rsid w:val="007B7EFA"/>
    <w:rsid w:val="007B7F4B"/>
    <w:rsid w:val="007C024A"/>
    <w:rsid w:val="007C0326"/>
    <w:rsid w:val="007C038D"/>
    <w:rsid w:val="007C05A7"/>
    <w:rsid w:val="007C05E1"/>
    <w:rsid w:val="007C0673"/>
    <w:rsid w:val="007C06C8"/>
    <w:rsid w:val="007C0A42"/>
    <w:rsid w:val="007C0A9C"/>
    <w:rsid w:val="007C0E9F"/>
    <w:rsid w:val="007C0F25"/>
    <w:rsid w:val="007C0F92"/>
    <w:rsid w:val="007C1297"/>
    <w:rsid w:val="007C136A"/>
    <w:rsid w:val="007C136F"/>
    <w:rsid w:val="007C1386"/>
    <w:rsid w:val="007C13ED"/>
    <w:rsid w:val="007C1430"/>
    <w:rsid w:val="007C15B0"/>
    <w:rsid w:val="007C164B"/>
    <w:rsid w:val="007C16B2"/>
    <w:rsid w:val="007C17ED"/>
    <w:rsid w:val="007C1951"/>
    <w:rsid w:val="007C19D0"/>
    <w:rsid w:val="007C1A89"/>
    <w:rsid w:val="007C1A8E"/>
    <w:rsid w:val="007C1AC1"/>
    <w:rsid w:val="007C1BFF"/>
    <w:rsid w:val="007C1C66"/>
    <w:rsid w:val="007C1E58"/>
    <w:rsid w:val="007C1EA2"/>
    <w:rsid w:val="007C2139"/>
    <w:rsid w:val="007C22E7"/>
    <w:rsid w:val="007C276D"/>
    <w:rsid w:val="007C27E1"/>
    <w:rsid w:val="007C29AF"/>
    <w:rsid w:val="007C2B48"/>
    <w:rsid w:val="007C2F20"/>
    <w:rsid w:val="007C2F9D"/>
    <w:rsid w:val="007C2FA9"/>
    <w:rsid w:val="007C303C"/>
    <w:rsid w:val="007C3155"/>
    <w:rsid w:val="007C34CC"/>
    <w:rsid w:val="007C36C8"/>
    <w:rsid w:val="007C36D3"/>
    <w:rsid w:val="007C36EB"/>
    <w:rsid w:val="007C38CD"/>
    <w:rsid w:val="007C3B4C"/>
    <w:rsid w:val="007C3D38"/>
    <w:rsid w:val="007C3DCB"/>
    <w:rsid w:val="007C3DF5"/>
    <w:rsid w:val="007C3E48"/>
    <w:rsid w:val="007C3F9B"/>
    <w:rsid w:val="007C42C1"/>
    <w:rsid w:val="007C431A"/>
    <w:rsid w:val="007C4334"/>
    <w:rsid w:val="007C4392"/>
    <w:rsid w:val="007C43AF"/>
    <w:rsid w:val="007C44E2"/>
    <w:rsid w:val="007C45F3"/>
    <w:rsid w:val="007C45F5"/>
    <w:rsid w:val="007C4708"/>
    <w:rsid w:val="007C492C"/>
    <w:rsid w:val="007C4CE9"/>
    <w:rsid w:val="007C4CFB"/>
    <w:rsid w:val="007C4F78"/>
    <w:rsid w:val="007C50C9"/>
    <w:rsid w:val="007C552E"/>
    <w:rsid w:val="007C5646"/>
    <w:rsid w:val="007C569E"/>
    <w:rsid w:val="007C5795"/>
    <w:rsid w:val="007C5840"/>
    <w:rsid w:val="007C5891"/>
    <w:rsid w:val="007C58F1"/>
    <w:rsid w:val="007C5969"/>
    <w:rsid w:val="007C596F"/>
    <w:rsid w:val="007C5B87"/>
    <w:rsid w:val="007C5D20"/>
    <w:rsid w:val="007C5DE9"/>
    <w:rsid w:val="007C5FED"/>
    <w:rsid w:val="007C618B"/>
    <w:rsid w:val="007C61DA"/>
    <w:rsid w:val="007C6355"/>
    <w:rsid w:val="007C65C1"/>
    <w:rsid w:val="007C6A2A"/>
    <w:rsid w:val="007C6AB9"/>
    <w:rsid w:val="007C6BBA"/>
    <w:rsid w:val="007C6D10"/>
    <w:rsid w:val="007C7079"/>
    <w:rsid w:val="007C744D"/>
    <w:rsid w:val="007C75A4"/>
    <w:rsid w:val="007C75A9"/>
    <w:rsid w:val="007C764E"/>
    <w:rsid w:val="007C76E6"/>
    <w:rsid w:val="007C76EC"/>
    <w:rsid w:val="007C7713"/>
    <w:rsid w:val="007C7752"/>
    <w:rsid w:val="007C7843"/>
    <w:rsid w:val="007C79D4"/>
    <w:rsid w:val="007C7ACF"/>
    <w:rsid w:val="007C7B00"/>
    <w:rsid w:val="007C7DC2"/>
    <w:rsid w:val="007C7F06"/>
    <w:rsid w:val="007C7F12"/>
    <w:rsid w:val="007D03EF"/>
    <w:rsid w:val="007D056F"/>
    <w:rsid w:val="007D058D"/>
    <w:rsid w:val="007D05BB"/>
    <w:rsid w:val="007D06E3"/>
    <w:rsid w:val="007D0738"/>
    <w:rsid w:val="007D0818"/>
    <w:rsid w:val="007D0924"/>
    <w:rsid w:val="007D0D1A"/>
    <w:rsid w:val="007D0E92"/>
    <w:rsid w:val="007D0F2B"/>
    <w:rsid w:val="007D11C2"/>
    <w:rsid w:val="007D11C5"/>
    <w:rsid w:val="007D12BE"/>
    <w:rsid w:val="007D142B"/>
    <w:rsid w:val="007D16F0"/>
    <w:rsid w:val="007D17F2"/>
    <w:rsid w:val="007D1923"/>
    <w:rsid w:val="007D19E7"/>
    <w:rsid w:val="007D1A12"/>
    <w:rsid w:val="007D1B8E"/>
    <w:rsid w:val="007D20B7"/>
    <w:rsid w:val="007D20FF"/>
    <w:rsid w:val="007D215A"/>
    <w:rsid w:val="007D23DD"/>
    <w:rsid w:val="007D23E9"/>
    <w:rsid w:val="007D23FB"/>
    <w:rsid w:val="007D24B4"/>
    <w:rsid w:val="007D251E"/>
    <w:rsid w:val="007D296C"/>
    <w:rsid w:val="007D2BD9"/>
    <w:rsid w:val="007D2C5C"/>
    <w:rsid w:val="007D2D21"/>
    <w:rsid w:val="007D2E00"/>
    <w:rsid w:val="007D30E1"/>
    <w:rsid w:val="007D3123"/>
    <w:rsid w:val="007D31D5"/>
    <w:rsid w:val="007D3215"/>
    <w:rsid w:val="007D3270"/>
    <w:rsid w:val="007D3415"/>
    <w:rsid w:val="007D34B4"/>
    <w:rsid w:val="007D3BD0"/>
    <w:rsid w:val="007D3C6A"/>
    <w:rsid w:val="007D3CCB"/>
    <w:rsid w:val="007D4115"/>
    <w:rsid w:val="007D483D"/>
    <w:rsid w:val="007D497F"/>
    <w:rsid w:val="007D49B7"/>
    <w:rsid w:val="007D4B5E"/>
    <w:rsid w:val="007D4B7E"/>
    <w:rsid w:val="007D4BA2"/>
    <w:rsid w:val="007D4C48"/>
    <w:rsid w:val="007D4C49"/>
    <w:rsid w:val="007D4F83"/>
    <w:rsid w:val="007D5011"/>
    <w:rsid w:val="007D5030"/>
    <w:rsid w:val="007D51EF"/>
    <w:rsid w:val="007D5462"/>
    <w:rsid w:val="007D5653"/>
    <w:rsid w:val="007D5668"/>
    <w:rsid w:val="007D571B"/>
    <w:rsid w:val="007D5776"/>
    <w:rsid w:val="007D597D"/>
    <w:rsid w:val="007D59C9"/>
    <w:rsid w:val="007D59F2"/>
    <w:rsid w:val="007D5A24"/>
    <w:rsid w:val="007D5BDE"/>
    <w:rsid w:val="007D5ECF"/>
    <w:rsid w:val="007D5FA6"/>
    <w:rsid w:val="007D60A0"/>
    <w:rsid w:val="007D6114"/>
    <w:rsid w:val="007D66FB"/>
    <w:rsid w:val="007D6770"/>
    <w:rsid w:val="007D68B7"/>
    <w:rsid w:val="007D69B6"/>
    <w:rsid w:val="007D6AE8"/>
    <w:rsid w:val="007D6B92"/>
    <w:rsid w:val="007D70EA"/>
    <w:rsid w:val="007D73EA"/>
    <w:rsid w:val="007D7588"/>
    <w:rsid w:val="007D768E"/>
    <w:rsid w:val="007D76DB"/>
    <w:rsid w:val="007D7BB4"/>
    <w:rsid w:val="007D7BC2"/>
    <w:rsid w:val="007D7FFC"/>
    <w:rsid w:val="007E0194"/>
    <w:rsid w:val="007E02FB"/>
    <w:rsid w:val="007E030D"/>
    <w:rsid w:val="007E06AF"/>
    <w:rsid w:val="007E06F2"/>
    <w:rsid w:val="007E0869"/>
    <w:rsid w:val="007E0870"/>
    <w:rsid w:val="007E0902"/>
    <w:rsid w:val="007E09DA"/>
    <w:rsid w:val="007E0CAA"/>
    <w:rsid w:val="007E0F4E"/>
    <w:rsid w:val="007E1052"/>
    <w:rsid w:val="007E1126"/>
    <w:rsid w:val="007E142A"/>
    <w:rsid w:val="007E16E5"/>
    <w:rsid w:val="007E1887"/>
    <w:rsid w:val="007E1931"/>
    <w:rsid w:val="007E1A3E"/>
    <w:rsid w:val="007E1AD1"/>
    <w:rsid w:val="007E1BCE"/>
    <w:rsid w:val="007E1D14"/>
    <w:rsid w:val="007E1DD0"/>
    <w:rsid w:val="007E1F0C"/>
    <w:rsid w:val="007E1F50"/>
    <w:rsid w:val="007E20DB"/>
    <w:rsid w:val="007E2100"/>
    <w:rsid w:val="007E212F"/>
    <w:rsid w:val="007E24AC"/>
    <w:rsid w:val="007E270E"/>
    <w:rsid w:val="007E276D"/>
    <w:rsid w:val="007E2878"/>
    <w:rsid w:val="007E2C06"/>
    <w:rsid w:val="007E2D0C"/>
    <w:rsid w:val="007E2EE7"/>
    <w:rsid w:val="007E3005"/>
    <w:rsid w:val="007E3176"/>
    <w:rsid w:val="007E325B"/>
    <w:rsid w:val="007E32A8"/>
    <w:rsid w:val="007E33A0"/>
    <w:rsid w:val="007E3478"/>
    <w:rsid w:val="007E3632"/>
    <w:rsid w:val="007E377A"/>
    <w:rsid w:val="007E3937"/>
    <w:rsid w:val="007E399B"/>
    <w:rsid w:val="007E3D89"/>
    <w:rsid w:val="007E3DA3"/>
    <w:rsid w:val="007E3EB7"/>
    <w:rsid w:val="007E401C"/>
    <w:rsid w:val="007E404C"/>
    <w:rsid w:val="007E41AB"/>
    <w:rsid w:val="007E4215"/>
    <w:rsid w:val="007E4392"/>
    <w:rsid w:val="007E43A1"/>
    <w:rsid w:val="007E43B5"/>
    <w:rsid w:val="007E43D2"/>
    <w:rsid w:val="007E4517"/>
    <w:rsid w:val="007E47B4"/>
    <w:rsid w:val="007E47BE"/>
    <w:rsid w:val="007E4B1B"/>
    <w:rsid w:val="007E4BE8"/>
    <w:rsid w:val="007E4BF6"/>
    <w:rsid w:val="007E4CC3"/>
    <w:rsid w:val="007E4E48"/>
    <w:rsid w:val="007E4FB9"/>
    <w:rsid w:val="007E5062"/>
    <w:rsid w:val="007E510E"/>
    <w:rsid w:val="007E524E"/>
    <w:rsid w:val="007E5802"/>
    <w:rsid w:val="007E5C38"/>
    <w:rsid w:val="007E5C89"/>
    <w:rsid w:val="007E5DD3"/>
    <w:rsid w:val="007E600B"/>
    <w:rsid w:val="007E62A7"/>
    <w:rsid w:val="007E66FA"/>
    <w:rsid w:val="007E67A5"/>
    <w:rsid w:val="007E686E"/>
    <w:rsid w:val="007E698E"/>
    <w:rsid w:val="007E6AEE"/>
    <w:rsid w:val="007E6D5B"/>
    <w:rsid w:val="007E6E54"/>
    <w:rsid w:val="007E6F77"/>
    <w:rsid w:val="007E71C2"/>
    <w:rsid w:val="007E7624"/>
    <w:rsid w:val="007E7673"/>
    <w:rsid w:val="007E7735"/>
    <w:rsid w:val="007E7936"/>
    <w:rsid w:val="007E7950"/>
    <w:rsid w:val="007E7989"/>
    <w:rsid w:val="007E79CC"/>
    <w:rsid w:val="007E7A05"/>
    <w:rsid w:val="007E7A18"/>
    <w:rsid w:val="007E7C3C"/>
    <w:rsid w:val="007E7E9E"/>
    <w:rsid w:val="007E7F0D"/>
    <w:rsid w:val="007F0075"/>
    <w:rsid w:val="007F0198"/>
    <w:rsid w:val="007F0331"/>
    <w:rsid w:val="007F0427"/>
    <w:rsid w:val="007F079B"/>
    <w:rsid w:val="007F0806"/>
    <w:rsid w:val="007F0809"/>
    <w:rsid w:val="007F08A1"/>
    <w:rsid w:val="007F097D"/>
    <w:rsid w:val="007F0B9E"/>
    <w:rsid w:val="007F0C9D"/>
    <w:rsid w:val="007F0CEA"/>
    <w:rsid w:val="007F0D21"/>
    <w:rsid w:val="007F0F54"/>
    <w:rsid w:val="007F0FA4"/>
    <w:rsid w:val="007F10CF"/>
    <w:rsid w:val="007F11F2"/>
    <w:rsid w:val="007F1329"/>
    <w:rsid w:val="007F1450"/>
    <w:rsid w:val="007F1526"/>
    <w:rsid w:val="007F1569"/>
    <w:rsid w:val="007F17D1"/>
    <w:rsid w:val="007F1A28"/>
    <w:rsid w:val="007F1A74"/>
    <w:rsid w:val="007F1B75"/>
    <w:rsid w:val="007F1C50"/>
    <w:rsid w:val="007F1DE6"/>
    <w:rsid w:val="007F1EBA"/>
    <w:rsid w:val="007F2042"/>
    <w:rsid w:val="007F207B"/>
    <w:rsid w:val="007F20DB"/>
    <w:rsid w:val="007F2191"/>
    <w:rsid w:val="007F22A7"/>
    <w:rsid w:val="007F22AE"/>
    <w:rsid w:val="007F22D0"/>
    <w:rsid w:val="007F25DC"/>
    <w:rsid w:val="007F25F1"/>
    <w:rsid w:val="007F26BB"/>
    <w:rsid w:val="007F2736"/>
    <w:rsid w:val="007F2833"/>
    <w:rsid w:val="007F287D"/>
    <w:rsid w:val="007F288A"/>
    <w:rsid w:val="007F2AD9"/>
    <w:rsid w:val="007F2BAE"/>
    <w:rsid w:val="007F2D56"/>
    <w:rsid w:val="007F3202"/>
    <w:rsid w:val="007F3286"/>
    <w:rsid w:val="007F333B"/>
    <w:rsid w:val="007F3565"/>
    <w:rsid w:val="007F360E"/>
    <w:rsid w:val="007F3817"/>
    <w:rsid w:val="007F3871"/>
    <w:rsid w:val="007F392A"/>
    <w:rsid w:val="007F3CDA"/>
    <w:rsid w:val="007F3D14"/>
    <w:rsid w:val="007F3DA0"/>
    <w:rsid w:val="007F414D"/>
    <w:rsid w:val="007F42B6"/>
    <w:rsid w:val="007F4454"/>
    <w:rsid w:val="007F44EF"/>
    <w:rsid w:val="007F47BA"/>
    <w:rsid w:val="007F4833"/>
    <w:rsid w:val="007F4864"/>
    <w:rsid w:val="007F48F3"/>
    <w:rsid w:val="007F4A2B"/>
    <w:rsid w:val="007F4B53"/>
    <w:rsid w:val="007F4BB3"/>
    <w:rsid w:val="007F4DC2"/>
    <w:rsid w:val="007F4EB7"/>
    <w:rsid w:val="007F4F93"/>
    <w:rsid w:val="007F5067"/>
    <w:rsid w:val="007F5294"/>
    <w:rsid w:val="007F53F2"/>
    <w:rsid w:val="007F5724"/>
    <w:rsid w:val="007F57AD"/>
    <w:rsid w:val="007F57C9"/>
    <w:rsid w:val="007F5886"/>
    <w:rsid w:val="007F5A22"/>
    <w:rsid w:val="007F5AB0"/>
    <w:rsid w:val="007F5C0F"/>
    <w:rsid w:val="007F5CC0"/>
    <w:rsid w:val="007F5ECE"/>
    <w:rsid w:val="007F6134"/>
    <w:rsid w:val="007F61F2"/>
    <w:rsid w:val="007F62CF"/>
    <w:rsid w:val="007F6354"/>
    <w:rsid w:val="007F642D"/>
    <w:rsid w:val="007F657B"/>
    <w:rsid w:val="007F65C0"/>
    <w:rsid w:val="007F6614"/>
    <w:rsid w:val="007F663B"/>
    <w:rsid w:val="007F66E0"/>
    <w:rsid w:val="007F694E"/>
    <w:rsid w:val="007F6A03"/>
    <w:rsid w:val="007F6A41"/>
    <w:rsid w:val="007F6B14"/>
    <w:rsid w:val="007F6B79"/>
    <w:rsid w:val="007F6C3F"/>
    <w:rsid w:val="007F6D0C"/>
    <w:rsid w:val="007F6E9A"/>
    <w:rsid w:val="007F71C6"/>
    <w:rsid w:val="007F72B5"/>
    <w:rsid w:val="007F752A"/>
    <w:rsid w:val="007F767F"/>
    <w:rsid w:val="007F7709"/>
    <w:rsid w:val="007F781D"/>
    <w:rsid w:val="007F78F4"/>
    <w:rsid w:val="007F7C54"/>
    <w:rsid w:val="007F7D57"/>
    <w:rsid w:val="007F7D99"/>
    <w:rsid w:val="007F7F29"/>
    <w:rsid w:val="00800373"/>
    <w:rsid w:val="008006C6"/>
    <w:rsid w:val="008008C3"/>
    <w:rsid w:val="00800980"/>
    <w:rsid w:val="00800BD1"/>
    <w:rsid w:val="00800BEF"/>
    <w:rsid w:val="00800E2F"/>
    <w:rsid w:val="00800ED0"/>
    <w:rsid w:val="00801064"/>
    <w:rsid w:val="008010A5"/>
    <w:rsid w:val="0080115A"/>
    <w:rsid w:val="00801344"/>
    <w:rsid w:val="0080185D"/>
    <w:rsid w:val="00801AEB"/>
    <w:rsid w:val="00801BFC"/>
    <w:rsid w:val="00801D6C"/>
    <w:rsid w:val="00801D97"/>
    <w:rsid w:val="00801DBE"/>
    <w:rsid w:val="00801EF8"/>
    <w:rsid w:val="00802482"/>
    <w:rsid w:val="008029B1"/>
    <w:rsid w:val="00802B37"/>
    <w:rsid w:val="00802C1C"/>
    <w:rsid w:val="008031D7"/>
    <w:rsid w:val="008032A8"/>
    <w:rsid w:val="00803466"/>
    <w:rsid w:val="008034C2"/>
    <w:rsid w:val="008035D8"/>
    <w:rsid w:val="0080375B"/>
    <w:rsid w:val="00803778"/>
    <w:rsid w:val="008037A1"/>
    <w:rsid w:val="00803BEA"/>
    <w:rsid w:val="00803C87"/>
    <w:rsid w:val="00803DFA"/>
    <w:rsid w:val="00804057"/>
    <w:rsid w:val="00804209"/>
    <w:rsid w:val="008044B4"/>
    <w:rsid w:val="00804525"/>
    <w:rsid w:val="00804744"/>
    <w:rsid w:val="00804767"/>
    <w:rsid w:val="00804895"/>
    <w:rsid w:val="00804909"/>
    <w:rsid w:val="00804B28"/>
    <w:rsid w:val="00804B41"/>
    <w:rsid w:val="00804C18"/>
    <w:rsid w:val="00804C51"/>
    <w:rsid w:val="00804DBD"/>
    <w:rsid w:val="00804EAF"/>
    <w:rsid w:val="00805569"/>
    <w:rsid w:val="00805739"/>
    <w:rsid w:val="008058B7"/>
    <w:rsid w:val="008059E0"/>
    <w:rsid w:val="00805BAE"/>
    <w:rsid w:val="00805BCE"/>
    <w:rsid w:val="00806014"/>
    <w:rsid w:val="00806098"/>
    <w:rsid w:val="008061B5"/>
    <w:rsid w:val="00806397"/>
    <w:rsid w:val="008066A7"/>
    <w:rsid w:val="008066E9"/>
    <w:rsid w:val="00806807"/>
    <w:rsid w:val="008069C7"/>
    <w:rsid w:val="00806B06"/>
    <w:rsid w:val="00806C0D"/>
    <w:rsid w:val="0080702E"/>
    <w:rsid w:val="0080702F"/>
    <w:rsid w:val="008070A9"/>
    <w:rsid w:val="008071D4"/>
    <w:rsid w:val="0080737E"/>
    <w:rsid w:val="00807445"/>
    <w:rsid w:val="008075DA"/>
    <w:rsid w:val="00807600"/>
    <w:rsid w:val="008078A9"/>
    <w:rsid w:val="008078CA"/>
    <w:rsid w:val="00807CAA"/>
    <w:rsid w:val="00807E42"/>
    <w:rsid w:val="00807EA1"/>
    <w:rsid w:val="00807F67"/>
    <w:rsid w:val="0081024B"/>
    <w:rsid w:val="0081044C"/>
    <w:rsid w:val="008104E5"/>
    <w:rsid w:val="00810A5A"/>
    <w:rsid w:val="00810B28"/>
    <w:rsid w:val="00810C0C"/>
    <w:rsid w:val="00810F2F"/>
    <w:rsid w:val="00810F8D"/>
    <w:rsid w:val="0081105B"/>
    <w:rsid w:val="00811098"/>
    <w:rsid w:val="00811102"/>
    <w:rsid w:val="0081113C"/>
    <w:rsid w:val="00811165"/>
    <w:rsid w:val="0081126F"/>
    <w:rsid w:val="00811738"/>
    <w:rsid w:val="008118B4"/>
    <w:rsid w:val="008118BE"/>
    <w:rsid w:val="008119A0"/>
    <w:rsid w:val="00811AAF"/>
    <w:rsid w:val="00811CA2"/>
    <w:rsid w:val="00811DCA"/>
    <w:rsid w:val="00811DF0"/>
    <w:rsid w:val="00811E4F"/>
    <w:rsid w:val="00811E77"/>
    <w:rsid w:val="00811EF1"/>
    <w:rsid w:val="00811F7F"/>
    <w:rsid w:val="00811F91"/>
    <w:rsid w:val="008120A4"/>
    <w:rsid w:val="00812376"/>
    <w:rsid w:val="0081248F"/>
    <w:rsid w:val="00812492"/>
    <w:rsid w:val="008124B1"/>
    <w:rsid w:val="00812627"/>
    <w:rsid w:val="008126D8"/>
    <w:rsid w:val="00812883"/>
    <w:rsid w:val="00812955"/>
    <w:rsid w:val="00812A0E"/>
    <w:rsid w:val="00812C53"/>
    <w:rsid w:val="00812CB5"/>
    <w:rsid w:val="00812D10"/>
    <w:rsid w:val="00812ED1"/>
    <w:rsid w:val="00812F5E"/>
    <w:rsid w:val="0081307D"/>
    <w:rsid w:val="0081320E"/>
    <w:rsid w:val="00813234"/>
    <w:rsid w:val="0081324A"/>
    <w:rsid w:val="00813507"/>
    <w:rsid w:val="00813AB6"/>
    <w:rsid w:val="00813DF2"/>
    <w:rsid w:val="00813E19"/>
    <w:rsid w:val="008145A3"/>
    <w:rsid w:val="008145DD"/>
    <w:rsid w:val="008145F2"/>
    <w:rsid w:val="00814670"/>
    <w:rsid w:val="008147A4"/>
    <w:rsid w:val="008147CF"/>
    <w:rsid w:val="00814906"/>
    <w:rsid w:val="00814D5C"/>
    <w:rsid w:val="00814DCD"/>
    <w:rsid w:val="00814DED"/>
    <w:rsid w:val="00815010"/>
    <w:rsid w:val="0081503F"/>
    <w:rsid w:val="008150DF"/>
    <w:rsid w:val="0081559C"/>
    <w:rsid w:val="0081568E"/>
    <w:rsid w:val="008157CE"/>
    <w:rsid w:val="00815C03"/>
    <w:rsid w:val="00815C24"/>
    <w:rsid w:val="00815D40"/>
    <w:rsid w:val="00815F49"/>
    <w:rsid w:val="00815F99"/>
    <w:rsid w:val="00815FFD"/>
    <w:rsid w:val="0081626F"/>
    <w:rsid w:val="008162F6"/>
    <w:rsid w:val="00816361"/>
    <w:rsid w:val="008165B5"/>
    <w:rsid w:val="0081660F"/>
    <w:rsid w:val="00816920"/>
    <w:rsid w:val="008169A1"/>
    <w:rsid w:val="00816A14"/>
    <w:rsid w:val="00816D74"/>
    <w:rsid w:val="00816F60"/>
    <w:rsid w:val="008170AB"/>
    <w:rsid w:val="008170B3"/>
    <w:rsid w:val="008170C6"/>
    <w:rsid w:val="0081723A"/>
    <w:rsid w:val="00817303"/>
    <w:rsid w:val="0081737E"/>
    <w:rsid w:val="0081738F"/>
    <w:rsid w:val="00817641"/>
    <w:rsid w:val="008177C6"/>
    <w:rsid w:val="00817830"/>
    <w:rsid w:val="00817842"/>
    <w:rsid w:val="00817930"/>
    <w:rsid w:val="00817B01"/>
    <w:rsid w:val="00817BFB"/>
    <w:rsid w:val="00817C77"/>
    <w:rsid w:val="00817F19"/>
    <w:rsid w:val="0082007F"/>
    <w:rsid w:val="008200C8"/>
    <w:rsid w:val="008203BA"/>
    <w:rsid w:val="008205DF"/>
    <w:rsid w:val="00820647"/>
    <w:rsid w:val="008206B3"/>
    <w:rsid w:val="008207B8"/>
    <w:rsid w:val="008207D9"/>
    <w:rsid w:val="008208BC"/>
    <w:rsid w:val="008208DA"/>
    <w:rsid w:val="008208F9"/>
    <w:rsid w:val="00820B05"/>
    <w:rsid w:val="00820C6A"/>
    <w:rsid w:val="00820EC5"/>
    <w:rsid w:val="008210DE"/>
    <w:rsid w:val="00821223"/>
    <w:rsid w:val="0082125C"/>
    <w:rsid w:val="00821295"/>
    <w:rsid w:val="00821367"/>
    <w:rsid w:val="00821406"/>
    <w:rsid w:val="00821498"/>
    <w:rsid w:val="00821612"/>
    <w:rsid w:val="00821679"/>
    <w:rsid w:val="008217ED"/>
    <w:rsid w:val="008218FB"/>
    <w:rsid w:val="00821A4B"/>
    <w:rsid w:val="00821B9B"/>
    <w:rsid w:val="00821C5D"/>
    <w:rsid w:val="00821CBC"/>
    <w:rsid w:val="00821D5D"/>
    <w:rsid w:val="00821D86"/>
    <w:rsid w:val="00821D9D"/>
    <w:rsid w:val="00821E9B"/>
    <w:rsid w:val="0082203A"/>
    <w:rsid w:val="0082217B"/>
    <w:rsid w:val="008222EA"/>
    <w:rsid w:val="008223A6"/>
    <w:rsid w:val="008223E3"/>
    <w:rsid w:val="0082243B"/>
    <w:rsid w:val="00822A20"/>
    <w:rsid w:val="00822AC6"/>
    <w:rsid w:val="00822B5A"/>
    <w:rsid w:val="00822EDF"/>
    <w:rsid w:val="00822F28"/>
    <w:rsid w:val="00822FC3"/>
    <w:rsid w:val="008230E6"/>
    <w:rsid w:val="008231A7"/>
    <w:rsid w:val="00823223"/>
    <w:rsid w:val="00823501"/>
    <w:rsid w:val="00823696"/>
    <w:rsid w:val="00823775"/>
    <w:rsid w:val="00823903"/>
    <w:rsid w:val="00823A40"/>
    <w:rsid w:val="00823D3D"/>
    <w:rsid w:val="00823D50"/>
    <w:rsid w:val="00823F02"/>
    <w:rsid w:val="00823F6D"/>
    <w:rsid w:val="00823FB3"/>
    <w:rsid w:val="00823FDF"/>
    <w:rsid w:val="008241A7"/>
    <w:rsid w:val="008241EF"/>
    <w:rsid w:val="0082423E"/>
    <w:rsid w:val="00824378"/>
    <w:rsid w:val="0082456B"/>
    <w:rsid w:val="008245BB"/>
    <w:rsid w:val="00824915"/>
    <w:rsid w:val="00824A9D"/>
    <w:rsid w:val="00824C66"/>
    <w:rsid w:val="00824E8E"/>
    <w:rsid w:val="00824EFF"/>
    <w:rsid w:val="00824F25"/>
    <w:rsid w:val="00824F2B"/>
    <w:rsid w:val="00825085"/>
    <w:rsid w:val="008250A6"/>
    <w:rsid w:val="0082512D"/>
    <w:rsid w:val="008251A7"/>
    <w:rsid w:val="00825266"/>
    <w:rsid w:val="00825501"/>
    <w:rsid w:val="00825723"/>
    <w:rsid w:val="008258B5"/>
    <w:rsid w:val="00825951"/>
    <w:rsid w:val="00825B34"/>
    <w:rsid w:val="00825C03"/>
    <w:rsid w:val="00825DEB"/>
    <w:rsid w:val="00825EAD"/>
    <w:rsid w:val="00826190"/>
    <w:rsid w:val="008261C9"/>
    <w:rsid w:val="008261D9"/>
    <w:rsid w:val="00826491"/>
    <w:rsid w:val="00826583"/>
    <w:rsid w:val="00826637"/>
    <w:rsid w:val="00826798"/>
    <w:rsid w:val="008267DB"/>
    <w:rsid w:val="008267E6"/>
    <w:rsid w:val="008269ED"/>
    <w:rsid w:val="00826D12"/>
    <w:rsid w:val="00826E06"/>
    <w:rsid w:val="00826E80"/>
    <w:rsid w:val="00826F76"/>
    <w:rsid w:val="008273BC"/>
    <w:rsid w:val="008273D8"/>
    <w:rsid w:val="0082756C"/>
    <w:rsid w:val="00827750"/>
    <w:rsid w:val="008278CB"/>
    <w:rsid w:val="00827C90"/>
    <w:rsid w:val="00827E49"/>
    <w:rsid w:val="00827F9E"/>
    <w:rsid w:val="008300A5"/>
    <w:rsid w:val="00830294"/>
    <w:rsid w:val="008307FE"/>
    <w:rsid w:val="00830808"/>
    <w:rsid w:val="00830879"/>
    <w:rsid w:val="00830943"/>
    <w:rsid w:val="00830B44"/>
    <w:rsid w:val="00830BF1"/>
    <w:rsid w:val="00830DCF"/>
    <w:rsid w:val="00830F0B"/>
    <w:rsid w:val="00830F25"/>
    <w:rsid w:val="00830F46"/>
    <w:rsid w:val="00831220"/>
    <w:rsid w:val="0083158F"/>
    <w:rsid w:val="0083163B"/>
    <w:rsid w:val="0083163E"/>
    <w:rsid w:val="0083197C"/>
    <w:rsid w:val="00831C65"/>
    <w:rsid w:val="008320B7"/>
    <w:rsid w:val="0083211A"/>
    <w:rsid w:val="008323B4"/>
    <w:rsid w:val="008324C6"/>
    <w:rsid w:val="00832850"/>
    <w:rsid w:val="00832853"/>
    <w:rsid w:val="00832DEA"/>
    <w:rsid w:val="008330C1"/>
    <w:rsid w:val="0083342E"/>
    <w:rsid w:val="0083359F"/>
    <w:rsid w:val="0083384F"/>
    <w:rsid w:val="0083392A"/>
    <w:rsid w:val="0083392D"/>
    <w:rsid w:val="008339AE"/>
    <w:rsid w:val="00833A47"/>
    <w:rsid w:val="00833E0A"/>
    <w:rsid w:val="0083412C"/>
    <w:rsid w:val="00834167"/>
    <w:rsid w:val="008341F7"/>
    <w:rsid w:val="008341FE"/>
    <w:rsid w:val="0083424E"/>
    <w:rsid w:val="008344A4"/>
    <w:rsid w:val="0083457B"/>
    <w:rsid w:val="008345C8"/>
    <w:rsid w:val="008346EA"/>
    <w:rsid w:val="00834889"/>
    <w:rsid w:val="008348F8"/>
    <w:rsid w:val="00834AC1"/>
    <w:rsid w:val="00834B05"/>
    <w:rsid w:val="00834D34"/>
    <w:rsid w:val="0083506D"/>
    <w:rsid w:val="008352A6"/>
    <w:rsid w:val="008353F8"/>
    <w:rsid w:val="008356C3"/>
    <w:rsid w:val="008357F5"/>
    <w:rsid w:val="0083590A"/>
    <w:rsid w:val="00835AC1"/>
    <w:rsid w:val="00835B79"/>
    <w:rsid w:val="00835C6A"/>
    <w:rsid w:val="00835D5E"/>
    <w:rsid w:val="00835E5C"/>
    <w:rsid w:val="0083619E"/>
    <w:rsid w:val="00836298"/>
    <w:rsid w:val="0083640D"/>
    <w:rsid w:val="0083640E"/>
    <w:rsid w:val="0083674C"/>
    <w:rsid w:val="0083678C"/>
    <w:rsid w:val="00836AD5"/>
    <w:rsid w:val="00836B1C"/>
    <w:rsid w:val="00836BF0"/>
    <w:rsid w:val="0083705A"/>
    <w:rsid w:val="0083723C"/>
    <w:rsid w:val="00837490"/>
    <w:rsid w:val="008374E1"/>
    <w:rsid w:val="008374F9"/>
    <w:rsid w:val="008376AD"/>
    <w:rsid w:val="00837807"/>
    <w:rsid w:val="0083791B"/>
    <w:rsid w:val="00837951"/>
    <w:rsid w:val="00837A45"/>
    <w:rsid w:val="00837B88"/>
    <w:rsid w:val="00837F6A"/>
    <w:rsid w:val="00840045"/>
    <w:rsid w:val="00840180"/>
    <w:rsid w:val="0084021B"/>
    <w:rsid w:val="00840261"/>
    <w:rsid w:val="008402B2"/>
    <w:rsid w:val="00840398"/>
    <w:rsid w:val="008406CF"/>
    <w:rsid w:val="00840749"/>
    <w:rsid w:val="008408E4"/>
    <w:rsid w:val="008408FB"/>
    <w:rsid w:val="00840A4F"/>
    <w:rsid w:val="00840ACB"/>
    <w:rsid w:val="00840BAF"/>
    <w:rsid w:val="00840D30"/>
    <w:rsid w:val="00840D63"/>
    <w:rsid w:val="00840ED1"/>
    <w:rsid w:val="00840F2D"/>
    <w:rsid w:val="00840F7F"/>
    <w:rsid w:val="0084124B"/>
    <w:rsid w:val="008412DE"/>
    <w:rsid w:val="00841301"/>
    <w:rsid w:val="0084175D"/>
    <w:rsid w:val="00841A47"/>
    <w:rsid w:val="00841B8A"/>
    <w:rsid w:val="00841C42"/>
    <w:rsid w:val="00841CFA"/>
    <w:rsid w:val="00841FA6"/>
    <w:rsid w:val="008420CB"/>
    <w:rsid w:val="008422A5"/>
    <w:rsid w:val="0084250E"/>
    <w:rsid w:val="008429A7"/>
    <w:rsid w:val="00842ABC"/>
    <w:rsid w:val="00842D68"/>
    <w:rsid w:val="00842F9B"/>
    <w:rsid w:val="008430A4"/>
    <w:rsid w:val="008431E4"/>
    <w:rsid w:val="008431F6"/>
    <w:rsid w:val="0084366D"/>
    <w:rsid w:val="0084372F"/>
    <w:rsid w:val="008437D4"/>
    <w:rsid w:val="0084385E"/>
    <w:rsid w:val="00843A2C"/>
    <w:rsid w:val="00843AC4"/>
    <w:rsid w:val="00843B2D"/>
    <w:rsid w:val="00843BDE"/>
    <w:rsid w:val="00843DAC"/>
    <w:rsid w:val="008440D8"/>
    <w:rsid w:val="0084413A"/>
    <w:rsid w:val="008442C3"/>
    <w:rsid w:val="00844354"/>
    <w:rsid w:val="008444F8"/>
    <w:rsid w:val="0084458B"/>
    <w:rsid w:val="008445B5"/>
    <w:rsid w:val="00844AB7"/>
    <w:rsid w:val="00844BB9"/>
    <w:rsid w:val="00844C9D"/>
    <w:rsid w:val="00844DE2"/>
    <w:rsid w:val="00844E9B"/>
    <w:rsid w:val="008450EA"/>
    <w:rsid w:val="00845137"/>
    <w:rsid w:val="0084517E"/>
    <w:rsid w:val="008455EF"/>
    <w:rsid w:val="0084575A"/>
    <w:rsid w:val="0084576B"/>
    <w:rsid w:val="008457A7"/>
    <w:rsid w:val="008457AF"/>
    <w:rsid w:val="00845AB2"/>
    <w:rsid w:val="00845B97"/>
    <w:rsid w:val="00845BD6"/>
    <w:rsid w:val="00845E41"/>
    <w:rsid w:val="00846084"/>
    <w:rsid w:val="008462AB"/>
    <w:rsid w:val="00846400"/>
    <w:rsid w:val="00846619"/>
    <w:rsid w:val="00846783"/>
    <w:rsid w:val="00846AB1"/>
    <w:rsid w:val="00846B5E"/>
    <w:rsid w:val="00846BA2"/>
    <w:rsid w:val="00846C69"/>
    <w:rsid w:val="00846FD3"/>
    <w:rsid w:val="00847270"/>
    <w:rsid w:val="008473E4"/>
    <w:rsid w:val="008473FF"/>
    <w:rsid w:val="0084740A"/>
    <w:rsid w:val="00847471"/>
    <w:rsid w:val="0084749D"/>
    <w:rsid w:val="008474B6"/>
    <w:rsid w:val="008475F3"/>
    <w:rsid w:val="0084791B"/>
    <w:rsid w:val="00847ABD"/>
    <w:rsid w:val="00847ED0"/>
    <w:rsid w:val="00850134"/>
    <w:rsid w:val="0085032D"/>
    <w:rsid w:val="008504AE"/>
    <w:rsid w:val="008504D7"/>
    <w:rsid w:val="00850566"/>
    <w:rsid w:val="008505D7"/>
    <w:rsid w:val="008505E9"/>
    <w:rsid w:val="008506A0"/>
    <w:rsid w:val="00850793"/>
    <w:rsid w:val="00850978"/>
    <w:rsid w:val="00850CA8"/>
    <w:rsid w:val="00850CF4"/>
    <w:rsid w:val="00850DA3"/>
    <w:rsid w:val="00850DC1"/>
    <w:rsid w:val="00850DFB"/>
    <w:rsid w:val="00850EED"/>
    <w:rsid w:val="0085117A"/>
    <w:rsid w:val="00851292"/>
    <w:rsid w:val="00851301"/>
    <w:rsid w:val="0085145C"/>
    <w:rsid w:val="00851485"/>
    <w:rsid w:val="008515FB"/>
    <w:rsid w:val="0085172E"/>
    <w:rsid w:val="00851A46"/>
    <w:rsid w:val="00851C52"/>
    <w:rsid w:val="00851C6C"/>
    <w:rsid w:val="00851D00"/>
    <w:rsid w:val="00851E5D"/>
    <w:rsid w:val="008520D7"/>
    <w:rsid w:val="0085218C"/>
    <w:rsid w:val="008522FC"/>
    <w:rsid w:val="0085232E"/>
    <w:rsid w:val="00852397"/>
    <w:rsid w:val="0085240C"/>
    <w:rsid w:val="00852735"/>
    <w:rsid w:val="0085280F"/>
    <w:rsid w:val="00852AA5"/>
    <w:rsid w:val="00852B29"/>
    <w:rsid w:val="00852D2C"/>
    <w:rsid w:val="00852D52"/>
    <w:rsid w:val="00852E15"/>
    <w:rsid w:val="00852E39"/>
    <w:rsid w:val="00852EB5"/>
    <w:rsid w:val="00852F2D"/>
    <w:rsid w:val="00853064"/>
    <w:rsid w:val="008530B8"/>
    <w:rsid w:val="008530EA"/>
    <w:rsid w:val="00853187"/>
    <w:rsid w:val="00853243"/>
    <w:rsid w:val="008532E8"/>
    <w:rsid w:val="00853546"/>
    <w:rsid w:val="0085358E"/>
    <w:rsid w:val="0085378E"/>
    <w:rsid w:val="0085379C"/>
    <w:rsid w:val="00853846"/>
    <w:rsid w:val="0085386A"/>
    <w:rsid w:val="008539CA"/>
    <w:rsid w:val="00853AD6"/>
    <w:rsid w:val="00853B4B"/>
    <w:rsid w:val="00853CA5"/>
    <w:rsid w:val="00853DC7"/>
    <w:rsid w:val="00853F19"/>
    <w:rsid w:val="0085411A"/>
    <w:rsid w:val="0085416D"/>
    <w:rsid w:val="00854182"/>
    <w:rsid w:val="008544B8"/>
    <w:rsid w:val="00854903"/>
    <w:rsid w:val="00854927"/>
    <w:rsid w:val="008549B1"/>
    <w:rsid w:val="00854D89"/>
    <w:rsid w:val="00854F5F"/>
    <w:rsid w:val="00854F72"/>
    <w:rsid w:val="00855196"/>
    <w:rsid w:val="008552D7"/>
    <w:rsid w:val="00855477"/>
    <w:rsid w:val="00855491"/>
    <w:rsid w:val="008554DA"/>
    <w:rsid w:val="00855574"/>
    <w:rsid w:val="008556DC"/>
    <w:rsid w:val="0085572D"/>
    <w:rsid w:val="00855971"/>
    <w:rsid w:val="008559DA"/>
    <w:rsid w:val="00855A22"/>
    <w:rsid w:val="00855D22"/>
    <w:rsid w:val="00855DD0"/>
    <w:rsid w:val="00855DFC"/>
    <w:rsid w:val="00855F19"/>
    <w:rsid w:val="00855F77"/>
    <w:rsid w:val="00855F85"/>
    <w:rsid w:val="00855FB0"/>
    <w:rsid w:val="00856067"/>
    <w:rsid w:val="00856093"/>
    <w:rsid w:val="0085671A"/>
    <w:rsid w:val="0085674E"/>
    <w:rsid w:val="00856792"/>
    <w:rsid w:val="00856988"/>
    <w:rsid w:val="00856AE0"/>
    <w:rsid w:val="00856B08"/>
    <w:rsid w:val="00856C4E"/>
    <w:rsid w:val="00856CF6"/>
    <w:rsid w:val="00856F2D"/>
    <w:rsid w:val="0085725F"/>
    <w:rsid w:val="008573E8"/>
    <w:rsid w:val="00857513"/>
    <w:rsid w:val="00857698"/>
    <w:rsid w:val="008576A7"/>
    <w:rsid w:val="008576DB"/>
    <w:rsid w:val="008577A4"/>
    <w:rsid w:val="008577AE"/>
    <w:rsid w:val="008577D3"/>
    <w:rsid w:val="00857981"/>
    <w:rsid w:val="00857CCD"/>
    <w:rsid w:val="00857D28"/>
    <w:rsid w:val="00857DFB"/>
    <w:rsid w:val="00857EE4"/>
    <w:rsid w:val="00857F6F"/>
    <w:rsid w:val="0086013B"/>
    <w:rsid w:val="008601EE"/>
    <w:rsid w:val="008603C3"/>
    <w:rsid w:val="0086049E"/>
    <w:rsid w:val="008604F1"/>
    <w:rsid w:val="008605A4"/>
    <w:rsid w:val="0086086E"/>
    <w:rsid w:val="008608F8"/>
    <w:rsid w:val="00860AEC"/>
    <w:rsid w:val="00860DD8"/>
    <w:rsid w:val="00860F76"/>
    <w:rsid w:val="00860FAE"/>
    <w:rsid w:val="0086102C"/>
    <w:rsid w:val="008610D9"/>
    <w:rsid w:val="0086116E"/>
    <w:rsid w:val="008611DC"/>
    <w:rsid w:val="00861223"/>
    <w:rsid w:val="0086160D"/>
    <w:rsid w:val="00861650"/>
    <w:rsid w:val="0086179F"/>
    <w:rsid w:val="00861808"/>
    <w:rsid w:val="008618AF"/>
    <w:rsid w:val="00861ABD"/>
    <w:rsid w:val="00861AD4"/>
    <w:rsid w:val="00861B34"/>
    <w:rsid w:val="00861D43"/>
    <w:rsid w:val="00861FF4"/>
    <w:rsid w:val="00862274"/>
    <w:rsid w:val="008623AB"/>
    <w:rsid w:val="00862443"/>
    <w:rsid w:val="008625C9"/>
    <w:rsid w:val="00862898"/>
    <w:rsid w:val="00862C62"/>
    <w:rsid w:val="00862C92"/>
    <w:rsid w:val="00862D31"/>
    <w:rsid w:val="00862EEB"/>
    <w:rsid w:val="00862F8D"/>
    <w:rsid w:val="00863006"/>
    <w:rsid w:val="00863014"/>
    <w:rsid w:val="00863232"/>
    <w:rsid w:val="00863315"/>
    <w:rsid w:val="00863560"/>
    <w:rsid w:val="008636B5"/>
    <w:rsid w:val="008636D7"/>
    <w:rsid w:val="00863A0F"/>
    <w:rsid w:val="00863A3A"/>
    <w:rsid w:val="00863AD0"/>
    <w:rsid w:val="00863D8A"/>
    <w:rsid w:val="00863F92"/>
    <w:rsid w:val="00863FDD"/>
    <w:rsid w:val="0086404A"/>
    <w:rsid w:val="008640F6"/>
    <w:rsid w:val="008641BE"/>
    <w:rsid w:val="0086454C"/>
    <w:rsid w:val="00864874"/>
    <w:rsid w:val="00864900"/>
    <w:rsid w:val="0086499C"/>
    <w:rsid w:val="008649C4"/>
    <w:rsid w:val="00864ACE"/>
    <w:rsid w:val="00864C90"/>
    <w:rsid w:val="00864D16"/>
    <w:rsid w:val="00864FBB"/>
    <w:rsid w:val="008652D6"/>
    <w:rsid w:val="008653D1"/>
    <w:rsid w:val="00865632"/>
    <w:rsid w:val="00865653"/>
    <w:rsid w:val="00865838"/>
    <w:rsid w:val="00865A39"/>
    <w:rsid w:val="00865BA2"/>
    <w:rsid w:val="00865BF6"/>
    <w:rsid w:val="00865C94"/>
    <w:rsid w:val="00865CFE"/>
    <w:rsid w:val="00865DA3"/>
    <w:rsid w:val="00865E5C"/>
    <w:rsid w:val="00865E66"/>
    <w:rsid w:val="00865EEC"/>
    <w:rsid w:val="00865F2A"/>
    <w:rsid w:val="00865F43"/>
    <w:rsid w:val="008660DA"/>
    <w:rsid w:val="0086623A"/>
    <w:rsid w:val="0086653B"/>
    <w:rsid w:val="008666F9"/>
    <w:rsid w:val="0086677D"/>
    <w:rsid w:val="008667C8"/>
    <w:rsid w:val="0086689C"/>
    <w:rsid w:val="00866B66"/>
    <w:rsid w:val="00866C2F"/>
    <w:rsid w:val="00866C81"/>
    <w:rsid w:val="00866F2B"/>
    <w:rsid w:val="00866FDA"/>
    <w:rsid w:val="00867109"/>
    <w:rsid w:val="0086711C"/>
    <w:rsid w:val="008671C5"/>
    <w:rsid w:val="008674D9"/>
    <w:rsid w:val="008674F9"/>
    <w:rsid w:val="008675B6"/>
    <w:rsid w:val="008676EE"/>
    <w:rsid w:val="00867764"/>
    <w:rsid w:val="0086783D"/>
    <w:rsid w:val="00867852"/>
    <w:rsid w:val="00867ABE"/>
    <w:rsid w:val="00867C64"/>
    <w:rsid w:val="00867C88"/>
    <w:rsid w:val="00867D73"/>
    <w:rsid w:val="00867DE6"/>
    <w:rsid w:val="0087003C"/>
    <w:rsid w:val="0087005F"/>
    <w:rsid w:val="008700A6"/>
    <w:rsid w:val="00870208"/>
    <w:rsid w:val="0087020B"/>
    <w:rsid w:val="00870295"/>
    <w:rsid w:val="0087033E"/>
    <w:rsid w:val="0087051E"/>
    <w:rsid w:val="008705FB"/>
    <w:rsid w:val="00870682"/>
    <w:rsid w:val="008709AD"/>
    <w:rsid w:val="00870A00"/>
    <w:rsid w:val="00870C06"/>
    <w:rsid w:val="00870C41"/>
    <w:rsid w:val="00870DFA"/>
    <w:rsid w:val="00870E47"/>
    <w:rsid w:val="00870EFF"/>
    <w:rsid w:val="00871059"/>
    <w:rsid w:val="00871221"/>
    <w:rsid w:val="008712DB"/>
    <w:rsid w:val="008713F5"/>
    <w:rsid w:val="0087146F"/>
    <w:rsid w:val="0087158D"/>
    <w:rsid w:val="008717E0"/>
    <w:rsid w:val="00871839"/>
    <w:rsid w:val="00871905"/>
    <w:rsid w:val="008719A5"/>
    <w:rsid w:val="00871C29"/>
    <w:rsid w:val="00871C95"/>
    <w:rsid w:val="00871E79"/>
    <w:rsid w:val="00872030"/>
    <w:rsid w:val="00872321"/>
    <w:rsid w:val="00872555"/>
    <w:rsid w:val="0087262B"/>
    <w:rsid w:val="00872821"/>
    <w:rsid w:val="00872AF6"/>
    <w:rsid w:val="00872C37"/>
    <w:rsid w:val="00872E7B"/>
    <w:rsid w:val="00872E98"/>
    <w:rsid w:val="0087327C"/>
    <w:rsid w:val="00873330"/>
    <w:rsid w:val="0087335A"/>
    <w:rsid w:val="00873389"/>
    <w:rsid w:val="00873481"/>
    <w:rsid w:val="0087353A"/>
    <w:rsid w:val="00873665"/>
    <w:rsid w:val="00873796"/>
    <w:rsid w:val="00873801"/>
    <w:rsid w:val="00873815"/>
    <w:rsid w:val="0087382A"/>
    <w:rsid w:val="00873C37"/>
    <w:rsid w:val="00873C45"/>
    <w:rsid w:val="00873E9F"/>
    <w:rsid w:val="0087411A"/>
    <w:rsid w:val="00874249"/>
    <w:rsid w:val="008745DF"/>
    <w:rsid w:val="00874741"/>
    <w:rsid w:val="008747B7"/>
    <w:rsid w:val="0087483C"/>
    <w:rsid w:val="00874AA3"/>
    <w:rsid w:val="00874ACC"/>
    <w:rsid w:val="00874B79"/>
    <w:rsid w:val="00874C3F"/>
    <w:rsid w:val="00874C93"/>
    <w:rsid w:val="00874CD2"/>
    <w:rsid w:val="00874D24"/>
    <w:rsid w:val="008751C6"/>
    <w:rsid w:val="008754F3"/>
    <w:rsid w:val="0087555E"/>
    <w:rsid w:val="00875700"/>
    <w:rsid w:val="0087573A"/>
    <w:rsid w:val="00875986"/>
    <w:rsid w:val="00875BF1"/>
    <w:rsid w:val="00875D9A"/>
    <w:rsid w:val="00875DE1"/>
    <w:rsid w:val="00875E56"/>
    <w:rsid w:val="00875FC3"/>
    <w:rsid w:val="00875FDF"/>
    <w:rsid w:val="00876085"/>
    <w:rsid w:val="0087616C"/>
    <w:rsid w:val="0087632D"/>
    <w:rsid w:val="008768BA"/>
    <w:rsid w:val="008768F2"/>
    <w:rsid w:val="0087693F"/>
    <w:rsid w:val="00876C32"/>
    <w:rsid w:val="00876DC9"/>
    <w:rsid w:val="00876DFB"/>
    <w:rsid w:val="008770B0"/>
    <w:rsid w:val="00877274"/>
    <w:rsid w:val="008773F5"/>
    <w:rsid w:val="0087745A"/>
    <w:rsid w:val="0087751E"/>
    <w:rsid w:val="0087774A"/>
    <w:rsid w:val="00877798"/>
    <w:rsid w:val="008779ED"/>
    <w:rsid w:val="00877BE4"/>
    <w:rsid w:val="008800C6"/>
    <w:rsid w:val="0088012C"/>
    <w:rsid w:val="008802A1"/>
    <w:rsid w:val="008802BE"/>
    <w:rsid w:val="00880350"/>
    <w:rsid w:val="00880549"/>
    <w:rsid w:val="008805D6"/>
    <w:rsid w:val="008805F9"/>
    <w:rsid w:val="008806E2"/>
    <w:rsid w:val="00880709"/>
    <w:rsid w:val="008808F3"/>
    <w:rsid w:val="0088098A"/>
    <w:rsid w:val="008809EC"/>
    <w:rsid w:val="00880CFE"/>
    <w:rsid w:val="00880E76"/>
    <w:rsid w:val="00880F41"/>
    <w:rsid w:val="0088102B"/>
    <w:rsid w:val="0088104A"/>
    <w:rsid w:val="008810A0"/>
    <w:rsid w:val="0088121E"/>
    <w:rsid w:val="00881687"/>
    <w:rsid w:val="008816C9"/>
    <w:rsid w:val="0088170E"/>
    <w:rsid w:val="008818F6"/>
    <w:rsid w:val="00881922"/>
    <w:rsid w:val="008819C2"/>
    <w:rsid w:val="00881C16"/>
    <w:rsid w:val="00881C95"/>
    <w:rsid w:val="00881E83"/>
    <w:rsid w:val="00881FD5"/>
    <w:rsid w:val="008820EE"/>
    <w:rsid w:val="00882153"/>
    <w:rsid w:val="0088219D"/>
    <w:rsid w:val="008821B6"/>
    <w:rsid w:val="008823D7"/>
    <w:rsid w:val="00882509"/>
    <w:rsid w:val="00882585"/>
    <w:rsid w:val="00882DAE"/>
    <w:rsid w:val="0088300B"/>
    <w:rsid w:val="00883032"/>
    <w:rsid w:val="008831CB"/>
    <w:rsid w:val="00883217"/>
    <w:rsid w:val="00883348"/>
    <w:rsid w:val="008834E6"/>
    <w:rsid w:val="008834F0"/>
    <w:rsid w:val="00883561"/>
    <w:rsid w:val="0088370B"/>
    <w:rsid w:val="0088374E"/>
    <w:rsid w:val="008837AF"/>
    <w:rsid w:val="00883823"/>
    <w:rsid w:val="008839BE"/>
    <w:rsid w:val="008839DA"/>
    <w:rsid w:val="00883A0F"/>
    <w:rsid w:val="00883C25"/>
    <w:rsid w:val="00883CEB"/>
    <w:rsid w:val="00883D5A"/>
    <w:rsid w:val="00883EAA"/>
    <w:rsid w:val="00883EBC"/>
    <w:rsid w:val="00883ED5"/>
    <w:rsid w:val="00883F51"/>
    <w:rsid w:val="0088402A"/>
    <w:rsid w:val="008840BC"/>
    <w:rsid w:val="008840ED"/>
    <w:rsid w:val="00884280"/>
    <w:rsid w:val="0088440E"/>
    <w:rsid w:val="00884664"/>
    <w:rsid w:val="00884669"/>
    <w:rsid w:val="00884976"/>
    <w:rsid w:val="00884ADE"/>
    <w:rsid w:val="00884B37"/>
    <w:rsid w:val="00884C19"/>
    <w:rsid w:val="00884C97"/>
    <w:rsid w:val="00885038"/>
    <w:rsid w:val="0088510C"/>
    <w:rsid w:val="00885221"/>
    <w:rsid w:val="0088548F"/>
    <w:rsid w:val="00885586"/>
    <w:rsid w:val="008855D0"/>
    <w:rsid w:val="00885603"/>
    <w:rsid w:val="0088564E"/>
    <w:rsid w:val="00885786"/>
    <w:rsid w:val="008857B7"/>
    <w:rsid w:val="008858D5"/>
    <w:rsid w:val="008859D8"/>
    <w:rsid w:val="00885B0E"/>
    <w:rsid w:val="00885B3E"/>
    <w:rsid w:val="00885C6B"/>
    <w:rsid w:val="00885DF6"/>
    <w:rsid w:val="00885E50"/>
    <w:rsid w:val="00885F9B"/>
    <w:rsid w:val="0088626B"/>
    <w:rsid w:val="0088629E"/>
    <w:rsid w:val="008863B5"/>
    <w:rsid w:val="008863F1"/>
    <w:rsid w:val="00886434"/>
    <w:rsid w:val="00886579"/>
    <w:rsid w:val="00886979"/>
    <w:rsid w:val="00886C50"/>
    <w:rsid w:val="00886E48"/>
    <w:rsid w:val="00886F7C"/>
    <w:rsid w:val="00886FB5"/>
    <w:rsid w:val="0088700B"/>
    <w:rsid w:val="00887029"/>
    <w:rsid w:val="008872A0"/>
    <w:rsid w:val="00887329"/>
    <w:rsid w:val="0088765C"/>
    <w:rsid w:val="00887BCD"/>
    <w:rsid w:val="00887CBF"/>
    <w:rsid w:val="00887DC5"/>
    <w:rsid w:val="00887ED5"/>
    <w:rsid w:val="00887EEE"/>
    <w:rsid w:val="008901A6"/>
    <w:rsid w:val="00890263"/>
    <w:rsid w:val="008902D1"/>
    <w:rsid w:val="008903B3"/>
    <w:rsid w:val="00890439"/>
    <w:rsid w:val="0089045B"/>
    <w:rsid w:val="00890600"/>
    <w:rsid w:val="00890612"/>
    <w:rsid w:val="00890634"/>
    <w:rsid w:val="00890655"/>
    <w:rsid w:val="00890798"/>
    <w:rsid w:val="00890802"/>
    <w:rsid w:val="00890B33"/>
    <w:rsid w:val="00890D69"/>
    <w:rsid w:val="00890DC4"/>
    <w:rsid w:val="00890E06"/>
    <w:rsid w:val="00890F1A"/>
    <w:rsid w:val="00890FA3"/>
    <w:rsid w:val="00890FD5"/>
    <w:rsid w:val="0089104B"/>
    <w:rsid w:val="00891077"/>
    <w:rsid w:val="0089126E"/>
    <w:rsid w:val="0089128C"/>
    <w:rsid w:val="008912E5"/>
    <w:rsid w:val="0089153E"/>
    <w:rsid w:val="008915CE"/>
    <w:rsid w:val="00891698"/>
    <w:rsid w:val="00891758"/>
    <w:rsid w:val="00891795"/>
    <w:rsid w:val="008918BF"/>
    <w:rsid w:val="00891B09"/>
    <w:rsid w:val="00891BFA"/>
    <w:rsid w:val="00891C0B"/>
    <w:rsid w:val="00891DBF"/>
    <w:rsid w:val="00891F28"/>
    <w:rsid w:val="00891F97"/>
    <w:rsid w:val="008920B4"/>
    <w:rsid w:val="00892128"/>
    <w:rsid w:val="008921BE"/>
    <w:rsid w:val="008921DA"/>
    <w:rsid w:val="0089258D"/>
    <w:rsid w:val="0089264F"/>
    <w:rsid w:val="00892812"/>
    <w:rsid w:val="00892863"/>
    <w:rsid w:val="0089294C"/>
    <w:rsid w:val="008929CA"/>
    <w:rsid w:val="00892AF2"/>
    <w:rsid w:val="00892C35"/>
    <w:rsid w:val="00892C5E"/>
    <w:rsid w:val="00892D7A"/>
    <w:rsid w:val="00892F8D"/>
    <w:rsid w:val="008931A4"/>
    <w:rsid w:val="008932DC"/>
    <w:rsid w:val="00893470"/>
    <w:rsid w:val="00893611"/>
    <w:rsid w:val="00893B50"/>
    <w:rsid w:val="00893C93"/>
    <w:rsid w:val="00893C94"/>
    <w:rsid w:val="00893D20"/>
    <w:rsid w:val="00893D64"/>
    <w:rsid w:val="00893E06"/>
    <w:rsid w:val="00893EC2"/>
    <w:rsid w:val="00893ED0"/>
    <w:rsid w:val="00893F8E"/>
    <w:rsid w:val="008942F5"/>
    <w:rsid w:val="008943C3"/>
    <w:rsid w:val="008943D2"/>
    <w:rsid w:val="0089446D"/>
    <w:rsid w:val="00894670"/>
    <w:rsid w:val="0089488B"/>
    <w:rsid w:val="0089492E"/>
    <w:rsid w:val="00894A55"/>
    <w:rsid w:val="00894A7B"/>
    <w:rsid w:val="00894B36"/>
    <w:rsid w:val="00894B58"/>
    <w:rsid w:val="00894DB9"/>
    <w:rsid w:val="00894E28"/>
    <w:rsid w:val="00894E61"/>
    <w:rsid w:val="0089542D"/>
    <w:rsid w:val="00895459"/>
    <w:rsid w:val="00895674"/>
    <w:rsid w:val="0089568B"/>
    <w:rsid w:val="008956E5"/>
    <w:rsid w:val="008956E9"/>
    <w:rsid w:val="00895A5A"/>
    <w:rsid w:val="00895D04"/>
    <w:rsid w:val="00895D15"/>
    <w:rsid w:val="00895E92"/>
    <w:rsid w:val="0089604F"/>
    <w:rsid w:val="0089605E"/>
    <w:rsid w:val="0089608D"/>
    <w:rsid w:val="008960D1"/>
    <w:rsid w:val="008961EF"/>
    <w:rsid w:val="008968A2"/>
    <w:rsid w:val="0089691D"/>
    <w:rsid w:val="00896A82"/>
    <w:rsid w:val="00896B0E"/>
    <w:rsid w:val="00896B22"/>
    <w:rsid w:val="0089703D"/>
    <w:rsid w:val="00897087"/>
    <w:rsid w:val="00897115"/>
    <w:rsid w:val="008972A4"/>
    <w:rsid w:val="008974B1"/>
    <w:rsid w:val="008974EF"/>
    <w:rsid w:val="00897519"/>
    <w:rsid w:val="0089760C"/>
    <w:rsid w:val="00897621"/>
    <w:rsid w:val="00897692"/>
    <w:rsid w:val="008976DC"/>
    <w:rsid w:val="00897AA4"/>
    <w:rsid w:val="00897C41"/>
    <w:rsid w:val="00897C4B"/>
    <w:rsid w:val="00897F34"/>
    <w:rsid w:val="008A0040"/>
    <w:rsid w:val="008A0166"/>
    <w:rsid w:val="008A0187"/>
    <w:rsid w:val="008A0309"/>
    <w:rsid w:val="008A03D7"/>
    <w:rsid w:val="008A04EC"/>
    <w:rsid w:val="008A0507"/>
    <w:rsid w:val="008A055E"/>
    <w:rsid w:val="008A070F"/>
    <w:rsid w:val="008A089E"/>
    <w:rsid w:val="008A0940"/>
    <w:rsid w:val="008A0AB3"/>
    <w:rsid w:val="008A0EBC"/>
    <w:rsid w:val="008A0F6E"/>
    <w:rsid w:val="008A10FC"/>
    <w:rsid w:val="008A1232"/>
    <w:rsid w:val="008A12BC"/>
    <w:rsid w:val="008A131A"/>
    <w:rsid w:val="008A1357"/>
    <w:rsid w:val="008A1613"/>
    <w:rsid w:val="008A19EF"/>
    <w:rsid w:val="008A1C30"/>
    <w:rsid w:val="008A1DC3"/>
    <w:rsid w:val="008A1E7B"/>
    <w:rsid w:val="008A1EDC"/>
    <w:rsid w:val="008A1EFC"/>
    <w:rsid w:val="008A1F1B"/>
    <w:rsid w:val="008A24BA"/>
    <w:rsid w:val="008A2552"/>
    <w:rsid w:val="008A259A"/>
    <w:rsid w:val="008A25BD"/>
    <w:rsid w:val="008A25C0"/>
    <w:rsid w:val="008A2706"/>
    <w:rsid w:val="008A2823"/>
    <w:rsid w:val="008A298A"/>
    <w:rsid w:val="008A2A75"/>
    <w:rsid w:val="008A2C68"/>
    <w:rsid w:val="008A2D24"/>
    <w:rsid w:val="008A2EB4"/>
    <w:rsid w:val="008A3165"/>
    <w:rsid w:val="008A31FB"/>
    <w:rsid w:val="008A3233"/>
    <w:rsid w:val="008A3385"/>
    <w:rsid w:val="008A3593"/>
    <w:rsid w:val="008A4212"/>
    <w:rsid w:val="008A444B"/>
    <w:rsid w:val="008A453F"/>
    <w:rsid w:val="008A4735"/>
    <w:rsid w:val="008A493E"/>
    <w:rsid w:val="008A496D"/>
    <w:rsid w:val="008A4AC1"/>
    <w:rsid w:val="008A4B37"/>
    <w:rsid w:val="008A4B49"/>
    <w:rsid w:val="008A4F57"/>
    <w:rsid w:val="008A5124"/>
    <w:rsid w:val="008A5127"/>
    <w:rsid w:val="008A52A8"/>
    <w:rsid w:val="008A5351"/>
    <w:rsid w:val="008A5394"/>
    <w:rsid w:val="008A5433"/>
    <w:rsid w:val="008A5481"/>
    <w:rsid w:val="008A552F"/>
    <w:rsid w:val="008A5689"/>
    <w:rsid w:val="008A57F0"/>
    <w:rsid w:val="008A5885"/>
    <w:rsid w:val="008A5943"/>
    <w:rsid w:val="008A5A86"/>
    <w:rsid w:val="008A5C4D"/>
    <w:rsid w:val="008A5F4F"/>
    <w:rsid w:val="008A613C"/>
    <w:rsid w:val="008A6289"/>
    <w:rsid w:val="008A6399"/>
    <w:rsid w:val="008A662A"/>
    <w:rsid w:val="008A6690"/>
    <w:rsid w:val="008A66E8"/>
    <w:rsid w:val="008A67A7"/>
    <w:rsid w:val="008A68AA"/>
    <w:rsid w:val="008A6BFD"/>
    <w:rsid w:val="008A6DAA"/>
    <w:rsid w:val="008A6DCA"/>
    <w:rsid w:val="008A6DD8"/>
    <w:rsid w:val="008A7210"/>
    <w:rsid w:val="008A7252"/>
    <w:rsid w:val="008A736C"/>
    <w:rsid w:val="008A73FE"/>
    <w:rsid w:val="008A75CE"/>
    <w:rsid w:val="008A76EF"/>
    <w:rsid w:val="008A772C"/>
    <w:rsid w:val="008A78C3"/>
    <w:rsid w:val="008A7CEC"/>
    <w:rsid w:val="008A7EC1"/>
    <w:rsid w:val="008A7F88"/>
    <w:rsid w:val="008B0055"/>
    <w:rsid w:val="008B00EB"/>
    <w:rsid w:val="008B022E"/>
    <w:rsid w:val="008B0315"/>
    <w:rsid w:val="008B04CC"/>
    <w:rsid w:val="008B0627"/>
    <w:rsid w:val="008B06F6"/>
    <w:rsid w:val="008B095E"/>
    <w:rsid w:val="008B0B66"/>
    <w:rsid w:val="008B0B84"/>
    <w:rsid w:val="008B0BBB"/>
    <w:rsid w:val="008B0C90"/>
    <w:rsid w:val="008B0C94"/>
    <w:rsid w:val="008B0CF1"/>
    <w:rsid w:val="008B10A3"/>
    <w:rsid w:val="008B1103"/>
    <w:rsid w:val="008B1247"/>
    <w:rsid w:val="008B12C4"/>
    <w:rsid w:val="008B1412"/>
    <w:rsid w:val="008B157F"/>
    <w:rsid w:val="008B1765"/>
    <w:rsid w:val="008B17D6"/>
    <w:rsid w:val="008B1846"/>
    <w:rsid w:val="008B19FC"/>
    <w:rsid w:val="008B1A36"/>
    <w:rsid w:val="008B1A61"/>
    <w:rsid w:val="008B1CF8"/>
    <w:rsid w:val="008B1D36"/>
    <w:rsid w:val="008B1D8A"/>
    <w:rsid w:val="008B1E4F"/>
    <w:rsid w:val="008B1F1B"/>
    <w:rsid w:val="008B1F7B"/>
    <w:rsid w:val="008B2145"/>
    <w:rsid w:val="008B237F"/>
    <w:rsid w:val="008B2794"/>
    <w:rsid w:val="008B27C6"/>
    <w:rsid w:val="008B27FF"/>
    <w:rsid w:val="008B28E7"/>
    <w:rsid w:val="008B2939"/>
    <w:rsid w:val="008B2966"/>
    <w:rsid w:val="008B29EC"/>
    <w:rsid w:val="008B2ACA"/>
    <w:rsid w:val="008B2AFF"/>
    <w:rsid w:val="008B2D57"/>
    <w:rsid w:val="008B2DB9"/>
    <w:rsid w:val="008B2F32"/>
    <w:rsid w:val="008B3180"/>
    <w:rsid w:val="008B32F8"/>
    <w:rsid w:val="008B34BA"/>
    <w:rsid w:val="008B34DD"/>
    <w:rsid w:val="008B36EE"/>
    <w:rsid w:val="008B37B4"/>
    <w:rsid w:val="008B3812"/>
    <w:rsid w:val="008B3A09"/>
    <w:rsid w:val="008B3CB7"/>
    <w:rsid w:val="008B3D42"/>
    <w:rsid w:val="008B4508"/>
    <w:rsid w:val="008B462B"/>
    <w:rsid w:val="008B4667"/>
    <w:rsid w:val="008B4789"/>
    <w:rsid w:val="008B4813"/>
    <w:rsid w:val="008B494F"/>
    <w:rsid w:val="008B499A"/>
    <w:rsid w:val="008B4A4F"/>
    <w:rsid w:val="008B4BEE"/>
    <w:rsid w:val="008B4D5D"/>
    <w:rsid w:val="008B4D95"/>
    <w:rsid w:val="008B4E69"/>
    <w:rsid w:val="008B4EC2"/>
    <w:rsid w:val="008B4EED"/>
    <w:rsid w:val="008B5206"/>
    <w:rsid w:val="008B53A7"/>
    <w:rsid w:val="008B53ED"/>
    <w:rsid w:val="008B543C"/>
    <w:rsid w:val="008B56BC"/>
    <w:rsid w:val="008B56FA"/>
    <w:rsid w:val="008B5897"/>
    <w:rsid w:val="008B5A07"/>
    <w:rsid w:val="008B5A71"/>
    <w:rsid w:val="008B5A88"/>
    <w:rsid w:val="008B5F40"/>
    <w:rsid w:val="008B5F9D"/>
    <w:rsid w:val="008B6155"/>
    <w:rsid w:val="008B6325"/>
    <w:rsid w:val="008B6354"/>
    <w:rsid w:val="008B6374"/>
    <w:rsid w:val="008B643B"/>
    <w:rsid w:val="008B654F"/>
    <w:rsid w:val="008B668C"/>
    <w:rsid w:val="008B6760"/>
    <w:rsid w:val="008B6A05"/>
    <w:rsid w:val="008B6A66"/>
    <w:rsid w:val="008B6AD0"/>
    <w:rsid w:val="008B6AD2"/>
    <w:rsid w:val="008B6B67"/>
    <w:rsid w:val="008B6B80"/>
    <w:rsid w:val="008B6C3B"/>
    <w:rsid w:val="008B6D49"/>
    <w:rsid w:val="008B6D4F"/>
    <w:rsid w:val="008B6E77"/>
    <w:rsid w:val="008B6EC2"/>
    <w:rsid w:val="008B70BF"/>
    <w:rsid w:val="008B715F"/>
    <w:rsid w:val="008B7362"/>
    <w:rsid w:val="008B74E4"/>
    <w:rsid w:val="008B756B"/>
    <w:rsid w:val="008B7940"/>
    <w:rsid w:val="008B79E9"/>
    <w:rsid w:val="008B7C7E"/>
    <w:rsid w:val="008B7D96"/>
    <w:rsid w:val="008B7ECC"/>
    <w:rsid w:val="008C015F"/>
    <w:rsid w:val="008C0452"/>
    <w:rsid w:val="008C04BE"/>
    <w:rsid w:val="008C04E4"/>
    <w:rsid w:val="008C0606"/>
    <w:rsid w:val="008C0694"/>
    <w:rsid w:val="008C07F9"/>
    <w:rsid w:val="008C0809"/>
    <w:rsid w:val="008C08F0"/>
    <w:rsid w:val="008C09DD"/>
    <w:rsid w:val="008C0A2B"/>
    <w:rsid w:val="008C0AA1"/>
    <w:rsid w:val="008C0AAF"/>
    <w:rsid w:val="008C0B2E"/>
    <w:rsid w:val="008C0BA5"/>
    <w:rsid w:val="008C0CBD"/>
    <w:rsid w:val="008C0CCB"/>
    <w:rsid w:val="008C0DE3"/>
    <w:rsid w:val="008C0ED3"/>
    <w:rsid w:val="008C0F94"/>
    <w:rsid w:val="008C1007"/>
    <w:rsid w:val="008C11EB"/>
    <w:rsid w:val="008C13E5"/>
    <w:rsid w:val="008C152B"/>
    <w:rsid w:val="008C159A"/>
    <w:rsid w:val="008C185B"/>
    <w:rsid w:val="008C1AAA"/>
    <w:rsid w:val="008C1BF1"/>
    <w:rsid w:val="008C1EC0"/>
    <w:rsid w:val="008C21F2"/>
    <w:rsid w:val="008C2200"/>
    <w:rsid w:val="008C2216"/>
    <w:rsid w:val="008C2602"/>
    <w:rsid w:val="008C2659"/>
    <w:rsid w:val="008C27E8"/>
    <w:rsid w:val="008C2895"/>
    <w:rsid w:val="008C28EE"/>
    <w:rsid w:val="008C291C"/>
    <w:rsid w:val="008C2A3B"/>
    <w:rsid w:val="008C2A4F"/>
    <w:rsid w:val="008C2B67"/>
    <w:rsid w:val="008C2CC9"/>
    <w:rsid w:val="008C2CCA"/>
    <w:rsid w:val="008C2E88"/>
    <w:rsid w:val="008C2FD3"/>
    <w:rsid w:val="008C3016"/>
    <w:rsid w:val="008C34DB"/>
    <w:rsid w:val="008C38A1"/>
    <w:rsid w:val="008C3917"/>
    <w:rsid w:val="008C3AF4"/>
    <w:rsid w:val="008C3B8C"/>
    <w:rsid w:val="008C3BAB"/>
    <w:rsid w:val="008C3BF7"/>
    <w:rsid w:val="008C3C26"/>
    <w:rsid w:val="008C3CF9"/>
    <w:rsid w:val="008C3DBF"/>
    <w:rsid w:val="008C3EDA"/>
    <w:rsid w:val="008C3FD9"/>
    <w:rsid w:val="008C40DF"/>
    <w:rsid w:val="008C43C5"/>
    <w:rsid w:val="008C47AC"/>
    <w:rsid w:val="008C47C4"/>
    <w:rsid w:val="008C4AEE"/>
    <w:rsid w:val="008C4D70"/>
    <w:rsid w:val="008C4D94"/>
    <w:rsid w:val="008C4E82"/>
    <w:rsid w:val="008C4EDA"/>
    <w:rsid w:val="008C51A7"/>
    <w:rsid w:val="008C51DA"/>
    <w:rsid w:val="008C51FD"/>
    <w:rsid w:val="008C52F2"/>
    <w:rsid w:val="008C53A1"/>
    <w:rsid w:val="008C568B"/>
    <w:rsid w:val="008C5736"/>
    <w:rsid w:val="008C58DB"/>
    <w:rsid w:val="008C5AF5"/>
    <w:rsid w:val="008C5DAC"/>
    <w:rsid w:val="008C5E66"/>
    <w:rsid w:val="008C5E69"/>
    <w:rsid w:val="008C5F0B"/>
    <w:rsid w:val="008C5F38"/>
    <w:rsid w:val="008C617C"/>
    <w:rsid w:val="008C61C5"/>
    <w:rsid w:val="008C6339"/>
    <w:rsid w:val="008C64DC"/>
    <w:rsid w:val="008C6689"/>
    <w:rsid w:val="008C676B"/>
    <w:rsid w:val="008C6828"/>
    <w:rsid w:val="008C68EB"/>
    <w:rsid w:val="008C696C"/>
    <w:rsid w:val="008C6A5C"/>
    <w:rsid w:val="008C6B59"/>
    <w:rsid w:val="008C6C61"/>
    <w:rsid w:val="008C6D18"/>
    <w:rsid w:val="008C6FDB"/>
    <w:rsid w:val="008C71AE"/>
    <w:rsid w:val="008C75CD"/>
    <w:rsid w:val="008C7627"/>
    <w:rsid w:val="008C77AC"/>
    <w:rsid w:val="008C794B"/>
    <w:rsid w:val="008C799B"/>
    <w:rsid w:val="008C7A74"/>
    <w:rsid w:val="008C7B18"/>
    <w:rsid w:val="008C7D8D"/>
    <w:rsid w:val="008C7F1E"/>
    <w:rsid w:val="008C7F98"/>
    <w:rsid w:val="008D0292"/>
    <w:rsid w:val="008D02C7"/>
    <w:rsid w:val="008D0349"/>
    <w:rsid w:val="008D049B"/>
    <w:rsid w:val="008D0650"/>
    <w:rsid w:val="008D06E2"/>
    <w:rsid w:val="008D071E"/>
    <w:rsid w:val="008D07D2"/>
    <w:rsid w:val="008D0835"/>
    <w:rsid w:val="008D0861"/>
    <w:rsid w:val="008D0BFF"/>
    <w:rsid w:val="008D0D6B"/>
    <w:rsid w:val="008D0EA9"/>
    <w:rsid w:val="008D0F1B"/>
    <w:rsid w:val="008D0F84"/>
    <w:rsid w:val="008D0FDB"/>
    <w:rsid w:val="008D101E"/>
    <w:rsid w:val="008D10A2"/>
    <w:rsid w:val="008D110D"/>
    <w:rsid w:val="008D1136"/>
    <w:rsid w:val="008D118E"/>
    <w:rsid w:val="008D1601"/>
    <w:rsid w:val="008D16A4"/>
    <w:rsid w:val="008D1914"/>
    <w:rsid w:val="008D1A4D"/>
    <w:rsid w:val="008D1E56"/>
    <w:rsid w:val="008D1FCB"/>
    <w:rsid w:val="008D1FCD"/>
    <w:rsid w:val="008D200A"/>
    <w:rsid w:val="008D202E"/>
    <w:rsid w:val="008D20B6"/>
    <w:rsid w:val="008D21FB"/>
    <w:rsid w:val="008D262E"/>
    <w:rsid w:val="008D2770"/>
    <w:rsid w:val="008D278A"/>
    <w:rsid w:val="008D2838"/>
    <w:rsid w:val="008D2864"/>
    <w:rsid w:val="008D28A4"/>
    <w:rsid w:val="008D28E8"/>
    <w:rsid w:val="008D2A4A"/>
    <w:rsid w:val="008D2A7D"/>
    <w:rsid w:val="008D2B75"/>
    <w:rsid w:val="008D2D70"/>
    <w:rsid w:val="008D2DDE"/>
    <w:rsid w:val="008D2F06"/>
    <w:rsid w:val="008D304C"/>
    <w:rsid w:val="008D310C"/>
    <w:rsid w:val="008D31A1"/>
    <w:rsid w:val="008D31A7"/>
    <w:rsid w:val="008D33EE"/>
    <w:rsid w:val="008D34E1"/>
    <w:rsid w:val="008D3604"/>
    <w:rsid w:val="008D3746"/>
    <w:rsid w:val="008D376F"/>
    <w:rsid w:val="008D3A09"/>
    <w:rsid w:val="008D3A91"/>
    <w:rsid w:val="008D3AA7"/>
    <w:rsid w:val="008D3B05"/>
    <w:rsid w:val="008D3B3B"/>
    <w:rsid w:val="008D3CB2"/>
    <w:rsid w:val="008D3CE3"/>
    <w:rsid w:val="008D4038"/>
    <w:rsid w:val="008D4045"/>
    <w:rsid w:val="008D40FC"/>
    <w:rsid w:val="008D420B"/>
    <w:rsid w:val="008D4380"/>
    <w:rsid w:val="008D464E"/>
    <w:rsid w:val="008D46BB"/>
    <w:rsid w:val="008D4944"/>
    <w:rsid w:val="008D4B60"/>
    <w:rsid w:val="008D4B9D"/>
    <w:rsid w:val="008D5190"/>
    <w:rsid w:val="008D539B"/>
    <w:rsid w:val="008D53CB"/>
    <w:rsid w:val="008D53D5"/>
    <w:rsid w:val="008D5443"/>
    <w:rsid w:val="008D5545"/>
    <w:rsid w:val="008D55C4"/>
    <w:rsid w:val="008D5604"/>
    <w:rsid w:val="008D5617"/>
    <w:rsid w:val="008D5739"/>
    <w:rsid w:val="008D5A38"/>
    <w:rsid w:val="008D5C60"/>
    <w:rsid w:val="008D5CEA"/>
    <w:rsid w:val="008D5D56"/>
    <w:rsid w:val="008D5D82"/>
    <w:rsid w:val="008D5DD0"/>
    <w:rsid w:val="008D5ECD"/>
    <w:rsid w:val="008D635B"/>
    <w:rsid w:val="008D6433"/>
    <w:rsid w:val="008D6485"/>
    <w:rsid w:val="008D660C"/>
    <w:rsid w:val="008D671A"/>
    <w:rsid w:val="008D6A25"/>
    <w:rsid w:val="008D6AE7"/>
    <w:rsid w:val="008D6C78"/>
    <w:rsid w:val="008D6CEE"/>
    <w:rsid w:val="008D6E89"/>
    <w:rsid w:val="008D7108"/>
    <w:rsid w:val="008D7411"/>
    <w:rsid w:val="008D7480"/>
    <w:rsid w:val="008D74DB"/>
    <w:rsid w:val="008D7714"/>
    <w:rsid w:val="008D778B"/>
    <w:rsid w:val="008D781C"/>
    <w:rsid w:val="008D78B8"/>
    <w:rsid w:val="008D795F"/>
    <w:rsid w:val="008D79E5"/>
    <w:rsid w:val="008D7A38"/>
    <w:rsid w:val="008D7AC5"/>
    <w:rsid w:val="008D7AFA"/>
    <w:rsid w:val="008D7C30"/>
    <w:rsid w:val="008D7C6F"/>
    <w:rsid w:val="008D7DA9"/>
    <w:rsid w:val="008D7DE0"/>
    <w:rsid w:val="008D7F44"/>
    <w:rsid w:val="008E0065"/>
    <w:rsid w:val="008E0268"/>
    <w:rsid w:val="008E029D"/>
    <w:rsid w:val="008E0515"/>
    <w:rsid w:val="008E056E"/>
    <w:rsid w:val="008E05C4"/>
    <w:rsid w:val="008E06B3"/>
    <w:rsid w:val="008E06B6"/>
    <w:rsid w:val="008E06FE"/>
    <w:rsid w:val="008E08C0"/>
    <w:rsid w:val="008E0AAD"/>
    <w:rsid w:val="008E0B9E"/>
    <w:rsid w:val="008E0BA2"/>
    <w:rsid w:val="008E0BFB"/>
    <w:rsid w:val="008E0C01"/>
    <w:rsid w:val="008E0C52"/>
    <w:rsid w:val="008E0C94"/>
    <w:rsid w:val="008E0CC5"/>
    <w:rsid w:val="008E0CEE"/>
    <w:rsid w:val="008E0D01"/>
    <w:rsid w:val="008E0E58"/>
    <w:rsid w:val="008E0FA5"/>
    <w:rsid w:val="008E1069"/>
    <w:rsid w:val="008E12CA"/>
    <w:rsid w:val="008E136C"/>
    <w:rsid w:val="008E141E"/>
    <w:rsid w:val="008E14D5"/>
    <w:rsid w:val="008E161B"/>
    <w:rsid w:val="008E1671"/>
    <w:rsid w:val="008E16C9"/>
    <w:rsid w:val="008E1714"/>
    <w:rsid w:val="008E173E"/>
    <w:rsid w:val="008E17B2"/>
    <w:rsid w:val="008E183F"/>
    <w:rsid w:val="008E189C"/>
    <w:rsid w:val="008E1A05"/>
    <w:rsid w:val="008E1CD7"/>
    <w:rsid w:val="008E1D27"/>
    <w:rsid w:val="008E1DEF"/>
    <w:rsid w:val="008E2101"/>
    <w:rsid w:val="008E21FE"/>
    <w:rsid w:val="008E2333"/>
    <w:rsid w:val="008E2712"/>
    <w:rsid w:val="008E276A"/>
    <w:rsid w:val="008E2796"/>
    <w:rsid w:val="008E29E2"/>
    <w:rsid w:val="008E2A54"/>
    <w:rsid w:val="008E2AE8"/>
    <w:rsid w:val="008E2D1C"/>
    <w:rsid w:val="008E2DE5"/>
    <w:rsid w:val="008E2F00"/>
    <w:rsid w:val="008E2F43"/>
    <w:rsid w:val="008E2F58"/>
    <w:rsid w:val="008E302B"/>
    <w:rsid w:val="008E3194"/>
    <w:rsid w:val="008E32BB"/>
    <w:rsid w:val="008E32E9"/>
    <w:rsid w:val="008E3701"/>
    <w:rsid w:val="008E3762"/>
    <w:rsid w:val="008E3B34"/>
    <w:rsid w:val="008E3B77"/>
    <w:rsid w:val="008E3B81"/>
    <w:rsid w:val="008E3BD4"/>
    <w:rsid w:val="008E3BF4"/>
    <w:rsid w:val="008E3CE1"/>
    <w:rsid w:val="008E3D3F"/>
    <w:rsid w:val="008E3D57"/>
    <w:rsid w:val="008E3E95"/>
    <w:rsid w:val="008E3EE3"/>
    <w:rsid w:val="008E3F88"/>
    <w:rsid w:val="008E3FDF"/>
    <w:rsid w:val="008E41EC"/>
    <w:rsid w:val="008E42B3"/>
    <w:rsid w:val="008E431D"/>
    <w:rsid w:val="008E43C6"/>
    <w:rsid w:val="008E44F1"/>
    <w:rsid w:val="008E471F"/>
    <w:rsid w:val="008E47CE"/>
    <w:rsid w:val="008E4978"/>
    <w:rsid w:val="008E4997"/>
    <w:rsid w:val="008E49C3"/>
    <w:rsid w:val="008E4B46"/>
    <w:rsid w:val="008E4B5F"/>
    <w:rsid w:val="008E4BAE"/>
    <w:rsid w:val="008E4C45"/>
    <w:rsid w:val="008E4CDA"/>
    <w:rsid w:val="008E4D2F"/>
    <w:rsid w:val="008E4D62"/>
    <w:rsid w:val="008E4F0D"/>
    <w:rsid w:val="008E4F1C"/>
    <w:rsid w:val="008E4F32"/>
    <w:rsid w:val="008E4F7C"/>
    <w:rsid w:val="008E513B"/>
    <w:rsid w:val="008E51D4"/>
    <w:rsid w:val="008E52C2"/>
    <w:rsid w:val="008E5360"/>
    <w:rsid w:val="008E53A6"/>
    <w:rsid w:val="008E5417"/>
    <w:rsid w:val="008E546D"/>
    <w:rsid w:val="008E59E3"/>
    <w:rsid w:val="008E5B72"/>
    <w:rsid w:val="008E5D49"/>
    <w:rsid w:val="008E5EFF"/>
    <w:rsid w:val="008E6066"/>
    <w:rsid w:val="008E60B1"/>
    <w:rsid w:val="008E624D"/>
    <w:rsid w:val="008E6260"/>
    <w:rsid w:val="008E6298"/>
    <w:rsid w:val="008E62E9"/>
    <w:rsid w:val="008E638F"/>
    <w:rsid w:val="008E6505"/>
    <w:rsid w:val="008E65B0"/>
    <w:rsid w:val="008E66C2"/>
    <w:rsid w:val="008E6956"/>
    <w:rsid w:val="008E6AF0"/>
    <w:rsid w:val="008E6B3D"/>
    <w:rsid w:val="008E6C93"/>
    <w:rsid w:val="008E6D09"/>
    <w:rsid w:val="008E6DB5"/>
    <w:rsid w:val="008E6E5D"/>
    <w:rsid w:val="008E6F79"/>
    <w:rsid w:val="008E6FDE"/>
    <w:rsid w:val="008E726C"/>
    <w:rsid w:val="008E74A4"/>
    <w:rsid w:val="008E75A8"/>
    <w:rsid w:val="008E7645"/>
    <w:rsid w:val="008E7747"/>
    <w:rsid w:val="008E78BE"/>
    <w:rsid w:val="008E7990"/>
    <w:rsid w:val="008E7A3D"/>
    <w:rsid w:val="008E7B51"/>
    <w:rsid w:val="008E7E66"/>
    <w:rsid w:val="008E7F1A"/>
    <w:rsid w:val="008E7F4E"/>
    <w:rsid w:val="008F0250"/>
    <w:rsid w:val="008F02F2"/>
    <w:rsid w:val="008F03E1"/>
    <w:rsid w:val="008F072E"/>
    <w:rsid w:val="008F0844"/>
    <w:rsid w:val="008F0845"/>
    <w:rsid w:val="008F0A4A"/>
    <w:rsid w:val="008F0A64"/>
    <w:rsid w:val="008F0AAF"/>
    <w:rsid w:val="008F0BC8"/>
    <w:rsid w:val="008F0DF9"/>
    <w:rsid w:val="008F0FA7"/>
    <w:rsid w:val="008F0FE8"/>
    <w:rsid w:val="008F11C3"/>
    <w:rsid w:val="008F1421"/>
    <w:rsid w:val="008F1B21"/>
    <w:rsid w:val="008F1BD6"/>
    <w:rsid w:val="008F1C76"/>
    <w:rsid w:val="008F1E43"/>
    <w:rsid w:val="008F1ED8"/>
    <w:rsid w:val="008F203C"/>
    <w:rsid w:val="008F2377"/>
    <w:rsid w:val="008F24BD"/>
    <w:rsid w:val="008F26AE"/>
    <w:rsid w:val="008F279F"/>
    <w:rsid w:val="008F292D"/>
    <w:rsid w:val="008F2B26"/>
    <w:rsid w:val="008F2C8D"/>
    <w:rsid w:val="008F2CCD"/>
    <w:rsid w:val="008F2DCA"/>
    <w:rsid w:val="008F2E35"/>
    <w:rsid w:val="008F2EA9"/>
    <w:rsid w:val="008F2F9B"/>
    <w:rsid w:val="008F2FB5"/>
    <w:rsid w:val="008F2FF0"/>
    <w:rsid w:val="008F3233"/>
    <w:rsid w:val="008F33F1"/>
    <w:rsid w:val="008F347F"/>
    <w:rsid w:val="008F3698"/>
    <w:rsid w:val="008F38E4"/>
    <w:rsid w:val="008F3A37"/>
    <w:rsid w:val="008F3B0E"/>
    <w:rsid w:val="008F3B27"/>
    <w:rsid w:val="008F3C3D"/>
    <w:rsid w:val="008F3C8D"/>
    <w:rsid w:val="008F3CC5"/>
    <w:rsid w:val="008F3D44"/>
    <w:rsid w:val="008F3D47"/>
    <w:rsid w:val="008F3D86"/>
    <w:rsid w:val="008F3DBD"/>
    <w:rsid w:val="008F3F62"/>
    <w:rsid w:val="008F40A0"/>
    <w:rsid w:val="008F4193"/>
    <w:rsid w:val="008F421D"/>
    <w:rsid w:val="008F43C7"/>
    <w:rsid w:val="008F4430"/>
    <w:rsid w:val="008F466C"/>
    <w:rsid w:val="008F47EB"/>
    <w:rsid w:val="008F4C49"/>
    <w:rsid w:val="008F4C71"/>
    <w:rsid w:val="008F50C7"/>
    <w:rsid w:val="008F50FA"/>
    <w:rsid w:val="008F52C5"/>
    <w:rsid w:val="008F5370"/>
    <w:rsid w:val="008F53D7"/>
    <w:rsid w:val="008F565F"/>
    <w:rsid w:val="008F5724"/>
    <w:rsid w:val="008F5D39"/>
    <w:rsid w:val="008F5DE5"/>
    <w:rsid w:val="008F5E63"/>
    <w:rsid w:val="008F5E89"/>
    <w:rsid w:val="008F6168"/>
    <w:rsid w:val="008F6317"/>
    <w:rsid w:val="008F66DA"/>
    <w:rsid w:val="008F67C2"/>
    <w:rsid w:val="008F6A36"/>
    <w:rsid w:val="008F6AC3"/>
    <w:rsid w:val="008F6B38"/>
    <w:rsid w:val="008F6B45"/>
    <w:rsid w:val="008F6BD0"/>
    <w:rsid w:val="008F701F"/>
    <w:rsid w:val="008F71B7"/>
    <w:rsid w:val="008F72B2"/>
    <w:rsid w:val="008F72D8"/>
    <w:rsid w:val="008F736B"/>
    <w:rsid w:val="008F7385"/>
    <w:rsid w:val="008F73B5"/>
    <w:rsid w:val="008F7434"/>
    <w:rsid w:val="008F7450"/>
    <w:rsid w:val="008F74A3"/>
    <w:rsid w:val="008F75B1"/>
    <w:rsid w:val="008F7628"/>
    <w:rsid w:val="008F77BE"/>
    <w:rsid w:val="008F7B51"/>
    <w:rsid w:val="008F7BF2"/>
    <w:rsid w:val="008F7D14"/>
    <w:rsid w:val="008F7DE4"/>
    <w:rsid w:val="008F7F2E"/>
    <w:rsid w:val="00900233"/>
    <w:rsid w:val="009004C0"/>
    <w:rsid w:val="00900543"/>
    <w:rsid w:val="009005F6"/>
    <w:rsid w:val="00900618"/>
    <w:rsid w:val="00900620"/>
    <w:rsid w:val="0090066E"/>
    <w:rsid w:val="0090076B"/>
    <w:rsid w:val="00900B52"/>
    <w:rsid w:val="00900BE6"/>
    <w:rsid w:val="00900C0C"/>
    <w:rsid w:val="00900F88"/>
    <w:rsid w:val="0090108A"/>
    <w:rsid w:val="009010AD"/>
    <w:rsid w:val="0090126D"/>
    <w:rsid w:val="0090130A"/>
    <w:rsid w:val="00901489"/>
    <w:rsid w:val="009016BA"/>
    <w:rsid w:val="009019B4"/>
    <w:rsid w:val="00901CE6"/>
    <w:rsid w:val="009024F2"/>
    <w:rsid w:val="00902529"/>
    <w:rsid w:val="009026D0"/>
    <w:rsid w:val="00902BFF"/>
    <w:rsid w:val="00902C41"/>
    <w:rsid w:val="00902D2A"/>
    <w:rsid w:val="00902F4A"/>
    <w:rsid w:val="0090315A"/>
    <w:rsid w:val="00903163"/>
    <w:rsid w:val="0090330A"/>
    <w:rsid w:val="009033DA"/>
    <w:rsid w:val="00903421"/>
    <w:rsid w:val="00903464"/>
    <w:rsid w:val="0090353C"/>
    <w:rsid w:val="00903552"/>
    <w:rsid w:val="00903590"/>
    <w:rsid w:val="009035FA"/>
    <w:rsid w:val="0090364D"/>
    <w:rsid w:val="00903785"/>
    <w:rsid w:val="00903CB3"/>
    <w:rsid w:val="00903E5B"/>
    <w:rsid w:val="00903E70"/>
    <w:rsid w:val="00903EB5"/>
    <w:rsid w:val="0090418A"/>
    <w:rsid w:val="009041E8"/>
    <w:rsid w:val="0090464D"/>
    <w:rsid w:val="0090465B"/>
    <w:rsid w:val="009046F2"/>
    <w:rsid w:val="009047DB"/>
    <w:rsid w:val="009048CE"/>
    <w:rsid w:val="0090491F"/>
    <w:rsid w:val="00904A64"/>
    <w:rsid w:val="00904AF0"/>
    <w:rsid w:val="00904D19"/>
    <w:rsid w:val="00904FBE"/>
    <w:rsid w:val="009050A1"/>
    <w:rsid w:val="0090527A"/>
    <w:rsid w:val="00905318"/>
    <w:rsid w:val="0090540F"/>
    <w:rsid w:val="009058D7"/>
    <w:rsid w:val="009059EE"/>
    <w:rsid w:val="00905A03"/>
    <w:rsid w:val="00905A1B"/>
    <w:rsid w:val="00905BF6"/>
    <w:rsid w:val="00905EC4"/>
    <w:rsid w:val="00905F00"/>
    <w:rsid w:val="00905F98"/>
    <w:rsid w:val="00905FBA"/>
    <w:rsid w:val="009060FA"/>
    <w:rsid w:val="009061B6"/>
    <w:rsid w:val="009061CA"/>
    <w:rsid w:val="00906524"/>
    <w:rsid w:val="009065AC"/>
    <w:rsid w:val="009065F8"/>
    <w:rsid w:val="00906626"/>
    <w:rsid w:val="009066E9"/>
    <w:rsid w:val="00906867"/>
    <w:rsid w:val="009068C7"/>
    <w:rsid w:val="00906953"/>
    <w:rsid w:val="009069CA"/>
    <w:rsid w:val="009069F0"/>
    <w:rsid w:val="00906A08"/>
    <w:rsid w:val="00906A35"/>
    <w:rsid w:val="00906B58"/>
    <w:rsid w:val="00906BDF"/>
    <w:rsid w:val="00906D16"/>
    <w:rsid w:val="00906D42"/>
    <w:rsid w:val="00906D60"/>
    <w:rsid w:val="00907251"/>
    <w:rsid w:val="00907480"/>
    <w:rsid w:val="0090748C"/>
    <w:rsid w:val="0090757D"/>
    <w:rsid w:val="009075A0"/>
    <w:rsid w:val="009078EE"/>
    <w:rsid w:val="009079A5"/>
    <w:rsid w:val="00907A1A"/>
    <w:rsid w:val="00907A3A"/>
    <w:rsid w:val="00907B11"/>
    <w:rsid w:val="00907BE2"/>
    <w:rsid w:val="00907DFD"/>
    <w:rsid w:val="00907F21"/>
    <w:rsid w:val="00907F38"/>
    <w:rsid w:val="009101E5"/>
    <w:rsid w:val="009103C1"/>
    <w:rsid w:val="00910557"/>
    <w:rsid w:val="009105BF"/>
    <w:rsid w:val="0091073A"/>
    <w:rsid w:val="00910756"/>
    <w:rsid w:val="009107EF"/>
    <w:rsid w:val="00910879"/>
    <w:rsid w:val="00910931"/>
    <w:rsid w:val="00910AB4"/>
    <w:rsid w:val="00910B1C"/>
    <w:rsid w:val="00910C57"/>
    <w:rsid w:val="009110C7"/>
    <w:rsid w:val="0091135B"/>
    <w:rsid w:val="00911361"/>
    <w:rsid w:val="0091181D"/>
    <w:rsid w:val="009119CE"/>
    <w:rsid w:val="00911B27"/>
    <w:rsid w:val="00911C88"/>
    <w:rsid w:val="00911E3E"/>
    <w:rsid w:val="00911EAF"/>
    <w:rsid w:val="00912055"/>
    <w:rsid w:val="00912360"/>
    <w:rsid w:val="00912491"/>
    <w:rsid w:val="00912521"/>
    <w:rsid w:val="00912579"/>
    <w:rsid w:val="0091279D"/>
    <w:rsid w:val="00912811"/>
    <w:rsid w:val="0091285B"/>
    <w:rsid w:val="00912BA5"/>
    <w:rsid w:val="00912E7B"/>
    <w:rsid w:val="00912EA2"/>
    <w:rsid w:val="0091331A"/>
    <w:rsid w:val="009134D7"/>
    <w:rsid w:val="009135CA"/>
    <w:rsid w:val="0091385C"/>
    <w:rsid w:val="0091388E"/>
    <w:rsid w:val="00913A80"/>
    <w:rsid w:val="00913B3D"/>
    <w:rsid w:val="00913B93"/>
    <w:rsid w:val="00913BD6"/>
    <w:rsid w:val="00913BF6"/>
    <w:rsid w:val="00913D93"/>
    <w:rsid w:val="00913EF4"/>
    <w:rsid w:val="00913FD3"/>
    <w:rsid w:val="00914006"/>
    <w:rsid w:val="00914410"/>
    <w:rsid w:val="00914422"/>
    <w:rsid w:val="009144D0"/>
    <w:rsid w:val="00914524"/>
    <w:rsid w:val="009145C1"/>
    <w:rsid w:val="009146BD"/>
    <w:rsid w:val="0091473D"/>
    <w:rsid w:val="00914A3C"/>
    <w:rsid w:val="00914AA0"/>
    <w:rsid w:val="00914B19"/>
    <w:rsid w:val="00914B59"/>
    <w:rsid w:val="00914C1F"/>
    <w:rsid w:val="00914F1D"/>
    <w:rsid w:val="0091507C"/>
    <w:rsid w:val="00915095"/>
    <w:rsid w:val="00915149"/>
    <w:rsid w:val="0091536A"/>
    <w:rsid w:val="0091539B"/>
    <w:rsid w:val="00915684"/>
    <w:rsid w:val="009157E3"/>
    <w:rsid w:val="00915812"/>
    <w:rsid w:val="00915822"/>
    <w:rsid w:val="009158A9"/>
    <w:rsid w:val="009158FC"/>
    <w:rsid w:val="009159B8"/>
    <w:rsid w:val="009159FB"/>
    <w:rsid w:val="00915A98"/>
    <w:rsid w:val="00915B4F"/>
    <w:rsid w:val="00915BCC"/>
    <w:rsid w:val="00915F3F"/>
    <w:rsid w:val="00916019"/>
    <w:rsid w:val="0091630B"/>
    <w:rsid w:val="009166C2"/>
    <w:rsid w:val="00916756"/>
    <w:rsid w:val="009167DD"/>
    <w:rsid w:val="00916864"/>
    <w:rsid w:val="009168A7"/>
    <w:rsid w:val="0091695F"/>
    <w:rsid w:val="00916AC5"/>
    <w:rsid w:val="00916B65"/>
    <w:rsid w:val="00916B98"/>
    <w:rsid w:val="00916BDF"/>
    <w:rsid w:val="00916C86"/>
    <w:rsid w:val="00916CE8"/>
    <w:rsid w:val="00916DC3"/>
    <w:rsid w:val="00916FE8"/>
    <w:rsid w:val="009171D2"/>
    <w:rsid w:val="009172E0"/>
    <w:rsid w:val="009176E8"/>
    <w:rsid w:val="00917890"/>
    <w:rsid w:val="009178C1"/>
    <w:rsid w:val="00917A06"/>
    <w:rsid w:val="00917BC7"/>
    <w:rsid w:val="00917D8F"/>
    <w:rsid w:val="00917FC4"/>
    <w:rsid w:val="00920029"/>
    <w:rsid w:val="00920045"/>
    <w:rsid w:val="00920056"/>
    <w:rsid w:val="00920091"/>
    <w:rsid w:val="00920321"/>
    <w:rsid w:val="0092038D"/>
    <w:rsid w:val="009204D7"/>
    <w:rsid w:val="00920682"/>
    <w:rsid w:val="009207B7"/>
    <w:rsid w:val="0092092F"/>
    <w:rsid w:val="00920985"/>
    <w:rsid w:val="00920A70"/>
    <w:rsid w:val="00920BBB"/>
    <w:rsid w:val="00920ECD"/>
    <w:rsid w:val="00920FEC"/>
    <w:rsid w:val="00921428"/>
    <w:rsid w:val="009215DC"/>
    <w:rsid w:val="00921708"/>
    <w:rsid w:val="00921846"/>
    <w:rsid w:val="009219AE"/>
    <w:rsid w:val="009219E1"/>
    <w:rsid w:val="00921A7A"/>
    <w:rsid w:val="00921E98"/>
    <w:rsid w:val="00921F78"/>
    <w:rsid w:val="00922011"/>
    <w:rsid w:val="00922044"/>
    <w:rsid w:val="009221C8"/>
    <w:rsid w:val="0092225A"/>
    <w:rsid w:val="0092266C"/>
    <w:rsid w:val="009227D6"/>
    <w:rsid w:val="00922849"/>
    <w:rsid w:val="0092288A"/>
    <w:rsid w:val="009228C0"/>
    <w:rsid w:val="00922A0F"/>
    <w:rsid w:val="00922AFE"/>
    <w:rsid w:val="00922BC8"/>
    <w:rsid w:val="00922C33"/>
    <w:rsid w:val="00922D09"/>
    <w:rsid w:val="00922ECE"/>
    <w:rsid w:val="00922ED0"/>
    <w:rsid w:val="00922F0C"/>
    <w:rsid w:val="009230F3"/>
    <w:rsid w:val="009231DB"/>
    <w:rsid w:val="009232A6"/>
    <w:rsid w:val="00923345"/>
    <w:rsid w:val="009233B0"/>
    <w:rsid w:val="00923608"/>
    <w:rsid w:val="00923747"/>
    <w:rsid w:val="0092375D"/>
    <w:rsid w:val="009238B7"/>
    <w:rsid w:val="00923A2A"/>
    <w:rsid w:val="00923B45"/>
    <w:rsid w:val="00923C40"/>
    <w:rsid w:val="00923CE5"/>
    <w:rsid w:val="00923EA6"/>
    <w:rsid w:val="00923F2C"/>
    <w:rsid w:val="00923F4E"/>
    <w:rsid w:val="009240AC"/>
    <w:rsid w:val="009240D3"/>
    <w:rsid w:val="0092410A"/>
    <w:rsid w:val="00924232"/>
    <w:rsid w:val="009242C4"/>
    <w:rsid w:val="009243E5"/>
    <w:rsid w:val="00924AB1"/>
    <w:rsid w:val="00924CB4"/>
    <w:rsid w:val="00924E75"/>
    <w:rsid w:val="00924FE3"/>
    <w:rsid w:val="0092550C"/>
    <w:rsid w:val="0092557D"/>
    <w:rsid w:val="0092558B"/>
    <w:rsid w:val="00925596"/>
    <w:rsid w:val="0092562A"/>
    <w:rsid w:val="009256B4"/>
    <w:rsid w:val="009256CC"/>
    <w:rsid w:val="00925804"/>
    <w:rsid w:val="0092582A"/>
    <w:rsid w:val="00925982"/>
    <w:rsid w:val="009259A6"/>
    <w:rsid w:val="009259D5"/>
    <w:rsid w:val="00925AD5"/>
    <w:rsid w:val="00925C0B"/>
    <w:rsid w:val="00925C53"/>
    <w:rsid w:val="00925CFE"/>
    <w:rsid w:val="00925D9B"/>
    <w:rsid w:val="00925EB5"/>
    <w:rsid w:val="00925F68"/>
    <w:rsid w:val="00925F85"/>
    <w:rsid w:val="00925FAA"/>
    <w:rsid w:val="0092610B"/>
    <w:rsid w:val="00926602"/>
    <w:rsid w:val="0092667F"/>
    <w:rsid w:val="009268FC"/>
    <w:rsid w:val="00926915"/>
    <w:rsid w:val="0092696A"/>
    <w:rsid w:val="00926AD5"/>
    <w:rsid w:val="00926B66"/>
    <w:rsid w:val="00926BB5"/>
    <w:rsid w:val="00926C40"/>
    <w:rsid w:val="00926CFF"/>
    <w:rsid w:val="00926D06"/>
    <w:rsid w:val="00927256"/>
    <w:rsid w:val="0092726C"/>
    <w:rsid w:val="00927397"/>
    <w:rsid w:val="009274CB"/>
    <w:rsid w:val="00927547"/>
    <w:rsid w:val="0092757D"/>
    <w:rsid w:val="009275A9"/>
    <w:rsid w:val="00927634"/>
    <w:rsid w:val="0092764C"/>
    <w:rsid w:val="009279B5"/>
    <w:rsid w:val="00927ACA"/>
    <w:rsid w:val="00927AD2"/>
    <w:rsid w:val="00927BFE"/>
    <w:rsid w:val="00927D8E"/>
    <w:rsid w:val="00927DC5"/>
    <w:rsid w:val="00927DFF"/>
    <w:rsid w:val="00930077"/>
    <w:rsid w:val="00930078"/>
    <w:rsid w:val="009300C5"/>
    <w:rsid w:val="00930368"/>
    <w:rsid w:val="009303A1"/>
    <w:rsid w:val="009303B6"/>
    <w:rsid w:val="0093040E"/>
    <w:rsid w:val="00930578"/>
    <w:rsid w:val="009305C6"/>
    <w:rsid w:val="00930696"/>
    <w:rsid w:val="0093081C"/>
    <w:rsid w:val="0093099A"/>
    <w:rsid w:val="00930E09"/>
    <w:rsid w:val="00930EAF"/>
    <w:rsid w:val="00930EF6"/>
    <w:rsid w:val="00930F17"/>
    <w:rsid w:val="009310BE"/>
    <w:rsid w:val="00931104"/>
    <w:rsid w:val="00931227"/>
    <w:rsid w:val="00931336"/>
    <w:rsid w:val="00931400"/>
    <w:rsid w:val="0093147D"/>
    <w:rsid w:val="009314CD"/>
    <w:rsid w:val="0093155E"/>
    <w:rsid w:val="00931675"/>
    <w:rsid w:val="0093169E"/>
    <w:rsid w:val="009316DC"/>
    <w:rsid w:val="00931708"/>
    <w:rsid w:val="009318A1"/>
    <w:rsid w:val="0093198C"/>
    <w:rsid w:val="00931C05"/>
    <w:rsid w:val="00931DEF"/>
    <w:rsid w:val="00932059"/>
    <w:rsid w:val="009321CC"/>
    <w:rsid w:val="009324BD"/>
    <w:rsid w:val="009325C9"/>
    <w:rsid w:val="00932645"/>
    <w:rsid w:val="009326E7"/>
    <w:rsid w:val="0093287B"/>
    <w:rsid w:val="0093287C"/>
    <w:rsid w:val="0093292E"/>
    <w:rsid w:val="00932B4A"/>
    <w:rsid w:val="00932CC7"/>
    <w:rsid w:val="00932CD1"/>
    <w:rsid w:val="00932CD7"/>
    <w:rsid w:val="00932E87"/>
    <w:rsid w:val="009330FA"/>
    <w:rsid w:val="0093313E"/>
    <w:rsid w:val="0093315B"/>
    <w:rsid w:val="0093315D"/>
    <w:rsid w:val="009331D6"/>
    <w:rsid w:val="0093326F"/>
    <w:rsid w:val="00933605"/>
    <w:rsid w:val="00933619"/>
    <w:rsid w:val="00933737"/>
    <w:rsid w:val="00933745"/>
    <w:rsid w:val="009337AC"/>
    <w:rsid w:val="00933967"/>
    <w:rsid w:val="00933A72"/>
    <w:rsid w:val="00933B23"/>
    <w:rsid w:val="00933B70"/>
    <w:rsid w:val="00933B9E"/>
    <w:rsid w:val="00933CB9"/>
    <w:rsid w:val="00933FF7"/>
    <w:rsid w:val="009341F4"/>
    <w:rsid w:val="009343BD"/>
    <w:rsid w:val="0093440B"/>
    <w:rsid w:val="00934485"/>
    <w:rsid w:val="00934554"/>
    <w:rsid w:val="0093476B"/>
    <w:rsid w:val="00934885"/>
    <w:rsid w:val="00934914"/>
    <w:rsid w:val="00934A63"/>
    <w:rsid w:val="00934B29"/>
    <w:rsid w:val="00934B5A"/>
    <w:rsid w:val="00934C71"/>
    <w:rsid w:val="00934DAA"/>
    <w:rsid w:val="00934E22"/>
    <w:rsid w:val="009350FD"/>
    <w:rsid w:val="009351BB"/>
    <w:rsid w:val="0093524E"/>
    <w:rsid w:val="00935285"/>
    <w:rsid w:val="009354B7"/>
    <w:rsid w:val="0093561D"/>
    <w:rsid w:val="00935667"/>
    <w:rsid w:val="0093576A"/>
    <w:rsid w:val="00935A37"/>
    <w:rsid w:val="00935B27"/>
    <w:rsid w:val="00935B50"/>
    <w:rsid w:val="00936135"/>
    <w:rsid w:val="009363FB"/>
    <w:rsid w:val="009365D4"/>
    <w:rsid w:val="00936648"/>
    <w:rsid w:val="009366A7"/>
    <w:rsid w:val="009368A0"/>
    <w:rsid w:val="00936AE2"/>
    <w:rsid w:val="00936B2B"/>
    <w:rsid w:val="00936C00"/>
    <w:rsid w:val="00936C9E"/>
    <w:rsid w:val="00936FA9"/>
    <w:rsid w:val="0093701F"/>
    <w:rsid w:val="00937039"/>
    <w:rsid w:val="00937073"/>
    <w:rsid w:val="009372EC"/>
    <w:rsid w:val="00937551"/>
    <w:rsid w:val="00937777"/>
    <w:rsid w:val="009377A2"/>
    <w:rsid w:val="00937B72"/>
    <w:rsid w:val="00937CFC"/>
    <w:rsid w:val="00937DD6"/>
    <w:rsid w:val="00937F03"/>
    <w:rsid w:val="009400CE"/>
    <w:rsid w:val="00940261"/>
    <w:rsid w:val="009402A4"/>
    <w:rsid w:val="009404C4"/>
    <w:rsid w:val="00940824"/>
    <w:rsid w:val="00940A90"/>
    <w:rsid w:val="00940B01"/>
    <w:rsid w:val="00940B1D"/>
    <w:rsid w:val="00940CC9"/>
    <w:rsid w:val="00940DA2"/>
    <w:rsid w:val="00940E24"/>
    <w:rsid w:val="00941175"/>
    <w:rsid w:val="00941221"/>
    <w:rsid w:val="00941413"/>
    <w:rsid w:val="009417A7"/>
    <w:rsid w:val="0094195B"/>
    <w:rsid w:val="0094198D"/>
    <w:rsid w:val="00941A89"/>
    <w:rsid w:val="00941E66"/>
    <w:rsid w:val="00941E80"/>
    <w:rsid w:val="00941F0E"/>
    <w:rsid w:val="00941F1A"/>
    <w:rsid w:val="009420E8"/>
    <w:rsid w:val="00942712"/>
    <w:rsid w:val="00942785"/>
    <w:rsid w:val="009427F0"/>
    <w:rsid w:val="00942CE4"/>
    <w:rsid w:val="00942D65"/>
    <w:rsid w:val="00943361"/>
    <w:rsid w:val="00943469"/>
    <w:rsid w:val="009435EC"/>
    <w:rsid w:val="009438C3"/>
    <w:rsid w:val="00943D1A"/>
    <w:rsid w:val="00943DFA"/>
    <w:rsid w:val="00944746"/>
    <w:rsid w:val="009447F9"/>
    <w:rsid w:val="00944D1B"/>
    <w:rsid w:val="00944DEA"/>
    <w:rsid w:val="00944F11"/>
    <w:rsid w:val="00944F28"/>
    <w:rsid w:val="00945231"/>
    <w:rsid w:val="009452ED"/>
    <w:rsid w:val="009452F9"/>
    <w:rsid w:val="0094550E"/>
    <w:rsid w:val="00945512"/>
    <w:rsid w:val="00945816"/>
    <w:rsid w:val="00945C4A"/>
    <w:rsid w:val="00945E25"/>
    <w:rsid w:val="00945F61"/>
    <w:rsid w:val="00945F66"/>
    <w:rsid w:val="009460B7"/>
    <w:rsid w:val="00946277"/>
    <w:rsid w:val="009463C5"/>
    <w:rsid w:val="0094642C"/>
    <w:rsid w:val="0094658C"/>
    <w:rsid w:val="009465BC"/>
    <w:rsid w:val="00946694"/>
    <w:rsid w:val="009466E7"/>
    <w:rsid w:val="009467E3"/>
    <w:rsid w:val="00946831"/>
    <w:rsid w:val="0094698C"/>
    <w:rsid w:val="00946A10"/>
    <w:rsid w:val="00946A33"/>
    <w:rsid w:val="00946B05"/>
    <w:rsid w:val="00946B55"/>
    <w:rsid w:val="00946D26"/>
    <w:rsid w:val="00946DC2"/>
    <w:rsid w:val="00947034"/>
    <w:rsid w:val="00947143"/>
    <w:rsid w:val="00947154"/>
    <w:rsid w:val="009471E4"/>
    <w:rsid w:val="009474D1"/>
    <w:rsid w:val="009475B2"/>
    <w:rsid w:val="00947644"/>
    <w:rsid w:val="00947707"/>
    <w:rsid w:val="00947B80"/>
    <w:rsid w:val="00947D37"/>
    <w:rsid w:val="00947DC2"/>
    <w:rsid w:val="00950034"/>
    <w:rsid w:val="009501A8"/>
    <w:rsid w:val="00950237"/>
    <w:rsid w:val="009504E2"/>
    <w:rsid w:val="009504EA"/>
    <w:rsid w:val="009506A0"/>
    <w:rsid w:val="00950729"/>
    <w:rsid w:val="0095085A"/>
    <w:rsid w:val="00950A00"/>
    <w:rsid w:val="00950FCE"/>
    <w:rsid w:val="00951124"/>
    <w:rsid w:val="009512A7"/>
    <w:rsid w:val="00951392"/>
    <w:rsid w:val="009514A5"/>
    <w:rsid w:val="009516CE"/>
    <w:rsid w:val="009517D7"/>
    <w:rsid w:val="00951835"/>
    <w:rsid w:val="00951AF6"/>
    <w:rsid w:val="00951B22"/>
    <w:rsid w:val="00951BDE"/>
    <w:rsid w:val="00951BE8"/>
    <w:rsid w:val="00951C04"/>
    <w:rsid w:val="00951C06"/>
    <w:rsid w:val="00951C25"/>
    <w:rsid w:val="00951C5B"/>
    <w:rsid w:val="00952061"/>
    <w:rsid w:val="00952199"/>
    <w:rsid w:val="009521AF"/>
    <w:rsid w:val="0095222E"/>
    <w:rsid w:val="00952292"/>
    <w:rsid w:val="009522D1"/>
    <w:rsid w:val="00952531"/>
    <w:rsid w:val="00952639"/>
    <w:rsid w:val="00952665"/>
    <w:rsid w:val="009528AC"/>
    <w:rsid w:val="00952914"/>
    <w:rsid w:val="00952965"/>
    <w:rsid w:val="00952ACC"/>
    <w:rsid w:val="00952AE3"/>
    <w:rsid w:val="00952CE3"/>
    <w:rsid w:val="00952E11"/>
    <w:rsid w:val="00952E24"/>
    <w:rsid w:val="00952EF3"/>
    <w:rsid w:val="00952F3F"/>
    <w:rsid w:val="00952FA9"/>
    <w:rsid w:val="00952FC1"/>
    <w:rsid w:val="00952FF2"/>
    <w:rsid w:val="00952FF5"/>
    <w:rsid w:val="00953003"/>
    <w:rsid w:val="009531BE"/>
    <w:rsid w:val="0095328D"/>
    <w:rsid w:val="00953333"/>
    <w:rsid w:val="009534B5"/>
    <w:rsid w:val="00953735"/>
    <w:rsid w:val="00953925"/>
    <w:rsid w:val="00953CDD"/>
    <w:rsid w:val="00953D12"/>
    <w:rsid w:val="00953FD8"/>
    <w:rsid w:val="00954163"/>
    <w:rsid w:val="00954752"/>
    <w:rsid w:val="0095488F"/>
    <w:rsid w:val="00954951"/>
    <w:rsid w:val="00954994"/>
    <w:rsid w:val="00954AFE"/>
    <w:rsid w:val="00954B14"/>
    <w:rsid w:val="0095505F"/>
    <w:rsid w:val="0095510C"/>
    <w:rsid w:val="009551A8"/>
    <w:rsid w:val="00955426"/>
    <w:rsid w:val="009554FD"/>
    <w:rsid w:val="0095565F"/>
    <w:rsid w:val="00955676"/>
    <w:rsid w:val="00955700"/>
    <w:rsid w:val="009557BA"/>
    <w:rsid w:val="00955E0D"/>
    <w:rsid w:val="00955E74"/>
    <w:rsid w:val="009560F9"/>
    <w:rsid w:val="00956301"/>
    <w:rsid w:val="00956430"/>
    <w:rsid w:val="00956445"/>
    <w:rsid w:val="00956B7A"/>
    <w:rsid w:val="00956D18"/>
    <w:rsid w:val="00956DC5"/>
    <w:rsid w:val="00956FF7"/>
    <w:rsid w:val="0095710E"/>
    <w:rsid w:val="00957170"/>
    <w:rsid w:val="009572D3"/>
    <w:rsid w:val="00957390"/>
    <w:rsid w:val="00957504"/>
    <w:rsid w:val="00957613"/>
    <w:rsid w:val="00957679"/>
    <w:rsid w:val="00957746"/>
    <w:rsid w:val="0095777D"/>
    <w:rsid w:val="009578AF"/>
    <w:rsid w:val="00957B93"/>
    <w:rsid w:val="00957BED"/>
    <w:rsid w:val="00957D95"/>
    <w:rsid w:val="00957EDD"/>
    <w:rsid w:val="00957F01"/>
    <w:rsid w:val="00957F68"/>
    <w:rsid w:val="00957FA8"/>
    <w:rsid w:val="00960021"/>
    <w:rsid w:val="009600BF"/>
    <w:rsid w:val="009600FC"/>
    <w:rsid w:val="00960266"/>
    <w:rsid w:val="0096029D"/>
    <w:rsid w:val="00960473"/>
    <w:rsid w:val="00960486"/>
    <w:rsid w:val="00960488"/>
    <w:rsid w:val="00960687"/>
    <w:rsid w:val="00960773"/>
    <w:rsid w:val="00960823"/>
    <w:rsid w:val="0096090F"/>
    <w:rsid w:val="00960A54"/>
    <w:rsid w:val="00960B08"/>
    <w:rsid w:val="00960B22"/>
    <w:rsid w:val="00960C58"/>
    <w:rsid w:val="00960C5F"/>
    <w:rsid w:val="00960CDC"/>
    <w:rsid w:val="00960F2A"/>
    <w:rsid w:val="009612B6"/>
    <w:rsid w:val="00961331"/>
    <w:rsid w:val="0096149F"/>
    <w:rsid w:val="00961528"/>
    <w:rsid w:val="00961773"/>
    <w:rsid w:val="009617FB"/>
    <w:rsid w:val="00961A39"/>
    <w:rsid w:val="00961A70"/>
    <w:rsid w:val="00961C08"/>
    <w:rsid w:val="00961CA6"/>
    <w:rsid w:val="00961CD5"/>
    <w:rsid w:val="00961EC4"/>
    <w:rsid w:val="00962010"/>
    <w:rsid w:val="009621E6"/>
    <w:rsid w:val="0096234B"/>
    <w:rsid w:val="00962394"/>
    <w:rsid w:val="009623B0"/>
    <w:rsid w:val="00962439"/>
    <w:rsid w:val="0096256D"/>
    <w:rsid w:val="0096298C"/>
    <w:rsid w:val="00962B4C"/>
    <w:rsid w:val="00962E85"/>
    <w:rsid w:val="00962EA1"/>
    <w:rsid w:val="00962EA4"/>
    <w:rsid w:val="00963039"/>
    <w:rsid w:val="00963049"/>
    <w:rsid w:val="00963309"/>
    <w:rsid w:val="009633BB"/>
    <w:rsid w:val="009634F0"/>
    <w:rsid w:val="00963555"/>
    <w:rsid w:val="009636EA"/>
    <w:rsid w:val="009637C1"/>
    <w:rsid w:val="00963805"/>
    <w:rsid w:val="009639EC"/>
    <w:rsid w:val="00963A7C"/>
    <w:rsid w:val="00963A83"/>
    <w:rsid w:val="00963AA3"/>
    <w:rsid w:val="00963AE3"/>
    <w:rsid w:val="00963B45"/>
    <w:rsid w:val="00963B49"/>
    <w:rsid w:val="00963DD0"/>
    <w:rsid w:val="00963DE1"/>
    <w:rsid w:val="009642F3"/>
    <w:rsid w:val="00964343"/>
    <w:rsid w:val="009645BD"/>
    <w:rsid w:val="009647AF"/>
    <w:rsid w:val="00964840"/>
    <w:rsid w:val="0096488D"/>
    <w:rsid w:val="009649A5"/>
    <w:rsid w:val="009649E1"/>
    <w:rsid w:val="00964A34"/>
    <w:rsid w:val="00964B5A"/>
    <w:rsid w:val="00964B98"/>
    <w:rsid w:val="00964BBF"/>
    <w:rsid w:val="00964E76"/>
    <w:rsid w:val="00964F57"/>
    <w:rsid w:val="00965183"/>
    <w:rsid w:val="00965184"/>
    <w:rsid w:val="0096525D"/>
    <w:rsid w:val="009653E8"/>
    <w:rsid w:val="009653F7"/>
    <w:rsid w:val="009655CF"/>
    <w:rsid w:val="00965938"/>
    <w:rsid w:val="00965A5D"/>
    <w:rsid w:val="00965A70"/>
    <w:rsid w:val="00965AF2"/>
    <w:rsid w:val="00965B80"/>
    <w:rsid w:val="00965D7B"/>
    <w:rsid w:val="00965F0A"/>
    <w:rsid w:val="00966008"/>
    <w:rsid w:val="00966105"/>
    <w:rsid w:val="009661B3"/>
    <w:rsid w:val="0096624D"/>
    <w:rsid w:val="009662FB"/>
    <w:rsid w:val="009664F4"/>
    <w:rsid w:val="009665F7"/>
    <w:rsid w:val="009667D3"/>
    <w:rsid w:val="0096686B"/>
    <w:rsid w:val="009668A5"/>
    <w:rsid w:val="00966DE4"/>
    <w:rsid w:val="00966E7C"/>
    <w:rsid w:val="00966E86"/>
    <w:rsid w:val="00966F92"/>
    <w:rsid w:val="00967069"/>
    <w:rsid w:val="00967309"/>
    <w:rsid w:val="009675C2"/>
    <w:rsid w:val="009677C2"/>
    <w:rsid w:val="00967830"/>
    <w:rsid w:val="00967D75"/>
    <w:rsid w:val="00967ED0"/>
    <w:rsid w:val="00970111"/>
    <w:rsid w:val="009701D2"/>
    <w:rsid w:val="0097029C"/>
    <w:rsid w:val="00970331"/>
    <w:rsid w:val="00970390"/>
    <w:rsid w:val="009703AA"/>
    <w:rsid w:val="009704CB"/>
    <w:rsid w:val="00970569"/>
    <w:rsid w:val="00970692"/>
    <w:rsid w:val="009709DC"/>
    <w:rsid w:val="00970DBA"/>
    <w:rsid w:val="00970F41"/>
    <w:rsid w:val="00971150"/>
    <w:rsid w:val="009712EE"/>
    <w:rsid w:val="00971386"/>
    <w:rsid w:val="0097161C"/>
    <w:rsid w:val="00971624"/>
    <w:rsid w:val="00971678"/>
    <w:rsid w:val="00971920"/>
    <w:rsid w:val="00971A43"/>
    <w:rsid w:val="00971FFC"/>
    <w:rsid w:val="0097213C"/>
    <w:rsid w:val="0097231D"/>
    <w:rsid w:val="009723D7"/>
    <w:rsid w:val="0097240A"/>
    <w:rsid w:val="0097248E"/>
    <w:rsid w:val="009726CB"/>
    <w:rsid w:val="0097281C"/>
    <w:rsid w:val="0097285A"/>
    <w:rsid w:val="00972A1C"/>
    <w:rsid w:val="00972B27"/>
    <w:rsid w:val="00972DF3"/>
    <w:rsid w:val="00972EE7"/>
    <w:rsid w:val="009730C8"/>
    <w:rsid w:val="00973110"/>
    <w:rsid w:val="00973244"/>
    <w:rsid w:val="009734B7"/>
    <w:rsid w:val="00973551"/>
    <w:rsid w:val="00973659"/>
    <w:rsid w:val="00973680"/>
    <w:rsid w:val="0097369A"/>
    <w:rsid w:val="009736B4"/>
    <w:rsid w:val="00973701"/>
    <w:rsid w:val="009737EA"/>
    <w:rsid w:val="00973A9D"/>
    <w:rsid w:val="00973B10"/>
    <w:rsid w:val="00973B79"/>
    <w:rsid w:val="00973B82"/>
    <w:rsid w:val="00973C20"/>
    <w:rsid w:val="00973E08"/>
    <w:rsid w:val="00973EB7"/>
    <w:rsid w:val="0097425E"/>
    <w:rsid w:val="0097437D"/>
    <w:rsid w:val="00974384"/>
    <w:rsid w:val="009745F7"/>
    <w:rsid w:val="009748AD"/>
    <w:rsid w:val="00974936"/>
    <w:rsid w:val="009749F0"/>
    <w:rsid w:val="00974B09"/>
    <w:rsid w:val="00974C2F"/>
    <w:rsid w:val="00974DC0"/>
    <w:rsid w:val="009750D7"/>
    <w:rsid w:val="0097528D"/>
    <w:rsid w:val="009755D4"/>
    <w:rsid w:val="009755DC"/>
    <w:rsid w:val="0097597C"/>
    <w:rsid w:val="00975A40"/>
    <w:rsid w:val="00975ABC"/>
    <w:rsid w:val="00975C55"/>
    <w:rsid w:val="00975E48"/>
    <w:rsid w:val="0097600F"/>
    <w:rsid w:val="0097603F"/>
    <w:rsid w:val="00976137"/>
    <w:rsid w:val="00976204"/>
    <w:rsid w:val="0097622D"/>
    <w:rsid w:val="009763EE"/>
    <w:rsid w:val="009764BD"/>
    <w:rsid w:val="0097651A"/>
    <w:rsid w:val="009769C6"/>
    <w:rsid w:val="00976E57"/>
    <w:rsid w:val="00976EBE"/>
    <w:rsid w:val="00976F17"/>
    <w:rsid w:val="0097709C"/>
    <w:rsid w:val="00977165"/>
    <w:rsid w:val="00977293"/>
    <w:rsid w:val="009773C9"/>
    <w:rsid w:val="009773E0"/>
    <w:rsid w:val="00977542"/>
    <w:rsid w:val="00977591"/>
    <w:rsid w:val="009778F9"/>
    <w:rsid w:val="00977AB7"/>
    <w:rsid w:val="00977B53"/>
    <w:rsid w:val="00977B76"/>
    <w:rsid w:val="00977D00"/>
    <w:rsid w:val="00977D3C"/>
    <w:rsid w:val="00977E7F"/>
    <w:rsid w:val="0098020E"/>
    <w:rsid w:val="0098022E"/>
    <w:rsid w:val="00980284"/>
    <w:rsid w:val="00980425"/>
    <w:rsid w:val="00980475"/>
    <w:rsid w:val="00980559"/>
    <w:rsid w:val="009807EC"/>
    <w:rsid w:val="009808CE"/>
    <w:rsid w:val="00980A34"/>
    <w:rsid w:val="00980AA6"/>
    <w:rsid w:val="00980AF7"/>
    <w:rsid w:val="00980B3A"/>
    <w:rsid w:val="00980C59"/>
    <w:rsid w:val="00980C82"/>
    <w:rsid w:val="00980FF7"/>
    <w:rsid w:val="00981091"/>
    <w:rsid w:val="009810CC"/>
    <w:rsid w:val="00981138"/>
    <w:rsid w:val="0098120C"/>
    <w:rsid w:val="009813EB"/>
    <w:rsid w:val="009814F3"/>
    <w:rsid w:val="009816BE"/>
    <w:rsid w:val="0098175A"/>
    <w:rsid w:val="00981774"/>
    <w:rsid w:val="00981B52"/>
    <w:rsid w:val="00981C0F"/>
    <w:rsid w:val="00981D3B"/>
    <w:rsid w:val="00981E7C"/>
    <w:rsid w:val="009822CC"/>
    <w:rsid w:val="009826B1"/>
    <w:rsid w:val="00982785"/>
    <w:rsid w:val="0098282E"/>
    <w:rsid w:val="00982CE2"/>
    <w:rsid w:val="00982F4F"/>
    <w:rsid w:val="009830DF"/>
    <w:rsid w:val="009831AA"/>
    <w:rsid w:val="009832DC"/>
    <w:rsid w:val="0098330F"/>
    <w:rsid w:val="00983697"/>
    <w:rsid w:val="009836D8"/>
    <w:rsid w:val="00983721"/>
    <w:rsid w:val="00983887"/>
    <w:rsid w:val="009838A7"/>
    <w:rsid w:val="00983913"/>
    <w:rsid w:val="00983A22"/>
    <w:rsid w:val="00983A72"/>
    <w:rsid w:val="00983BA5"/>
    <w:rsid w:val="00983BA9"/>
    <w:rsid w:val="00983D8A"/>
    <w:rsid w:val="00983FE7"/>
    <w:rsid w:val="0098404C"/>
    <w:rsid w:val="009840C0"/>
    <w:rsid w:val="00984118"/>
    <w:rsid w:val="00984152"/>
    <w:rsid w:val="009841DE"/>
    <w:rsid w:val="00984322"/>
    <w:rsid w:val="00984623"/>
    <w:rsid w:val="009848DE"/>
    <w:rsid w:val="009849E3"/>
    <w:rsid w:val="00984B1B"/>
    <w:rsid w:val="00984CF1"/>
    <w:rsid w:val="00984F99"/>
    <w:rsid w:val="009850D6"/>
    <w:rsid w:val="0098516A"/>
    <w:rsid w:val="009851B1"/>
    <w:rsid w:val="00985282"/>
    <w:rsid w:val="0098537C"/>
    <w:rsid w:val="00985459"/>
    <w:rsid w:val="00985497"/>
    <w:rsid w:val="009854AD"/>
    <w:rsid w:val="00985537"/>
    <w:rsid w:val="009856B4"/>
    <w:rsid w:val="009857DD"/>
    <w:rsid w:val="00985889"/>
    <w:rsid w:val="009859AB"/>
    <w:rsid w:val="00985A75"/>
    <w:rsid w:val="00985B62"/>
    <w:rsid w:val="00985B69"/>
    <w:rsid w:val="00985BE3"/>
    <w:rsid w:val="00985CEF"/>
    <w:rsid w:val="00985D85"/>
    <w:rsid w:val="00985E46"/>
    <w:rsid w:val="0098635D"/>
    <w:rsid w:val="00986414"/>
    <w:rsid w:val="00986537"/>
    <w:rsid w:val="00986569"/>
    <w:rsid w:val="0098680D"/>
    <w:rsid w:val="00986BD9"/>
    <w:rsid w:val="00986C58"/>
    <w:rsid w:val="00986D20"/>
    <w:rsid w:val="0098701F"/>
    <w:rsid w:val="00987412"/>
    <w:rsid w:val="00987583"/>
    <w:rsid w:val="00987B80"/>
    <w:rsid w:val="00987DB9"/>
    <w:rsid w:val="00987E15"/>
    <w:rsid w:val="00987EC5"/>
    <w:rsid w:val="00990105"/>
    <w:rsid w:val="0099056D"/>
    <w:rsid w:val="0099057E"/>
    <w:rsid w:val="00990663"/>
    <w:rsid w:val="009906A8"/>
    <w:rsid w:val="009906EA"/>
    <w:rsid w:val="00990816"/>
    <w:rsid w:val="00990A6C"/>
    <w:rsid w:val="00990AAF"/>
    <w:rsid w:val="00990B69"/>
    <w:rsid w:val="00990BBC"/>
    <w:rsid w:val="00990C3D"/>
    <w:rsid w:val="00990DD7"/>
    <w:rsid w:val="00990EE2"/>
    <w:rsid w:val="00990F13"/>
    <w:rsid w:val="00990FDC"/>
    <w:rsid w:val="009911A3"/>
    <w:rsid w:val="0099141E"/>
    <w:rsid w:val="00991452"/>
    <w:rsid w:val="0099151F"/>
    <w:rsid w:val="009917FE"/>
    <w:rsid w:val="009919C9"/>
    <w:rsid w:val="00991C36"/>
    <w:rsid w:val="00991C88"/>
    <w:rsid w:val="00991D12"/>
    <w:rsid w:val="00991D70"/>
    <w:rsid w:val="00991DDB"/>
    <w:rsid w:val="0099207F"/>
    <w:rsid w:val="009920FF"/>
    <w:rsid w:val="0099249B"/>
    <w:rsid w:val="009924BA"/>
    <w:rsid w:val="009924C1"/>
    <w:rsid w:val="00992662"/>
    <w:rsid w:val="009927BA"/>
    <w:rsid w:val="0099294C"/>
    <w:rsid w:val="00992955"/>
    <w:rsid w:val="00992D5A"/>
    <w:rsid w:val="00992D71"/>
    <w:rsid w:val="00992D97"/>
    <w:rsid w:val="00992E87"/>
    <w:rsid w:val="00992E8C"/>
    <w:rsid w:val="00992F1F"/>
    <w:rsid w:val="00992FBD"/>
    <w:rsid w:val="009931C3"/>
    <w:rsid w:val="009932F0"/>
    <w:rsid w:val="009933D1"/>
    <w:rsid w:val="00993538"/>
    <w:rsid w:val="0099353A"/>
    <w:rsid w:val="0099379F"/>
    <w:rsid w:val="009938E8"/>
    <w:rsid w:val="0099390B"/>
    <w:rsid w:val="009939ED"/>
    <w:rsid w:val="00993BCB"/>
    <w:rsid w:val="00993BCF"/>
    <w:rsid w:val="00993D6B"/>
    <w:rsid w:val="00993D92"/>
    <w:rsid w:val="00993D95"/>
    <w:rsid w:val="00993DA4"/>
    <w:rsid w:val="00993EF6"/>
    <w:rsid w:val="00993F79"/>
    <w:rsid w:val="00993FC5"/>
    <w:rsid w:val="0099409A"/>
    <w:rsid w:val="0099418C"/>
    <w:rsid w:val="00994201"/>
    <w:rsid w:val="009942C3"/>
    <w:rsid w:val="009942E8"/>
    <w:rsid w:val="0099437F"/>
    <w:rsid w:val="0099445D"/>
    <w:rsid w:val="009944F0"/>
    <w:rsid w:val="00994623"/>
    <w:rsid w:val="00994806"/>
    <w:rsid w:val="00994901"/>
    <w:rsid w:val="0099497F"/>
    <w:rsid w:val="00994BE2"/>
    <w:rsid w:val="00994C1B"/>
    <w:rsid w:val="00994C2C"/>
    <w:rsid w:val="009951E5"/>
    <w:rsid w:val="00995211"/>
    <w:rsid w:val="00995274"/>
    <w:rsid w:val="00995426"/>
    <w:rsid w:val="00995603"/>
    <w:rsid w:val="009957B0"/>
    <w:rsid w:val="00995906"/>
    <w:rsid w:val="00995A60"/>
    <w:rsid w:val="00995B72"/>
    <w:rsid w:val="00995C1C"/>
    <w:rsid w:val="00995D24"/>
    <w:rsid w:val="00995E64"/>
    <w:rsid w:val="00995EA3"/>
    <w:rsid w:val="00995F5B"/>
    <w:rsid w:val="00995F5D"/>
    <w:rsid w:val="00996004"/>
    <w:rsid w:val="00996051"/>
    <w:rsid w:val="00996546"/>
    <w:rsid w:val="0099659F"/>
    <w:rsid w:val="009966C3"/>
    <w:rsid w:val="00996793"/>
    <w:rsid w:val="0099684E"/>
    <w:rsid w:val="009968D3"/>
    <w:rsid w:val="009969B0"/>
    <w:rsid w:val="00996A46"/>
    <w:rsid w:val="00996AEC"/>
    <w:rsid w:val="00996B2C"/>
    <w:rsid w:val="009971F8"/>
    <w:rsid w:val="00997315"/>
    <w:rsid w:val="0099731B"/>
    <w:rsid w:val="00997430"/>
    <w:rsid w:val="0099747D"/>
    <w:rsid w:val="009975A1"/>
    <w:rsid w:val="009975BE"/>
    <w:rsid w:val="00997689"/>
    <w:rsid w:val="00997C2D"/>
    <w:rsid w:val="00997FA8"/>
    <w:rsid w:val="009A00F2"/>
    <w:rsid w:val="009A0125"/>
    <w:rsid w:val="009A0172"/>
    <w:rsid w:val="009A01E1"/>
    <w:rsid w:val="009A0210"/>
    <w:rsid w:val="009A02E8"/>
    <w:rsid w:val="009A0374"/>
    <w:rsid w:val="009A0392"/>
    <w:rsid w:val="009A0469"/>
    <w:rsid w:val="009A047A"/>
    <w:rsid w:val="009A057E"/>
    <w:rsid w:val="009A065A"/>
    <w:rsid w:val="009A0855"/>
    <w:rsid w:val="009A09D8"/>
    <w:rsid w:val="009A0A9E"/>
    <w:rsid w:val="009A0AD5"/>
    <w:rsid w:val="009A0CF8"/>
    <w:rsid w:val="009A0E59"/>
    <w:rsid w:val="009A1249"/>
    <w:rsid w:val="009A1386"/>
    <w:rsid w:val="009A1444"/>
    <w:rsid w:val="009A14BC"/>
    <w:rsid w:val="009A1553"/>
    <w:rsid w:val="009A1634"/>
    <w:rsid w:val="009A16C0"/>
    <w:rsid w:val="009A16EF"/>
    <w:rsid w:val="009A17D0"/>
    <w:rsid w:val="009A189A"/>
    <w:rsid w:val="009A1B69"/>
    <w:rsid w:val="009A1D3E"/>
    <w:rsid w:val="009A1E0A"/>
    <w:rsid w:val="009A1E55"/>
    <w:rsid w:val="009A2096"/>
    <w:rsid w:val="009A20D2"/>
    <w:rsid w:val="009A2162"/>
    <w:rsid w:val="009A23C6"/>
    <w:rsid w:val="009A24BC"/>
    <w:rsid w:val="009A271D"/>
    <w:rsid w:val="009A27D2"/>
    <w:rsid w:val="009A27D9"/>
    <w:rsid w:val="009A291B"/>
    <w:rsid w:val="009A2C7E"/>
    <w:rsid w:val="009A2FBE"/>
    <w:rsid w:val="009A31AA"/>
    <w:rsid w:val="009A32C0"/>
    <w:rsid w:val="009A330E"/>
    <w:rsid w:val="009A3796"/>
    <w:rsid w:val="009A38BC"/>
    <w:rsid w:val="009A3957"/>
    <w:rsid w:val="009A3C42"/>
    <w:rsid w:val="009A3C5D"/>
    <w:rsid w:val="009A3C7B"/>
    <w:rsid w:val="009A3DD7"/>
    <w:rsid w:val="009A410C"/>
    <w:rsid w:val="009A4141"/>
    <w:rsid w:val="009A4175"/>
    <w:rsid w:val="009A4222"/>
    <w:rsid w:val="009A43B2"/>
    <w:rsid w:val="009A444B"/>
    <w:rsid w:val="009A44E9"/>
    <w:rsid w:val="009A474C"/>
    <w:rsid w:val="009A47CE"/>
    <w:rsid w:val="009A4909"/>
    <w:rsid w:val="009A4954"/>
    <w:rsid w:val="009A4BC8"/>
    <w:rsid w:val="009A4C5C"/>
    <w:rsid w:val="009A50AC"/>
    <w:rsid w:val="009A54B6"/>
    <w:rsid w:val="009A5630"/>
    <w:rsid w:val="009A577B"/>
    <w:rsid w:val="009A5A03"/>
    <w:rsid w:val="009A5A0E"/>
    <w:rsid w:val="009A5A10"/>
    <w:rsid w:val="009A5A99"/>
    <w:rsid w:val="009A5B3D"/>
    <w:rsid w:val="009A5BD2"/>
    <w:rsid w:val="009A5D6A"/>
    <w:rsid w:val="009A5EA1"/>
    <w:rsid w:val="009A6192"/>
    <w:rsid w:val="009A62B8"/>
    <w:rsid w:val="009A6502"/>
    <w:rsid w:val="009A65FD"/>
    <w:rsid w:val="009A661A"/>
    <w:rsid w:val="009A66AA"/>
    <w:rsid w:val="009A6747"/>
    <w:rsid w:val="009A6B80"/>
    <w:rsid w:val="009A6BF6"/>
    <w:rsid w:val="009A6C7E"/>
    <w:rsid w:val="009A6DCA"/>
    <w:rsid w:val="009A7007"/>
    <w:rsid w:val="009A718E"/>
    <w:rsid w:val="009A73D3"/>
    <w:rsid w:val="009A73DE"/>
    <w:rsid w:val="009A759A"/>
    <w:rsid w:val="009A7701"/>
    <w:rsid w:val="009A7841"/>
    <w:rsid w:val="009A78D4"/>
    <w:rsid w:val="009A7B4A"/>
    <w:rsid w:val="009A7BF8"/>
    <w:rsid w:val="009A7C1B"/>
    <w:rsid w:val="009A7C40"/>
    <w:rsid w:val="009A7C7F"/>
    <w:rsid w:val="009B00D8"/>
    <w:rsid w:val="009B00EF"/>
    <w:rsid w:val="009B02FE"/>
    <w:rsid w:val="009B04A1"/>
    <w:rsid w:val="009B05F9"/>
    <w:rsid w:val="009B079C"/>
    <w:rsid w:val="009B0AE0"/>
    <w:rsid w:val="009B0BF8"/>
    <w:rsid w:val="009B0D31"/>
    <w:rsid w:val="009B0DF2"/>
    <w:rsid w:val="009B0E7A"/>
    <w:rsid w:val="009B0F2E"/>
    <w:rsid w:val="009B0FBD"/>
    <w:rsid w:val="009B12DD"/>
    <w:rsid w:val="009B1379"/>
    <w:rsid w:val="009B14B5"/>
    <w:rsid w:val="009B15D8"/>
    <w:rsid w:val="009B15E9"/>
    <w:rsid w:val="009B16A3"/>
    <w:rsid w:val="009B178C"/>
    <w:rsid w:val="009B18B7"/>
    <w:rsid w:val="009B18E7"/>
    <w:rsid w:val="009B1AEC"/>
    <w:rsid w:val="009B1BA7"/>
    <w:rsid w:val="009B1BC6"/>
    <w:rsid w:val="009B1CA4"/>
    <w:rsid w:val="009B1DB6"/>
    <w:rsid w:val="009B1E06"/>
    <w:rsid w:val="009B214D"/>
    <w:rsid w:val="009B2184"/>
    <w:rsid w:val="009B2211"/>
    <w:rsid w:val="009B2310"/>
    <w:rsid w:val="009B2387"/>
    <w:rsid w:val="009B244F"/>
    <w:rsid w:val="009B24B3"/>
    <w:rsid w:val="009B2608"/>
    <w:rsid w:val="009B2A04"/>
    <w:rsid w:val="009B2B4B"/>
    <w:rsid w:val="009B2D31"/>
    <w:rsid w:val="009B2EF7"/>
    <w:rsid w:val="009B2F55"/>
    <w:rsid w:val="009B3173"/>
    <w:rsid w:val="009B318F"/>
    <w:rsid w:val="009B34F9"/>
    <w:rsid w:val="009B3A3A"/>
    <w:rsid w:val="009B3A56"/>
    <w:rsid w:val="009B3AC7"/>
    <w:rsid w:val="009B3B6E"/>
    <w:rsid w:val="009B3BF7"/>
    <w:rsid w:val="009B3C9F"/>
    <w:rsid w:val="009B3D3C"/>
    <w:rsid w:val="009B3D56"/>
    <w:rsid w:val="009B3DD2"/>
    <w:rsid w:val="009B3EDB"/>
    <w:rsid w:val="009B3FCE"/>
    <w:rsid w:val="009B4316"/>
    <w:rsid w:val="009B44EF"/>
    <w:rsid w:val="009B462D"/>
    <w:rsid w:val="009B46E7"/>
    <w:rsid w:val="009B47E6"/>
    <w:rsid w:val="009B48AA"/>
    <w:rsid w:val="009B498E"/>
    <w:rsid w:val="009B4BB3"/>
    <w:rsid w:val="009B4E06"/>
    <w:rsid w:val="009B4F07"/>
    <w:rsid w:val="009B4FC2"/>
    <w:rsid w:val="009B5192"/>
    <w:rsid w:val="009B51C4"/>
    <w:rsid w:val="009B5226"/>
    <w:rsid w:val="009B5232"/>
    <w:rsid w:val="009B5240"/>
    <w:rsid w:val="009B5474"/>
    <w:rsid w:val="009B547E"/>
    <w:rsid w:val="009B5542"/>
    <w:rsid w:val="009B577D"/>
    <w:rsid w:val="009B58AE"/>
    <w:rsid w:val="009B58D7"/>
    <w:rsid w:val="009B58DA"/>
    <w:rsid w:val="009B596D"/>
    <w:rsid w:val="009B5C34"/>
    <w:rsid w:val="009B5FA3"/>
    <w:rsid w:val="009B6100"/>
    <w:rsid w:val="009B6184"/>
    <w:rsid w:val="009B62F0"/>
    <w:rsid w:val="009B634B"/>
    <w:rsid w:val="009B63BA"/>
    <w:rsid w:val="009B63DE"/>
    <w:rsid w:val="009B65DA"/>
    <w:rsid w:val="009B666C"/>
    <w:rsid w:val="009B6680"/>
    <w:rsid w:val="009B669B"/>
    <w:rsid w:val="009B6723"/>
    <w:rsid w:val="009B6812"/>
    <w:rsid w:val="009B681E"/>
    <w:rsid w:val="009B6B14"/>
    <w:rsid w:val="009B6B53"/>
    <w:rsid w:val="009B6D2A"/>
    <w:rsid w:val="009B6DC3"/>
    <w:rsid w:val="009B6E3D"/>
    <w:rsid w:val="009B7069"/>
    <w:rsid w:val="009B721C"/>
    <w:rsid w:val="009B72D5"/>
    <w:rsid w:val="009B7618"/>
    <w:rsid w:val="009B7679"/>
    <w:rsid w:val="009B76AD"/>
    <w:rsid w:val="009B7D25"/>
    <w:rsid w:val="009B7DBB"/>
    <w:rsid w:val="009B7DD4"/>
    <w:rsid w:val="009B7F71"/>
    <w:rsid w:val="009C04F1"/>
    <w:rsid w:val="009C058E"/>
    <w:rsid w:val="009C05CC"/>
    <w:rsid w:val="009C08C6"/>
    <w:rsid w:val="009C0936"/>
    <w:rsid w:val="009C0992"/>
    <w:rsid w:val="009C0ADB"/>
    <w:rsid w:val="009C0B70"/>
    <w:rsid w:val="009C0BA1"/>
    <w:rsid w:val="009C0BD1"/>
    <w:rsid w:val="009C0C21"/>
    <w:rsid w:val="009C0D74"/>
    <w:rsid w:val="009C0DB7"/>
    <w:rsid w:val="009C0E19"/>
    <w:rsid w:val="009C0FA5"/>
    <w:rsid w:val="009C10FD"/>
    <w:rsid w:val="009C110F"/>
    <w:rsid w:val="009C118A"/>
    <w:rsid w:val="009C1305"/>
    <w:rsid w:val="009C1353"/>
    <w:rsid w:val="009C1381"/>
    <w:rsid w:val="009C1501"/>
    <w:rsid w:val="009C1ACC"/>
    <w:rsid w:val="009C1B60"/>
    <w:rsid w:val="009C1CEE"/>
    <w:rsid w:val="009C1D56"/>
    <w:rsid w:val="009C1E14"/>
    <w:rsid w:val="009C207D"/>
    <w:rsid w:val="009C22F0"/>
    <w:rsid w:val="009C22F8"/>
    <w:rsid w:val="009C2352"/>
    <w:rsid w:val="009C23DB"/>
    <w:rsid w:val="009C23FE"/>
    <w:rsid w:val="009C27D3"/>
    <w:rsid w:val="009C2910"/>
    <w:rsid w:val="009C2979"/>
    <w:rsid w:val="009C2DD6"/>
    <w:rsid w:val="009C2E87"/>
    <w:rsid w:val="009C303B"/>
    <w:rsid w:val="009C316A"/>
    <w:rsid w:val="009C3210"/>
    <w:rsid w:val="009C32AE"/>
    <w:rsid w:val="009C32FC"/>
    <w:rsid w:val="009C338A"/>
    <w:rsid w:val="009C3442"/>
    <w:rsid w:val="009C3484"/>
    <w:rsid w:val="009C35D7"/>
    <w:rsid w:val="009C362D"/>
    <w:rsid w:val="009C3A08"/>
    <w:rsid w:val="009C3A97"/>
    <w:rsid w:val="009C3AE6"/>
    <w:rsid w:val="009C3C62"/>
    <w:rsid w:val="009C3FD7"/>
    <w:rsid w:val="009C417B"/>
    <w:rsid w:val="009C41E5"/>
    <w:rsid w:val="009C450E"/>
    <w:rsid w:val="009C45E4"/>
    <w:rsid w:val="009C4681"/>
    <w:rsid w:val="009C4DB7"/>
    <w:rsid w:val="009C4F7E"/>
    <w:rsid w:val="009C5088"/>
    <w:rsid w:val="009C5244"/>
    <w:rsid w:val="009C537C"/>
    <w:rsid w:val="009C541B"/>
    <w:rsid w:val="009C580C"/>
    <w:rsid w:val="009C58D1"/>
    <w:rsid w:val="009C59F5"/>
    <w:rsid w:val="009C5CC8"/>
    <w:rsid w:val="009C5DF6"/>
    <w:rsid w:val="009C5E4D"/>
    <w:rsid w:val="009C5FBB"/>
    <w:rsid w:val="009C61AD"/>
    <w:rsid w:val="009C62E7"/>
    <w:rsid w:val="009C6459"/>
    <w:rsid w:val="009C6462"/>
    <w:rsid w:val="009C6498"/>
    <w:rsid w:val="009C6635"/>
    <w:rsid w:val="009C6646"/>
    <w:rsid w:val="009C6750"/>
    <w:rsid w:val="009C6A19"/>
    <w:rsid w:val="009C6BFF"/>
    <w:rsid w:val="009C6C87"/>
    <w:rsid w:val="009C6DF0"/>
    <w:rsid w:val="009C6E32"/>
    <w:rsid w:val="009C71FB"/>
    <w:rsid w:val="009C73B4"/>
    <w:rsid w:val="009C7543"/>
    <w:rsid w:val="009C76BC"/>
    <w:rsid w:val="009C7E13"/>
    <w:rsid w:val="009D01DD"/>
    <w:rsid w:val="009D0279"/>
    <w:rsid w:val="009D0283"/>
    <w:rsid w:val="009D02E6"/>
    <w:rsid w:val="009D0464"/>
    <w:rsid w:val="009D0494"/>
    <w:rsid w:val="009D055E"/>
    <w:rsid w:val="009D0665"/>
    <w:rsid w:val="009D087C"/>
    <w:rsid w:val="009D0A23"/>
    <w:rsid w:val="009D0A66"/>
    <w:rsid w:val="009D0BE8"/>
    <w:rsid w:val="009D0CDC"/>
    <w:rsid w:val="009D0FCC"/>
    <w:rsid w:val="009D0FDC"/>
    <w:rsid w:val="009D110C"/>
    <w:rsid w:val="009D1615"/>
    <w:rsid w:val="009D1627"/>
    <w:rsid w:val="009D17D4"/>
    <w:rsid w:val="009D1A77"/>
    <w:rsid w:val="009D1A7B"/>
    <w:rsid w:val="009D1ADD"/>
    <w:rsid w:val="009D1C1B"/>
    <w:rsid w:val="009D1CE0"/>
    <w:rsid w:val="009D21B0"/>
    <w:rsid w:val="009D246B"/>
    <w:rsid w:val="009D251E"/>
    <w:rsid w:val="009D2554"/>
    <w:rsid w:val="009D260B"/>
    <w:rsid w:val="009D27CB"/>
    <w:rsid w:val="009D27E0"/>
    <w:rsid w:val="009D27EE"/>
    <w:rsid w:val="009D2AA0"/>
    <w:rsid w:val="009D2BE9"/>
    <w:rsid w:val="009D2E80"/>
    <w:rsid w:val="009D308F"/>
    <w:rsid w:val="009D30EB"/>
    <w:rsid w:val="009D313B"/>
    <w:rsid w:val="009D316D"/>
    <w:rsid w:val="009D3259"/>
    <w:rsid w:val="009D3318"/>
    <w:rsid w:val="009D355F"/>
    <w:rsid w:val="009D3676"/>
    <w:rsid w:val="009D37A6"/>
    <w:rsid w:val="009D37FF"/>
    <w:rsid w:val="009D38E4"/>
    <w:rsid w:val="009D3C23"/>
    <w:rsid w:val="009D3E1A"/>
    <w:rsid w:val="009D4052"/>
    <w:rsid w:val="009D4195"/>
    <w:rsid w:val="009D42AD"/>
    <w:rsid w:val="009D4611"/>
    <w:rsid w:val="009D467D"/>
    <w:rsid w:val="009D46A2"/>
    <w:rsid w:val="009D46A6"/>
    <w:rsid w:val="009D4706"/>
    <w:rsid w:val="009D4738"/>
    <w:rsid w:val="009D48D6"/>
    <w:rsid w:val="009D49D4"/>
    <w:rsid w:val="009D4A8D"/>
    <w:rsid w:val="009D4C05"/>
    <w:rsid w:val="009D4C57"/>
    <w:rsid w:val="009D4E01"/>
    <w:rsid w:val="009D4E71"/>
    <w:rsid w:val="009D4F77"/>
    <w:rsid w:val="009D5034"/>
    <w:rsid w:val="009D51D5"/>
    <w:rsid w:val="009D5366"/>
    <w:rsid w:val="009D5429"/>
    <w:rsid w:val="009D5450"/>
    <w:rsid w:val="009D548E"/>
    <w:rsid w:val="009D56E8"/>
    <w:rsid w:val="009D58AB"/>
    <w:rsid w:val="009D5A3A"/>
    <w:rsid w:val="009D5D8D"/>
    <w:rsid w:val="009D5EA4"/>
    <w:rsid w:val="009D5ECA"/>
    <w:rsid w:val="009D5F4A"/>
    <w:rsid w:val="009D604C"/>
    <w:rsid w:val="009D676C"/>
    <w:rsid w:val="009D6931"/>
    <w:rsid w:val="009D69BA"/>
    <w:rsid w:val="009D69D0"/>
    <w:rsid w:val="009D70D8"/>
    <w:rsid w:val="009D7142"/>
    <w:rsid w:val="009D71B0"/>
    <w:rsid w:val="009D7324"/>
    <w:rsid w:val="009D759B"/>
    <w:rsid w:val="009D75DC"/>
    <w:rsid w:val="009D763E"/>
    <w:rsid w:val="009D77CC"/>
    <w:rsid w:val="009D7905"/>
    <w:rsid w:val="009D7972"/>
    <w:rsid w:val="009D79D6"/>
    <w:rsid w:val="009D7A67"/>
    <w:rsid w:val="009D7ABB"/>
    <w:rsid w:val="009D7B81"/>
    <w:rsid w:val="009D7BB4"/>
    <w:rsid w:val="009D7DE0"/>
    <w:rsid w:val="009D7F85"/>
    <w:rsid w:val="009D7F95"/>
    <w:rsid w:val="009E033E"/>
    <w:rsid w:val="009E0460"/>
    <w:rsid w:val="009E0531"/>
    <w:rsid w:val="009E0991"/>
    <w:rsid w:val="009E0ABE"/>
    <w:rsid w:val="009E0BC2"/>
    <w:rsid w:val="009E0CA4"/>
    <w:rsid w:val="009E0E65"/>
    <w:rsid w:val="009E11EB"/>
    <w:rsid w:val="009E11F6"/>
    <w:rsid w:val="009E1219"/>
    <w:rsid w:val="009E1601"/>
    <w:rsid w:val="009E1648"/>
    <w:rsid w:val="009E1675"/>
    <w:rsid w:val="009E1889"/>
    <w:rsid w:val="009E18A3"/>
    <w:rsid w:val="009E1AD0"/>
    <w:rsid w:val="009E1BEF"/>
    <w:rsid w:val="009E1F75"/>
    <w:rsid w:val="009E2010"/>
    <w:rsid w:val="009E207D"/>
    <w:rsid w:val="009E2387"/>
    <w:rsid w:val="009E25D8"/>
    <w:rsid w:val="009E2677"/>
    <w:rsid w:val="009E2A9E"/>
    <w:rsid w:val="009E2EA2"/>
    <w:rsid w:val="009E2F92"/>
    <w:rsid w:val="009E3035"/>
    <w:rsid w:val="009E31B7"/>
    <w:rsid w:val="009E3249"/>
    <w:rsid w:val="009E340D"/>
    <w:rsid w:val="009E3650"/>
    <w:rsid w:val="009E3675"/>
    <w:rsid w:val="009E373B"/>
    <w:rsid w:val="009E379C"/>
    <w:rsid w:val="009E3A93"/>
    <w:rsid w:val="009E3AF5"/>
    <w:rsid w:val="009E3BC7"/>
    <w:rsid w:val="009E3CEF"/>
    <w:rsid w:val="009E3D4E"/>
    <w:rsid w:val="009E3EDB"/>
    <w:rsid w:val="009E3FEC"/>
    <w:rsid w:val="009E401F"/>
    <w:rsid w:val="009E43E9"/>
    <w:rsid w:val="009E4419"/>
    <w:rsid w:val="009E46D8"/>
    <w:rsid w:val="009E475F"/>
    <w:rsid w:val="009E47B2"/>
    <w:rsid w:val="009E4838"/>
    <w:rsid w:val="009E4C3B"/>
    <w:rsid w:val="009E51E9"/>
    <w:rsid w:val="009E53D2"/>
    <w:rsid w:val="009E5509"/>
    <w:rsid w:val="009E55FB"/>
    <w:rsid w:val="009E57F5"/>
    <w:rsid w:val="009E5B1C"/>
    <w:rsid w:val="009E5F9A"/>
    <w:rsid w:val="009E6284"/>
    <w:rsid w:val="009E6310"/>
    <w:rsid w:val="009E6372"/>
    <w:rsid w:val="009E63F4"/>
    <w:rsid w:val="009E6497"/>
    <w:rsid w:val="009E64F2"/>
    <w:rsid w:val="009E64FB"/>
    <w:rsid w:val="009E65BC"/>
    <w:rsid w:val="009E68B8"/>
    <w:rsid w:val="009E68E9"/>
    <w:rsid w:val="009E6B22"/>
    <w:rsid w:val="009E6B44"/>
    <w:rsid w:val="009E6C36"/>
    <w:rsid w:val="009E6E44"/>
    <w:rsid w:val="009E6E7B"/>
    <w:rsid w:val="009E6ECC"/>
    <w:rsid w:val="009E6F06"/>
    <w:rsid w:val="009E702A"/>
    <w:rsid w:val="009E7348"/>
    <w:rsid w:val="009E7480"/>
    <w:rsid w:val="009E768B"/>
    <w:rsid w:val="009E7BD4"/>
    <w:rsid w:val="009E7BFB"/>
    <w:rsid w:val="009E7C48"/>
    <w:rsid w:val="009E7C55"/>
    <w:rsid w:val="009E7F50"/>
    <w:rsid w:val="009E7F6F"/>
    <w:rsid w:val="009E7FBD"/>
    <w:rsid w:val="009F0025"/>
    <w:rsid w:val="009F0191"/>
    <w:rsid w:val="009F04D4"/>
    <w:rsid w:val="009F059B"/>
    <w:rsid w:val="009F06A9"/>
    <w:rsid w:val="009F0720"/>
    <w:rsid w:val="009F0978"/>
    <w:rsid w:val="009F0BFD"/>
    <w:rsid w:val="009F0C14"/>
    <w:rsid w:val="009F0C30"/>
    <w:rsid w:val="009F0C68"/>
    <w:rsid w:val="009F0C86"/>
    <w:rsid w:val="009F0DC8"/>
    <w:rsid w:val="009F0EB5"/>
    <w:rsid w:val="009F0EE8"/>
    <w:rsid w:val="009F1145"/>
    <w:rsid w:val="009F1206"/>
    <w:rsid w:val="009F1462"/>
    <w:rsid w:val="009F1471"/>
    <w:rsid w:val="009F14D6"/>
    <w:rsid w:val="009F1565"/>
    <w:rsid w:val="009F1641"/>
    <w:rsid w:val="009F1687"/>
    <w:rsid w:val="009F1774"/>
    <w:rsid w:val="009F184E"/>
    <w:rsid w:val="009F1D8A"/>
    <w:rsid w:val="009F1DE5"/>
    <w:rsid w:val="009F1EBB"/>
    <w:rsid w:val="009F1EC1"/>
    <w:rsid w:val="009F1FC8"/>
    <w:rsid w:val="009F200E"/>
    <w:rsid w:val="009F2114"/>
    <w:rsid w:val="009F2356"/>
    <w:rsid w:val="009F2431"/>
    <w:rsid w:val="009F24A1"/>
    <w:rsid w:val="009F24E4"/>
    <w:rsid w:val="009F25FD"/>
    <w:rsid w:val="009F2618"/>
    <w:rsid w:val="009F2626"/>
    <w:rsid w:val="009F26A2"/>
    <w:rsid w:val="009F279B"/>
    <w:rsid w:val="009F28C7"/>
    <w:rsid w:val="009F2909"/>
    <w:rsid w:val="009F2991"/>
    <w:rsid w:val="009F2C56"/>
    <w:rsid w:val="009F2C5C"/>
    <w:rsid w:val="009F2EEF"/>
    <w:rsid w:val="009F2EFC"/>
    <w:rsid w:val="009F3242"/>
    <w:rsid w:val="009F3366"/>
    <w:rsid w:val="009F357E"/>
    <w:rsid w:val="009F3607"/>
    <w:rsid w:val="009F36E2"/>
    <w:rsid w:val="009F37F5"/>
    <w:rsid w:val="009F3899"/>
    <w:rsid w:val="009F3916"/>
    <w:rsid w:val="009F3B8A"/>
    <w:rsid w:val="009F3DDB"/>
    <w:rsid w:val="009F3E87"/>
    <w:rsid w:val="009F4047"/>
    <w:rsid w:val="009F4212"/>
    <w:rsid w:val="009F442C"/>
    <w:rsid w:val="009F462C"/>
    <w:rsid w:val="009F48F9"/>
    <w:rsid w:val="009F4EFA"/>
    <w:rsid w:val="009F5064"/>
    <w:rsid w:val="009F5161"/>
    <w:rsid w:val="009F52EC"/>
    <w:rsid w:val="009F53F3"/>
    <w:rsid w:val="009F56B2"/>
    <w:rsid w:val="009F57CD"/>
    <w:rsid w:val="009F57E0"/>
    <w:rsid w:val="009F5893"/>
    <w:rsid w:val="009F595B"/>
    <w:rsid w:val="009F5991"/>
    <w:rsid w:val="009F5A07"/>
    <w:rsid w:val="009F5C79"/>
    <w:rsid w:val="009F5D3A"/>
    <w:rsid w:val="009F5E53"/>
    <w:rsid w:val="009F5F8B"/>
    <w:rsid w:val="009F608F"/>
    <w:rsid w:val="009F6118"/>
    <w:rsid w:val="009F6143"/>
    <w:rsid w:val="009F61E8"/>
    <w:rsid w:val="009F624B"/>
    <w:rsid w:val="009F62B5"/>
    <w:rsid w:val="009F653B"/>
    <w:rsid w:val="009F66BB"/>
    <w:rsid w:val="009F671A"/>
    <w:rsid w:val="009F6871"/>
    <w:rsid w:val="009F68F4"/>
    <w:rsid w:val="009F6AD5"/>
    <w:rsid w:val="009F6AFE"/>
    <w:rsid w:val="009F6B0E"/>
    <w:rsid w:val="009F6C4B"/>
    <w:rsid w:val="009F705E"/>
    <w:rsid w:val="009F70A9"/>
    <w:rsid w:val="009F7249"/>
    <w:rsid w:val="009F77E6"/>
    <w:rsid w:val="009F7843"/>
    <w:rsid w:val="009F7868"/>
    <w:rsid w:val="009F7C14"/>
    <w:rsid w:val="009F7C16"/>
    <w:rsid w:val="009F7E6D"/>
    <w:rsid w:val="009F7F58"/>
    <w:rsid w:val="009F7FDA"/>
    <w:rsid w:val="00A000C7"/>
    <w:rsid w:val="00A0021B"/>
    <w:rsid w:val="00A004B6"/>
    <w:rsid w:val="00A005D7"/>
    <w:rsid w:val="00A0082A"/>
    <w:rsid w:val="00A0095C"/>
    <w:rsid w:val="00A00AA6"/>
    <w:rsid w:val="00A00CB4"/>
    <w:rsid w:val="00A00CD6"/>
    <w:rsid w:val="00A00D8D"/>
    <w:rsid w:val="00A00F34"/>
    <w:rsid w:val="00A00F74"/>
    <w:rsid w:val="00A01009"/>
    <w:rsid w:val="00A01056"/>
    <w:rsid w:val="00A010AB"/>
    <w:rsid w:val="00A0111F"/>
    <w:rsid w:val="00A01177"/>
    <w:rsid w:val="00A012B6"/>
    <w:rsid w:val="00A014CE"/>
    <w:rsid w:val="00A014E2"/>
    <w:rsid w:val="00A01546"/>
    <w:rsid w:val="00A015FE"/>
    <w:rsid w:val="00A016C6"/>
    <w:rsid w:val="00A016E9"/>
    <w:rsid w:val="00A01730"/>
    <w:rsid w:val="00A018C3"/>
    <w:rsid w:val="00A01B57"/>
    <w:rsid w:val="00A01B62"/>
    <w:rsid w:val="00A01FCB"/>
    <w:rsid w:val="00A020F2"/>
    <w:rsid w:val="00A02180"/>
    <w:rsid w:val="00A02247"/>
    <w:rsid w:val="00A022D5"/>
    <w:rsid w:val="00A02370"/>
    <w:rsid w:val="00A02393"/>
    <w:rsid w:val="00A025C3"/>
    <w:rsid w:val="00A0262C"/>
    <w:rsid w:val="00A02870"/>
    <w:rsid w:val="00A02889"/>
    <w:rsid w:val="00A02A7B"/>
    <w:rsid w:val="00A02AA9"/>
    <w:rsid w:val="00A02CCF"/>
    <w:rsid w:val="00A02CDF"/>
    <w:rsid w:val="00A02D08"/>
    <w:rsid w:val="00A031F9"/>
    <w:rsid w:val="00A032F9"/>
    <w:rsid w:val="00A03399"/>
    <w:rsid w:val="00A033DB"/>
    <w:rsid w:val="00A0352B"/>
    <w:rsid w:val="00A03664"/>
    <w:rsid w:val="00A037E2"/>
    <w:rsid w:val="00A0398A"/>
    <w:rsid w:val="00A03CED"/>
    <w:rsid w:val="00A03D1A"/>
    <w:rsid w:val="00A03EDF"/>
    <w:rsid w:val="00A040D9"/>
    <w:rsid w:val="00A042B0"/>
    <w:rsid w:val="00A04375"/>
    <w:rsid w:val="00A045EF"/>
    <w:rsid w:val="00A04726"/>
    <w:rsid w:val="00A048BA"/>
    <w:rsid w:val="00A048CF"/>
    <w:rsid w:val="00A049A7"/>
    <w:rsid w:val="00A049AB"/>
    <w:rsid w:val="00A04B35"/>
    <w:rsid w:val="00A04CEF"/>
    <w:rsid w:val="00A04D34"/>
    <w:rsid w:val="00A04D4C"/>
    <w:rsid w:val="00A04E2B"/>
    <w:rsid w:val="00A04EA4"/>
    <w:rsid w:val="00A04F4A"/>
    <w:rsid w:val="00A04F7B"/>
    <w:rsid w:val="00A050AD"/>
    <w:rsid w:val="00A051D4"/>
    <w:rsid w:val="00A05270"/>
    <w:rsid w:val="00A053C9"/>
    <w:rsid w:val="00A0551A"/>
    <w:rsid w:val="00A0555F"/>
    <w:rsid w:val="00A0578B"/>
    <w:rsid w:val="00A057CA"/>
    <w:rsid w:val="00A05B0B"/>
    <w:rsid w:val="00A05B10"/>
    <w:rsid w:val="00A05B7B"/>
    <w:rsid w:val="00A05DA9"/>
    <w:rsid w:val="00A05DCF"/>
    <w:rsid w:val="00A05DD5"/>
    <w:rsid w:val="00A05FDC"/>
    <w:rsid w:val="00A0600D"/>
    <w:rsid w:val="00A0617C"/>
    <w:rsid w:val="00A061C1"/>
    <w:rsid w:val="00A064DF"/>
    <w:rsid w:val="00A06631"/>
    <w:rsid w:val="00A06643"/>
    <w:rsid w:val="00A066BD"/>
    <w:rsid w:val="00A06817"/>
    <w:rsid w:val="00A06847"/>
    <w:rsid w:val="00A069AF"/>
    <w:rsid w:val="00A06C8D"/>
    <w:rsid w:val="00A06CE2"/>
    <w:rsid w:val="00A06DBE"/>
    <w:rsid w:val="00A07059"/>
    <w:rsid w:val="00A0739E"/>
    <w:rsid w:val="00A073BB"/>
    <w:rsid w:val="00A074CE"/>
    <w:rsid w:val="00A0751D"/>
    <w:rsid w:val="00A07538"/>
    <w:rsid w:val="00A0755B"/>
    <w:rsid w:val="00A07678"/>
    <w:rsid w:val="00A076ED"/>
    <w:rsid w:val="00A078E2"/>
    <w:rsid w:val="00A079FD"/>
    <w:rsid w:val="00A07A42"/>
    <w:rsid w:val="00A07B98"/>
    <w:rsid w:val="00A1004B"/>
    <w:rsid w:val="00A1011D"/>
    <w:rsid w:val="00A10213"/>
    <w:rsid w:val="00A1025F"/>
    <w:rsid w:val="00A103E2"/>
    <w:rsid w:val="00A1058A"/>
    <w:rsid w:val="00A10643"/>
    <w:rsid w:val="00A1067E"/>
    <w:rsid w:val="00A10996"/>
    <w:rsid w:val="00A10A2B"/>
    <w:rsid w:val="00A10AD7"/>
    <w:rsid w:val="00A10AF5"/>
    <w:rsid w:val="00A10B0E"/>
    <w:rsid w:val="00A10B48"/>
    <w:rsid w:val="00A10C5C"/>
    <w:rsid w:val="00A10D37"/>
    <w:rsid w:val="00A10DAE"/>
    <w:rsid w:val="00A10E1A"/>
    <w:rsid w:val="00A10F8F"/>
    <w:rsid w:val="00A10F95"/>
    <w:rsid w:val="00A110ED"/>
    <w:rsid w:val="00A1138E"/>
    <w:rsid w:val="00A1146F"/>
    <w:rsid w:val="00A117EE"/>
    <w:rsid w:val="00A11958"/>
    <w:rsid w:val="00A11AC6"/>
    <w:rsid w:val="00A11B07"/>
    <w:rsid w:val="00A11B64"/>
    <w:rsid w:val="00A11C0C"/>
    <w:rsid w:val="00A11C2B"/>
    <w:rsid w:val="00A11DEB"/>
    <w:rsid w:val="00A11ED6"/>
    <w:rsid w:val="00A120EC"/>
    <w:rsid w:val="00A12895"/>
    <w:rsid w:val="00A12B6E"/>
    <w:rsid w:val="00A12B8A"/>
    <w:rsid w:val="00A12C2B"/>
    <w:rsid w:val="00A12D7E"/>
    <w:rsid w:val="00A12E11"/>
    <w:rsid w:val="00A12F74"/>
    <w:rsid w:val="00A12FB8"/>
    <w:rsid w:val="00A130BB"/>
    <w:rsid w:val="00A13436"/>
    <w:rsid w:val="00A1365A"/>
    <w:rsid w:val="00A1391C"/>
    <w:rsid w:val="00A1398C"/>
    <w:rsid w:val="00A13A74"/>
    <w:rsid w:val="00A13BA1"/>
    <w:rsid w:val="00A13D72"/>
    <w:rsid w:val="00A13ED8"/>
    <w:rsid w:val="00A1429D"/>
    <w:rsid w:val="00A1437E"/>
    <w:rsid w:val="00A143B1"/>
    <w:rsid w:val="00A14681"/>
    <w:rsid w:val="00A146C2"/>
    <w:rsid w:val="00A14733"/>
    <w:rsid w:val="00A147B0"/>
    <w:rsid w:val="00A147CA"/>
    <w:rsid w:val="00A147FE"/>
    <w:rsid w:val="00A148EF"/>
    <w:rsid w:val="00A14A4F"/>
    <w:rsid w:val="00A14C0D"/>
    <w:rsid w:val="00A15117"/>
    <w:rsid w:val="00A15190"/>
    <w:rsid w:val="00A1537A"/>
    <w:rsid w:val="00A154BC"/>
    <w:rsid w:val="00A155FE"/>
    <w:rsid w:val="00A1565A"/>
    <w:rsid w:val="00A156CD"/>
    <w:rsid w:val="00A158EC"/>
    <w:rsid w:val="00A15A88"/>
    <w:rsid w:val="00A15B9F"/>
    <w:rsid w:val="00A15CDB"/>
    <w:rsid w:val="00A15DAD"/>
    <w:rsid w:val="00A15EFC"/>
    <w:rsid w:val="00A16006"/>
    <w:rsid w:val="00A1600F"/>
    <w:rsid w:val="00A16054"/>
    <w:rsid w:val="00A16244"/>
    <w:rsid w:val="00A16361"/>
    <w:rsid w:val="00A164DB"/>
    <w:rsid w:val="00A16AAE"/>
    <w:rsid w:val="00A16B7D"/>
    <w:rsid w:val="00A16B85"/>
    <w:rsid w:val="00A16F51"/>
    <w:rsid w:val="00A1712D"/>
    <w:rsid w:val="00A17180"/>
    <w:rsid w:val="00A1720F"/>
    <w:rsid w:val="00A17686"/>
    <w:rsid w:val="00A176B6"/>
    <w:rsid w:val="00A1772E"/>
    <w:rsid w:val="00A17AFE"/>
    <w:rsid w:val="00A20130"/>
    <w:rsid w:val="00A20184"/>
    <w:rsid w:val="00A20266"/>
    <w:rsid w:val="00A2026A"/>
    <w:rsid w:val="00A202CA"/>
    <w:rsid w:val="00A2030B"/>
    <w:rsid w:val="00A20838"/>
    <w:rsid w:val="00A20879"/>
    <w:rsid w:val="00A208D5"/>
    <w:rsid w:val="00A20C41"/>
    <w:rsid w:val="00A20D07"/>
    <w:rsid w:val="00A20D7A"/>
    <w:rsid w:val="00A20E02"/>
    <w:rsid w:val="00A20F45"/>
    <w:rsid w:val="00A20F7C"/>
    <w:rsid w:val="00A21045"/>
    <w:rsid w:val="00A21199"/>
    <w:rsid w:val="00A2129C"/>
    <w:rsid w:val="00A21390"/>
    <w:rsid w:val="00A2172E"/>
    <w:rsid w:val="00A2182D"/>
    <w:rsid w:val="00A2182F"/>
    <w:rsid w:val="00A21B94"/>
    <w:rsid w:val="00A21C3C"/>
    <w:rsid w:val="00A21D66"/>
    <w:rsid w:val="00A21E58"/>
    <w:rsid w:val="00A21F3E"/>
    <w:rsid w:val="00A22339"/>
    <w:rsid w:val="00A2248D"/>
    <w:rsid w:val="00A224B6"/>
    <w:rsid w:val="00A22576"/>
    <w:rsid w:val="00A22586"/>
    <w:rsid w:val="00A22619"/>
    <w:rsid w:val="00A2263C"/>
    <w:rsid w:val="00A22641"/>
    <w:rsid w:val="00A22AE2"/>
    <w:rsid w:val="00A22B67"/>
    <w:rsid w:val="00A22BA2"/>
    <w:rsid w:val="00A22C2E"/>
    <w:rsid w:val="00A22D25"/>
    <w:rsid w:val="00A22D3C"/>
    <w:rsid w:val="00A22E8F"/>
    <w:rsid w:val="00A231A7"/>
    <w:rsid w:val="00A2325A"/>
    <w:rsid w:val="00A23503"/>
    <w:rsid w:val="00A23651"/>
    <w:rsid w:val="00A236BF"/>
    <w:rsid w:val="00A2385F"/>
    <w:rsid w:val="00A23A5B"/>
    <w:rsid w:val="00A23B9A"/>
    <w:rsid w:val="00A23DC1"/>
    <w:rsid w:val="00A24144"/>
    <w:rsid w:val="00A2434D"/>
    <w:rsid w:val="00A243CE"/>
    <w:rsid w:val="00A2464A"/>
    <w:rsid w:val="00A246B6"/>
    <w:rsid w:val="00A2489A"/>
    <w:rsid w:val="00A248EF"/>
    <w:rsid w:val="00A24942"/>
    <w:rsid w:val="00A24BC1"/>
    <w:rsid w:val="00A24C5F"/>
    <w:rsid w:val="00A24E12"/>
    <w:rsid w:val="00A24F51"/>
    <w:rsid w:val="00A25325"/>
    <w:rsid w:val="00A25331"/>
    <w:rsid w:val="00A2533B"/>
    <w:rsid w:val="00A25344"/>
    <w:rsid w:val="00A25447"/>
    <w:rsid w:val="00A255F2"/>
    <w:rsid w:val="00A2568B"/>
    <w:rsid w:val="00A256BC"/>
    <w:rsid w:val="00A257E3"/>
    <w:rsid w:val="00A257F9"/>
    <w:rsid w:val="00A25815"/>
    <w:rsid w:val="00A2586F"/>
    <w:rsid w:val="00A2587F"/>
    <w:rsid w:val="00A2598E"/>
    <w:rsid w:val="00A259A9"/>
    <w:rsid w:val="00A25A68"/>
    <w:rsid w:val="00A25C6F"/>
    <w:rsid w:val="00A25D34"/>
    <w:rsid w:val="00A25D38"/>
    <w:rsid w:val="00A25E4B"/>
    <w:rsid w:val="00A25EE6"/>
    <w:rsid w:val="00A25FE2"/>
    <w:rsid w:val="00A26129"/>
    <w:rsid w:val="00A261E1"/>
    <w:rsid w:val="00A26399"/>
    <w:rsid w:val="00A2640A"/>
    <w:rsid w:val="00A264D1"/>
    <w:rsid w:val="00A264E5"/>
    <w:rsid w:val="00A265DF"/>
    <w:rsid w:val="00A2670D"/>
    <w:rsid w:val="00A2673A"/>
    <w:rsid w:val="00A2691D"/>
    <w:rsid w:val="00A26BC1"/>
    <w:rsid w:val="00A26DD4"/>
    <w:rsid w:val="00A26F12"/>
    <w:rsid w:val="00A272A7"/>
    <w:rsid w:val="00A27393"/>
    <w:rsid w:val="00A273E8"/>
    <w:rsid w:val="00A27466"/>
    <w:rsid w:val="00A274B8"/>
    <w:rsid w:val="00A274E7"/>
    <w:rsid w:val="00A275D3"/>
    <w:rsid w:val="00A279EB"/>
    <w:rsid w:val="00A27B12"/>
    <w:rsid w:val="00A27CB5"/>
    <w:rsid w:val="00A27DD1"/>
    <w:rsid w:val="00A27E3B"/>
    <w:rsid w:val="00A27FAA"/>
    <w:rsid w:val="00A3027F"/>
    <w:rsid w:val="00A303B9"/>
    <w:rsid w:val="00A303D9"/>
    <w:rsid w:val="00A3050C"/>
    <w:rsid w:val="00A30526"/>
    <w:rsid w:val="00A305DC"/>
    <w:rsid w:val="00A30755"/>
    <w:rsid w:val="00A3087B"/>
    <w:rsid w:val="00A30A75"/>
    <w:rsid w:val="00A30C5A"/>
    <w:rsid w:val="00A30C5B"/>
    <w:rsid w:val="00A30EC0"/>
    <w:rsid w:val="00A30F34"/>
    <w:rsid w:val="00A30F71"/>
    <w:rsid w:val="00A30FC7"/>
    <w:rsid w:val="00A30FCF"/>
    <w:rsid w:val="00A31091"/>
    <w:rsid w:val="00A312D2"/>
    <w:rsid w:val="00A314D8"/>
    <w:rsid w:val="00A314FA"/>
    <w:rsid w:val="00A31807"/>
    <w:rsid w:val="00A31855"/>
    <w:rsid w:val="00A31879"/>
    <w:rsid w:val="00A31CE8"/>
    <w:rsid w:val="00A31D39"/>
    <w:rsid w:val="00A31E46"/>
    <w:rsid w:val="00A31E49"/>
    <w:rsid w:val="00A321B4"/>
    <w:rsid w:val="00A322C6"/>
    <w:rsid w:val="00A323DF"/>
    <w:rsid w:val="00A325A0"/>
    <w:rsid w:val="00A3297F"/>
    <w:rsid w:val="00A32C09"/>
    <w:rsid w:val="00A32C14"/>
    <w:rsid w:val="00A32D1D"/>
    <w:rsid w:val="00A32EE4"/>
    <w:rsid w:val="00A3306F"/>
    <w:rsid w:val="00A331DA"/>
    <w:rsid w:val="00A3324F"/>
    <w:rsid w:val="00A33428"/>
    <w:rsid w:val="00A334D8"/>
    <w:rsid w:val="00A3350E"/>
    <w:rsid w:val="00A3351C"/>
    <w:rsid w:val="00A33520"/>
    <w:rsid w:val="00A3356D"/>
    <w:rsid w:val="00A338AD"/>
    <w:rsid w:val="00A33A47"/>
    <w:rsid w:val="00A33A65"/>
    <w:rsid w:val="00A33B79"/>
    <w:rsid w:val="00A33C5B"/>
    <w:rsid w:val="00A33CE1"/>
    <w:rsid w:val="00A33D3E"/>
    <w:rsid w:val="00A33ECF"/>
    <w:rsid w:val="00A34081"/>
    <w:rsid w:val="00A341CE"/>
    <w:rsid w:val="00A3423F"/>
    <w:rsid w:val="00A342D5"/>
    <w:rsid w:val="00A34312"/>
    <w:rsid w:val="00A34460"/>
    <w:rsid w:val="00A345DF"/>
    <w:rsid w:val="00A34906"/>
    <w:rsid w:val="00A349DD"/>
    <w:rsid w:val="00A34A87"/>
    <w:rsid w:val="00A34D5E"/>
    <w:rsid w:val="00A34EA0"/>
    <w:rsid w:val="00A35072"/>
    <w:rsid w:val="00A35308"/>
    <w:rsid w:val="00A35368"/>
    <w:rsid w:val="00A35392"/>
    <w:rsid w:val="00A3551E"/>
    <w:rsid w:val="00A35817"/>
    <w:rsid w:val="00A3593A"/>
    <w:rsid w:val="00A35AA1"/>
    <w:rsid w:val="00A35B91"/>
    <w:rsid w:val="00A35CCA"/>
    <w:rsid w:val="00A35D0A"/>
    <w:rsid w:val="00A36038"/>
    <w:rsid w:val="00A3606E"/>
    <w:rsid w:val="00A3607F"/>
    <w:rsid w:val="00A3618A"/>
    <w:rsid w:val="00A364B6"/>
    <w:rsid w:val="00A36832"/>
    <w:rsid w:val="00A3684D"/>
    <w:rsid w:val="00A36853"/>
    <w:rsid w:val="00A368B7"/>
    <w:rsid w:val="00A369D1"/>
    <w:rsid w:val="00A36B90"/>
    <w:rsid w:val="00A36C05"/>
    <w:rsid w:val="00A36C26"/>
    <w:rsid w:val="00A36D55"/>
    <w:rsid w:val="00A36EA6"/>
    <w:rsid w:val="00A36F28"/>
    <w:rsid w:val="00A36FE9"/>
    <w:rsid w:val="00A37200"/>
    <w:rsid w:val="00A37279"/>
    <w:rsid w:val="00A37377"/>
    <w:rsid w:val="00A3746D"/>
    <w:rsid w:val="00A37472"/>
    <w:rsid w:val="00A375B8"/>
    <w:rsid w:val="00A375FB"/>
    <w:rsid w:val="00A377AE"/>
    <w:rsid w:val="00A377F4"/>
    <w:rsid w:val="00A37925"/>
    <w:rsid w:val="00A379AB"/>
    <w:rsid w:val="00A37B26"/>
    <w:rsid w:val="00A37B98"/>
    <w:rsid w:val="00A37BB5"/>
    <w:rsid w:val="00A37E39"/>
    <w:rsid w:val="00A37F22"/>
    <w:rsid w:val="00A401EE"/>
    <w:rsid w:val="00A40422"/>
    <w:rsid w:val="00A40603"/>
    <w:rsid w:val="00A407E6"/>
    <w:rsid w:val="00A40AEA"/>
    <w:rsid w:val="00A40B46"/>
    <w:rsid w:val="00A40F39"/>
    <w:rsid w:val="00A41174"/>
    <w:rsid w:val="00A41477"/>
    <w:rsid w:val="00A41492"/>
    <w:rsid w:val="00A41752"/>
    <w:rsid w:val="00A418D3"/>
    <w:rsid w:val="00A41911"/>
    <w:rsid w:val="00A41AEF"/>
    <w:rsid w:val="00A41C07"/>
    <w:rsid w:val="00A41DA6"/>
    <w:rsid w:val="00A41ECC"/>
    <w:rsid w:val="00A41FAC"/>
    <w:rsid w:val="00A420EB"/>
    <w:rsid w:val="00A42223"/>
    <w:rsid w:val="00A422BD"/>
    <w:rsid w:val="00A422DF"/>
    <w:rsid w:val="00A423DA"/>
    <w:rsid w:val="00A42481"/>
    <w:rsid w:val="00A42504"/>
    <w:rsid w:val="00A42651"/>
    <w:rsid w:val="00A426C7"/>
    <w:rsid w:val="00A42936"/>
    <w:rsid w:val="00A429E7"/>
    <w:rsid w:val="00A42A78"/>
    <w:rsid w:val="00A42AAF"/>
    <w:rsid w:val="00A42B29"/>
    <w:rsid w:val="00A42B79"/>
    <w:rsid w:val="00A42E79"/>
    <w:rsid w:val="00A42F67"/>
    <w:rsid w:val="00A42FF0"/>
    <w:rsid w:val="00A4306E"/>
    <w:rsid w:val="00A43259"/>
    <w:rsid w:val="00A4327F"/>
    <w:rsid w:val="00A4351F"/>
    <w:rsid w:val="00A43527"/>
    <w:rsid w:val="00A435CA"/>
    <w:rsid w:val="00A43655"/>
    <w:rsid w:val="00A438AC"/>
    <w:rsid w:val="00A439D1"/>
    <w:rsid w:val="00A43A04"/>
    <w:rsid w:val="00A43A34"/>
    <w:rsid w:val="00A43A4F"/>
    <w:rsid w:val="00A44066"/>
    <w:rsid w:val="00A44132"/>
    <w:rsid w:val="00A442BC"/>
    <w:rsid w:val="00A442E1"/>
    <w:rsid w:val="00A4446E"/>
    <w:rsid w:val="00A44655"/>
    <w:rsid w:val="00A44808"/>
    <w:rsid w:val="00A44959"/>
    <w:rsid w:val="00A44998"/>
    <w:rsid w:val="00A44D5C"/>
    <w:rsid w:val="00A45035"/>
    <w:rsid w:val="00A45054"/>
    <w:rsid w:val="00A450D2"/>
    <w:rsid w:val="00A450E9"/>
    <w:rsid w:val="00A451A2"/>
    <w:rsid w:val="00A451A4"/>
    <w:rsid w:val="00A45310"/>
    <w:rsid w:val="00A45571"/>
    <w:rsid w:val="00A45719"/>
    <w:rsid w:val="00A45803"/>
    <w:rsid w:val="00A4585C"/>
    <w:rsid w:val="00A45ADC"/>
    <w:rsid w:val="00A45CA5"/>
    <w:rsid w:val="00A45F3C"/>
    <w:rsid w:val="00A45FA2"/>
    <w:rsid w:val="00A46307"/>
    <w:rsid w:val="00A466DC"/>
    <w:rsid w:val="00A46906"/>
    <w:rsid w:val="00A46A71"/>
    <w:rsid w:val="00A46ADD"/>
    <w:rsid w:val="00A46D6F"/>
    <w:rsid w:val="00A46E55"/>
    <w:rsid w:val="00A46E6F"/>
    <w:rsid w:val="00A46F6D"/>
    <w:rsid w:val="00A46F81"/>
    <w:rsid w:val="00A47269"/>
    <w:rsid w:val="00A4732A"/>
    <w:rsid w:val="00A474F2"/>
    <w:rsid w:val="00A476E4"/>
    <w:rsid w:val="00A4778B"/>
    <w:rsid w:val="00A479BC"/>
    <w:rsid w:val="00A47CED"/>
    <w:rsid w:val="00A47D13"/>
    <w:rsid w:val="00A50028"/>
    <w:rsid w:val="00A50033"/>
    <w:rsid w:val="00A50132"/>
    <w:rsid w:val="00A50282"/>
    <w:rsid w:val="00A5028D"/>
    <w:rsid w:val="00A502F1"/>
    <w:rsid w:val="00A503E0"/>
    <w:rsid w:val="00A5041E"/>
    <w:rsid w:val="00A5054D"/>
    <w:rsid w:val="00A50680"/>
    <w:rsid w:val="00A507A6"/>
    <w:rsid w:val="00A5089E"/>
    <w:rsid w:val="00A508F8"/>
    <w:rsid w:val="00A50AEA"/>
    <w:rsid w:val="00A50B8E"/>
    <w:rsid w:val="00A50E40"/>
    <w:rsid w:val="00A50E44"/>
    <w:rsid w:val="00A50E92"/>
    <w:rsid w:val="00A510F0"/>
    <w:rsid w:val="00A51172"/>
    <w:rsid w:val="00A5177C"/>
    <w:rsid w:val="00A51904"/>
    <w:rsid w:val="00A519CD"/>
    <w:rsid w:val="00A519E0"/>
    <w:rsid w:val="00A51A13"/>
    <w:rsid w:val="00A51B14"/>
    <w:rsid w:val="00A51CFD"/>
    <w:rsid w:val="00A51E0F"/>
    <w:rsid w:val="00A51E51"/>
    <w:rsid w:val="00A51F19"/>
    <w:rsid w:val="00A52071"/>
    <w:rsid w:val="00A52178"/>
    <w:rsid w:val="00A523B3"/>
    <w:rsid w:val="00A5286F"/>
    <w:rsid w:val="00A529D3"/>
    <w:rsid w:val="00A52B65"/>
    <w:rsid w:val="00A52CDA"/>
    <w:rsid w:val="00A52DBD"/>
    <w:rsid w:val="00A52F19"/>
    <w:rsid w:val="00A5360D"/>
    <w:rsid w:val="00A53638"/>
    <w:rsid w:val="00A5364F"/>
    <w:rsid w:val="00A5376B"/>
    <w:rsid w:val="00A5378B"/>
    <w:rsid w:val="00A53818"/>
    <w:rsid w:val="00A53851"/>
    <w:rsid w:val="00A5394C"/>
    <w:rsid w:val="00A5399B"/>
    <w:rsid w:val="00A53AFC"/>
    <w:rsid w:val="00A54134"/>
    <w:rsid w:val="00A5446C"/>
    <w:rsid w:val="00A5458F"/>
    <w:rsid w:val="00A54604"/>
    <w:rsid w:val="00A547B3"/>
    <w:rsid w:val="00A54815"/>
    <w:rsid w:val="00A54A24"/>
    <w:rsid w:val="00A54D64"/>
    <w:rsid w:val="00A54E31"/>
    <w:rsid w:val="00A54E5D"/>
    <w:rsid w:val="00A54F6D"/>
    <w:rsid w:val="00A551DF"/>
    <w:rsid w:val="00A55205"/>
    <w:rsid w:val="00A552A3"/>
    <w:rsid w:val="00A554E7"/>
    <w:rsid w:val="00A55543"/>
    <w:rsid w:val="00A556D8"/>
    <w:rsid w:val="00A5575A"/>
    <w:rsid w:val="00A55765"/>
    <w:rsid w:val="00A557DF"/>
    <w:rsid w:val="00A55813"/>
    <w:rsid w:val="00A55A41"/>
    <w:rsid w:val="00A55AC7"/>
    <w:rsid w:val="00A55CE1"/>
    <w:rsid w:val="00A56174"/>
    <w:rsid w:val="00A562EA"/>
    <w:rsid w:val="00A563A6"/>
    <w:rsid w:val="00A5653C"/>
    <w:rsid w:val="00A56653"/>
    <w:rsid w:val="00A5684F"/>
    <w:rsid w:val="00A56CA9"/>
    <w:rsid w:val="00A56CE5"/>
    <w:rsid w:val="00A56CEA"/>
    <w:rsid w:val="00A56CFB"/>
    <w:rsid w:val="00A56F71"/>
    <w:rsid w:val="00A57058"/>
    <w:rsid w:val="00A5724A"/>
    <w:rsid w:val="00A572DE"/>
    <w:rsid w:val="00A57318"/>
    <w:rsid w:val="00A5751A"/>
    <w:rsid w:val="00A5776B"/>
    <w:rsid w:val="00A57955"/>
    <w:rsid w:val="00A579CA"/>
    <w:rsid w:val="00A57BDB"/>
    <w:rsid w:val="00A57C51"/>
    <w:rsid w:val="00A57CF2"/>
    <w:rsid w:val="00A57D64"/>
    <w:rsid w:val="00A60009"/>
    <w:rsid w:val="00A60108"/>
    <w:rsid w:val="00A60119"/>
    <w:rsid w:val="00A6014C"/>
    <w:rsid w:val="00A6046A"/>
    <w:rsid w:val="00A605AE"/>
    <w:rsid w:val="00A607F5"/>
    <w:rsid w:val="00A60A3D"/>
    <w:rsid w:val="00A60BE2"/>
    <w:rsid w:val="00A60DEE"/>
    <w:rsid w:val="00A60F61"/>
    <w:rsid w:val="00A61176"/>
    <w:rsid w:val="00A61230"/>
    <w:rsid w:val="00A614B0"/>
    <w:rsid w:val="00A61644"/>
    <w:rsid w:val="00A61760"/>
    <w:rsid w:val="00A61881"/>
    <w:rsid w:val="00A6198C"/>
    <w:rsid w:val="00A61A2B"/>
    <w:rsid w:val="00A61ACC"/>
    <w:rsid w:val="00A61CE7"/>
    <w:rsid w:val="00A61DA6"/>
    <w:rsid w:val="00A61FEF"/>
    <w:rsid w:val="00A6200F"/>
    <w:rsid w:val="00A62132"/>
    <w:rsid w:val="00A62199"/>
    <w:rsid w:val="00A622CF"/>
    <w:rsid w:val="00A6234E"/>
    <w:rsid w:val="00A625AC"/>
    <w:rsid w:val="00A62821"/>
    <w:rsid w:val="00A6284F"/>
    <w:rsid w:val="00A62914"/>
    <w:rsid w:val="00A62983"/>
    <w:rsid w:val="00A62989"/>
    <w:rsid w:val="00A629A5"/>
    <w:rsid w:val="00A62B3A"/>
    <w:rsid w:val="00A62B4D"/>
    <w:rsid w:val="00A62B71"/>
    <w:rsid w:val="00A62B9A"/>
    <w:rsid w:val="00A62D71"/>
    <w:rsid w:val="00A6307F"/>
    <w:rsid w:val="00A63094"/>
    <w:rsid w:val="00A631B4"/>
    <w:rsid w:val="00A63225"/>
    <w:rsid w:val="00A6324E"/>
    <w:rsid w:val="00A63408"/>
    <w:rsid w:val="00A634BD"/>
    <w:rsid w:val="00A6371A"/>
    <w:rsid w:val="00A63BFD"/>
    <w:rsid w:val="00A63D6D"/>
    <w:rsid w:val="00A63D7F"/>
    <w:rsid w:val="00A63F74"/>
    <w:rsid w:val="00A641B5"/>
    <w:rsid w:val="00A64306"/>
    <w:rsid w:val="00A64514"/>
    <w:rsid w:val="00A64556"/>
    <w:rsid w:val="00A645E8"/>
    <w:rsid w:val="00A648A0"/>
    <w:rsid w:val="00A648C7"/>
    <w:rsid w:val="00A64A28"/>
    <w:rsid w:val="00A64A3F"/>
    <w:rsid w:val="00A65016"/>
    <w:rsid w:val="00A65089"/>
    <w:rsid w:val="00A6517D"/>
    <w:rsid w:val="00A651D1"/>
    <w:rsid w:val="00A651DC"/>
    <w:rsid w:val="00A6534F"/>
    <w:rsid w:val="00A65363"/>
    <w:rsid w:val="00A65365"/>
    <w:rsid w:val="00A654D6"/>
    <w:rsid w:val="00A6553F"/>
    <w:rsid w:val="00A65797"/>
    <w:rsid w:val="00A65877"/>
    <w:rsid w:val="00A658DF"/>
    <w:rsid w:val="00A658EF"/>
    <w:rsid w:val="00A659FA"/>
    <w:rsid w:val="00A65B8F"/>
    <w:rsid w:val="00A65DC5"/>
    <w:rsid w:val="00A65E19"/>
    <w:rsid w:val="00A65EF9"/>
    <w:rsid w:val="00A65F18"/>
    <w:rsid w:val="00A6615E"/>
    <w:rsid w:val="00A662C4"/>
    <w:rsid w:val="00A66321"/>
    <w:rsid w:val="00A663F1"/>
    <w:rsid w:val="00A66404"/>
    <w:rsid w:val="00A6646E"/>
    <w:rsid w:val="00A66572"/>
    <w:rsid w:val="00A66891"/>
    <w:rsid w:val="00A66911"/>
    <w:rsid w:val="00A6695F"/>
    <w:rsid w:val="00A66D4C"/>
    <w:rsid w:val="00A66DEF"/>
    <w:rsid w:val="00A66E46"/>
    <w:rsid w:val="00A66F4D"/>
    <w:rsid w:val="00A6707E"/>
    <w:rsid w:val="00A6724F"/>
    <w:rsid w:val="00A67350"/>
    <w:rsid w:val="00A67448"/>
    <w:rsid w:val="00A67617"/>
    <w:rsid w:val="00A67724"/>
    <w:rsid w:val="00A677D1"/>
    <w:rsid w:val="00A6784D"/>
    <w:rsid w:val="00A67945"/>
    <w:rsid w:val="00A67A2C"/>
    <w:rsid w:val="00A67BDE"/>
    <w:rsid w:val="00A67E0B"/>
    <w:rsid w:val="00A67F2C"/>
    <w:rsid w:val="00A70076"/>
    <w:rsid w:val="00A701D5"/>
    <w:rsid w:val="00A70562"/>
    <w:rsid w:val="00A70837"/>
    <w:rsid w:val="00A709B5"/>
    <w:rsid w:val="00A70A61"/>
    <w:rsid w:val="00A70A69"/>
    <w:rsid w:val="00A70C00"/>
    <w:rsid w:val="00A70C65"/>
    <w:rsid w:val="00A70C76"/>
    <w:rsid w:val="00A70D12"/>
    <w:rsid w:val="00A70EAE"/>
    <w:rsid w:val="00A70EC7"/>
    <w:rsid w:val="00A70F7F"/>
    <w:rsid w:val="00A710EE"/>
    <w:rsid w:val="00A71249"/>
    <w:rsid w:val="00A714F2"/>
    <w:rsid w:val="00A71756"/>
    <w:rsid w:val="00A717DA"/>
    <w:rsid w:val="00A71837"/>
    <w:rsid w:val="00A719E2"/>
    <w:rsid w:val="00A71A4A"/>
    <w:rsid w:val="00A71D1D"/>
    <w:rsid w:val="00A72116"/>
    <w:rsid w:val="00A72357"/>
    <w:rsid w:val="00A725BB"/>
    <w:rsid w:val="00A72AD6"/>
    <w:rsid w:val="00A72C9B"/>
    <w:rsid w:val="00A72CF2"/>
    <w:rsid w:val="00A72D4C"/>
    <w:rsid w:val="00A72E8E"/>
    <w:rsid w:val="00A72F04"/>
    <w:rsid w:val="00A73017"/>
    <w:rsid w:val="00A7305C"/>
    <w:rsid w:val="00A73081"/>
    <w:rsid w:val="00A73152"/>
    <w:rsid w:val="00A73392"/>
    <w:rsid w:val="00A73435"/>
    <w:rsid w:val="00A735DA"/>
    <w:rsid w:val="00A735E6"/>
    <w:rsid w:val="00A736C6"/>
    <w:rsid w:val="00A73715"/>
    <w:rsid w:val="00A73794"/>
    <w:rsid w:val="00A73967"/>
    <w:rsid w:val="00A73A30"/>
    <w:rsid w:val="00A73AA4"/>
    <w:rsid w:val="00A73AFB"/>
    <w:rsid w:val="00A73B2C"/>
    <w:rsid w:val="00A73B37"/>
    <w:rsid w:val="00A73BC9"/>
    <w:rsid w:val="00A73CD8"/>
    <w:rsid w:val="00A73D6B"/>
    <w:rsid w:val="00A73DB5"/>
    <w:rsid w:val="00A7414A"/>
    <w:rsid w:val="00A741EC"/>
    <w:rsid w:val="00A74200"/>
    <w:rsid w:val="00A74239"/>
    <w:rsid w:val="00A74302"/>
    <w:rsid w:val="00A7465C"/>
    <w:rsid w:val="00A746E0"/>
    <w:rsid w:val="00A74743"/>
    <w:rsid w:val="00A74ACD"/>
    <w:rsid w:val="00A74BFD"/>
    <w:rsid w:val="00A74C9D"/>
    <w:rsid w:val="00A74F85"/>
    <w:rsid w:val="00A74F97"/>
    <w:rsid w:val="00A75187"/>
    <w:rsid w:val="00A75236"/>
    <w:rsid w:val="00A75296"/>
    <w:rsid w:val="00A752A2"/>
    <w:rsid w:val="00A753D3"/>
    <w:rsid w:val="00A7580D"/>
    <w:rsid w:val="00A75AF6"/>
    <w:rsid w:val="00A75D5A"/>
    <w:rsid w:val="00A76188"/>
    <w:rsid w:val="00A761D6"/>
    <w:rsid w:val="00A7636C"/>
    <w:rsid w:val="00A7650D"/>
    <w:rsid w:val="00A766E9"/>
    <w:rsid w:val="00A76776"/>
    <w:rsid w:val="00A767AE"/>
    <w:rsid w:val="00A76915"/>
    <w:rsid w:val="00A769E9"/>
    <w:rsid w:val="00A76AB5"/>
    <w:rsid w:val="00A76CEC"/>
    <w:rsid w:val="00A76F5F"/>
    <w:rsid w:val="00A77075"/>
    <w:rsid w:val="00A770E0"/>
    <w:rsid w:val="00A7742C"/>
    <w:rsid w:val="00A77788"/>
    <w:rsid w:val="00A7789E"/>
    <w:rsid w:val="00A77C9A"/>
    <w:rsid w:val="00A8001B"/>
    <w:rsid w:val="00A800B7"/>
    <w:rsid w:val="00A800CB"/>
    <w:rsid w:val="00A80193"/>
    <w:rsid w:val="00A802F3"/>
    <w:rsid w:val="00A802F6"/>
    <w:rsid w:val="00A804FE"/>
    <w:rsid w:val="00A8054C"/>
    <w:rsid w:val="00A80633"/>
    <w:rsid w:val="00A808B7"/>
    <w:rsid w:val="00A809D3"/>
    <w:rsid w:val="00A809F7"/>
    <w:rsid w:val="00A80AD9"/>
    <w:rsid w:val="00A80B7C"/>
    <w:rsid w:val="00A80D11"/>
    <w:rsid w:val="00A80F0C"/>
    <w:rsid w:val="00A80F1D"/>
    <w:rsid w:val="00A8114C"/>
    <w:rsid w:val="00A81366"/>
    <w:rsid w:val="00A81387"/>
    <w:rsid w:val="00A813D0"/>
    <w:rsid w:val="00A814E9"/>
    <w:rsid w:val="00A815DD"/>
    <w:rsid w:val="00A81782"/>
    <w:rsid w:val="00A817E4"/>
    <w:rsid w:val="00A81988"/>
    <w:rsid w:val="00A81A99"/>
    <w:rsid w:val="00A81BB7"/>
    <w:rsid w:val="00A81BDE"/>
    <w:rsid w:val="00A81E60"/>
    <w:rsid w:val="00A81EC5"/>
    <w:rsid w:val="00A81EED"/>
    <w:rsid w:val="00A81F09"/>
    <w:rsid w:val="00A81FB8"/>
    <w:rsid w:val="00A8209D"/>
    <w:rsid w:val="00A82194"/>
    <w:rsid w:val="00A82316"/>
    <w:rsid w:val="00A825E5"/>
    <w:rsid w:val="00A82787"/>
    <w:rsid w:val="00A827E4"/>
    <w:rsid w:val="00A82823"/>
    <w:rsid w:val="00A82A22"/>
    <w:rsid w:val="00A82A34"/>
    <w:rsid w:val="00A82C52"/>
    <w:rsid w:val="00A82DC0"/>
    <w:rsid w:val="00A82F25"/>
    <w:rsid w:val="00A83002"/>
    <w:rsid w:val="00A83069"/>
    <w:rsid w:val="00A83148"/>
    <w:rsid w:val="00A8318E"/>
    <w:rsid w:val="00A83230"/>
    <w:rsid w:val="00A8325E"/>
    <w:rsid w:val="00A8326B"/>
    <w:rsid w:val="00A832EB"/>
    <w:rsid w:val="00A838C3"/>
    <w:rsid w:val="00A839BE"/>
    <w:rsid w:val="00A83BF8"/>
    <w:rsid w:val="00A83C8D"/>
    <w:rsid w:val="00A83CDC"/>
    <w:rsid w:val="00A83D5C"/>
    <w:rsid w:val="00A83D60"/>
    <w:rsid w:val="00A83DDB"/>
    <w:rsid w:val="00A83DF9"/>
    <w:rsid w:val="00A83FAB"/>
    <w:rsid w:val="00A841C4"/>
    <w:rsid w:val="00A841D6"/>
    <w:rsid w:val="00A8431E"/>
    <w:rsid w:val="00A84377"/>
    <w:rsid w:val="00A844AB"/>
    <w:rsid w:val="00A8451B"/>
    <w:rsid w:val="00A84549"/>
    <w:rsid w:val="00A845A2"/>
    <w:rsid w:val="00A84629"/>
    <w:rsid w:val="00A84859"/>
    <w:rsid w:val="00A849AE"/>
    <w:rsid w:val="00A84B1B"/>
    <w:rsid w:val="00A84B22"/>
    <w:rsid w:val="00A84B61"/>
    <w:rsid w:val="00A84BD5"/>
    <w:rsid w:val="00A8533A"/>
    <w:rsid w:val="00A85619"/>
    <w:rsid w:val="00A856F3"/>
    <w:rsid w:val="00A85704"/>
    <w:rsid w:val="00A85750"/>
    <w:rsid w:val="00A857AE"/>
    <w:rsid w:val="00A858E5"/>
    <w:rsid w:val="00A85916"/>
    <w:rsid w:val="00A85B21"/>
    <w:rsid w:val="00A85C8C"/>
    <w:rsid w:val="00A85E97"/>
    <w:rsid w:val="00A85F7C"/>
    <w:rsid w:val="00A86006"/>
    <w:rsid w:val="00A86038"/>
    <w:rsid w:val="00A8615F"/>
    <w:rsid w:val="00A861EE"/>
    <w:rsid w:val="00A86211"/>
    <w:rsid w:val="00A8626F"/>
    <w:rsid w:val="00A86288"/>
    <w:rsid w:val="00A862D9"/>
    <w:rsid w:val="00A863F4"/>
    <w:rsid w:val="00A868A3"/>
    <w:rsid w:val="00A8690B"/>
    <w:rsid w:val="00A86994"/>
    <w:rsid w:val="00A8699D"/>
    <w:rsid w:val="00A869A6"/>
    <w:rsid w:val="00A86B35"/>
    <w:rsid w:val="00A86C88"/>
    <w:rsid w:val="00A86D5D"/>
    <w:rsid w:val="00A870BF"/>
    <w:rsid w:val="00A8719E"/>
    <w:rsid w:val="00A87416"/>
    <w:rsid w:val="00A874AB"/>
    <w:rsid w:val="00A87509"/>
    <w:rsid w:val="00A876FF"/>
    <w:rsid w:val="00A878EA"/>
    <w:rsid w:val="00A8791A"/>
    <w:rsid w:val="00A87AFE"/>
    <w:rsid w:val="00A87BDC"/>
    <w:rsid w:val="00A87C9D"/>
    <w:rsid w:val="00A87D04"/>
    <w:rsid w:val="00A87FB4"/>
    <w:rsid w:val="00A90300"/>
    <w:rsid w:val="00A9031D"/>
    <w:rsid w:val="00A903B8"/>
    <w:rsid w:val="00A905F1"/>
    <w:rsid w:val="00A906FE"/>
    <w:rsid w:val="00A90982"/>
    <w:rsid w:val="00A90AAE"/>
    <w:rsid w:val="00A90B19"/>
    <w:rsid w:val="00A90B43"/>
    <w:rsid w:val="00A90B6B"/>
    <w:rsid w:val="00A90CF7"/>
    <w:rsid w:val="00A910F1"/>
    <w:rsid w:val="00A9115B"/>
    <w:rsid w:val="00A9121B"/>
    <w:rsid w:val="00A91584"/>
    <w:rsid w:val="00A91763"/>
    <w:rsid w:val="00A9197E"/>
    <w:rsid w:val="00A91B2A"/>
    <w:rsid w:val="00A91CEB"/>
    <w:rsid w:val="00A91D6E"/>
    <w:rsid w:val="00A91D8A"/>
    <w:rsid w:val="00A91EF9"/>
    <w:rsid w:val="00A91F0B"/>
    <w:rsid w:val="00A92586"/>
    <w:rsid w:val="00A9277D"/>
    <w:rsid w:val="00A92AC7"/>
    <w:rsid w:val="00A92B63"/>
    <w:rsid w:val="00A92C6E"/>
    <w:rsid w:val="00A92C83"/>
    <w:rsid w:val="00A92C88"/>
    <w:rsid w:val="00A92CFB"/>
    <w:rsid w:val="00A92DF4"/>
    <w:rsid w:val="00A9376C"/>
    <w:rsid w:val="00A9382B"/>
    <w:rsid w:val="00A93A56"/>
    <w:rsid w:val="00A93ABB"/>
    <w:rsid w:val="00A93C61"/>
    <w:rsid w:val="00A93E51"/>
    <w:rsid w:val="00A93ED8"/>
    <w:rsid w:val="00A940B8"/>
    <w:rsid w:val="00A941CD"/>
    <w:rsid w:val="00A94220"/>
    <w:rsid w:val="00A9425D"/>
    <w:rsid w:val="00A94293"/>
    <w:rsid w:val="00A94308"/>
    <w:rsid w:val="00A94318"/>
    <w:rsid w:val="00A944B6"/>
    <w:rsid w:val="00A94631"/>
    <w:rsid w:val="00A94807"/>
    <w:rsid w:val="00A94A12"/>
    <w:rsid w:val="00A94A39"/>
    <w:rsid w:val="00A94A6D"/>
    <w:rsid w:val="00A94C5D"/>
    <w:rsid w:val="00A94F1E"/>
    <w:rsid w:val="00A951DF"/>
    <w:rsid w:val="00A95398"/>
    <w:rsid w:val="00A95546"/>
    <w:rsid w:val="00A95761"/>
    <w:rsid w:val="00A958A0"/>
    <w:rsid w:val="00A95A8D"/>
    <w:rsid w:val="00A95C6E"/>
    <w:rsid w:val="00A95D58"/>
    <w:rsid w:val="00A95E39"/>
    <w:rsid w:val="00A95EF5"/>
    <w:rsid w:val="00A95FA1"/>
    <w:rsid w:val="00A9602F"/>
    <w:rsid w:val="00A9605E"/>
    <w:rsid w:val="00A96120"/>
    <w:rsid w:val="00A961DD"/>
    <w:rsid w:val="00A9634F"/>
    <w:rsid w:val="00A9636E"/>
    <w:rsid w:val="00A965BA"/>
    <w:rsid w:val="00A96632"/>
    <w:rsid w:val="00A9670D"/>
    <w:rsid w:val="00A967D4"/>
    <w:rsid w:val="00A967EC"/>
    <w:rsid w:val="00A96992"/>
    <w:rsid w:val="00A969F4"/>
    <w:rsid w:val="00A96AEE"/>
    <w:rsid w:val="00A96EB9"/>
    <w:rsid w:val="00A96F9D"/>
    <w:rsid w:val="00A9711C"/>
    <w:rsid w:val="00A971BD"/>
    <w:rsid w:val="00A972AE"/>
    <w:rsid w:val="00A97340"/>
    <w:rsid w:val="00A97491"/>
    <w:rsid w:val="00A97643"/>
    <w:rsid w:val="00A9775A"/>
    <w:rsid w:val="00A977AF"/>
    <w:rsid w:val="00A97B5D"/>
    <w:rsid w:val="00A97BA3"/>
    <w:rsid w:val="00A97D98"/>
    <w:rsid w:val="00A97DAE"/>
    <w:rsid w:val="00AA006F"/>
    <w:rsid w:val="00AA0141"/>
    <w:rsid w:val="00AA02F9"/>
    <w:rsid w:val="00AA0504"/>
    <w:rsid w:val="00AA08C7"/>
    <w:rsid w:val="00AA09FF"/>
    <w:rsid w:val="00AA0A38"/>
    <w:rsid w:val="00AA0ADF"/>
    <w:rsid w:val="00AA0D87"/>
    <w:rsid w:val="00AA0E63"/>
    <w:rsid w:val="00AA1002"/>
    <w:rsid w:val="00AA1028"/>
    <w:rsid w:val="00AA12C7"/>
    <w:rsid w:val="00AA1571"/>
    <w:rsid w:val="00AA16EA"/>
    <w:rsid w:val="00AA1795"/>
    <w:rsid w:val="00AA17DA"/>
    <w:rsid w:val="00AA17FC"/>
    <w:rsid w:val="00AA1883"/>
    <w:rsid w:val="00AA18D4"/>
    <w:rsid w:val="00AA1986"/>
    <w:rsid w:val="00AA19AD"/>
    <w:rsid w:val="00AA19DD"/>
    <w:rsid w:val="00AA1D1A"/>
    <w:rsid w:val="00AA1EB0"/>
    <w:rsid w:val="00AA1F22"/>
    <w:rsid w:val="00AA2000"/>
    <w:rsid w:val="00AA21AD"/>
    <w:rsid w:val="00AA25B1"/>
    <w:rsid w:val="00AA265D"/>
    <w:rsid w:val="00AA27E1"/>
    <w:rsid w:val="00AA2906"/>
    <w:rsid w:val="00AA29DF"/>
    <w:rsid w:val="00AA2A1E"/>
    <w:rsid w:val="00AA2A7A"/>
    <w:rsid w:val="00AA2CEE"/>
    <w:rsid w:val="00AA2DD5"/>
    <w:rsid w:val="00AA2EA3"/>
    <w:rsid w:val="00AA2EA4"/>
    <w:rsid w:val="00AA3026"/>
    <w:rsid w:val="00AA318A"/>
    <w:rsid w:val="00AA31C4"/>
    <w:rsid w:val="00AA364B"/>
    <w:rsid w:val="00AA3943"/>
    <w:rsid w:val="00AA3AE1"/>
    <w:rsid w:val="00AA3B47"/>
    <w:rsid w:val="00AA3B8A"/>
    <w:rsid w:val="00AA3C6D"/>
    <w:rsid w:val="00AA3E1F"/>
    <w:rsid w:val="00AA3EB2"/>
    <w:rsid w:val="00AA3F07"/>
    <w:rsid w:val="00AA3FA6"/>
    <w:rsid w:val="00AA3FAF"/>
    <w:rsid w:val="00AA4014"/>
    <w:rsid w:val="00AA411B"/>
    <w:rsid w:val="00AA4210"/>
    <w:rsid w:val="00AA43DB"/>
    <w:rsid w:val="00AA44E6"/>
    <w:rsid w:val="00AA4657"/>
    <w:rsid w:val="00AA465F"/>
    <w:rsid w:val="00AA46C5"/>
    <w:rsid w:val="00AA48D4"/>
    <w:rsid w:val="00AA491F"/>
    <w:rsid w:val="00AA494E"/>
    <w:rsid w:val="00AA49B2"/>
    <w:rsid w:val="00AA4A22"/>
    <w:rsid w:val="00AA4B7C"/>
    <w:rsid w:val="00AA4C45"/>
    <w:rsid w:val="00AA4CA0"/>
    <w:rsid w:val="00AA4CF9"/>
    <w:rsid w:val="00AA4D61"/>
    <w:rsid w:val="00AA5007"/>
    <w:rsid w:val="00AA535D"/>
    <w:rsid w:val="00AA5409"/>
    <w:rsid w:val="00AA5447"/>
    <w:rsid w:val="00AA54E2"/>
    <w:rsid w:val="00AA559A"/>
    <w:rsid w:val="00AA573D"/>
    <w:rsid w:val="00AA5760"/>
    <w:rsid w:val="00AA582B"/>
    <w:rsid w:val="00AA5ACC"/>
    <w:rsid w:val="00AA5BA7"/>
    <w:rsid w:val="00AA5D36"/>
    <w:rsid w:val="00AA60CF"/>
    <w:rsid w:val="00AA6102"/>
    <w:rsid w:val="00AA6640"/>
    <w:rsid w:val="00AA68D1"/>
    <w:rsid w:val="00AA6A44"/>
    <w:rsid w:val="00AA6AD8"/>
    <w:rsid w:val="00AA6CCA"/>
    <w:rsid w:val="00AA6FB8"/>
    <w:rsid w:val="00AA7045"/>
    <w:rsid w:val="00AA7054"/>
    <w:rsid w:val="00AA7246"/>
    <w:rsid w:val="00AA72A3"/>
    <w:rsid w:val="00AA7504"/>
    <w:rsid w:val="00AA7553"/>
    <w:rsid w:val="00AA75BB"/>
    <w:rsid w:val="00AA77C1"/>
    <w:rsid w:val="00AA7819"/>
    <w:rsid w:val="00AA7846"/>
    <w:rsid w:val="00AA7976"/>
    <w:rsid w:val="00AA7A69"/>
    <w:rsid w:val="00AA7BA2"/>
    <w:rsid w:val="00AA7BB9"/>
    <w:rsid w:val="00AA7CDC"/>
    <w:rsid w:val="00AA7DB4"/>
    <w:rsid w:val="00AA7F28"/>
    <w:rsid w:val="00AB00C2"/>
    <w:rsid w:val="00AB01E0"/>
    <w:rsid w:val="00AB0254"/>
    <w:rsid w:val="00AB04F4"/>
    <w:rsid w:val="00AB0636"/>
    <w:rsid w:val="00AB09BB"/>
    <w:rsid w:val="00AB0AEF"/>
    <w:rsid w:val="00AB0F99"/>
    <w:rsid w:val="00AB0FAE"/>
    <w:rsid w:val="00AB1302"/>
    <w:rsid w:val="00AB1494"/>
    <w:rsid w:val="00AB14B7"/>
    <w:rsid w:val="00AB153B"/>
    <w:rsid w:val="00AB159F"/>
    <w:rsid w:val="00AB1612"/>
    <w:rsid w:val="00AB18B4"/>
    <w:rsid w:val="00AB194B"/>
    <w:rsid w:val="00AB1AC5"/>
    <w:rsid w:val="00AB1B10"/>
    <w:rsid w:val="00AB1C99"/>
    <w:rsid w:val="00AB204D"/>
    <w:rsid w:val="00AB206F"/>
    <w:rsid w:val="00AB21F5"/>
    <w:rsid w:val="00AB22C9"/>
    <w:rsid w:val="00AB2314"/>
    <w:rsid w:val="00AB2315"/>
    <w:rsid w:val="00AB239C"/>
    <w:rsid w:val="00AB243E"/>
    <w:rsid w:val="00AB26D8"/>
    <w:rsid w:val="00AB275F"/>
    <w:rsid w:val="00AB2E6F"/>
    <w:rsid w:val="00AB314B"/>
    <w:rsid w:val="00AB32B0"/>
    <w:rsid w:val="00AB3442"/>
    <w:rsid w:val="00AB34D1"/>
    <w:rsid w:val="00AB35ED"/>
    <w:rsid w:val="00AB3665"/>
    <w:rsid w:val="00AB36A1"/>
    <w:rsid w:val="00AB37F1"/>
    <w:rsid w:val="00AB386B"/>
    <w:rsid w:val="00AB38CF"/>
    <w:rsid w:val="00AB3D21"/>
    <w:rsid w:val="00AB3D46"/>
    <w:rsid w:val="00AB3FF1"/>
    <w:rsid w:val="00AB405C"/>
    <w:rsid w:val="00AB41AB"/>
    <w:rsid w:val="00AB4201"/>
    <w:rsid w:val="00AB438B"/>
    <w:rsid w:val="00AB4411"/>
    <w:rsid w:val="00AB441F"/>
    <w:rsid w:val="00AB4440"/>
    <w:rsid w:val="00AB45FD"/>
    <w:rsid w:val="00AB4830"/>
    <w:rsid w:val="00AB496F"/>
    <w:rsid w:val="00AB49CE"/>
    <w:rsid w:val="00AB4B11"/>
    <w:rsid w:val="00AB4E30"/>
    <w:rsid w:val="00AB4E48"/>
    <w:rsid w:val="00AB4EC0"/>
    <w:rsid w:val="00AB4F44"/>
    <w:rsid w:val="00AB50CA"/>
    <w:rsid w:val="00AB5325"/>
    <w:rsid w:val="00AB5390"/>
    <w:rsid w:val="00AB551C"/>
    <w:rsid w:val="00AB5540"/>
    <w:rsid w:val="00AB5545"/>
    <w:rsid w:val="00AB587B"/>
    <w:rsid w:val="00AB5ABE"/>
    <w:rsid w:val="00AB5CD3"/>
    <w:rsid w:val="00AB5DA5"/>
    <w:rsid w:val="00AB5DF8"/>
    <w:rsid w:val="00AB609A"/>
    <w:rsid w:val="00AB62F5"/>
    <w:rsid w:val="00AB634B"/>
    <w:rsid w:val="00AB6514"/>
    <w:rsid w:val="00AB654B"/>
    <w:rsid w:val="00AB67D5"/>
    <w:rsid w:val="00AB6807"/>
    <w:rsid w:val="00AB685B"/>
    <w:rsid w:val="00AB6B89"/>
    <w:rsid w:val="00AB6CFA"/>
    <w:rsid w:val="00AB6DD1"/>
    <w:rsid w:val="00AB6F82"/>
    <w:rsid w:val="00AB6FF9"/>
    <w:rsid w:val="00AB7045"/>
    <w:rsid w:val="00AB70DE"/>
    <w:rsid w:val="00AB70E4"/>
    <w:rsid w:val="00AB716D"/>
    <w:rsid w:val="00AB72D0"/>
    <w:rsid w:val="00AB732D"/>
    <w:rsid w:val="00AB744D"/>
    <w:rsid w:val="00AB764D"/>
    <w:rsid w:val="00AB7AE9"/>
    <w:rsid w:val="00AB7C11"/>
    <w:rsid w:val="00AB7F3D"/>
    <w:rsid w:val="00AB7FD1"/>
    <w:rsid w:val="00AC001C"/>
    <w:rsid w:val="00AC0395"/>
    <w:rsid w:val="00AC03D5"/>
    <w:rsid w:val="00AC0495"/>
    <w:rsid w:val="00AC058D"/>
    <w:rsid w:val="00AC05C7"/>
    <w:rsid w:val="00AC07D9"/>
    <w:rsid w:val="00AC082C"/>
    <w:rsid w:val="00AC08CC"/>
    <w:rsid w:val="00AC09DE"/>
    <w:rsid w:val="00AC0B44"/>
    <w:rsid w:val="00AC0BB6"/>
    <w:rsid w:val="00AC0C4B"/>
    <w:rsid w:val="00AC0C4D"/>
    <w:rsid w:val="00AC0D9E"/>
    <w:rsid w:val="00AC1094"/>
    <w:rsid w:val="00AC117F"/>
    <w:rsid w:val="00AC1421"/>
    <w:rsid w:val="00AC1768"/>
    <w:rsid w:val="00AC1AE7"/>
    <w:rsid w:val="00AC1D31"/>
    <w:rsid w:val="00AC1D6D"/>
    <w:rsid w:val="00AC1E41"/>
    <w:rsid w:val="00AC1F0E"/>
    <w:rsid w:val="00AC1F8C"/>
    <w:rsid w:val="00AC1FFC"/>
    <w:rsid w:val="00AC2342"/>
    <w:rsid w:val="00AC245C"/>
    <w:rsid w:val="00AC249B"/>
    <w:rsid w:val="00AC24EB"/>
    <w:rsid w:val="00AC2578"/>
    <w:rsid w:val="00AC2591"/>
    <w:rsid w:val="00AC25D9"/>
    <w:rsid w:val="00AC2633"/>
    <w:rsid w:val="00AC26F2"/>
    <w:rsid w:val="00AC277F"/>
    <w:rsid w:val="00AC2917"/>
    <w:rsid w:val="00AC294D"/>
    <w:rsid w:val="00AC2957"/>
    <w:rsid w:val="00AC298B"/>
    <w:rsid w:val="00AC2A4E"/>
    <w:rsid w:val="00AC2AA2"/>
    <w:rsid w:val="00AC2B14"/>
    <w:rsid w:val="00AC2C62"/>
    <w:rsid w:val="00AC2E12"/>
    <w:rsid w:val="00AC3350"/>
    <w:rsid w:val="00AC34DC"/>
    <w:rsid w:val="00AC35E6"/>
    <w:rsid w:val="00AC3703"/>
    <w:rsid w:val="00AC385F"/>
    <w:rsid w:val="00AC394F"/>
    <w:rsid w:val="00AC3956"/>
    <w:rsid w:val="00AC3B9D"/>
    <w:rsid w:val="00AC3BBB"/>
    <w:rsid w:val="00AC3D2F"/>
    <w:rsid w:val="00AC3E0D"/>
    <w:rsid w:val="00AC3FF5"/>
    <w:rsid w:val="00AC40A1"/>
    <w:rsid w:val="00AC4114"/>
    <w:rsid w:val="00AC4245"/>
    <w:rsid w:val="00AC4271"/>
    <w:rsid w:val="00AC4326"/>
    <w:rsid w:val="00AC43D8"/>
    <w:rsid w:val="00AC43DD"/>
    <w:rsid w:val="00AC449E"/>
    <w:rsid w:val="00AC459D"/>
    <w:rsid w:val="00AC4740"/>
    <w:rsid w:val="00AC48AC"/>
    <w:rsid w:val="00AC48D8"/>
    <w:rsid w:val="00AC4A15"/>
    <w:rsid w:val="00AC4CDC"/>
    <w:rsid w:val="00AC4F28"/>
    <w:rsid w:val="00AC4F49"/>
    <w:rsid w:val="00AC4F97"/>
    <w:rsid w:val="00AC5018"/>
    <w:rsid w:val="00AC526C"/>
    <w:rsid w:val="00AC52D2"/>
    <w:rsid w:val="00AC54B7"/>
    <w:rsid w:val="00AC564B"/>
    <w:rsid w:val="00AC5935"/>
    <w:rsid w:val="00AC5B90"/>
    <w:rsid w:val="00AC5F3F"/>
    <w:rsid w:val="00AC5F92"/>
    <w:rsid w:val="00AC6209"/>
    <w:rsid w:val="00AC637A"/>
    <w:rsid w:val="00AC6489"/>
    <w:rsid w:val="00AC65B2"/>
    <w:rsid w:val="00AC66BA"/>
    <w:rsid w:val="00AC6716"/>
    <w:rsid w:val="00AC67A1"/>
    <w:rsid w:val="00AC6A70"/>
    <w:rsid w:val="00AC6A9B"/>
    <w:rsid w:val="00AC6C90"/>
    <w:rsid w:val="00AC6CB0"/>
    <w:rsid w:val="00AC7004"/>
    <w:rsid w:val="00AC70E2"/>
    <w:rsid w:val="00AC71CA"/>
    <w:rsid w:val="00AC7457"/>
    <w:rsid w:val="00AC7467"/>
    <w:rsid w:val="00AC74FD"/>
    <w:rsid w:val="00AC7521"/>
    <w:rsid w:val="00AC77E3"/>
    <w:rsid w:val="00AC7A53"/>
    <w:rsid w:val="00AC7C8E"/>
    <w:rsid w:val="00AD0199"/>
    <w:rsid w:val="00AD01FC"/>
    <w:rsid w:val="00AD0219"/>
    <w:rsid w:val="00AD02C0"/>
    <w:rsid w:val="00AD0472"/>
    <w:rsid w:val="00AD0605"/>
    <w:rsid w:val="00AD083C"/>
    <w:rsid w:val="00AD099A"/>
    <w:rsid w:val="00AD09AB"/>
    <w:rsid w:val="00AD0AE5"/>
    <w:rsid w:val="00AD0AEC"/>
    <w:rsid w:val="00AD0BDA"/>
    <w:rsid w:val="00AD0BF2"/>
    <w:rsid w:val="00AD0D11"/>
    <w:rsid w:val="00AD14D3"/>
    <w:rsid w:val="00AD14E5"/>
    <w:rsid w:val="00AD16A6"/>
    <w:rsid w:val="00AD16E3"/>
    <w:rsid w:val="00AD18D1"/>
    <w:rsid w:val="00AD1A27"/>
    <w:rsid w:val="00AD1AC6"/>
    <w:rsid w:val="00AD1B5F"/>
    <w:rsid w:val="00AD1BDE"/>
    <w:rsid w:val="00AD1CA9"/>
    <w:rsid w:val="00AD1CAB"/>
    <w:rsid w:val="00AD1CF5"/>
    <w:rsid w:val="00AD1E20"/>
    <w:rsid w:val="00AD1E3E"/>
    <w:rsid w:val="00AD1E6F"/>
    <w:rsid w:val="00AD1E7E"/>
    <w:rsid w:val="00AD1F07"/>
    <w:rsid w:val="00AD1FB3"/>
    <w:rsid w:val="00AD206E"/>
    <w:rsid w:val="00AD2256"/>
    <w:rsid w:val="00AD22A6"/>
    <w:rsid w:val="00AD22C6"/>
    <w:rsid w:val="00AD2483"/>
    <w:rsid w:val="00AD257E"/>
    <w:rsid w:val="00AD25E7"/>
    <w:rsid w:val="00AD275F"/>
    <w:rsid w:val="00AD28F7"/>
    <w:rsid w:val="00AD2AF0"/>
    <w:rsid w:val="00AD2BFC"/>
    <w:rsid w:val="00AD2C00"/>
    <w:rsid w:val="00AD2E53"/>
    <w:rsid w:val="00AD2EC2"/>
    <w:rsid w:val="00AD2FB4"/>
    <w:rsid w:val="00AD3168"/>
    <w:rsid w:val="00AD346B"/>
    <w:rsid w:val="00AD3521"/>
    <w:rsid w:val="00AD359F"/>
    <w:rsid w:val="00AD35CB"/>
    <w:rsid w:val="00AD3616"/>
    <w:rsid w:val="00AD3629"/>
    <w:rsid w:val="00AD36B8"/>
    <w:rsid w:val="00AD3730"/>
    <w:rsid w:val="00AD3801"/>
    <w:rsid w:val="00AD390C"/>
    <w:rsid w:val="00AD39E2"/>
    <w:rsid w:val="00AD3C64"/>
    <w:rsid w:val="00AD3C6D"/>
    <w:rsid w:val="00AD3C9B"/>
    <w:rsid w:val="00AD3E50"/>
    <w:rsid w:val="00AD4021"/>
    <w:rsid w:val="00AD4122"/>
    <w:rsid w:val="00AD42A5"/>
    <w:rsid w:val="00AD4503"/>
    <w:rsid w:val="00AD4657"/>
    <w:rsid w:val="00AD468E"/>
    <w:rsid w:val="00AD4799"/>
    <w:rsid w:val="00AD4843"/>
    <w:rsid w:val="00AD4A18"/>
    <w:rsid w:val="00AD4A27"/>
    <w:rsid w:val="00AD4B3F"/>
    <w:rsid w:val="00AD4BDD"/>
    <w:rsid w:val="00AD4EBF"/>
    <w:rsid w:val="00AD502C"/>
    <w:rsid w:val="00AD50BB"/>
    <w:rsid w:val="00AD520B"/>
    <w:rsid w:val="00AD5238"/>
    <w:rsid w:val="00AD52AF"/>
    <w:rsid w:val="00AD52DE"/>
    <w:rsid w:val="00AD52F8"/>
    <w:rsid w:val="00AD5316"/>
    <w:rsid w:val="00AD53E9"/>
    <w:rsid w:val="00AD5553"/>
    <w:rsid w:val="00AD57A8"/>
    <w:rsid w:val="00AD57CF"/>
    <w:rsid w:val="00AD59D1"/>
    <w:rsid w:val="00AD59F3"/>
    <w:rsid w:val="00AD5A46"/>
    <w:rsid w:val="00AD5C19"/>
    <w:rsid w:val="00AD5DA4"/>
    <w:rsid w:val="00AD5F5F"/>
    <w:rsid w:val="00AD608F"/>
    <w:rsid w:val="00AD617B"/>
    <w:rsid w:val="00AD622D"/>
    <w:rsid w:val="00AD639B"/>
    <w:rsid w:val="00AD643C"/>
    <w:rsid w:val="00AD6485"/>
    <w:rsid w:val="00AD65CB"/>
    <w:rsid w:val="00AD6695"/>
    <w:rsid w:val="00AD68F9"/>
    <w:rsid w:val="00AD69E1"/>
    <w:rsid w:val="00AD6C24"/>
    <w:rsid w:val="00AD6C2E"/>
    <w:rsid w:val="00AD6DBD"/>
    <w:rsid w:val="00AD6F6A"/>
    <w:rsid w:val="00AD76A5"/>
    <w:rsid w:val="00AD794C"/>
    <w:rsid w:val="00AD7BFF"/>
    <w:rsid w:val="00AD7C14"/>
    <w:rsid w:val="00AD7CF1"/>
    <w:rsid w:val="00AE0052"/>
    <w:rsid w:val="00AE02B1"/>
    <w:rsid w:val="00AE0421"/>
    <w:rsid w:val="00AE0429"/>
    <w:rsid w:val="00AE0436"/>
    <w:rsid w:val="00AE04DC"/>
    <w:rsid w:val="00AE0550"/>
    <w:rsid w:val="00AE0734"/>
    <w:rsid w:val="00AE09BF"/>
    <w:rsid w:val="00AE0BC6"/>
    <w:rsid w:val="00AE0CEE"/>
    <w:rsid w:val="00AE0EA3"/>
    <w:rsid w:val="00AE0ED4"/>
    <w:rsid w:val="00AE0FA9"/>
    <w:rsid w:val="00AE1158"/>
    <w:rsid w:val="00AE11FA"/>
    <w:rsid w:val="00AE13B8"/>
    <w:rsid w:val="00AE146A"/>
    <w:rsid w:val="00AE1642"/>
    <w:rsid w:val="00AE1773"/>
    <w:rsid w:val="00AE182D"/>
    <w:rsid w:val="00AE1838"/>
    <w:rsid w:val="00AE18B6"/>
    <w:rsid w:val="00AE1913"/>
    <w:rsid w:val="00AE1978"/>
    <w:rsid w:val="00AE19EE"/>
    <w:rsid w:val="00AE1A84"/>
    <w:rsid w:val="00AE1AA0"/>
    <w:rsid w:val="00AE1AB5"/>
    <w:rsid w:val="00AE1B03"/>
    <w:rsid w:val="00AE1B46"/>
    <w:rsid w:val="00AE1C64"/>
    <w:rsid w:val="00AE1E9F"/>
    <w:rsid w:val="00AE1ECF"/>
    <w:rsid w:val="00AE21E5"/>
    <w:rsid w:val="00AE2200"/>
    <w:rsid w:val="00AE2247"/>
    <w:rsid w:val="00AE22C7"/>
    <w:rsid w:val="00AE23EB"/>
    <w:rsid w:val="00AE23F4"/>
    <w:rsid w:val="00AE25A9"/>
    <w:rsid w:val="00AE25F9"/>
    <w:rsid w:val="00AE2780"/>
    <w:rsid w:val="00AE2857"/>
    <w:rsid w:val="00AE293A"/>
    <w:rsid w:val="00AE2B81"/>
    <w:rsid w:val="00AE2D6C"/>
    <w:rsid w:val="00AE2D7E"/>
    <w:rsid w:val="00AE2E98"/>
    <w:rsid w:val="00AE30A9"/>
    <w:rsid w:val="00AE30ED"/>
    <w:rsid w:val="00AE3275"/>
    <w:rsid w:val="00AE331E"/>
    <w:rsid w:val="00AE3338"/>
    <w:rsid w:val="00AE33E1"/>
    <w:rsid w:val="00AE34DC"/>
    <w:rsid w:val="00AE393A"/>
    <w:rsid w:val="00AE3C1D"/>
    <w:rsid w:val="00AE4077"/>
    <w:rsid w:val="00AE4305"/>
    <w:rsid w:val="00AE436E"/>
    <w:rsid w:val="00AE4395"/>
    <w:rsid w:val="00AE43A4"/>
    <w:rsid w:val="00AE4638"/>
    <w:rsid w:val="00AE46D2"/>
    <w:rsid w:val="00AE4746"/>
    <w:rsid w:val="00AE47D2"/>
    <w:rsid w:val="00AE48B3"/>
    <w:rsid w:val="00AE4933"/>
    <w:rsid w:val="00AE4A01"/>
    <w:rsid w:val="00AE4A38"/>
    <w:rsid w:val="00AE4A68"/>
    <w:rsid w:val="00AE4ABE"/>
    <w:rsid w:val="00AE4D23"/>
    <w:rsid w:val="00AE4E1D"/>
    <w:rsid w:val="00AE4E59"/>
    <w:rsid w:val="00AE5152"/>
    <w:rsid w:val="00AE515A"/>
    <w:rsid w:val="00AE5246"/>
    <w:rsid w:val="00AE52C0"/>
    <w:rsid w:val="00AE53CB"/>
    <w:rsid w:val="00AE5457"/>
    <w:rsid w:val="00AE551C"/>
    <w:rsid w:val="00AE56AC"/>
    <w:rsid w:val="00AE5749"/>
    <w:rsid w:val="00AE58A2"/>
    <w:rsid w:val="00AE594B"/>
    <w:rsid w:val="00AE59BD"/>
    <w:rsid w:val="00AE5A09"/>
    <w:rsid w:val="00AE5B0E"/>
    <w:rsid w:val="00AE5B8B"/>
    <w:rsid w:val="00AE5CAB"/>
    <w:rsid w:val="00AE5D71"/>
    <w:rsid w:val="00AE5D9F"/>
    <w:rsid w:val="00AE5F8F"/>
    <w:rsid w:val="00AE60A1"/>
    <w:rsid w:val="00AE60C4"/>
    <w:rsid w:val="00AE63BE"/>
    <w:rsid w:val="00AE6415"/>
    <w:rsid w:val="00AE64D4"/>
    <w:rsid w:val="00AE6682"/>
    <w:rsid w:val="00AE6706"/>
    <w:rsid w:val="00AE6834"/>
    <w:rsid w:val="00AE6A22"/>
    <w:rsid w:val="00AE6A5B"/>
    <w:rsid w:val="00AE6AA3"/>
    <w:rsid w:val="00AE6B24"/>
    <w:rsid w:val="00AE6C88"/>
    <w:rsid w:val="00AE6CC1"/>
    <w:rsid w:val="00AE6CFD"/>
    <w:rsid w:val="00AE6DB9"/>
    <w:rsid w:val="00AE6E35"/>
    <w:rsid w:val="00AE6FD4"/>
    <w:rsid w:val="00AE708C"/>
    <w:rsid w:val="00AE7133"/>
    <w:rsid w:val="00AE7144"/>
    <w:rsid w:val="00AE7167"/>
    <w:rsid w:val="00AE7187"/>
    <w:rsid w:val="00AE74D3"/>
    <w:rsid w:val="00AE752E"/>
    <w:rsid w:val="00AE754A"/>
    <w:rsid w:val="00AE765E"/>
    <w:rsid w:val="00AE7A92"/>
    <w:rsid w:val="00AE7A97"/>
    <w:rsid w:val="00AE7AC6"/>
    <w:rsid w:val="00AE7B45"/>
    <w:rsid w:val="00AE7D49"/>
    <w:rsid w:val="00AE7EC9"/>
    <w:rsid w:val="00AE7F6E"/>
    <w:rsid w:val="00AE7F92"/>
    <w:rsid w:val="00AE7FCE"/>
    <w:rsid w:val="00AF01FE"/>
    <w:rsid w:val="00AF0236"/>
    <w:rsid w:val="00AF03FE"/>
    <w:rsid w:val="00AF0792"/>
    <w:rsid w:val="00AF0888"/>
    <w:rsid w:val="00AF0A93"/>
    <w:rsid w:val="00AF0EEF"/>
    <w:rsid w:val="00AF0F45"/>
    <w:rsid w:val="00AF0F9C"/>
    <w:rsid w:val="00AF0FF3"/>
    <w:rsid w:val="00AF1064"/>
    <w:rsid w:val="00AF1084"/>
    <w:rsid w:val="00AF120F"/>
    <w:rsid w:val="00AF12D5"/>
    <w:rsid w:val="00AF154C"/>
    <w:rsid w:val="00AF15E5"/>
    <w:rsid w:val="00AF16F4"/>
    <w:rsid w:val="00AF1887"/>
    <w:rsid w:val="00AF18F9"/>
    <w:rsid w:val="00AF1AD1"/>
    <w:rsid w:val="00AF1E3A"/>
    <w:rsid w:val="00AF1F43"/>
    <w:rsid w:val="00AF1F7B"/>
    <w:rsid w:val="00AF2443"/>
    <w:rsid w:val="00AF24BC"/>
    <w:rsid w:val="00AF250B"/>
    <w:rsid w:val="00AF2782"/>
    <w:rsid w:val="00AF2801"/>
    <w:rsid w:val="00AF28CA"/>
    <w:rsid w:val="00AF294B"/>
    <w:rsid w:val="00AF2BDD"/>
    <w:rsid w:val="00AF2D12"/>
    <w:rsid w:val="00AF2D47"/>
    <w:rsid w:val="00AF2DF6"/>
    <w:rsid w:val="00AF3313"/>
    <w:rsid w:val="00AF33C7"/>
    <w:rsid w:val="00AF344A"/>
    <w:rsid w:val="00AF3472"/>
    <w:rsid w:val="00AF34FF"/>
    <w:rsid w:val="00AF35E2"/>
    <w:rsid w:val="00AF3893"/>
    <w:rsid w:val="00AF38A8"/>
    <w:rsid w:val="00AF39AA"/>
    <w:rsid w:val="00AF3A0B"/>
    <w:rsid w:val="00AF3A52"/>
    <w:rsid w:val="00AF3DD2"/>
    <w:rsid w:val="00AF3ED6"/>
    <w:rsid w:val="00AF4149"/>
    <w:rsid w:val="00AF4260"/>
    <w:rsid w:val="00AF48E5"/>
    <w:rsid w:val="00AF4991"/>
    <w:rsid w:val="00AF4AE2"/>
    <w:rsid w:val="00AF4BAE"/>
    <w:rsid w:val="00AF4C61"/>
    <w:rsid w:val="00AF4CEA"/>
    <w:rsid w:val="00AF4D16"/>
    <w:rsid w:val="00AF4D24"/>
    <w:rsid w:val="00AF5095"/>
    <w:rsid w:val="00AF5110"/>
    <w:rsid w:val="00AF5327"/>
    <w:rsid w:val="00AF5339"/>
    <w:rsid w:val="00AF5442"/>
    <w:rsid w:val="00AF547B"/>
    <w:rsid w:val="00AF55B3"/>
    <w:rsid w:val="00AF5A22"/>
    <w:rsid w:val="00AF5EDF"/>
    <w:rsid w:val="00AF5F5E"/>
    <w:rsid w:val="00AF61C3"/>
    <w:rsid w:val="00AF621E"/>
    <w:rsid w:val="00AF62B3"/>
    <w:rsid w:val="00AF63E2"/>
    <w:rsid w:val="00AF663F"/>
    <w:rsid w:val="00AF665D"/>
    <w:rsid w:val="00AF67BD"/>
    <w:rsid w:val="00AF683C"/>
    <w:rsid w:val="00AF69A7"/>
    <w:rsid w:val="00AF6AEB"/>
    <w:rsid w:val="00AF6DC3"/>
    <w:rsid w:val="00AF7120"/>
    <w:rsid w:val="00AF712D"/>
    <w:rsid w:val="00AF725C"/>
    <w:rsid w:val="00AF72C3"/>
    <w:rsid w:val="00AF730C"/>
    <w:rsid w:val="00AF7419"/>
    <w:rsid w:val="00AF7687"/>
    <w:rsid w:val="00AF7778"/>
    <w:rsid w:val="00AF7AE0"/>
    <w:rsid w:val="00AF7BD9"/>
    <w:rsid w:val="00AF7C0C"/>
    <w:rsid w:val="00AF7D27"/>
    <w:rsid w:val="00AF7DF5"/>
    <w:rsid w:val="00B0001F"/>
    <w:rsid w:val="00B00021"/>
    <w:rsid w:val="00B0008C"/>
    <w:rsid w:val="00B00264"/>
    <w:rsid w:val="00B0032A"/>
    <w:rsid w:val="00B00330"/>
    <w:rsid w:val="00B00691"/>
    <w:rsid w:val="00B00745"/>
    <w:rsid w:val="00B00815"/>
    <w:rsid w:val="00B00884"/>
    <w:rsid w:val="00B00A2E"/>
    <w:rsid w:val="00B00AFE"/>
    <w:rsid w:val="00B00B6F"/>
    <w:rsid w:val="00B00BAC"/>
    <w:rsid w:val="00B00C92"/>
    <w:rsid w:val="00B00EA4"/>
    <w:rsid w:val="00B00F1E"/>
    <w:rsid w:val="00B0103D"/>
    <w:rsid w:val="00B01060"/>
    <w:rsid w:val="00B012D7"/>
    <w:rsid w:val="00B0138D"/>
    <w:rsid w:val="00B013F2"/>
    <w:rsid w:val="00B01604"/>
    <w:rsid w:val="00B01878"/>
    <w:rsid w:val="00B01B51"/>
    <w:rsid w:val="00B01B7A"/>
    <w:rsid w:val="00B01BA9"/>
    <w:rsid w:val="00B01C00"/>
    <w:rsid w:val="00B01D36"/>
    <w:rsid w:val="00B01D66"/>
    <w:rsid w:val="00B01D8E"/>
    <w:rsid w:val="00B01E6A"/>
    <w:rsid w:val="00B01FB1"/>
    <w:rsid w:val="00B0201E"/>
    <w:rsid w:val="00B021D4"/>
    <w:rsid w:val="00B0240D"/>
    <w:rsid w:val="00B025CB"/>
    <w:rsid w:val="00B02603"/>
    <w:rsid w:val="00B02610"/>
    <w:rsid w:val="00B026BB"/>
    <w:rsid w:val="00B026BF"/>
    <w:rsid w:val="00B02721"/>
    <w:rsid w:val="00B027CE"/>
    <w:rsid w:val="00B0282A"/>
    <w:rsid w:val="00B0289B"/>
    <w:rsid w:val="00B029EF"/>
    <w:rsid w:val="00B02A2E"/>
    <w:rsid w:val="00B02ACB"/>
    <w:rsid w:val="00B02BD7"/>
    <w:rsid w:val="00B02C27"/>
    <w:rsid w:val="00B02C6E"/>
    <w:rsid w:val="00B02E33"/>
    <w:rsid w:val="00B02EA9"/>
    <w:rsid w:val="00B02EC9"/>
    <w:rsid w:val="00B02F06"/>
    <w:rsid w:val="00B02F82"/>
    <w:rsid w:val="00B02FF1"/>
    <w:rsid w:val="00B0310B"/>
    <w:rsid w:val="00B0317A"/>
    <w:rsid w:val="00B031C0"/>
    <w:rsid w:val="00B03264"/>
    <w:rsid w:val="00B03323"/>
    <w:rsid w:val="00B034E4"/>
    <w:rsid w:val="00B036F6"/>
    <w:rsid w:val="00B03AF7"/>
    <w:rsid w:val="00B03B0F"/>
    <w:rsid w:val="00B03B61"/>
    <w:rsid w:val="00B03CA5"/>
    <w:rsid w:val="00B03D3B"/>
    <w:rsid w:val="00B03E7C"/>
    <w:rsid w:val="00B03EA5"/>
    <w:rsid w:val="00B03ED9"/>
    <w:rsid w:val="00B04299"/>
    <w:rsid w:val="00B04342"/>
    <w:rsid w:val="00B0435B"/>
    <w:rsid w:val="00B043A6"/>
    <w:rsid w:val="00B04502"/>
    <w:rsid w:val="00B04647"/>
    <w:rsid w:val="00B04755"/>
    <w:rsid w:val="00B04811"/>
    <w:rsid w:val="00B0483A"/>
    <w:rsid w:val="00B049AF"/>
    <w:rsid w:val="00B04BD1"/>
    <w:rsid w:val="00B04D56"/>
    <w:rsid w:val="00B050F9"/>
    <w:rsid w:val="00B05474"/>
    <w:rsid w:val="00B054FE"/>
    <w:rsid w:val="00B0558B"/>
    <w:rsid w:val="00B056CF"/>
    <w:rsid w:val="00B05879"/>
    <w:rsid w:val="00B058C0"/>
    <w:rsid w:val="00B05A76"/>
    <w:rsid w:val="00B05BB6"/>
    <w:rsid w:val="00B05E99"/>
    <w:rsid w:val="00B05E9F"/>
    <w:rsid w:val="00B05ED4"/>
    <w:rsid w:val="00B05FE7"/>
    <w:rsid w:val="00B0663D"/>
    <w:rsid w:val="00B067C1"/>
    <w:rsid w:val="00B068E0"/>
    <w:rsid w:val="00B06A7F"/>
    <w:rsid w:val="00B06B2C"/>
    <w:rsid w:val="00B06BAF"/>
    <w:rsid w:val="00B06E21"/>
    <w:rsid w:val="00B06E50"/>
    <w:rsid w:val="00B06F83"/>
    <w:rsid w:val="00B07034"/>
    <w:rsid w:val="00B07218"/>
    <w:rsid w:val="00B07232"/>
    <w:rsid w:val="00B07309"/>
    <w:rsid w:val="00B0730E"/>
    <w:rsid w:val="00B07779"/>
    <w:rsid w:val="00B079C6"/>
    <w:rsid w:val="00B07DAE"/>
    <w:rsid w:val="00B07E63"/>
    <w:rsid w:val="00B07EC8"/>
    <w:rsid w:val="00B10037"/>
    <w:rsid w:val="00B101F7"/>
    <w:rsid w:val="00B102A4"/>
    <w:rsid w:val="00B1059C"/>
    <w:rsid w:val="00B1074C"/>
    <w:rsid w:val="00B108F5"/>
    <w:rsid w:val="00B10B67"/>
    <w:rsid w:val="00B10BC8"/>
    <w:rsid w:val="00B10BFA"/>
    <w:rsid w:val="00B10C6C"/>
    <w:rsid w:val="00B10DB0"/>
    <w:rsid w:val="00B10F83"/>
    <w:rsid w:val="00B10F91"/>
    <w:rsid w:val="00B1130B"/>
    <w:rsid w:val="00B113CF"/>
    <w:rsid w:val="00B11874"/>
    <w:rsid w:val="00B118DB"/>
    <w:rsid w:val="00B119B3"/>
    <w:rsid w:val="00B119D0"/>
    <w:rsid w:val="00B119D7"/>
    <w:rsid w:val="00B11A12"/>
    <w:rsid w:val="00B11AFB"/>
    <w:rsid w:val="00B11F84"/>
    <w:rsid w:val="00B11FDD"/>
    <w:rsid w:val="00B12030"/>
    <w:rsid w:val="00B125E5"/>
    <w:rsid w:val="00B127BB"/>
    <w:rsid w:val="00B129BC"/>
    <w:rsid w:val="00B12A1C"/>
    <w:rsid w:val="00B12B1A"/>
    <w:rsid w:val="00B12B89"/>
    <w:rsid w:val="00B12B8B"/>
    <w:rsid w:val="00B12DB0"/>
    <w:rsid w:val="00B12E65"/>
    <w:rsid w:val="00B12F05"/>
    <w:rsid w:val="00B130DB"/>
    <w:rsid w:val="00B130F1"/>
    <w:rsid w:val="00B131FA"/>
    <w:rsid w:val="00B13280"/>
    <w:rsid w:val="00B132AC"/>
    <w:rsid w:val="00B134B6"/>
    <w:rsid w:val="00B13613"/>
    <w:rsid w:val="00B13627"/>
    <w:rsid w:val="00B137D9"/>
    <w:rsid w:val="00B1381F"/>
    <w:rsid w:val="00B13ACB"/>
    <w:rsid w:val="00B13B1A"/>
    <w:rsid w:val="00B13C64"/>
    <w:rsid w:val="00B13C7B"/>
    <w:rsid w:val="00B13D57"/>
    <w:rsid w:val="00B13DE1"/>
    <w:rsid w:val="00B13F32"/>
    <w:rsid w:val="00B13F44"/>
    <w:rsid w:val="00B13F52"/>
    <w:rsid w:val="00B13F69"/>
    <w:rsid w:val="00B14121"/>
    <w:rsid w:val="00B1412B"/>
    <w:rsid w:val="00B1419A"/>
    <w:rsid w:val="00B142FA"/>
    <w:rsid w:val="00B14337"/>
    <w:rsid w:val="00B14356"/>
    <w:rsid w:val="00B14396"/>
    <w:rsid w:val="00B1455F"/>
    <w:rsid w:val="00B145C7"/>
    <w:rsid w:val="00B14714"/>
    <w:rsid w:val="00B147FD"/>
    <w:rsid w:val="00B14881"/>
    <w:rsid w:val="00B149D2"/>
    <w:rsid w:val="00B14BBA"/>
    <w:rsid w:val="00B14BE7"/>
    <w:rsid w:val="00B14C7D"/>
    <w:rsid w:val="00B14C8C"/>
    <w:rsid w:val="00B15016"/>
    <w:rsid w:val="00B151BE"/>
    <w:rsid w:val="00B15243"/>
    <w:rsid w:val="00B153F7"/>
    <w:rsid w:val="00B15630"/>
    <w:rsid w:val="00B1567B"/>
    <w:rsid w:val="00B157C6"/>
    <w:rsid w:val="00B15919"/>
    <w:rsid w:val="00B15A6A"/>
    <w:rsid w:val="00B15B69"/>
    <w:rsid w:val="00B15BFF"/>
    <w:rsid w:val="00B15C01"/>
    <w:rsid w:val="00B15C15"/>
    <w:rsid w:val="00B16164"/>
    <w:rsid w:val="00B162BC"/>
    <w:rsid w:val="00B16427"/>
    <w:rsid w:val="00B164C9"/>
    <w:rsid w:val="00B1653E"/>
    <w:rsid w:val="00B16617"/>
    <w:rsid w:val="00B167D2"/>
    <w:rsid w:val="00B1691C"/>
    <w:rsid w:val="00B169A4"/>
    <w:rsid w:val="00B16ACE"/>
    <w:rsid w:val="00B16AEE"/>
    <w:rsid w:val="00B16D07"/>
    <w:rsid w:val="00B16D88"/>
    <w:rsid w:val="00B16E6E"/>
    <w:rsid w:val="00B170D7"/>
    <w:rsid w:val="00B17110"/>
    <w:rsid w:val="00B1712D"/>
    <w:rsid w:val="00B171DB"/>
    <w:rsid w:val="00B1738A"/>
    <w:rsid w:val="00B1744A"/>
    <w:rsid w:val="00B1773D"/>
    <w:rsid w:val="00B1793C"/>
    <w:rsid w:val="00B17977"/>
    <w:rsid w:val="00B17A6E"/>
    <w:rsid w:val="00B17B30"/>
    <w:rsid w:val="00B17B88"/>
    <w:rsid w:val="00B17E68"/>
    <w:rsid w:val="00B17ED4"/>
    <w:rsid w:val="00B17F61"/>
    <w:rsid w:val="00B17FFE"/>
    <w:rsid w:val="00B201DD"/>
    <w:rsid w:val="00B202A1"/>
    <w:rsid w:val="00B202C6"/>
    <w:rsid w:val="00B2048C"/>
    <w:rsid w:val="00B205A8"/>
    <w:rsid w:val="00B2065E"/>
    <w:rsid w:val="00B207FE"/>
    <w:rsid w:val="00B20837"/>
    <w:rsid w:val="00B2083E"/>
    <w:rsid w:val="00B20952"/>
    <w:rsid w:val="00B20A4E"/>
    <w:rsid w:val="00B20E60"/>
    <w:rsid w:val="00B210F6"/>
    <w:rsid w:val="00B21102"/>
    <w:rsid w:val="00B211CA"/>
    <w:rsid w:val="00B213F2"/>
    <w:rsid w:val="00B2153F"/>
    <w:rsid w:val="00B21567"/>
    <w:rsid w:val="00B21576"/>
    <w:rsid w:val="00B21639"/>
    <w:rsid w:val="00B216D0"/>
    <w:rsid w:val="00B21801"/>
    <w:rsid w:val="00B2198E"/>
    <w:rsid w:val="00B219B9"/>
    <w:rsid w:val="00B21AC4"/>
    <w:rsid w:val="00B21AEE"/>
    <w:rsid w:val="00B21B66"/>
    <w:rsid w:val="00B21D5E"/>
    <w:rsid w:val="00B21E5E"/>
    <w:rsid w:val="00B21E66"/>
    <w:rsid w:val="00B21F39"/>
    <w:rsid w:val="00B220E5"/>
    <w:rsid w:val="00B22871"/>
    <w:rsid w:val="00B22BC3"/>
    <w:rsid w:val="00B22C56"/>
    <w:rsid w:val="00B22CEA"/>
    <w:rsid w:val="00B22CF5"/>
    <w:rsid w:val="00B22D34"/>
    <w:rsid w:val="00B22FF9"/>
    <w:rsid w:val="00B2307F"/>
    <w:rsid w:val="00B2314C"/>
    <w:rsid w:val="00B231B5"/>
    <w:rsid w:val="00B23907"/>
    <w:rsid w:val="00B239A6"/>
    <w:rsid w:val="00B23AD7"/>
    <w:rsid w:val="00B23B83"/>
    <w:rsid w:val="00B23E4F"/>
    <w:rsid w:val="00B23F19"/>
    <w:rsid w:val="00B23FC5"/>
    <w:rsid w:val="00B2409C"/>
    <w:rsid w:val="00B24498"/>
    <w:rsid w:val="00B246A8"/>
    <w:rsid w:val="00B247EC"/>
    <w:rsid w:val="00B2489A"/>
    <w:rsid w:val="00B24AD0"/>
    <w:rsid w:val="00B24CD1"/>
    <w:rsid w:val="00B24EEF"/>
    <w:rsid w:val="00B24FC2"/>
    <w:rsid w:val="00B25035"/>
    <w:rsid w:val="00B25211"/>
    <w:rsid w:val="00B25255"/>
    <w:rsid w:val="00B2525D"/>
    <w:rsid w:val="00B25684"/>
    <w:rsid w:val="00B2573C"/>
    <w:rsid w:val="00B25801"/>
    <w:rsid w:val="00B25883"/>
    <w:rsid w:val="00B2599A"/>
    <w:rsid w:val="00B25A6A"/>
    <w:rsid w:val="00B25BB0"/>
    <w:rsid w:val="00B25E56"/>
    <w:rsid w:val="00B2627D"/>
    <w:rsid w:val="00B26540"/>
    <w:rsid w:val="00B2660E"/>
    <w:rsid w:val="00B26AFE"/>
    <w:rsid w:val="00B26D3A"/>
    <w:rsid w:val="00B26ED8"/>
    <w:rsid w:val="00B2704D"/>
    <w:rsid w:val="00B270A9"/>
    <w:rsid w:val="00B272D7"/>
    <w:rsid w:val="00B2735D"/>
    <w:rsid w:val="00B273A2"/>
    <w:rsid w:val="00B2752C"/>
    <w:rsid w:val="00B27532"/>
    <w:rsid w:val="00B27546"/>
    <w:rsid w:val="00B278C0"/>
    <w:rsid w:val="00B27A31"/>
    <w:rsid w:val="00B27B16"/>
    <w:rsid w:val="00B27B94"/>
    <w:rsid w:val="00B27BC6"/>
    <w:rsid w:val="00B27C10"/>
    <w:rsid w:val="00B27DFD"/>
    <w:rsid w:val="00B27F24"/>
    <w:rsid w:val="00B27F6D"/>
    <w:rsid w:val="00B30014"/>
    <w:rsid w:val="00B303CD"/>
    <w:rsid w:val="00B30422"/>
    <w:rsid w:val="00B3052F"/>
    <w:rsid w:val="00B3090D"/>
    <w:rsid w:val="00B30B0D"/>
    <w:rsid w:val="00B30B56"/>
    <w:rsid w:val="00B30D46"/>
    <w:rsid w:val="00B31116"/>
    <w:rsid w:val="00B31127"/>
    <w:rsid w:val="00B311D3"/>
    <w:rsid w:val="00B314FB"/>
    <w:rsid w:val="00B3169C"/>
    <w:rsid w:val="00B316A1"/>
    <w:rsid w:val="00B31700"/>
    <w:rsid w:val="00B31749"/>
    <w:rsid w:val="00B318B7"/>
    <w:rsid w:val="00B31BD4"/>
    <w:rsid w:val="00B31D7E"/>
    <w:rsid w:val="00B31DCD"/>
    <w:rsid w:val="00B31E8E"/>
    <w:rsid w:val="00B31F6D"/>
    <w:rsid w:val="00B321CF"/>
    <w:rsid w:val="00B322D2"/>
    <w:rsid w:val="00B32458"/>
    <w:rsid w:val="00B325D5"/>
    <w:rsid w:val="00B32624"/>
    <w:rsid w:val="00B32886"/>
    <w:rsid w:val="00B32A2A"/>
    <w:rsid w:val="00B32C1D"/>
    <w:rsid w:val="00B33047"/>
    <w:rsid w:val="00B330A7"/>
    <w:rsid w:val="00B33233"/>
    <w:rsid w:val="00B334D8"/>
    <w:rsid w:val="00B3353B"/>
    <w:rsid w:val="00B337D3"/>
    <w:rsid w:val="00B3391D"/>
    <w:rsid w:val="00B33A86"/>
    <w:rsid w:val="00B33A93"/>
    <w:rsid w:val="00B33AD5"/>
    <w:rsid w:val="00B33B65"/>
    <w:rsid w:val="00B33F09"/>
    <w:rsid w:val="00B33F9D"/>
    <w:rsid w:val="00B341BD"/>
    <w:rsid w:val="00B34327"/>
    <w:rsid w:val="00B3438C"/>
    <w:rsid w:val="00B34BBF"/>
    <w:rsid w:val="00B34DD2"/>
    <w:rsid w:val="00B34F72"/>
    <w:rsid w:val="00B34FE0"/>
    <w:rsid w:val="00B3534F"/>
    <w:rsid w:val="00B3536F"/>
    <w:rsid w:val="00B353DB"/>
    <w:rsid w:val="00B359E9"/>
    <w:rsid w:val="00B35B06"/>
    <w:rsid w:val="00B35B98"/>
    <w:rsid w:val="00B35BB3"/>
    <w:rsid w:val="00B35C90"/>
    <w:rsid w:val="00B35C9B"/>
    <w:rsid w:val="00B35CE1"/>
    <w:rsid w:val="00B35EED"/>
    <w:rsid w:val="00B35F1F"/>
    <w:rsid w:val="00B35FF5"/>
    <w:rsid w:val="00B36220"/>
    <w:rsid w:val="00B36228"/>
    <w:rsid w:val="00B36283"/>
    <w:rsid w:val="00B36586"/>
    <w:rsid w:val="00B365B5"/>
    <w:rsid w:val="00B365E9"/>
    <w:rsid w:val="00B36685"/>
    <w:rsid w:val="00B36772"/>
    <w:rsid w:val="00B367F3"/>
    <w:rsid w:val="00B36899"/>
    <w:rsid w:val="00B36966"/>
    <w:rsid w:val="00B36BD0"/>
    <w:rsid w:val="00B36C16"/>
    <w:rsid w:val="00B37056"/>
    <w:rsid w:val="00B370BB"/>
    <w:rsid w:val="00B3710B"/>
    <w:rsid w:val="00B37132"/>
    <w:rsid w:val="00B372EB"/>
    <w:rsid w:val="00B3759A"/>
    <w:rsid w:val="00B37969"/>
    <w:rsid w:val="00B37ACE"/>
    <w:rsid w:val="00B37B83"/>
    <w:rsid w:val="00B40111"/>
    <w:rsid w:val="00B40169"/>
    <w:rsid w:val="00B4040C"/>
    <w:rsid w:val="00B40717"/>
    <w:rsid w:val="00B40860"/>
    <w:rsid w:val="00B40931"/>
    <w:rsid w:val="00B40AFE"/>
    <w:rsid w:val="00B40AFF"/>
    <w:rsid w:val="00B40BB9"/>
    <w:rsid w:val="00B40C10"/>
    <w:rsid w:val="00B40CB1"/>
    <w:rsid w:val="00B40D15"/>
    <w:rsid w:val="00B4106B"/>
    <w:rsid w:val="00B41323"/>
    <w:rsid w:val="00B41513"/>
    <w:rsid w:val="00B417B9"/>
    <w:rsid w:val="00B419DB"/>
    <w:rsid w:val="00B41A55"/>
    <w:rsid w:val="00B41C8C"/>
    <w:rsid w:val="00B41CE1"/>
    <w:rsid w:val="00B41EC5"/>
    <w:rsid w:val="00B421BB"/>
    <w:rsid w:val="00B42308"/>
    <w:rsid w:val="00B42387"/>
    <w:rsid w:val="00B424A8"/>
    <w:rsid w:val="00B42561"/>
    <w:rsid w:val="00B425A2"/>
    <w:rsid w:val="00B4269D"/>
    <w:rsid w:val="00B42754"/>
    <w:rsid w:val="00B42797"/>
    <w:rsid w:val="00B4280D"/>
    <w:rsid w:val="00B429E6"/>
    <w:rsid w:val="00B42AA7"/>
    <w:rsid w:val="00B42B1C"/>
    <w:rsid w:val="00B42B27"/>
    <w:rsid w:val="00B42BB2"/>
    <w:rsid w:val="00B430A3"/>
    <w:rsid w:val="00B43239"/>
    <w:rsid w:val="00B4327C"/>
    <w:rsid w:val="00B432E1"/>
    <w:rsid w:val="00B433E7"/>
    <w:rsid w:val="00B434E3"/>
    <w:rsid w:val="00B43659"/>
    <w:rsid w:val="00B4373A"/>
    <w:rsid w:val="00B43879"/>
    <w:rsid w:val="00B438A0"/>
    <w:rsid w:val="00B439DA"/>
    <w:rsid w:val="00B43A1E"/>
    <w:rsid w:val="00B43ABD"/>
    <w:rsid w:val="00B43CA7"/>
    <w:rsid w:val="00B43D4F"/>
    <w:rsid w:val="00B43D77"/>
    <w:rsid w:val="00B43D80"/>
    <w:rsid w:val="00B43DC0"/>
    <w:rsid w:val="00B43DCB"/>
    <w:rsid w:val="00B440A5"/>
    <w:rsid w:val="00B440B9"/>
    <w:rsid w:val="00B4450C"/>
    <w:rsid w:val="00B447CD"/>
    <w:rsid w:val="00B447EE"/>
    <w:rsid w:val="00B448BD"/>
    <w:rsid w:val="00B44927"/>
    <w:rsid w:val="00B44977"/>
    <w:rsid w:val="00B44ADC"/>
    <w:rsid w:val="00B44AF1"/>
    <w:rsid w:val="00B44C31"/>
    <w:rsid w:val="00B44D97"/>
    <w:rsid w:val="00B44E1A"/>
    <w:rsid w:val="00B44F96"/>
    <w:rsid w:val="00B450D3"/>
    <w:rsid w:val="00B454B7"/>
    <w:rsid w:val="00B45B76"/>
    <w:rsid w:val="00B45DAC"/>
    <w:rsid w:val="00B45F88"/>
    <w:rsid w:val="00B46020"/>
    <w:rsid w:val="00B460AF"/>
    <w:rsid w:val="00B46483"/>
    <w:rsid w:val="00B464E5"/>
    <w:rsid w:val="00B4660C"/>
    <w:rsid w:val="00B46AAC"/>
    <w:rsid w:val="00B46B14"/>
    <w:rsid w:val="00B46B3A"/>
    <w:rsid w:val="00B46BFD"/>
    <w:rsid w:val="00B46CED"/>
    <w:rsid w:val="00B46EF3"/>
    <w:rsid w:val="00B4714D"/>
    <w:rsid w:val="00B471C0"/>
    <w:rsid w:val="00B4745A"/>
    <w:rsid w:val="00B47505"/>
    <w:rsid w:val="00B47508"/>
    <w:rsid w:val="00B47794"/>
    <w:rsid w:val="00B477E4"/>
    <w:rsid w:val="00B47A83"/>
    <w:rsid w:val="00B47BA2"/>
    <w:rsid w:val="00B47D6F"/>
    <w:rsid w:val="00B47E20"/>
    <w:rsid w:val="00B47F19"/>
    <w:rsid w:val="00B500F6"/>
    <w:rsid w:val="00B502C3"/>
    <w:rsid w:val="00B5040D"/>
    <w:rsid w:val="00B504DD"/>
    <w:rsid w:val="00B50654"/>
    <w:rsid w:val="00B508CD"/>
    <w:rsid w:val="00B5093B"/>
    <w:rsid w:val="00B50941"/>
    <w:rsid w:val="00B50A80"/>
    <w:rsid w:val="00B50A8F"/>
    <w:rsid w:val="00B50B42"/>
    <w:rsid w:val="00B50B52"/>
    <w:rsid w:val="00B50BCD"/>
    <w:rsid w:val="00B50E2C"/>
    <w:rsid w:val="00B51236"/>
    <w:rsid w:val="00B512C8"/>
    <w:rsid w:val="00B51664"/>
    <w:rsid w:val="00B51789"/>
    <w:rsid w:val="00B518D4"/>
    <w:rsid w:val="00B51AFA"/>
    <w:rsid w:val="00B51BAD"/>
    <w:rsid w:val="00B51DB1"/>
    <w:rsid w:val="00B51E7B"/>
    <w:rsid w:val="00B51EDD"/>
    <w:rsid w:val="00B51F93"/>
    <w:rsid w:val="00B520FF"/>
    <w:rsid w:val="00B521C1"/>
    <w:rsid w:val="00B52228"/>
    <w:rsid w:val="00B522C4"/>
    <w:rsid w:val="00B527A0"/>
    <w:rsid w:val="00B528BA"/>
    <w:rsid w:val="00B5298C"/>
    <w:rsid w:val="00B52A44"/>
    <w:rsid w:val="00B52B1F"/>
    <w:rsid w:val="00B52C1C"/>
    <w:rsid w:val="00B52C50"/>
    <w:rsid w:val="00B52CC8"/>
    <w:rsid w:val="00B52E0B"/>
    <w:rsid w:val="00B530A9"/>
    <w:rsid w:val="00B531EB"/>
    <w:rsid w:val="00B531F9"/>
    <w:rsid w:val="00B5335F"/>
    <w:rsid w:val="00B533D0"/>
    <w:rsid w:val="00B537D5"/>
    <w:rsid w:val="00B53864"/>
    <w:rsid w:val="00B5395A"/>
    <w:rsid w:val="00B5395F"/>
    <w:rsid w:val="00B539D9"/>
    <w:rsid w:val="00B539F3"/>
    <w:rsid w:val="00B53C0F"/>
    <w:rsid w:val="00B53C8E"/>
    <w:rsid w:val="00B53D04"/>
    <w:rsid w:val="00B53D29"/>
    <w:rsid w:val="00B53DD3"/>
    <w:rsid w:val="00B53FC7"/>
    <w:rsid w:val="00B54320"/>
    <w:rsid w:val="00B543A9"/>
    <w:rsid w:val="00B54420"/>
    <w:rsid w:val="00B54548"/>
    <w:rsid w:val="00B54733"/>
    <w:rsid w:val="00B549D2"/>
    <w:rsid w:val="00B54A8D"/>
    <w:rsid w:val="00B54BA4"/>
    <w:rsid w:val="00B54BA6"/>
    <w:rsid w:val="00B54C8B"/>
    <w:rsid w:val="00B54CDF"/>
    <w:rsid w:val="00B54DEE"/>
    <w:rsid w:val="00B54E43"/>
    <w:rsid w:val="00B54E54"/>
    <w:rsid w:val="00B54F23"/>
    <w:rsid w:val="00B551B7"/>
    <w:rsid w:val="00B553D9"/>
    <w:rsid w:val="00B555C5"/>
    <w:rsid w:val="00B5568A"/>
    <w:rsid w:val="00B5578E"/>
    <w:rsid w:val="00B55860"/>
    <w:rsid w:val="00B558B1"/>
    <w:rsid w:val="00B5597E"/>
    <w:rsid w:val="00B55C2B"/>
    <w:rsid w:val="00B55E00"/>
    <w:rsid w:val="00B55F79"/>
    <w:rsid w:val="00B56037"/>
    <w:rsid w:val="00B5608D"/>
    <w:rsid w:val="00B56337"/>
    <w:rsid w:val="00B563E2"/>
    <w:rsid w:val="00B56410"/>
    <w:rsid w:val="00B564E4"/>
    <w:rsid w:val="00B56682"/>
    <w:rsid w:val="00B566CC"/>
    <w:rsid w:val="00B566E4"/>
    <w:rsid w:val="00B56835"/>
    <w:rsid w:val="00B569EB"/>
    <w:rsid w:val="00B56A58"/>
    <w:rsid w:val="00B56CD6"/>
    <w:rsid w:val="00B56D4E"/>
    <w:rsid w:val="00B56D89"/>
    <w:rsid w:val="00B56EFD"/>
    <w:rsid w:val="00B57022"/>
    <w:rsid w:val="00B57104"/>
    <w:rsid w:val="00B5725D"/>
    <w:rsid w:val="00B576E8"/>
    <w:rsid w:val="00B57711"/>
    <w:rsid w:val="00B57763"/>
    <w:rsid w:val="00B57880"/>
    <w:rsid w:val="00B578FE"/>
    <w:rsid w:val="00B57985"/>
    <w:rsid w:val="00B579F3"/>
    <w:rsid w:val="00B57A0C"/>
    <w:rsid w:val="00B57ACE"/>
    <w:rsid w:val="00B57B6E"/>
    <w:rsid w:val="00B57E36"/>
    <w:rsid w:val="00B57E7F"/>
    <w:rsid w:val="00B60235"/>
    <w:rsid w:val="00B602A9"/>
    <w:rsid w:val="00B602AE"/>
    <w:rsid w:val="00B60485"/>
    <w:rsid w:val="00B60534"/>
    <w:rsid w:val="00B605FF"/>
    <w:rsid w:val="00B606A0"/>
    <w:rsid w:val="00B606E0"/>
    <w:rsid w:val="00B60776"/>
    <w:rsid w:val="00B6080F"/>
    <w:rsid w:val="00B6094E"/>
    <w:rsid w:val="00B60BAA"/>
    <w:rsid w:val="00B60C9E"/>
    <w:rsid w:val="00B60D6C"/>
    <w:rsid w:val="00B60DF5"/>
    <w:rsid w:val="00B60E2B"/>
    <w:rsid w:val="00B60E79"/>
    <w:rsid w:val="00B60FDE"/>
    <w:rsid w:val="00B60FE5"/>
    <w:rsid w:val="00B611DE"/>
    <w:rsid w:val="00B61258"/>
    <w:rsid w:val="00B612D2"/>
    <w:rsid w:val="00B61389"/>
    <w:rsid w:val="00B6147C"/>
    <w:rsid w:val="00B61619"/>
    <w:rsid w:val="00B61670"/>
    <w:rsid w:val="00B616CD"/>
    <w:rsid w:val="00B617F5"/>
    <w:rsid w:val="00B617FF"/>
    <w:rsid w:val="00B61827"/>
    <w:rsid w:val="00B6191D"/>
    <w:rsid w:val="00B61A81"/>
    <w:rsid w:val="00B61B97"/>
    <w:rsid w:val="00B61DD5"/>
    <w:rsid w:val="00B62093"/>
    <w:rsid w:val="00B620F0"/>
    <w:rsid w:val="00B623A8"/>
    <w:rsid w:val="00B62515"/>
    <w:rsid w:val="00B62699"/>
    <w:rsid w:val="00B628AA"/>
    <w:rsid w:val="00B629DC"/>
    <w:rsid w:val="00B62A15"/>
    <w:rsid w:val="00B62B01"/>
    <w:rsid w:val="00B62C57"/>
    <w:rsid w:val="00B62EE4"/>
    <w:rsid w:val="00B630C0"/>
    <w:rsid w:val="00B6312E"/>
    <w:rsid w:val="00B631D7"/>
    <w:rsid w:val="00B63533"/>
    <w:rsid w:val="00B636AE"/>
    <w:rsid w:val="00B636D3"/>
    <w:rsid w:val="00B6377C"/>
    <w:rsid w:val="00B638E5"/>
    <w:rsid w:val="00B638FE"/>
    <w:rsid w:val="00B639E6"/>
    <w:rsid w:val="00B63A8C"/>
    <w:rsid w:val="00B63C05"/>
    <w:rsid w:val="00B63CC9"/>
    <w:rsid w:val="00B63D8F"/>
    <w:rsid w:val="00B63EF2"/>
    <w:rsid w:val="00B63F5E"/>
    <w:rsid w:val="00B64062"/>
    <w:rsid w:val="00B64146"/>
    <w:rsid w:val="00B64179"/>
    <w:rsid w:val="00B64477"/>
    <w:rsid w:val="00B64524"/>
    <w:rsid w:val="00B64656"/>
    <w:rsid w:val="00B6466E"/>
    <w:rsid w:val="00B6479E"/>
    <w:rsid w:val="00B647AF"/>
    <w:rsid w:val="00B6480E"/>
    <w:rsid w:val="00B64B0B"/>
    <w:rsid w:val="00B64D0E"/>
    <w:rsid w:val="00B64E0C"/>
    <w:rsid w:val="00B64F42"/>
    <w:rsid w:val="00B65026"/>
    <w:rsid w:val="00B651D5"/>
    <w:rsid w:val="00B655D6"/>
    <w:rsid w:val="00B657D6"/>
    <w:rsid w:val="00B65915"/>
    <w:rsid w:val="00B65A09"/>
    <w:rsid w:val="00B65B86"/>
    <w:rsid w:val="00B65B8A"/>
    <w:rsid w:val="00B65C51"/>
    <w:rsid w:val="00B65E04"/>
    <w:rsid w:val="00B65F2D"/>
    <w:rsid w:val="00B65F47"/>
    <w:rsid w:val="00B660F3"/>
    <w:rsid w:val="00B66144"/>
    <w:rsid w:val="00B662DC"/>
    <w:rsid w:val="00B664A7"/>
    <w:rsid w:val="00B666D9"/>
    <w:rsid w:val="00B66B62"/>
    <w:rsid w:val="00B66B79"/>
    <w:rsid w:val="00B66B9E"/>
    <w:rsid w:val="00B66D46"/>
    <w:rsid w:val="00B66DD4"/>
    <w:rsid w:val="00B66FF4"/>
    <w:rsid w:val="00B671BE"/>
    <w:rsid w:val="00B6730A"/>
    <w:rsid w:val="00B6768B"/>
    <w:rsid w:val="00B67690"/>
    <w:rsid w:val="00B6778A"/>
    <w:rsid w:val="00B677C4"/>
    <w:rsid w:val="00B678A3"/>
    <w:rsid w:val="00B67911"/>
    <w:rsid w:val="00B679A2"/>
    <w:rsid w:val="00B67BED"/>
    <w:rsid w:val="00B67C38"/>
    <w:rsid w:val="00B67E47"/>
    <w:rsid w:val="00B67F61"/>
    <w:rsid w:val="00B70087"/>
    <w:rsid w:val="00B7013E"/>
    <w:rsid w:val="00B7034D"/>
    <w:rsid w:val="00B704CA"/>
    <w:rsid w:val="00B7055B"/>
    <w:rsid w:val="00B707FE"/>
    <w:rsid w:val="00B70854"/>
    <w:rsid w:val="00B708CC"/>
    <w:rsid w:val="00B70B77"/>
    <w:rsid w:val="00B70BF6"/>
    <w:rsid w:val="00B70C13"/>
    <w:rsid w:val="00B70CA2"/>
    <w:rsid w:val="00B70CBF"/>
    <w:rsid w:val="00B70ECF"/>
    <w:rsid w:val="00B70F81"/>
    <w:rsid w:val="00B713CB"/>
    <w:rsid w:val="00B7140F"/>
    <w:rsid w:val="00B7179C"/>
    <w:rsid w:val="00B717D8"/>
    <w:rsid w:val="00B71861"/>
    <w:rsid w:val="00B71976"/>
    <w:rsid w:val="00B71C16"/>
    <w:rsid w:val="00B72051"/>
    <w:rsid w:val="00B7215D"/>
    <w:rsid w:val="00B72205"/>
    <w:rsid w:val="00B723EC"/>
    <w:rsid w:val="00B723FC"/>
    <w:rsid w:val="00B7242C"/>
    <w:rsid w:val="00B7252B"/>
    <w:rsid w:val="00B72882"/>
    <w:rsid w:val="00B72DBA"/>
    <w:rsid w:val="00B72DFB"/>
    <w:rsid w:val="00B730FE"/>
    <w:rsid w:val="00B73171"/>
    <w:rsid w:val="00B73295"/>
    <w:rsid w:val="00B732E5"/>
    <w:rsid w:val="00B7337D"/>
    <w:rsid w:val="00B7347A"/>
    <w:rsid w:val="00B735F7"/>
    <w:rsid w:val="00B736CE"/>
    <w:rsid w:val="00B7379A"/>
    <w:rsid w:val="00B73860"/>
    <w:rsid w:val="00B73959"/>
    <w:rsid w:val="00B73B6C"/>
    <w:rsid w:val="00B73E8E"/>
    <w:rsid w:val="00B73EB7"/>
    <w:rsid w:val="00B73EF4"/>
    <w:rsid w:val="00B7421A"/>
    <w:rsid w:val="00B7426B"/>
    <w:rsid w:val="00B7432E"/>
    <w:rsid w:val="00B743BD"/>
    <w:rsid w:val="00B74512"/>
    <w:rsid w:val="00B747CF"/>
    <w:rsid w:val="00B74941"/>
    <w:rsid w:val="00B74959"/>
    <w:rsid w:val="00B74FBE"/>
    <w:rsid w:val="00B74FD9"/>
    <w:rsid w:val="00B75152"/>
    <w:rsid w:val="00B7527A"/>
    <w:rsid w:val="00B7528F"/>
    <w:rsid w:val="00B752CA"/>
    <w:rsid w:val="00B7543E"/>
    <w:rsid w:val="00B75634"/>
    <w:rsid w:val="00B756E5"/>
    <w:rsid w:val="00B75890"/>
    <w:rsid w:val="00B7599B"/>
    <w:rsid w:val="00B759A3"/>
    <w:rsid w:val="00B759C4"/>
    <w:rsid w:val="00B759D9"/>
    <w:rsid w:val="00B759F5"/>
    <w:rsid w:val="00B75E00"/>
    <w:rsid w:val="00B75E3B"/>
    <w:rsid w:val="00B76388"/>
    <w:rsid w:val="00B767DA"/>
    <w:rsid w:val="00B76937"/>
    <w:rsid w:val="00B769D8"/>
    <w:rsid w:val="00B76BE2"/>
    <w:rsid w:val="00B76D5C"/>
    <w:rsid w:val="00B76D9A"/>
    <w:rsid w:val="00B77004"/>
    <w:rsid w:val="00B77094"/>
    <w:rsid w:val="00B77182"/>
    <w:rsid w:val="00B7721F"/>
    <w:rsid w:val="00B77220"/>
    <w:rsid w:val="00B77449"/>
    <w:rsid w:val="00B777E4"/>
    <w:rsid w:val="00B778D9"/>
    <w:rsid w:val="00B77CFE"/>
    <w:rsid w:val="00B77D3F"/>
    <w:rsid w:val="00B77E7C"/>
    <w:rsid w:val="00B8027C"/>
    <w:rsid w:val="00B803CA"/>
    <w:rsid w:val="00B80405"/>
    <w:rsid w:val="00B80511"/>
    <w:rsid w:val="00B8060A"/>
    <w:rsid w:val="00B80988"/>
    <w:rsid w:val="00B8099C"/>
    <w:rsid w:val="00B80DAD"/>
    <w:rsid w:val="00B80DEC"/>
    <w:rsid w:val="00B80E10"/>
    <w:rsid w:val="00B81017"/>
    <w:rsid w:val="00B81135"/>
    <w:rsid w:val="00B8118F"/>
    <w:rsid w:val="00B81367"/>
    <w:rsid w:val="00B813E5"/>
    <w:rsid w:val="00B8171A"/>
    <w:rsid w:val="00B81819"/>
    <w:rsid w:val="00B819DB"/>
    <w:rsid w:val="00B81A45"/>
    <w:rsid w:val="00B81BF2"/>
    <w:rsid w:val="00B81C32"/>
    <w:rsid w:val="00B81CE7"/>
    <w:rsid w:val="00B81F0C"/>
    <w:rsid w:val="00B81F14"/>
    <w:rsid w:val="00B81F26"/>
    <w:rsid w:val="00B82186"/>
    <w:rsid w:val="00B82479"/>
    <w:rsid w:val="00B8247D"/>
    <w:rsid w:val="00B824E4"/>
    <w:rsid w:val="00B82526"/>
    <w:rsid w:val="00B82616"/>
    <w:rsid w:val="00B82629"/>
    <w:rsid w:val="00B8277C"/>
    <w:rsid w:val="00B828CC"/>
    <w:rsid w:val="00B82905"/>
    <w:rsid w:val="00B829C1"/>
    <w:rsid w:val="00B82A97"/>
    <w:rsid w:val="00B82C28"/>
    <w:rsid w:val="00B82DC2"/>
    <w:rsid w:val="00B830A8"/>
    <w:rsid w:val="00B83148"/>
    <w:rsid w:val="00B83347"/>
    <w:rsid w:val="00B83406"/>
    <w:rsid w:val="00B8341A"/>
    <w:rsid w:val="00B836A8"/>
    <w:rsid w:val="00B836C8"/>
    <w:rsid w:val="00B83744"/>
    <w:rsid w:val="00B837BC"/>
    <w:rsid w:val="00B838F0"/>
    <w:rsid w:val="00B839B0"/>
    <w:rsid w:val="00B839F0"/>
    <w:rsid w:val="00B83B1E"/>
    <w:rsid w:val="00B83C90"/>
    <w:rsid w:val="00B83D6A"/>
    <w:rsid w:val="00B83F00"/>
    <w:rsid w:val="00B83FFB"/>
    <w:rsid w:val="00B84024"/>
    <w:rsid w:val="00B840AE"/>
    <w:rsid w:val="00B841FD"/>
    <w:rsid w:val="00B84272"/>
    <w:rsid w:val="00B84274"/>
    <w:rsid w:val="00B84282"/>
    <w:rsid w:val="00B84571"/>
    <w:rsid w:val="00B84726"/>
    <w:rsid w:val="00B847BD"/>
    <w:rsid w:val="00B84994"/>
    <w:rsid w:val="00B84AEF"/>
    <w:rsid w:val="00B84BE6"/>
    <w:rsid w:val="00B84CE4"/>
    <w:rsid w:val="00B84D29"/>
    <w:rsid w:val="00B84E3B"/>
    <w:rsid w:val="00B84EAF"/>
    <w:rsid w:val="00B84FDB"/>
    <w:rsid w:val="00B84FE9"/>
    <w:rsid w:val="00B8512B"/>
    <w:rsid w:val="00B85137"/>
    <w:rsid w:val="00B8548E"/>
    <w:rsid w:val="00B856FC"/>
    <w:rsid w:val="00B85707"/>
    <w:rsid w:val="00B85A44"/>
    <w:rsid w:val="00B85B4B"/>
    <w:rsid w:val="00B85B75"/>
    <w:rsid w:val="00B85F57"/>
    <w:rsid w:val="00B860C8"/>
    <w:rsid w:val="00B860F5"/>
    <w:rsid w:val="00B86122"/>
    <w:rsid w:val="00B8619B"/>
    <w:rsid w:val="00B86271"/>
    <w:rsid w:val="00B86373"/>
    <w:rsid w:val="00B86389"/>
    <w:rsid w:val="00B865D4"/>
    <w:rsid w:val="00B86729"/>
    <w:rsid w:val="00B869A5"/>
    <w:rsid w:val="00B86B9A"/>
    <w:rsid w:val="00B86C82"/>
    <w:rsid w:val="00B86CF7"/>
    <w:rsid w:val="00B86E0E"/>
    <w:rsid w:val="00B86F25"/>
    <w:rsid w:val="00B87077"/>
    <w:rsid w:val="00B87190"/>
    <w:rsid w:val="00B874E0"/>
    <w:rsid w:val="00B874E5"/>
    <w:rsid w:val="00B875D9"/>
    <w:rsid w:val="00B877F1"/>
    <w:rsid w:val="00B87A21"/>
    <w:rsid w:val="00B87AC6"/>
    <w:rsid w:val="00B87B03"/>
    <w:rsid w:val="00B87E1B"/>
    <w:rsid w:val="00B900A0"/>
    <w:rsid w:val="00B901BB"/>
    <w:rsid w:val="00B90414"/>
    <w:rsid w:val="00B904A4"/>
    <w:rsid w:val="00B904AC"/>
    <w:rsid w:val="00B906D3"/>
    <w:rsid w:val="00B90862"/>
    <w:rsid w:val="00B908B1"/>
    <w:rsid w:val="00B90B26"/>
    <w:rsid w:val="00B90C7A"/>
    <w:rsid w:val="00B90C7D"/>
    <w:rsid w:val="00B90E1B"/>
    <w:rsid w:val="00B90E71"/>
    <w:rsid w:val="00B91065"/>
    <w:rsid w:val="00B910E5"/>
    <w:rsid w:val="00B910EA"/>
    <w:rsid w:val="00B91182"/>
    <w:rsid w:val="00B912D9"/>
    <w:rsid w:val="00B91311"/>
    <w:rsid w:val="00B91514"/>
    <w:rsid w:val="00B915D0"/>
    <w:rsid w:val="00B915FB"/>
    <w:rsid w:val="00B91623"/>
    <w:rsid w:val="00B91669"/>
    <w:rsid w:val="00B9173B"/>
    <w:rsid w:val="00B917E1"/>
    <w:rsid w:val="00B91A91"/>
    <w:rsid w:val="00B91C0A"/>
    <w:rsid w:val="00B92013"/>
    <w:rsid w:val="00B9208B"/>
    <w:rsid w:val="00B92129"/>
    <w:rsid w:val="00B92157"/>
    <w:rsid w:val="00B9216E"/>
    <w:rsid w:val="00B92390"/>
    <w:rsid w:val="00B923C2"/>
    <w:rsid w:val="00B923D7"/>
    <w:rsid w:val="00B92539"/>
    <w:rsid w:val="00B9275F"/>
    <w:rsid w:val="00B92837"/>
    <w:rsid w:val="00B92915"/>
    <w:rsid w:val="00B92A32"/>
    <w:rsid w:val="00B92C72"/>
    <w:rsid w:val="00B92C73"/>
    <w:rsid w:val="00B92D8E"/>
    <w:rsid w:val="00B92E20"/>
    <w:rsid w:val="00B92E32"/>
    <w:rsid w:val="00B92E53"/>
    <w:rsid w:val="00B92E5F"/>
    <w:rsid w:val="00B92FCF"/>
    <w:rsid w:val="00B930D6"/>
    <w:rsid w:val="00B93130"/>
    <w:rsid w:val="00B9327F"/>
    <w:rsid w:val="00B93309"/>
    <w:rsid w:val="00B9364D"/>
    <w:rsid w:val="00B93653"/>
    <w:rsid w:val="00B936B4"/>
    <w:rsid w:val="00B936BC"/>
    <w:rsid w:val="00B9379B"/>
    <w:rsid w:val="00B938F8"/>
    <w:rsid w:val="00B939DE"/>
    <w:rsid w:val="00B93ADF"/>
    <w:rsid w:val="00B93B28"/>
    <w:rsid w:val="00B93BCD"/>
    <w:rsid w:val="00B93C08"/>
    <w:rsid w:val="00B93C13"/>
    <w:rsid w:val="00B93C26"/>
    <w:rsid w:val="00B93DAB"/>
    <w:rsid w:val="00B93DE3"/>
    <w:rsid w:val="00B94298"/>
    <w:rsid w:val="00B94406"/>
    <w:rsid w:val="00B94420"/>
    <w:rsid w:val="00B94822"/>
    <w:rsid w:val="00B949E8"/>
    <w:rsid w:val="00B94BFA"/>
    <w:rsid w:val="00B94C9D"/>
    <w:rsid w:val="00B94CB3"/>
    <w:rsid w:val="00B94DF0"/>
    <w:rsid w:val="00B94EF3"/>
    <w:rsid w:val="00B95308"/>
    <w:rsid w:val="00B95349"/>
    <w:rsid w:val="00B9538D"/>
    <w:rsid w:val="00B9553F"/>
    <w:rsid w:val="00B95739"/>
    <w:rsid w:val="00B9577E"/>
    <w:rsid w:val="00B957E9"/>
    <w:rsid w:val="00B958BC"/>
    <w:rsid w:val="00B95AC8"/>
    <w:rsid w:val="00B95C1E"/>
    <w:rsid w:val="00B95DEC"/>
    <w:rsid w:val="00B9613F"/>
    <w:rsid w:val="00B961A5"/>
    <w:rsid w:val="00B96362"/>
    <w:rsid w:val="00B963DE"/>
    <w:rsid w:val="00B96419"/>
    <w:rsid w:val="00B96670"/>
    <w:rsid w:val="00B96678"/>
    <w:rsid w:val="00B96851"/>
    <w:rsid w:val="00B968BD"/>
    <w:rsid w:val="00B96973"/>
    <w:rsid w:val="00B969CD"/>
    <w:rsid w:val="00B96A61"/>
    <w:rsid w:val="00B96AAD"/>
    <w:rsid w:val="00B96CCB"/>
    <w:rsid w:val="00B96EFE"/>
    <w:rsid w:val="00B96F75"/>
    <w:rsid w:val="00B96F79"/>
    <w:rsid w:val="00B971F7"/>
    <w:rsid w:val="00B9725D"/>
    <w:rsid w:val="00B9727A"/>
    <w:rsid w:val="00B9740E"/>
    <w:rsid w:val="00B9760F"/>
    <w:rsid w:val="00B979CC"/>
    <w:rsid w:val="00B97DF9"/>
    <w:rsid w:val="00BA0180"/>
    <w:rsid w:val="00BA0240"/>
    <w:rsid w:val="00BA05F2"/>
    <w:rsid w:val="00BA05FF"/>
    <w:rsid w:val="00BA070E"/>
    <w:rsid w:val="00BA0791"/>
    <w:rsid w:val="00BA08AC"/>
    <w:rsid w:val="00BA08DD"/>
    <w:rsid w:val="00BA0B46"/>
    <w:rsid w:val="00BA0C44"/>
    <w:rsid w:val="00BA0CB8"/>
    <w:rsid w:val="00BA0D72"/>
    <w:rsid w:val="00BA0D8B"/>
    <w:rsid w:val="00BA0E89"/>
    <w:rsid w:val="00BA10EC"/>
    <w:rsid w:val="00BA117F"/>
    <w:rsid w:val="00BA1249"/>
    <w:rsid w:val="00BA128F"/>
    <w:rsid w:val="00BA1296"/>
    <w:rsid w:val="00BA12A5"/>
    <w:rsid w:val="00BA12D7"/>
    <w:rsid w:val="00BA1355"/>
    <w:rsid w:val="00BA1460"/>
    <w:rsid w:val="00BA14CB"/>
    <w:rsid w:val="00BA1563"/>
    <w:rsid w:val="00BA183A"/>
    <w:rsid w:val="00BA1BAF"/>
    <w:rsid w:val="00BA1E3C"/>
    <w:rsid w:val="00BA1FBC"/>
    <w:rsid w:val="00BA2073"/>
    <w:rsid w:val="00BA221F"/>
    <w:rsid w:val="00BA2314"/>
    <w:rsid w:val="00BA23F8"/>
    <w:rsid w:val="00BA25C7"/>
    <w:rsid w:val="00BA270F"/>
    <w:rsid w:val="00BA2766"/>
    <w:rsid w:val="00BA29CC"/>
    <w:rsid w:val="00BA2D61"/>
    <w:rsid w:val="00BA2FFA"/>
    <w:rsid w:val="00BA3068"/>
    <w:rsid w:val="00BA313D"/>
    <w:rsid w:val="00BA327E"/>
    <w:rsid w:val="00BA359F"/>
    <w:rsid w:val="00BA396F"/>
    <w:rsid w:val="00BA39BB"/>
    <w:rsid w:val="00BA3CAB"/>
    <w:rsid w:val="00BA3CFD"/>
    <w:rsid w:val="00BA40CE"/>
    <w:rsid w:val="00BA40D4"/>
    <w:rsid w:val="00BA40F9"/>
    <w:rsid w:val="00BA412C"/>
    <w:rsid w:val="00BA4511"/>
    <w:rsid w:val="00BA4627"/>
    <w:rsid w:val="00BA46C9"/>
    <w:rsid w:val="00BA4964"/>
    <w:rsid w:val="00BA49FF"/>
    <w:rsid w:val="00BA4B3E"/>
    <w:rsid w:val="00BA4B92"/>
    <w:rsid w:val="00BA4BC9"/>
    <w:rsid w:val="00BA4D2A"/>
    <w:rsid w:val="00BA4D35"/>
    <w:rsid w:val="00BA4E57"/>
    <w:rsid w:val="00BA4ED5"/>
    <w:rsid w:val="00BA5089"/>
    <w:rsid w:val="00BA5258"/>
    <w:rsid w:val="00BA5785"/>
    <w:rsid w:val="00BA5833"/>
    <w:rsid w:val="00BA59FE"/>
    <w:rsid w:val="00BA5AF8"/>
    <w:rsid w:val="00BA5B0B"/>
    <w:rsid w:val="00BA5DA5"/>
    <w:rsid w:val="00BA5EBD"/>
    <w:rsid w:val="00BA6046"/>
    <w:rsid w:val="00BA616A"/>
    <w:rsid w:val="00BA6207"/>
    <w:rsid w:val="00BA6212"/>
    <w:rsid w:val="00BA634D"/>
    <w:rsid w:val="00BA6362"/>
    <w:rsid w:val="00BA63B0"/>
    <w:rsid w:val="00BA6525"/>
    <w:rsid w:val="00BA66EA"/>
    <w:rsid w:val="00BA6A33"/>
    <w:rsid w:val="00BA6C00"/>
    <w:rsid w:val="00BA6CF1"/>
    <w:rsid w:val="00BA6EA7"/>
    <w:rsid w:val="00BA70B3"/>
    <w:rsid w:val="00BA766D"/>
    <w:rsid w:val="00BA7778"/>
    <w:rsid w:val="00BA79CF"/>
    <w:rsid w:val="00BA7C3D"/>
    <w:rsid w:val="00BA7C90"/>
    <w:rsid w:val="00BA7E60"/>
    <w:rsid w:val="00BA7FF7"/>
    <w:rsid w:val="00BB0225"/>
    <w:rsid w:val="00BB0311"/>
    <w:rsid w:val="00BB05D8"/>
    <w:rsid w:val="00BB0880"/>
    <w:rsid w:val="00BB0BD8"/>
    <w:rsid w:val="00BB1030"/>
    <w:rsid w:val="00BB1226"/>
    <w:rsid w:val="00BB1294"/>
    <w:rsid w:val="00BB12AE"/>
    <w:rsid w:val="00BB12DD"/>
    <w:rsid w:val="00BB1354"/>
    <w:rsid w:val="00BB1528"/>
    <w:rsid w:val="00BB153B"/>
    <w:rsid w:val="00BB17CE"/>
    <w:rsid w:val="00BB1A2C"/>
    <w:rsid w:val="00BB1B04"/>
    <w:rsid w:val="00BB1B3A"/>
    <w:rsid w:val="00BB1B92"/>
    <w:rsid w:val="00BB1BD5"/>
    <w:rsid w:val="00BB1C92"/>
    <w:rsid w:val="00BB1D58"/>
    <w:rsid w:val="00BB1FEF"/>
    <w:rsid w:val="00BB20A7"/>
    <w:rsid w:val="00BB20AC"/>
    <w:rsid w:val="00BB2336"/>
    <w:rsid w:val="00BB241E"/>
    <w:rsid w:val="00BB258F"/>
    <w:rsid w:val="00BB2658"/>
    <w:rsid w:val="00BB2964"/>
    <w:rsid w:val="00BB2A6F"/>
    <w:rsid w:val="00BB2B03"/>
    <w:rsid w:val="00BB2B28"/>
    <w:rsid w:val="00BB2C4E"/>
    <w:rsid w:val="00BB2E09"/>
    <w:rsid w:val="00BB2F24"/>
    <w:rsid w:val="00BB2FE5"/>
    <w:rsid w:val="00BB3059"/>
    <w:rsid w:val="00BB3296"/>
    <w:rsid w:val="00BB32E2"/>
    <w:rsid w:val="00BB3663"/>
    <w:rsid w:val="00BB36A4"/>
    <w:rsid w:val="00BB378D"/>
    <w:rsid w:val="00BB38CA"/>
    <w:rsid w:val="00BB3C99"/>
    <w:rsid w:val="00BB3C9C"/>
    <w:rsid w:val="00BB3CB5"/>
    <w:rsid w:val="00BB3ECB"/>
    <w:rsid w:val="00BB3F92"/>
    <w:rsid w:val="00BB408D"/>
    <w:rsid w:val="00BB42E0"/>
    <w:rsid w:val="00BB437F"/>
    <w:rsid w:val="00BB43D9"/>
    <w:rsid w:val="00BB44AC"/>
    <w:rsid w:val="00BB4652"/>
    <w:rsid w:val="00BB47AD"/>
    <w:rsid w:val="00BB493F"/>
    <w:rsid w:val="00BB4CE6"/>
    <w:rsid w:val="00BB4EC9"/>
    <w:rsid w:val="00BB5129"/>
    <w:rsid w:val="00BB5182"/>
    <w:rsid w:val="00BB51B9"/>
    <w:rsid w:val="00BB51E8"/>
    <w:rsid w:val="00BB523B"/>
    <w:rsid w:val="00BB527C"/>
    <w:rsid w:val="00BB52D3"/>
    <w:rsid w:val="00BB5336"/>
    <w:rsid w:val="00BB556C"/>
    <w:rsid w:val="00BB5586"/>
    <w:rsid w:val="00BB565A"/>
    <w:rsid w:val="00BB5BCD"/>
    <w:rsid w:val="00BB5C82"/>
    <w:rsid w:val="00BB5D49"/>
    <w:rsid w:val="00BB615C"/>
    <w:rsid w:val="00BB633D"/>
    <w:rsid w:val="00BB656A"/>
    <w:rsid w:val="00BB65C5"/>
    <w:rsid w:val="00BB664A"/>
    <w:rsid w:val="00BB6AC2"/>
    <w:rsid w:val="00BB700B"/>
    <w:rsid w:val="00BB720B"/>
    <w:rsid w:val="00BB7282"/>
    <w:rsid w:val="00BB729E"/>
    <w:rsid w:val="00BB7306"/>
    <w:rsid w:val="00BB7339"/>
    <w:rsid w:val="00BB754F"/>
    <w:rsid w:val="00BB75D1"/>
    <w:rsid w:val="00BB77EE"/>
    <w:rsid w:val="00BB78B1"/>
    <w:rsid w:val="00BB78FE"/>
    <w:rsid w:val="00BB7F35"/>
    <w:rsid w:val="00BC00B0"/>
    <w:rsid w:val="00BC032B"/>
    <w:rsid w:val="00BC0357"/>
    <w:rsid w:val="00BC04CE"/>
    <w:rsid w:val="00BC05F0"/>
    <w:rsid w:val="00BC06B9"/>
    <w:rsid w:val="00BC06D9"/>
    <w:rsid w:val="00BC078F"/>
    <w:rsid w:val="00BC0858"/>
    <w:rsid w:val="00BC08F4"/>
    <w:rsid w:val="00BC090A"/>
    <w:rsid w:val="00BC0977"/>
    <w:rsid w:val="00BC0B78"/>
    <w:rsid w:val="00BC0F45"/>
    <w:rsid w:val="00BC0FBC"/>
    <w:rsid w:val="00BC1007"/>
    <w:rsid w:val="00BC10CB"/>
    <w:rsid w:val="00BC10DC"/>
    <w:rsid w:val="00BC124F"/>
    <w:rsid w:val="00BC148D"/>
    <w:rsid w:val="00BC1595"/>
    <w:rsid w:val="00BC1684"/>
    <w:rsid w:val="00BC1AEA"/>
    <w:rsid w:val="00BC1B42"/>
    <w:rsid w:val="00BC1B43"/>
    <w:rsid w:val="00BC1BAC"/>
    <w:rsid w:val="00BC1F16"/>
    <w:rsid w:val="00BC1FE0"/>
    <w:rsid w:val="00BC21EB"/>
    <w:rsid w:val="00BC2313"/>
    <w:rsid w:val="00BC2442"/>
    <w:rsid w:val="00BC2622"/>
    <w:rsid w:val="00BC2751"/>
    <w:rsid w:val="00BC276F"/>
    <w:rsid w:val="00BC29AA"/>
    <w:rsid w:val="00BC2C08"/>
    <w:rsid w:val="00BC2D44"/>
    <w:rsid w:val="00BC2DCD"/>
    <w:rsid w:val="00BC2FFE"/>
    <w:rsid w:val="00BC324F"/>
    <w:rsid w:val="00BC3459"/>
    <w:rsid w:val="00BC3466"/>
    <w:rsid w:val="00BC355A"/>
    <w:rsid w:val="00BC35F9"/>
    <w:rsid w:val="00BC3737"/>
    <w:rsid w:val="00BC37CA"/>
    <w:rsid w:val="00BC3834"/>
    <w:rsid w:val="00BC3837"/>
    <w:rsid w:val="00BC3A03"/>
    <w:rsid w:val="00BC3A68"/>
    <w:rsid w:val="00BC3CBC"/>
    <w:rsid w:val="00BC3D81"/>
    <w:rsid w:val="00BC3D85"/>
    <w:rsid w:val="00BC3E61"/>
    <w:rsid w:val="00BC3FA8"/>
    <w:rsid w:val="00BC3FBD"/>
    <w:rsid w:val="00BC4291"/>
    <w:rsid w:val="00BC42A4"/>
    <w:rsid w:val="00BC42BF"/>
    <w:rsid w:val="00BC431B"/>
    <w:rsid w:val="00BC4409"/>
    <w:rsid w:val="00BC4470"/>
    <w:rsid w:val="00BC4625"/>
    <w:rsid w:val="00BC4674"/>
    <w:rsid w:val="00BC473A"/>
    <w:rsid w:val="00BC488F"/>
    <w:rsid w:val="00BC49B1"/>
    <w:rsid w:val="00BC4B04"/>
    <w:rsid w:val="00BC4B47"/>
    <w:rsid w:val="00BC4B55"/>
    <w:rsid w:val="00BC4D81"/>
    <w:rsid w:val="00BC4E7E"/>
    <w:rsid w:val="00BC4F34"/>
    <w:rsid w:val="00BC51F1"/>
    <w:rsid w:val="00BC5275"/>
    <w:rsid w:val="00BC5397"/>
    <w:rsid w:val="00BC542F"/>
    <w:rsid w:val="00BC561E"/>
    <w:rsid w:val="00BC5691"/>
    <w:rsid w:val="00BC56DD"/>
    <w:rsid w:val="00BC5A1D"/>
    <w:rsid w:val="00BC5A63"/>
    <w:rsid w:val="00BC5CA6"/>
    <w:rsid w:val="00BC5D08"/>
    <w:rsid w:val="00BC5DBD"/>
    <w:rsid w:val="00BC5E4C"/>
    <w:rsid w:val="00BC5F88"/>
    <w:rsid w:val="00BC6017"/>
    <w:rsid w:val="00BC6092"/>
    <w:rsid w:val="00BC6198"/>
    <w:rsid w:val="00BC63BF"/>
    <w:rsid w:val="00BC6627"/>
    <w:rsid w:val="00BC674F"/>
    <w:rsid w:val="00BC67A2"/>
    <w:rsid w:val="00BC68D8"/>
    <w:rsid w:val="00BC69FC"/>
    <w:rsid w:val="00BC6A50"/>
    <w:rsid w:val="00BC6A53"/>
    <w:rsid w:val="00BC6BB6"/>
    <w:rsid w:val="00BC6D91"/>
    <w:rsid w:val="00BC6E8E"/>
    <w:rsid w:val="00BC6EE5"/>
    <w:rsid w:val="00BC7188"/>
    <w:rsid w:val="00BC7286"/>
    <w:rsid w:val="00BC72BF"/>
    <w:rsid w:val="00BC7417"/>
    <w:rsid w:val="00BC787B"/>
    <w:rsid w:val="00BC797D"/>
    <w:rsid w:val="00BC7A22"/>
    <w:rsid w:val="00BC7D89"/>
    <w:rsid w:val="00BD0134"/>
    <w:rsid w:val="00BD0146"/>
    <w:rsid w:val="00BD017B"/>
    <w:rsid w:val="00BD0569"/>
    <w:rsid w:val="00BD0988"/>
    <w:rsid w:val="00BD099C"/>
    <w:rsid w:val="00BD0F16"/>
    <w:rsid w:val="00BD12A1"/>
    <w:rsid w:val="00BD13A6"/>
    <w:rsid w:val="00BD14D4"/>
    <w:rsid w:val="00BD16D0"/>
    <w:rsid w:val="00BD17E8"/>
    <w:rsid w:val="00BD18E4"/>
    <w:rsid w:val="00BD191C"/>
    <w:rsid w:val="00BD1A46"/>
    <w:rsid w:val="00BD1AE2"/>
    <w:rsid w:val="00BD1CDF"/>
    <w:rsid w:val="00BD2106"/>
    <w:rsid w:val="00BD235E"/>
    <w:rsid w:val="00BD24CD"/>
    <w:rsid w:val="00BD2510"/>
    <w:rsid w:val="00BD2A37"/>
    <w:rsid w:val="00BD2B37"/>
    <w:rsid w:val="00BD2CD4"/>
    <w:rsid w:val="00BD2F71"/>
    <w:rsid w:val="00BD3225"/>
    <w:rsid w:val="00BD326F"/>
    <w:rsid w:val="00BD3601"/>
    <w:rsid w:val="00BD36EF"/>
    <w:rsid w:val="00BD37FD"/>
    <w:rsid w:val="00BD3911"/>
    <w:rsid w:val="00BD3ED0"/>
    <w:rsid w:val="00BD4045"/>
    <w:rsid w:val="00BD4162"/>
    <w:rsid w:val="00BD416F"/>
    <w:rsid w:val="00BD4303"/>
    <w:rsid w:val="00BD4379"/>
    <w:rsid w:val="00BD4721"/>
    <w:rsid w:val="00BD48D4"/>
    <w:rsid w:val="00BD48EC"/>
    <w:rsid w:val="00BD4B25"/>
    <w:rsid w:val="00BD4F97"/>
    <w:rsid w:val="00BD5033"/>
    <w:rsid w:val="00BD51AD"/>
    <w:rsid w:val="00BD51B5"/>
    <w:rsid w:val="00BD51F8"/>
    <w:rsid w:val="00BD550D"/>
    <w:rsid w:val="00BD55A8"/>
    <w:rsid w:val="00BD56E4"/>
    <w:rsid w:val="00BD58D6"/>
    <w:rsid w:val="00BD5AE9"/>
    <w:rsid w:val="00BD5D50"/>
    <w:rsid w:val="00BD5D78"/>
    <w:rsid w:val="00BD609B"/>
    <w:rsid w:val="00BD612D"/>
    <w:rsid w:val="00BD6158"/>
    <w:rsid w:val="00BD62BB"/>
    <w:rsid w:val="00BD62E6"/>
    <w:rsid w:val="00BD6394"/>
    <w:rsid w:val="00BD64BE"/>
    <w:rsid w:val="00BD64C0"/>
    <w:rsid w:val="00BD65B5"/>
    <w:rsid w:val="00BD66C8"/>
    <w:rsid w:val="00BD67A4"/>
    <w:rsid w:val="00BD67F3"/>
    <w:rsid w:val="00BD6961"/>
    <w:rsid w:val="00BD697F"/>
    <w:rsid w:val="00BD6CE0"/>
    <w:rsid w:val="00BD6E47"/>
    <w:rsid w:val="00BD6EC7"/>
    <w:rsid w:val="00BD70A2"/>
    <w:rsid w:val="00BD70C8"/>
    <w:rsid w:val="00BD710F"/>
    <w:rsid w:val="00BD7306"/>
    <w:rsid w:val="00BD7311"/>
    <w:rsid w:val="00BD749B"/>
    <w:rsid w:val="00BD74FE"/>
    <w:rsid w:val="00BD76DA"/>
    <w:rsid w:val="00BD79F4"/>
    <w:rsid w:val="00BD7B79"/>
    <w:rsid w:val="00BD7BB1"/>
    <w:rsid w:val="00BD7D39"/>
    <w:rsid w:val="00BD7DA1"/>
    <w:rsid w:val="00BD7DA4"/>
    <w:rsid w:val="00BD7DBD"/>
    <w:rsid w:val="00BD7F54"/>
    <w:rsid w:val="00BD7F5E"/>
    <w:rsid w:val="00BD7FC2"/>
    <w:rsid w:val="00BE004F"/>
    <w:rsid w:val="00BE00AF"/>
    <w:rsid w:val="00BE038E"/>
    <w:rsid w:val="00BE0587"/>
    <w:rsid w:val="00BE060B"/>
    <w:rsid w:val="00BE0612"/>
    <w:rsid w:val="00BE074F"/>
    <w:rsid w:val="00BE07CF"/>
    <w:rsid w:val="00BE0875"/>
    <w:rsid w:val="00BE08A9"/>
    <w:rsid w:val="00BE09DC"/>
    <w:rsid w:val="00BE0A84"/>
    <w:rsid w:val="00BE0AB0"/>
    <w:rsid w:val="00BE0AE9"/>
    <w:rsid w:val="00BE0B08"/>
    <w:rsid w:val="00BE0C06"/>
    <w:rsid w:val="00BE0C4E"/>
    <w:rsid w:val="00BE0E04"/>
    <w:rsid w:val="00BE0F8F"/>
    <w:rsid w:val="00BE0FA7"/>
    <w:rsid w:val="00BE0FDE"/>
    <w:rsid w:val="00BE1033"/>
    <w:rsid w:val="00BE1088"/>
    <w:rsid w:val="00BE126B"/>
    <w:rsid w:val="00BE15A1"/>
    <w:rsid w:val="00BE16BE"/>
    <w:rsid w:val="00BE174A"/>
    <w:rsid w:val="00BE1913"/>
    <w:rsid w:val="00BE192B"/>
    <w:rsid w:val="00BE1A90"/>
    <w:rsid w:val="00BE1B76"/>
    <w:rsid w:val="00BE1BCD"/>
    <w:rsid w:val="00BE1D0C"/>
    <w:rsid w:val="00BE1DD5"/>
    <w:rsid w:val="00BE2165"/>
    <w:rsid w:val="00BE22D1"/>
    <w:rsid w:val="00BE2300"/>
    <w:rsid w:val="00BE2334"/>
    <w:rsid w:val="00BE2600"/>
    <w:rsid w:val="00BE265A"/>
    <w:rsid w:val="00BE26DE"/>
    <w:rsid w:val="00BE26F3"/>
    <w:rsid w:val="00BE2AF9"/>
    <w:rsid w:val="00BE2BB9"/>
    <w:rsid w:val="00BE2D9C"/>
    <w:rsid w:val="00BE2EB7"/>
    <w:rsid w:val="00BE301F"/>
    <w:rsid w:val="00BE3184"/>
    <w:rsid w:val="00BE3243"/>
    <w:rsid w:val="00BE32B5"/>
    <w:rsid w:val="00BE34DC"/>
    <w:rsid w:val="00BE3605"/>
    <w:rsid w:val="00BE378C"/>
    <w:rsid w:val="00BE38A3"/>
    <w:rsid w:val="00BE3A31"/>
    <w:rsid w:val="00BE3B2E"/>
    <w:rsid w:val="00BE3BED"/>
    <w:rsid w:val="00BE3D86"/>
    <w:rsid w:val="00BE3DBC"/>
    <w:rsid w:val="00BE3F2C"/>
    <w:rsid w:val="00BE3F9B"/>
    <w:rsid w:val="00BE406A"/>
    <w:rsid w:val="00BE4089"/>
    <w:rsid w:val="00BE4410"/>
    <w:rsid w:val="00BE450E"/>
    <w:rsid w:val="00BE461A"/>
    <w:rsid w:val="00BE4746"/>
    <w:rsid w:val="00BE47A5"/>
    <w:rsid w:val="00BE4810"/>
    <w:rsid w:val="00BE489A"/>
    <w:rsid w:val="00BE4917"/>
    <w:rsid w:val="00BE4A93"/>
    <w:rsid w:val="00BE4A94"/>
    <w:rsid w:val="00BE4B4B"/>
    <w:rsid w:val="00BE4B5E"/>
    <w:rsid w:val="00BE4C27"/>
    <w:rsid w:val="00BE4C97"/>
    <w:rsid w:val="00BE4D49"/>
    <w:rsid w:val="00BE4D52"/>
    <w:rsid w:val="00BE4E12"/>
    <w:rsid w:val="00BE52DD"/>
    <w:rsid w:val="00BE53B9"/>
    <w:rsid w:val="00BE54ED"/>
    <w:rsid w:val="00BE55C2"/>
    <w:rsid w:val="00BE5697"/>
    <w:rsid w:val="00BE58EE"/>
    <w:rsid w:val="00BE5933"/>
    <w:rsid w:val="00BE594B"/>
    <w:rsid w:val="00BE5951"/>
    <w:rsid w:val="00BE5A63"/>
    <w:rsid w:val="00BE5AB8"/>
    <w:rsid w:val="00BE607C"/>
    <w:rsid w:val="00BE61DF"/>
    <w:rsid w:val="00BE63FC"/>
    <w:rsid w:val="00BE650B"/>
    <w:rsid w:val="00BE663C"/>
    <w:rsid w:val="00BE6680"/>
    <w:rsid w:val="00BE6942"/>
    <w:rsid w:val="00BE69D8"/>
    <w:rsid w:val="00BE69FC"/>
    <w:rsid w:val="00BE6A2D"/>
    <w:rsid w:val="00BE6B36"/>
    <w:rsid w:val="00BE6EFF"/>
    <w:rsid w:val="00BE700E"/>
    <w:rsid w:val="00BE70CB"/>
    <w:rsid w:val="00BE72EB"/>
    <w:rsid w:val="00BE73FF"/>
    <w:rsid w:val="00BE75A2"/>
    <w:rsid w:val="00BE7753"/>
    <w:rsid w:val="00BE7822"/>
    <w:rsid w:val="00BE78B0"/>
    <w:rsid w:val="00BE7907"/>
    <w:rsid w:val="00BE79C4"/>
    <w:rsid w:val="00BE7AAC"/>
    <w:rsid w:val="00BE7AE0"/>
    <w:rsid w:val="00BF02C4"/>
    <w:rsid w:val="00BF0301"/>
    <w:rsid w:val="00BF0445"/>
    <w:rsid w:val="00BF047E"/>
    <w:rsid w:val="00BF04A0"/>
    <w:rsid w:val="00BF0784"/>
    <w:rsid w:val="00BF07FD"/>
    <w:rsid w:val="00BF0BFA"/>
    <w:rsid w:val="00BF0C84"/>
    <w:rsid w:val="00BF0D06"/>
    <w:rsid w:val="00BF0D7B"/>
    <w:rsid w:val="00BF0D95"/>
    <w:rsid w:val="00BF0E0B"/>
    <w:rsid w:val="00BF1133"/>
    <w:rsid w:val="00BF1635"/>
    <w:rsid w:val="00BF186C"/>
    <w:rsid w:val="00BF1960"/>
    <w:rsid w:val="00BF1A8A"/>
    <w:rsid w:val="00BF1AF5"/>
    <w:rsid w:val="00BF1D25"/>
    <w:rsid w:val="00BF1DF3"/>
    <w:rsid w:val="00BF1F6B"/>
    <w:rsid w:val="00BF1F7C"/>
    <w:rsid w:val="00BF2222"/>
    <w:rsid w:val="00BF243C"/>
    <w:rsid w:val="00BF244D"/>
    <w:rsid w:val="00BF261A"/>
    <w:rsid w:val="00BF283C"/>
    <w:rsid w:val="00BF288E"/>
    <w:rsid w:val="00BF290F"/>
    <w:rsid w:val="00BF29F3"/>
    <w:rsid w:val="00BF2A30"/>
    <w:rsid w:val="00BF2A79"/>
    <w:rsid w:val="00BF2AB2"/>
    <w:rsid w:val="00BF2B5B"/>
    <w:rsid w:val="00BF2B71"/>
    <w:rsid w:val="00BF2E66"/>
    <w:rsid w:val="00BF2EC3"/>
    <w:rsid w:val="00BF307E"/>
    <w:rsid w:val="00BF312B"/>
    <w:rsid w:val="00BF315D"/>
    <w:rsid w:val="00BF3658"/>
    <w:rsid w:val="00BF37EF"/>
    <w:rsid w:val="00BF3908"/>
    <w:rsid w:val="00BF3943"/>
    <w:rsid w:val="00BF3984"/>
    <w:rsid w:val="00BF3A5C"/>
    <w:rsid w:val="00BF3A84"/>
    <w:rsid w:val="00BF3AE0"/>
    <w:rsid w:val="00BF3E8B"/>
    <w:rsid w:val="00BF3EE8"/>
    <w:rsid w:val="00BF4120"/>
    <w:rsid w:val="00BF417E"/>
    <w:rsid w:val="00BF422A"/>
    <w:rsid w:val="00BF433D"/>
    <w:rsid w:val="00BF4427"/>
    <w:rsid w:val="00BF478A"/>
    <w:rsid w:val="00BF4A9A"/>
    <w:rsid w:val="00BF4ABE"/>
    <w:rsid w:val="00BF4AEC"/>
    <w:rsid w:val="00BF4BA4"/>
    <w:rsid w:val="00BF4E92"/>
    <w:rsid w:val="00BF4EC1"/>
    <w:rsid w:val="00BF4F37"/>
    <w:rsid w:val="00BF4F92"/>
    <w:rsid w:val="00BF4FAC"/>
    <w:rsid w:val="00BF50DD"/>
    <w:rsid w:val="00BF517C"/>
    <w:rsid w:val="00BF52F2"/>
    <w:rsid w:val="00BF5402"/>
    <w:rsid w:val="00BF562C"/>
    <w:rsid w:val="00BF56F0"/>
    <w:rsid w:val="00BF58E4"/>
    <w:rsid w:val="00BF5ADD"/>
    <w:rsid w:val="00BF5B4B"/>
    <w:rsid w:val="00BF5B8C"/>
    <w:rsid w:val="00BF5BB0"/>
    <w:rsid w:val="00BF5DFE"/>
    <w:rsid w:val="00BF5E5D"/>
    <w:rsid w:val="00BF5F37"/>
    <w:rsid w:val="00BF6489"/>
    <w:rsid w:val="00BF65B6"/>
    <w:rsid w:val="00BF6731"/>
    <w:rsid w:val="00BF687B"/>
    <w:rsid w:val="00BF6B7F"/>
    <w:rsid w:val="00BF6B9D"/>
    <w:rsid w:val="00BF6D19"/>
    <w:rsid w:val="00BF6E9A"/>
    <w:rsid w:val="00BF6F84"/>
    <w:rsid w:val="00BF7003"/>
    <w:rsid w:val="00BF706A"/>
    <w:rsid w:val="00BF71CD"/>
    <w:rsid w:val="00BF7541"/>
    <w:rsid w:val="00BF7673"/>
    <w:rsid w:val="00BF76A9"/>
    <w:rsid w:val="00BF79D3"/>
    <w:rsid w:val="00BF79EA"/>
    <w:rsid w:val="00BF7A91"/>
    <w:rsid w:val="00BF7DE1"/>
    <w:rsid w:val="00BF7E14"/>
    <w:rsid w:val="00BF7E5B"/>
    <w:rsid w:val="00BF7F83"/>
    <w:rsid w:val="00C0001D"/>
    <w:rsid w:val="00C0008C"/>
    <w:rsid w:val="00C00401"/>
    <w:rsid w:val="00C0047E"/>
    <w:rsid w:val="00C00508"/>
    <w:rsid w:val="00C0051B"/>
    <w:rsid w:val="00C00803"/>
    <w:rsid w:val="00C00BC2"/>
    <w:rsid w:val="00C00BFF"/>
    <w:rsid w:val="00C00CF0"/>
    <w:rsid w:val="00C00D62"/>
    <w:rsid w:val="00C00D6E"/>
    <w:rsid w:val="00C00F8F"/>
    <w:rsid w:val="00C0109E"/>
    <w:rsid w:val="00C01279"/>
    <w:rsid w:val="00C01490"/>
    <w:rsid w:val="00C017CC"/>
    <w:rsid w:val="00C0182F"/>
    <w:rsid w:val="00C018EA"/>
    <w:rsid w:val="00C0193B"/>
    <w:rsid w:val="00C0197E"/>
    <w:rsid w:val="00C01E93"/>
    <w:rsid w:val="00C021C7"/>
    <w:rsid w:val="00C02330"/>
    <w:rsid w:val="00C02433"/>
    <w:rsid w:val="00C024ED"/>
    <w:rsid w:val="00C0260B"/>
    <w:rsid w:val="00C02659"/>
    <w:rsid w:val="00C027E8"/>
    <w:rsid w:val="00C02BE5"/>
    <w:rsid w:val="00C02C47"/>
    <w:rsid w:val="00C02DB4"/>
    <w:rsid w:val="00C02F28"/>
    <w:rsid w:val="00C031A4"/>
    <w:rsid w:val="00C031FB"/>
    <w:rsid w:val="00C03452"/>
    <w:rsid w:val="00C03792"/>
    <w:rsid w:val="00C038F5"/>
    <w:rsid w:val="00C03944"/>
    <w:rsid w:val="00C03AAF"/>
    <w:rsid w:val="00C03C82"/>
    <w:rsid w:val="00C03F07"/>
    <w:rsid w:val="00C03F3D"/>
    <w:rsid w:val="00C04345"/>
    <w:rsid w:val="00C043AF"/>
    <w:rsid w:val="00C043FB"/>
    <w:rsid w:val="00C04406"/>
    <w:rsid w:val="00C04536"/>
    <w:rsid w:val="00C04570"/>
    <w:rsid w:val="00C04689"/>
    <w:rsid w:val="00C04BBA"/>
    <w:rsid w:val="00C04CCD"/>
    <w:rsid w:val="00C04F2F"/>
    <w:rsid w:val="00C0501A"/>
    <w:rsid w:val="00C0511C"/>
    <w:rsid w:val="00C0531F"/>
    <w:rsid w:val="00C05478"/>
    <w:rsid w:val="00C054AE"/>
    <w:rsid w:val="00C054B4"/>
    <w:rsid w:val="00C054F8"/>
    <w:rsid w:val="00C055B5"/>
    <w:rsid w:val="00C05659"/>
    <w:rsid w:val="00C056B0"/>
    <w:rsid w:val="00C056E6"/>
    <w:rsid w:val="00C056EA"/>
    <w:rsid w:val="00C05811"/>
    <w:rsid w:val="00C058EB"/>
    <w:rsid w:val="00C0594C"/>
    <w:rsid w:val="00C05A16"/>
    <w:rsid w:val="00C05A77"/>
    <w:rsid w:val="00C05E4D"/>
    <w:rsid w:val="00C063E1"/>
    <w:rsid w:val="00C06464"/>
    <w:rsid w:val="00C0655A"/>
    <w:rsid w:val="00C065C1"/>
    <w:rsid w:val="00C06775"/>
    <w:rsid w:val="00C06791"/>
    <w:rsid w:val="00C06892"/>
    <w:rsid w:val="00C06913"/>
    <w:rsid w:val="00C06A08"/>
    <w:rsid w:val="00C06AAF"/>
    <w:rsid w:val="00C06B47"/>
    <w:rsid w:val="00C06C14"/>
    <w:rsid w:val="00C06C28"/>
    <w:rsid w:val="00C06C2A"/>
    <w:rsid w:val="00C06F49"/>
    <w:rsid w:val="00C07040"/>
    <w:rsid w:val="00C0714A"/>
    <w:rsid w:val="00C072B7"/>
    <w:rsid w:val="00C0735C"/>
    <w:rsid w:val="00C0748E"/>
    <w:rsid w:val="00C0763F"/>
    <w:rsid w:val="00C07678"/>
    <w:rsid w:val="00C0770C"/>
    <w:rsid w:val="00C077E7"/>
    <w:rsid w:val="00C07805"/>
    <w:rsid w:val="00C07B46"/>
    <w:rsid w:val="00C07B86"/>
    <w:rsid w:val="00C07C59"/>
    <w:rsid w:val="00C07E5A"/>
    <w:rsid w:val="00C07FA7"/>
    <w:rsid w:val="00C07FB7"/>
    <w:rsid w:val="00C1014A"/>
    <w:rsid w:val="00C101BB"/>
    <w:rsid w:val="00C102B3"/>
    <w:rsid w:val="00C102EA"/>
    <w:rsid w:val="00C1038D"/>
    <w:rsid w:val="00C103BC"/>
    <w:rsid w:val="00C104BD"/>
    <w:rsid w:val="00C106CE"/>
    <w:rsid w:val="00C107AE"/>
    <w:rsid w:val="00C1090E"/>
    <w:rsid w:val="00C10C27"/>
    <w:rsid w:val="00C110EE"/>
    <w:rsid w:val="00C110F7"/>
    <w:rsid w:val="00C111A9"/>
    <w:rsid w:val="00C111C0"/>
    <w:rsid w:val="00C11218"/>
    <w:rsid w:val="00C113AE"/>
    <w:rsid w:val="00C113C4"/>
    <w:rsid w:val="00C116EB"/>
    <w:rsid w:val="00C11726"/>
    <w:rsid w:val="00C119D3"/>
    <w:rsid w:val="00C11A89"/>
    <w:rsid w:val="00C11C0F"/>
    <w:rsid w:val="00C11E19"/>
    <w:rsid w:val="00C11F1C"/>
    <w:rsid w:val="00C11F23"/>
    <w:rsid w:val="00C12667"/>
    <w:rsid w:val="00C12715"/>
    <w:rsid w:val="00C127F0"/>
    <w:rsid w:val="00C12936"/>
    <w:rsid w:val="00C1294C"/>
    <w:rsid w:val="00C129D5"/>
    <w:rsid w:val="00C12C3F"/>
    <w:rsid w:val="00C12DDA"/>
    <w:rsid w:val="00C12E7E"/>
    <w:rsid w:val="00C12E8D"/>
    <w:rsid w:val="00C12F09"/>
    <w:rsid w:val="00C130F7"/>
    <w:rsid w:val="00C13148"/>
    <w:rsid w:val="00C13485"/>
    <w:rsid w:val="00C13514"/>
    <w:rsid w:val="00C13764"/>
    <w:rsid w:val="00C1381A"/>
    <w:rsid w:val="00C1382C"/>
    <w:rsid w:val="00C1385A"/>
    <w:rsid w:val="00C13AC7"/>
    <w:rsid w:val="00C13DC6"/>
    <w:rsid w:val="00C13E8A"/>
    <w:rsid w:val="00C14051"/>
    <w:rsid w:val="00C145A4"/>
    <w:rsid w:val="00C145F8"/>
    <w:rsid w:val="00C1476F"/>
    <w:rsid w:val="00C14804"/>
    <w:rsid w:val="00C1493F"/>
    <w:rsid w:val="00C14AC3"/>
    <w:rsid w:val="00C14B6F"/>
    <w:rsid w:val="00C14BBC"/>
    <w:rsid w:val="00C14C8E"/>
    <w:rsid w:val="00C14D2A"/>
    <w:rsid w:val="00C1508F"/>
    <w:rsid w:val="00C15147"/>
    <w:rsid w:val="00C1515D"/>
    <w:rsid w:val="00C153F0"/>
    <w:rsid w:val="00C15549"/>
    <w:rsid w:val="00C155C5"/>
    <w:rsid w:val="00C15654"/>
    <w:rsid w:val="00C15732"/>
    <w:rsid w:val="00C1575C"/>
    <w:rsid w:val="00C15965"/>
    <w:rsid w:val="00C15C6A"/>
    <w:rsid w:val="00C15DAE"/>
    <w:rsid w:val="00C16225"/>
    <w:rsid w:val="00C16297"/>
    <w:rsid w:val="00C162DB"/>
    <w:rsid w:val="00C1632A"/>
    <w:rsid w:val="00C164E5"/>
    <w:rsid w:val="00C1654B"/>
    <w:rsid w:val="00C166D5"/>
    <w:rsid w:val="00C1680A"/>
    <w:rsid w:val="00C16896"/>
    <w:rsid w:val="00C16912"/>
    <w:rsid w:val="00C16993"/>
    <w:rsid w:val="00C1699B"/>
    <w:rsid w:val="00C16B9A"/>
    <w:rsid w:val="00C16C4F"/>
    <w:rsid w:val="00C16DB8"/>
    <w:rsid w:val="00C17052"/>
    <w:rsid w:val="00C1706C"/>
    <w:rsid w:val="00C17095"/>
    <w:rsid w:val="00C1712F"/>
    <w:rsid w:val="00C17419"/>
    <w:rsid w:val="00C17487"/>
    <w:rsid w:val="00C1762F"/>
    <w:rsid w:val="00C179BA"/>
    <w:rsid w:val="00C17A36"/>
    <w:rsid w:val="00C17D86"/>
    <w:rsid w:val="00C17DC7"/>
    <w:rsid w:val="00C17E2B"/>
    <w:rsid w:val="00C20335"/>
    <w:rsid w:val="00C203FF"/>
    <w:rsid w:val="00C204E3"/>
    <w:rsid w:val="00C2052A"/>
    <w:rsid w:val="00C2054E"/>
    <w:rsid w:val="00C2073C"/>
    <w:rsid w:val="00C20816"/>
    <w:rsid w:val="00C2098C"/>
    <w:rsid w:val="00C20B78"/>
    <w:rsid w:val="00C20C3C"/>
    <w:rsid w:val="00C20CAE"/>
    <w:rsid w:val="00C20DFF"/>
    <w:rsid w:val="00C20E52"/>
    <w:rsid w:val="00C20EA2"/>
    <w:rsid w:val="00C20EC3"/>
    <w:rsid w:val="00C20FC5"/>
    <w:rsid w:val="00C210BA"/>
    <w:rsid w:val="00C212B0"/>
    <w:rsid w:val="00C2134F"/>
    <w:rsid w:val="00C21363"/>
    <w:rsid w:val="00C21474"/>
    <w:rsid w:val="00C216E0"/>
    <w:rsid w:val="00C217B6"/>
    <w:rsid w:val="00C217DA"/>
    <w:rsid w:val="00C2196F"/>
    <w:rsid w:val="00C21DE2"/>
    <w:rsid w:val="00C21E95"/>
    <w:rsid w:val="00C21F94"/>
    <w:rsid w:val="00C21FB2"/>
    <w:rsid w:val="00C21FCF"/>
    <w:rsid w:val="00C22113"/>
    <w:rsid w:val="00C222C3"/>
    <w:rsid w:val="00C223CB"/>
    <w:rsid w:val="00C2242D"/>
    <w:rsid w:val="00C22444"/>
    <w:rsid w:val="00C2253E"/>
    <w:rsid w:val="00C22660"/>
    <w:rsid w:val="00C22677"/>
    <w:rsid w:val="00C22738"/>
    <w:rsid w:val="00C229CD"/>
    <w:rsid w:val="00C22B0C"/>
    <w:rsid w:val="00C22B98"/>
    <w:rsid w:val="00C22C10"/>
    <w:rsid w:val="00C22DF3"/>
    <w:rsid w:val="00C22E1E"/>
    <w:rsid w:val="00C22E25"/>
    <w:rsid w:val="00C2307B"/>
    <w:rsid w:val="00C23147"/>
    <w:rsid w:val="00C23160"/>
    <w:rsid w:val="00C231BA"/>
    <w:rsid w:val="00C231EF"/>
    <w:rsid w:val="00C2328C"/>
    <w:rsid w:val="00C23299"/>
    <w:rsid w:val="00C23628"/>
    <w:rsid w:val="00C23731"/>
    <w:rsid w:val="00C23881"/>
    <w:rsid w:val="00C23920"/>
    <w:rsid w:val="00C2393B"/>
    <w:rsid w:val="00C239A6"/>
    <w:rsid w:val="00C23AD0"/>
    <w:rsid w:val="00C23C01"/>
    <w:rsid w:val="00C23E50"/>
    <w:rsid w:val="00C23EF6"/>
    <w:rsid w:val="00C240EA"/>
    <w:rsid w:val="00C2412E"/>
    <w:rsid w:val="00C241CB"/>
    <w:rsid w:val="00C2453F"/>
    <w:rsid w:val="00C24550"/>
    <w:rsid w:val="00C24754"/>
    <w:rsid w:val="00C249AA"/>
    <w:rsid w:val="00C24A44"/>
    <w:rsid w:val="00C24A4A"/>
    <w:rsid w:val="00C24AD5"/>
    <w:rsid w:val="00C24BE8"/>
    <w:rsid w:val="00C24EC4"/>
    <w:rsid w:val="00C24F67"/>
    <w:rsid w:val="00C2525A"/>
    <w:rsid w:val="00C256E6"/>
    <w:rsid w:val="00C256F2"/>
    <w:rsid w:val="00C2578D"/>
    <w:rsid w:val="00C2589B"/>
    <w:rsid w:val="00C2594F"/>
    <w:rsid w:val="00C25AA7"/>
    <w:rsid w:val="00C25C42"/>
    <w:rsid w:val="00C25C56"/>
    <w:rsid w:val="00C25D02"/>
    <w:rsid w:val="00C25D3F"/>
    <w:rsid w:val="00C25DFB"/>
    <w:rsid w:val="00C25E9D"/>
    <w:rsid w:val="00C25EC4"/>
    <w:rsid w:val="00C25F0E"/>
    <w:rsid w:val="00C26412"/>
    <w:rsid w:val="00C265D7"/>
    <w:rsid w:val="00C2661C"/>
    <w:rsid w:val="00C26669"/>
    <w:rsid w:val="00C266C1"/>
    <w:rsid w:val="00C267C1"/>
    <w:rsid w:val="00C2688D"/>
    <w:rsid w:val="00C268A4"/>
    <w:rsid w:val="00C268B9"/>
    <w:rsid w:val="00C26A04"/>
    <w:rsid w:val="00C26BA5"/>
    <w:rsid w:val="00C26BC1"/>
    <w:rsid w:val="00C26BE8"/>
    <w:rsid w:val="00C26C0F"/>
    <w:rsid w:val="00C26D60"/>
    <w:rsid w:val="00C26EE5"/>
    <w:rsid w:val="00C26F75"/>
    <w:rsid w:val="00C275CB"/>
    <w:rsid w:val="00C2764A"/>
    <w:rsid w:val="00C27679"/>
    <w:rsid w:val="00C27926"/>
    <w:rsid w:val="00C27941"/>
    <w:rsid w:val="00C27AF7"/>
    <w:rsid w:val="00C27BF5"/>
    <w:rsid w:val="00C27CF2"/>
    <w:rsid w:val="00C27D1E"/>
    <w:rsid w:val="00C27DF4"/>
    <w:rsid w:val="00C27E35"/>
    <w:rsid w:val="00C3000C"/>
    <w:rsid w:val="00C302D9"/>
    <w:rsid w:val="00C30576"/>
    <w:rsid w:val="00C30811"/>
    <w:rsid w:val="00C30827"/>
    <w:rsid w:val="00C308F7"/>
    <w:rsid w:val="00C30B6D"/>
    <w:rsid w:val="00C30B80"/>
    <w:rsid w:val="00C30E4E"/>
    <w:rsid w:val="00C30F0C"/>
    <w:rsid w:val="00C30F34"/>
    <w:rsid w:val="00C30FAF"/>
    <w:rsid w:val="00C31530"/>
    <w:rsid w:val="00C3178B"/>
    <w:rsid w:val="00C3179F"/>
    <w:rsid w:val="00C317AD"/>
    <w:rsid w:val="00C317C6"/>
    <w:rsid w:val="00C31906"/>
    <w:rsid w:val="00C319E7"/>
    <w:rsid w:val="00C31D1B"/>
    <w:rsid w:val="00C31FA5"/>
    <w:rsid w:val="00C3212D"/>
    <w:rsid w:val="00C322D4"/>
    <w:rsid w:val="00C32792"/>
    <w:rsid w:val="00C3281F"/>
    <w:rsid w:val="00C32839"/>
    <w:rsid w:val="00C328F7"/>
    <w:rsid w:val="00C32A18"/>
    <w:rsid w:val="00C32B75"/>
    <w:rsid w:val="00C32CBC"/>
    <w:rsid w:val="00C32CE2"/>
    <w:rsid w:val="00C32E76"/>
    <w:rsid w:val="00C32F65"/>
    <w:rsid w:val="00C32FA7"/>
    <w:rsid w:val="00C32FF0"/>
    <w:rsid w:val="00C33035"/>
    <w:rsid w:val="00C33038"/>
    <w:rsid w:val="00C33058"/>
    <w:rsid w:val="00C33139"/>
    <w:rsid w:val="00C33268"/>
    <w:rsid w:val="00C3330E"/>
    <w:rsid w:val="00C33384"/>
    <w:rsid w:val="00C333C5"/>
    <w:rsid w:val="00C33600"/>
    <w:rsid w:val="00C33620"/>
    <w:rsid w:val="00C336A8"/>
    <w:rsid w:val="00C336BD"/>
    <w:rsid w:val="00C33723"/>
    <w:rsid w:val="00C339C7"/>
    <w:rsid w:val="00C33BBA"/>
    <w:rsid w:val="00C33DBC"/>
    <w:rsid w:val="00C34378"/>
    <w:rsid w:val="00C347C6"/>
    <w:rsid w:val="00C34933"/>
    <w:rsid w:val="00C34E9D"/>
    <w:rsid w:val="00C35029"/>
    <w:rsid w:val="00C3516C"/>
    <w:rsid w:val="00C35336"/>
    <w:rsid w:val="00C3541D"/>
    <w:rsid w:val="00C3546F"/>
    <w:rsid w:val="00C354B1"/>
    <w:rsid w:val="00C355A3"/>
    <w:rsid w:val="00C3570B"/>
    <w:rsid w:val="00C3588F"/>
    <w:rsid w:val="00C35AC3"/>
    <w:rsid w:val="00C35BCC"/>
    <w:rsid w:val="00C35C7E"/>
    <w:rsid w:val="00C35D2F"/>
    <w:rsid w:val="00C35F35"/>
    <w:rsid w:val="00C35F67"/>
    <w:rsid w:val="00C35FB3"/>
    <w:rsid w:val="00C3667D"/>
    <w:rsid w:val="00C36750"/>
    <w:rsid w:val="00C367D9"/>
    <w:rsid w:val="00C36988"/>
    <w:rsid w:val="00C36B6B"/>
    <w:rsid w:val="00C36CDF"/>
    <w:rsid w:val="00C36D65"/>
    <w:rsid w:val="00C36DB3"/>
    <w:rsid w:val="00C3711E"/>
    <w:rsid w:val="00C371B5"/>
    <w:rsid w:val="00C3729C"/>
    <w:rsid w:val="00C373F0"/>
    <w:rsid w:val="00C37522"/>
    <w:rsid w:val="00C37600"/>
    <w:rsid w:val="00C37708"/>
    <w:rsid w:val="00C37724"/>
    <w:rsid w:val="00C37732"/>
    <w:rsid w:val="00C37A09"/>
    <w:rsid w:val="00C37A69"/>
    <w:rsid w:val="00C37B70"/>
    <w:rsid w:val="00C37BD0"/>
    <w:rsid w:val="00C37BE7"/>
    <w:rsid w:val="00C37C8F"/>
    <w:rsid w:val="00C37D25"/>
    <w:rsid w:val="00C37DCF"/>
    <w:rsid w:val="00C37EAC"/>
    <w:rsid w:val="00C37F2E"/>
    <w:rsid w:val="00C400D9"/>
    <w:rsid w:val="00C40234"/>
    <w:rsid w:val="00C402FB"/>
    <w:rsid w:val="00C402FC"/>
    <w:rsid w:val="00C403C5"/>
    <w:rsid w:val="00C40445"/>
    <w:rsid w:val="00C40ADD"/>
    <w:rsid w:val="00C40B01"/>
    <w:rsid w:val="00C40E4D"/>
    <w:rsid w:val="00C40F15"/>
    <w:rsid w:val="00C40F36"/>
    <w:rsid w:val="00C40F45"/>
    <w:rsid w:val="00C4105A"/>
    <w:rsid w:val="00C41080"/>
    <w:rsid w:val="00C41203"/>
    <w:rsid w:val="00C412AC"/>
    <w:rsid w:val="00C41306"/>
    <w:rsid w:val="00C4144B"/>
    <w:rsid w:val="00C415C3"/>
    <w:rsid w:val="00C41636"/>
    <w:rsid w:val="00C4188A"/>
    <w:rsid w:val="00C4188E"/>
    <w:rsid w:val="00C41ABE"/>
    <w:rsid w:val="00C41B45"/>
    <w:rsid w:val="00C41D25"/>
    <w:rsid w:val="00C41FF8"/>
    <w:rsid w:val="00C42019"/>
    <w:rsid w:val="00C42074"/>
    <w:rsid w:val="00C421A5"/>
    <w:rsid w:val="00C4225E"/>
    <w:rsid w:val="00C42299"/>
    <w:rsid w:val="00C422A0"/>
    <w:rsid w:val="00C4268B"/>
    <w:rsid w:val="00C4286F"/>
    <w:rsid w:val="00C42965"/>
    <w:rsid w:val="00C42B03"/>
    <w:rsid w:val="00C42F28"/>
    <w:rsid w:val="00C430BC"/>
    <w:rsid w:val="00C432AB"/>
    <w:rsid w:val="00C4337E"/>
    <w:rsid w:val="00C434A8"/>
    <w:rsid w:val="00C43516"/>
    <w:rsid w:val="00C43706"/>
    <w:rsid w:val="00C4395F"/>
    <w:rsid w:val="00C43A91"/>
    <w:rsid w:val="00C43AE7"/>
    <w:rsid w:val="00C43B1B"/>
    <w:rsid w:val="00C43C02"/>
    <w:rsid w:val="00C43C91"/>
    <w:rsid w:val="00C43CE3"/>
    <w:rsid w:val="00C43E86"/>
    <w:rsid w:val="00C43EC6"/>
    <w:rsid w:val="00C4443F"/>
    <w:rsid w:val="00C445CB"/>
    <w:rsid w:val="00C446FD"/>
    <w:rsid w:val="00C44908"/>
    <w:rsid w:val="00C4497E"/>
    <w:rsid w:val="00C449D0"/>
    <w:rsid w:val="00C44BF6"/>
    <w:rsid w:val="00C44C3D"/>
    <w:rsid w:val="00C44D5F"/>
    <w:rsid w:val="00C44DF9"/>
    <w:rsid w:val="00C44F84"/>
    <w:rsid w:val="00C44F93"/>
    <w:rsid w:val="00C453DD"/>
    <w:rsid w:val="00C454C6"/>
    <w:rsid w:val="00C4550B"/>
    <w:rsid w:val="00C45512"/>
    <w:rsid w:val="00C456E5"/>
    <w:rsid w:val="00C457AB"/>
    <w:rsid w:val="00C45B05"/>
    <w:rsid w:val="00C45B9A"/>
    <w:rsid w:val="00C45BA3"/>
    <w:rsid w:val="00C45D2C"/>
    <w:rsid w:val="00C46426"/>
    <w:rsid w:val="00C464A3"/>
    <w:rsid w:val="00C464F4"/>
    <w:rsid w:val="00C4661B"/>
    <w:rsid w:val="00C46A11"/>
    <w:rsid w:val="00C46AC8"/>
    <w:rsid w:val="00C46ACC"/>
    <w:rsid w:val="00C46BBC"/>
    <w:rsid w:val="00C46EB6"/>
    <w:rsid w:val="00C470B0"/>
    <w:rsid w:val="00C47125"/>
    <w:rsid w:val="00C47413"/>
    <w:rsid w:val="00C47974"/>
    <w:rsid w:val="00C47A3F"/>
    <w:rsid w:val="00C47B2C"/>
    <w:rsid w:val="00C47BB7"/>
    <w:rsid w:val="00C47D24"/>
    <w:rsid w:val="00C47DFE"/>
    <w:rsid w:val="00C47F6F"/>
    <w:rsid w:val="00C5008D"/>
    <w:rsid w:val="00C50229"/>
    <w:rsid w:val="00C50313"/>
    <w:rsid w:val="00C50355"/>
    <w:rsid w:val="00C506AE"/>
    <w:rsid w:val="00C50801"/>
    <w:rsid w:val="00C5080C"/>
    <w:rsid w:val="00C50A6F"/>
    <w:rsid w:val="00C50B4C"/>
    <w:rsid w:val="00C50BA9"/>
    <w:rsid w:val="00C50C4C"/>
    <w:rsid w:val="00C50F15"/>
    <w:rsid w:val="00C50F2F"/>
    <w:rsid w:val="00C50F35"/>
    <w:rsid w:val="00C50FE8"/>
    <w:rsid w:val="00C51111"/>
    <w:rsid w:val="00C5138C"/>
    <w:rsid w:val="00C51474"/>
    <w:rsid w:val="00C51506"/>
    <w:rsid w:val="00C5150A"/>
    <w:rsid w:val="00C51750"/>
    <w:rsid w:val="00C519AB"/>
    <w:rsid w:val="00C519B3"/>
    <w:rsid w:val="00C51AE3"/>
    <w:rsid w:val="00C51D1B"/>
    <w:rsid w:val="00C52048"/>
    <w:rsid w:val="00C520D3"/>
    <w:rsid w:val="00C520DA"/>
    <w:rsid w:val="00C52135"/>
    <w:rsid w:val="00C5226A"/>
    <w:rsid w:val="00C52305"/>
    <w:rsid w:val="00C5262E"/>
    <w:rsid w:val="00C5266B"/>
    <w:rsid w:val="00C526C5"/>
    <w:rsid w:val="00C5272B"/>
    <w:rsid w:val="00C52898"/>
    <w:rsid w:val="00C52B4F"/>
    <w:rsid w:val="00C52D1C"/>
    <w:rsid w:val="00C52E3A"/>
    <w:rsid w:val="00C52E77"/>
    <w:rsid w:val="00C52F56"/>
    <w:rsid w:val="00C53432"/>
    <w:rsid w:val="00C534EC"/>
    <w:rsid w:val="00C5374D"/>
    <w:rsid w:val="00C53766"/>
    <w:rsid w:val="00C53ADB"/>
    <w:rsid w:val="00C53C16"/>
    <w:rsid w:val="00C545BC"/>
    <w:rsid w:val="00C547D6"/>
    <w:rsid w:val="00C5482F"/>
    <w:rsid w:val="00C5483D"/>
    <w:rsid w:val="00C54886"/>
    <w:rsid w:val="00C54BDC"/>
    <w:rsid w:val="00C54C09"/>
    <w:rsid w:val="00C54C84"/>
    <w:rsid w:val="00C54D04"/>
    <w:rsid w:val="00C54E66"/>
    <w:rsid w:val="00C5505C"/>
    <w:rsid w:val="00C550AB"/>
    <w:rsid w:val="00C550B7"/>
    <w:rsid w:val="00C550EB"/>
    <w:rsid w:val="00C55251"/>
    <w:rsid w:val="00C55268"/>
    <w:rsid w:val="00C55340"/>
    <w:rsid w:val="00C55423"/>
    <w:rsid w:val="00C5542E"/>
    <w:rsid w:val="00C5547B"/>
    <w:rsid w:val="00C554B5"/>
    <w:rsid w:val="00C554E7"/>
    <w:rsid w:val="00C5562D"/>
    <w:rsid w:val="00C55820"/>
    <w:rsid w:val="00C55946"/>
    <w:rsid w:val="00C559DC"/>
    <w:rsid w:val="00C55B65"/>
    <w:rsid w:val="00C55D46"/>
    <w:rsid w:val="00C55F17"/>
    <w:rsid w:val="00C55FDF"/>
    <w:rsid w:val="00C562C0"/>
    <w:rsid w:val="00C56335"/>
    <w:rsid w:val="00C563E6"/>
    <w:rsid w:val="00C56432"/>
    <w:rsid w:val="00C56AF0"/>
    <w:rsid w:val="00C56B47"/>
    <w:rsid w:val="00C56D5A"/>
    <w:rsid w:val="00C56E0C"/>
    <w:rsid w:val="00C56E61"/>
    <w:rsid w:val="00C56EEC"/>
    <w:rsid w:val="00C5711C"/>
    <w:rsid w:val="00C5715F"/>
    <w:rsid w:val="00C5718F"/>
    <w:rsid w:val="00C572F2"/>
    <w:rsid w:val="00C57964"/>
    <w:rsid w:val="00C57A68"/>
    <w:rsid w:val="00C57A6E"/>
    <w:rsid w:val="00C57A78"/>
    <w:rsid w:val="00C57C2E"/>
    <w:rsid w:val="00C57D1C"/>
    <w:rsid w:val="00C57DE8"/>
    <w:rsid w:val="00C57ED0"/>
    <w:rsid w:val="00C57EF1"/>
    <w:rsid w:val="00C57FAE"/>
    <w:rsid w:val="00C60185"/>
    <w:rsid w:val="00C60196"/>
    <w:rsid w:val="00C602AA"/>
    <w:rsid w:val="00C60535"/>
    <w:rsid w:val="00C6057F"/>
    <w:rsid w:val="00C605D2"/>
    <w:rsid w:val="00C60783"/>
    <w:rsid w:val="00C6084A"/>
    <w:rsid w:val="00C608BB"/>
    <w:rsid w:val="00C6092B"/>
    <w:rsid w:val="00C60B60"/>
    <w:rsid w:val="00C60B69"/>
    <w:rsid w:val="00C60C53"/>
    <w:rsid w:val="00C60C67"/>
    <w:rsid w:val="00C60E4E"/>
    <w:rsid w:val="00C60E5B"/>
    <w:rsid w:val="00C6118F"/>
    <w:rsid w:val="00C611B4"/>
    <w:rsid w:val="00C611D4"/>
    <w:rsid w:val="00C611F1"/>
    <w:rsid w:val="00C61231"/>
    <w:rsid w:val="00C612C0"/>
    <w:rsid w:val="00C612C5"/>
    <w:rsid w:val="00C612F1"/>
    <w:rsid w:val="00C61325"/>
    <w:rsid w:val="00C6163F"/>
    <w:rsid w:val="00C616AE"/>
    <w:rsid w:val="00C618F0"/>
    <w:rsid w:val="00C618F2"/>
    <w:rsid w:val="00C61A13"/>
    <w:rsid w:val="00C61BB7"/>
    <w:rsid w:val="00C61BC4"/>
    <w:rsid w:val="00C61D1F"/>
    <w:rsid w:val="00C61E1F"/>
    <w:rsid w:val="00C61E95"/>
    <w:rsid w:val="00C61ED4"/>
    <w:rsid w:val="00C61EFD"/>
    <w:rsid w:val="00C6213D"/>
    <w:rsid w:val="00C62183"/>
    <w:rsid w:val="00C621EF"/>
    <w:rsid w:val="00C62227"/>
    <w:rsid w:val="00C628A3"/>
    <w:rsid w:val="00C629A1"/>
    <w:rsid w:val="00C62BFF"/>
    <w:rsid w:val="00C62E57"/>
    <w:rsid w:val="00C62E97"/>
    <w:rsid w:val="00C62EE7"/>
    <w:rsid w:val="00C62FC3"/>
    <w:rsid w:val="00C63057"/>
    <w:rsid w:val="00C63159"/>
    <w:rsid w:val="00C633C1"/>
    <w:rsid w:val="00C63572"/>
    <w:rsid w:val="00C635B7"/>
    <w:rsid w:val="00C63C41"/>
    <w:rsid w:val="00C63DC2"/>
    <w:rsid w:val="00C63E7A"/>
    <w:rsid w:val="00C63F73"/>
    <w:rsid w:val="00C640F3"/>
    <w:rsid w:val="00C6416E"/>
    <w:rsid w:val="00C644B6"/>
    <w:rsid w:val="00C644BA"/>
    <w:rsid w:val="00C64643"/>
    <w:rsid w:val="00C646D3"/>
    <w:rsid w:val="00C646F0"/>
    <w:rsid w:val="00C64740"/>
    <w:rsid w:val="00C64761"/>
    <w:rsid w:val="00C64890"/>
    <w:rsid w:val="00C648DA"/>
    <w:rsid w:val="00C649A1"/>
    <w:rsid w:val="00C64B51"/>
    <w:rsid w:val="00C64BF1"/>
    <w:rsid w:val="00C64E17"/>
    <w:rsid w:val="00C64E33"/>
    <w:rsid w:val="00C64EC0"/>
    <w:rsid w:val="00C65195"/>
    <w:rsid w:val="00C6523A"/>
    <w:rsid w:val="00C6535E"/>
    <w:rsid w:val="00C6552F"/>
    <w:rsid w:val="00C65654"/>
    <w:rsid w:val="00C6582C"/>
    <w:rsid w:val="00C65832"/>
    <w:rsid w:val="00C6584C"/>
    <w:rsid w:val="00C65868"/>
    <w:rsid w:val="00C659B4"/>
    <w:rsid w:val="00C659ED"/>
    <w:rsid w:val="00C65A09"/>
    <w:rsid w:val="00C65C60"/>
    <w:rsid w:val="00C65CAE"/>
    <w:rsid w:val="00C65CFC"/>
    <w:rsid w:val="00C65D55"/>
    <w:rsid w:val="00C661A0"/>
    <w:rsid w:val="00C662BD"/>
    <w:rsid w:val="00C665B4"/>
    <w:rsid w:val="00C66942"/>
    <w:rsid w:val="00C66D85"/>
    <w:rsid w:val="00C6703A"/>
    <w:rsid w:val="00C67080"/>
    <w:rsid w:val="00C670D4"/>
    <w:rsid w:val="00C67227"/>
    <w:rsid w:val="00C673E3"/>
    <w:rsid w:val="00C6744F"/>
    <w:rsid w:val="00C675AB"/>
    <w:rsid w:val="00C67672"/>
    <w:rsid w:val="00C67B32"/>
    <w:rsid w:val="00C67B8D"/>
    <w:rsid w:val="00C67ED5"/>
    <w:rsid w:val="00C67F83"/>
    <w:rsid w:val="00C7007D"/>
    <w:rsid w:val="00C700EE"/>
    <w:rsid w:val="00C705E4"/>
    <w:rsid w:val="00C705EB"/>
    <w:rsid w:val="00C7065A"/>
    <w:rsid w:val="00C707DC"/>
    <w:rsid w:val="00C70886"/>
    <w:rsid w:val="00C7099C"/>
    <w:rsid w:val="00C70EE5"/>
    <w:rsid w:val="00C70F76"/>
    <w:rsid w:val="00C71199"/>
    <w:rsid w:val="00C7119A"/>
    <w:rsid w:val="00C7119E"/>
    <w:rsid w:val="00C71311"/>
    <w:rsid w:val="00C717E4"/>
    <w:rsid w:val="00C71C8E"/>
    <w:rsid w:val="00C71C9E"/>
    <w:rsid w:val="00C71CE9"/>
    <w:rsid w:val="00C71D44"/>
    <w:rsid w:val="00C71D92"/>
    <w:rsid w:val="00C71DC3"/>
    <w:rsid w:val="00C71F1E"/>
    <w:rsid w:val="00C721EB"/>
    <w:rsid w:val="00C725CF"/>
    <w:rsid w:val="00C725F6"/>
    <w:rsid w:val="00C72829"/>
    <w:rsid w:val="00C72881"/>
    <w:rsid w:val="00C728AF"/>
    <w:rsid w:val="00C728CB"/>
    <w:rsid w:val="00C72BCE"/>
    <w:rsid w:val="00C72BEE"/>
    <w:rsid w:val="00C72F47"/>
    <w:rsid w:val="00C7308B"/>
    <w:rsid w:val="00C73155"/>
    <w:rsid w:val="00C731BE"/>
    <w:rsid w:val="00C734CE"/>
    <w:rsid w:val="00C7357E"/>
    <w:rsid w:val="00C73BE6"/>
    <w:rsid w:val="00C73C3F"/>
    <w:rsid w:val="00C73E44"/>
    <w:rsid w:val="00C73EAE"/>
    <w:rsid w:val="00C74101"/>
    <w:rsid w:val="00C74214"/>
    <w:rsid w:val="00C74225"/>
    <w:rsid w:val="00C742CD"/>
    <w:rsid w:val="00C743EE"/>
    <w:rsid w:val="00C74643"/>
    <w:rsid w:val="00C746D6"/>
    <w:rsid w:val="00C747F8"/>
    <w:rsid w:val="00C74888"/>
    <w:rsid w:val="00C74954"/>
    <w:rsid w:val="00C749DA"/>
    <w:rsid w:val="00C74B7A"/>
    <w:rsid w:val="00C74BD2"/>
    <w:rsid w:val="00C74F19"/>
    <w:rsid w:val="00C751A7"/>
    <w:rsid w:val="00C75317"/>
    <w:rsid w:val="00C7541B"/>
    <w:rsid w:val="00C754E2"/>
    <w:rsid w:val="00C755BA"/>
    <w:rsid w:val="00C75764"/>
    <w:rsid w:val="00C7586A"/>
    <w:rsid w:val="00C7596B"/>
    <w:rsid w:val="00C75A98"/>
    <w:rsid w:val="00C75AEE"/>
    <w:rsid w:val="00C75B78"/>
    <w:rsid w:val="00C75DF9"/>
    <w:rsid w:val="00C75F03"/>
    <w:rsid w:val="00C75F87"/>
    <w:rsid w:val="00C7623D"/>
    <w:rsid w:val="00C7631F"/>
    <w:rsid w:val="00C76364"/>
    <w:rsid w:val="00C764BE"/>
    <w:rsid w:val="00C764FB"/>
    <w:rsid w:val="00C76539"/>
    <w:rsid w:val="00C76541"/>
    <w:rsid w:val="00C765F0"/>
    <w:rsid w:val="00C76609"/>
    <w:rsid w:val="00C766E5"/>
    <w:rsid w:val="00C76A27"/>
    <w:rsid w:val="00C76C1F"/>
    <w:rsid w:val="00C76C5A"/>
    <w:rsid w:val="00C76D90"/>
    <w:rsid w:val="00C76F60"/>
    <w:rsid w:val="00C770FD"/>
    <w:rsid w:val="00C77135"/>
    <w:rsid w:val="00C77360"/>
    <w:rsid w:val="00C774B2"/>
    <w:rsid w:val="00C77782"/>
    <w:rsid w:val="00C7784B"/>
    <w:rsid w:val="00C77864"/>
    <w:rsid w:val="00C778B3"/>
    <w:rsid w:val="00C778FB"/>
    <w:rsid w:val="00C77E45"/>
    <w:rsid w:val="00C77E8F"/>
    <w:rsid w:val="00C80118"/>
    <w:rsid w:val="00C801CC"/>
    <w:rsid w:val="00C803D3"/>
    <w:rsid w:val="00C80428"/>
    <w:rsid w:val="00C8043D"/>
    <w:rsid w:val="00C80467"/>
    <w:rsid w:val="00C80570"/>
    <w:rsid w:val="00C80795"/>
    <w:rsid w:val="00C80953"/>
    <w:rsid w:val="00C809B4"/>
    <w:rsid w:val="00C80C75"/>
    <w:rsid w:val="00C80D85"/>
    <w:rsid w:val="00C81027"/>
    <w:rsid w:val="00C813AD"/>
    <w:rsid w:val="00C8150F"/>
    <w:rsid w:val="00C81747"/>
    <w:rsid w:val="00C817F5"/>
    <w:rsid w:val="00C81A00"/>
    <w:rsid w:val="00C81B57"/>
    <w:rsid w:val="00C81BD4"/>
    <w:rsid w:val="00C81C1D"/>
    <w:rsid w:val="00C82020"/>
    <w:rsid w:val="00C820BA"/>
    <w:rsid w:val="00C82111"/>
    <w:rsid w:val="00C8238F"/>
    <w:rsid w:val="00C8260D"/>
    <w:rsid w:val="00C8283C"/>
    <w:rsid w:val="00C8295F"/>
    <w:rsid w:val="00C82B99"/>
    <w:rsid w:val="00C82D8F"/>
    <w:rsid w:val="00C82F4A"/>
    <w:rsid w:val="00C83373"/>
    <w:rsid w:val="00C835D3"/>
    <w:rsid w:val="00C836B1"/>
    <w:rsid w:val="00C836E4"/>
    <w:rsid w:val="00C83763"/>
    <w:rsid w:val="00C8384F"/>
    <w:rsid w:val="00C838C0"/>
    <w:rsid w:val="00C83A42"/>
    <w:rsid w:val="00C83B64"/>
    <w:rsid w:val="00C83C7E"/>
    <w:rsid w:val="00C83DF9"/>
    <w:rsid w:val="00C83EBB"/>
    <w:rsid w:val="00C83F16"/>
    <w:rsid w:val="00C83FC8"/>
    <w:rsid w:val="00C8407E"/>
    <w:rsid w:val="00C840DD"/>
    <w:rsid w:val="00C84479"/>
    <w:rsid w:val="00C84519"/>
    <w:rsid w:val="00C8471A"/>
    <w:rsid w:val="00C84791"/>
    <w:rsid w:val="00C847FA"/>
    <w:rsid w:val="00C848F0"/>
    <w:rsid w:val="00C84A67"/>
    <w:rsid w:val="00C84B16"/>
    <w:rsid w:val="00C84D68"/>
    <w:rsid w:val="00C8509A"/>
    <w:rsid w:val="00C85117"/>
    <w:rsid w:val="00C852D4"/>
    <w:rsid w:val="00C85473"/>
    <w:rsid w:val="00C8561E"/>
    <w:rsid w:val="00C8573E"/>
    <w:rsid w:val="00C85847"/>
    <w:rsid w:val="00C85B53"/>
    <w:rsid w:val="00C85BB9"/>
    <w:rsid w:val="00C85C27"/>
    <w:rsid w:val="00C85C9D"/>
    <w:rsid w:val="00C85D1E"/>
    <w:rsid w:val="00C85E03"/>
    <w:rsid w:val="00C85EC5"/>
    <w:rsid w:val="00C85F4B"/>
    <w:rsid w:val="00C8616B"/>
    <w:rsid w:val="00C8623F"/>
    <w:rsid w:val="00C86421"/>
    <w:rsid w:val="00C8647A"/>
    <w:rsid w:val="00C864B3"/>
    <w:rsid w:val="00C86516"/>
    <w:rsid w:val="00C8656C"/>
    <w:rsid w:val="00C86739"/>
    <w:rsid w:val="00C86754"/>
    <w:rsid w:val="00C869A2"/>
    <w:rsid w:val="00C86B0B"/>
    <w:rsid w:val="00C86B8E"/>
    <w:rsid w:val="00C86BA5"/>
    <w:rsid w:val="00C86C0C"/>
    <w:rsid w:val="00C86C5A"/>
    <w:rsid w:val="00C86CD5"/>
    <w:rsid w:val="00C86E8E"/>
    <w:rsid w:val="00C86EBF"/>
    <w:rsid w:val="00C87118"/>
    <w:rsid w:val="00C87213"/>
    <w:rsid w:val="00C87820"/>
    <w:rsid w:val="00C87913"/>
    <w:rsid w:val="00C87CFC"/>
    <w:rsid w:val="00C900A9"/>
    <w:rsid w:val="00C901E4"/>
    <w:rsid w:val="00C901EC"/>
    <w:rsid w:val="00C90341"/>
    <w:rsid w:val="00C90431"/>
    <w:rsid w:val="00C905A5"/>
    <w:rsid w:val="00C905B5"/>
    <w:rsid w:val="00C90768"/>
    <w:rsid w:val="00C9079F"/>
    <w:rsid w:val="00C90817"/>
    <w:rsid w:val="00C90863"/>
    <w:rsid w:val="00C90A1D"/>
    <w:rsid w:val="00C90A7C"/>
    <w:rsid w:val="00C90B06"/>
    <w:rsid w:val="00C90CF4"/>
    <w:rsid w:val="00C90DCA"/>
    <w:rsid w:val="00C90FF6"/>
    <w:rsid w:val="00C911EA"/>
    <w:rsid w:val="00C91685"/>
    <w:rsid w:val="00C9198F"/>
    <w:rsid w:val="00C91B10"/>
    <w:rsid w:val="00C91FB8"/>
    <w:rsid w:val="00C921CF"/>
    <w:rsid w:val="00C92406"/>
    <w:rsid w:val="00C924BC"/>
    <w:rsid w:val="00C92683"/>
    <w:rsid w:val="00C926E7"/>
    <w:rsid w:val="00C926ED"/>
    <w:rsid w:val="00C9275A"/>
    <w:rsid w:val="00C92A83"/>
    <w:rsid w:val="00C92AF4"/>
    <w:rsid w:val="00C92B0F"/>
    <w:rsid w:val="00C92B30"/>
    <w:rsid w:val="00C92D9F"/>
    <w:rsid w:val="00C92FAA"/>
    <w:rsid w:val="00C9314E"/>
    <w:rsid w:val="00C936B5"/>
    <w:rsid w:val="00C93708"/>
    <w:rsid w:val="00C93A81"/>
    <w:rsid w:val="00C93B41"/>
    <w:rsid w:val="00C93C6B"/>
    <w:rsid w:val="00C93D30"/>
    <w:rsid w:val="00C93DA1"/>
    <w:rsid w:val="00C94027"/>
    <w:rsid w:val="00C94492"/>
    <w:rsid w:val="00C94844"/>
    <w:rsid w:val="00C9489D"/>
    <w:rsid w:val="00C94940"/>
    <w:rsid w:val="00C94D28"/>
    <w:rsid w:val="00C94E4A"/>
    <w:rsid w:val="00C94E8E"/>
    <w:rsid w:val="00C95035"/>
    <w:rsid w:val="00C9528F"/>
    <w:rsid w:val="00C9549C"/>
    <w:rsid w:val="00C95503"/>
    <w:rsid w:val="00C956B1"/>
    <w:rsid w:val="00C956DA"/>
    <w:rsid w:val="00C959A2"/>
    <w:rsid w:val="00C95B18"/>
    <w:rsid w:val="00C95D31"/>
    <w:rsid w:val="00C95D97"/>
    <w:rsid w:val="00C95DEA"/>
    <w:rsid w:val="00C95E8D"/>
    <w:rsid w:val="00C95EEB"/>
    <w:rsid w:val="00C95F8B"/>
    <w:rsid w:val="00C960F0"/>
    <w:rsid w:val="00C96443"/>
    <w:rsid w:val="00C9667B"/>
    <w:rsid w:val="00C96716"/>
    <w:rsid w:val="00C96809"/>
    <w:rsid w:val="00C969B0"/>
    <w:rsid w:val="00C96B45"/>
    <w:rsid w:val="00C96D17"/>
    <w:rsid w:val="00C96D33"/>
    <w:rsid w:val="00C96D91"/>
    <w:rsid w:val="00C96F60"/>
    <w:rsid w:val="00C96FF1"/>
    <w:rsid w:val="00C97048"/>
    <w:rsid w:val="00C97076"/>
    <w:rsid w:val="00C97288"/>
    <w:rsid w:val="00C97323"/>
    <w:rsid w:val="00C973BE"/>
    <w:rsid w:val="00C974C4"/>
    <w:rsid w:val="00C978DE"/>
    <w:rsid w:val="00C979AD"/>
    <w:rsid w:val="00C97A3B"/>
    <w:rsid w:val="00C97CA6"/>
    <w:rsid w:val="00C97CF3"/>
    <w:rsid w:val="00C97D2C"/>
    <w:rsid w:val="00C97DB0"/>
    <w:rsid w:val="00C97DCC"/>
    <w:rsid w:val="00C97E61"/>
    <w:rsid w:val="00C97F14"/>
    <w:rsid w:val="00CA01CC"/>
    <w:rsid w:val="00CA0529"/>
    <w:rsid w:val="00CA0604"/>
    <w:rsid w:val="00CA0701"/>
    <w:rsid w:val="00CA0885"/>
    <w:rsid w:val="00CA09BA"/>
    <w:rsid w:val="00CA0CB9"/>
    <w:rsid w:val="00CA0CBE"/>
    <w:rsid w:val="00CA0D69"/>
    <w:rsid w:val="00CA0DF8"/>
    <w:rsid w:val="00CA0EF8"/>
    <w:rsid w:val="00CA0F89"/>
    <w:rsid w:val="00CA112C"/>
    <w:rsid w:val="00CA1201"/>
    <w:rsid w:val="00CA121D"/>
    <w:rsid w:val="00CA1244"/>
    <w:rsid w:val="00CA128A"/>
    <w:rsid w:val="00CA144B"/>
    <w:rsid w:val="00CA16CD"/>
    <w:rsid w:val="00CA16E9"/>
    <w:rsid w:val="00CA174E"/>
    <w:rsid w:val="00CA17A2"/>
    <w:rsid w:val="00CA1B13"/>
    <w:rsid w:val="00CA1B8E"/>
    <w:rsid w:val="00CA1BF3"/>
    <w:rsid w:val="00CA1D8F"/>
    <w:rsid w:val="00CA1E74"/>
    <w:rsid w:val="00CA1EBA"/>
    <w:rsid w:val="00CA1EF7"/>
    <w:rsid w:val="00CA1F76"/>
    <w:rsid w:val="00CA208F"/>
    <w:rsid w:val="00CA20FA"/>
    <w:rsid w:val="00CA2186"/>
    <w:rsid w:val="00CA2293"/>
    <w:rsid w:val="00CA2379"/>
    <w:rsid w:val="00CA246F"/>
    <w:rsid w:val="00CA249A"/>
    <w:rsid w:val="00CA2515"/>
    <w:rsid w:val="00CA2545"/>
    <w:rsid w:val="00CA280C"/>
    <w:rsid w:val="00CA2B9E"/>
    <w:rsid w:val="00CA2BA7"/>
    <w:rsid w:val="00CA2D6D"/>
    <w:rsid w:val="00CA2E41"/>
    <w:rsid w:val="00CA2FB1"/>
    <w:rsid w:val="00CA2FD4"/>
    <w:rsid w:val="00CA31AC"/>
    <w:rsid w:val="00CA32CA"/>
    <w:rsid w:val="00CA333E"/>
    <w:rsid w:val="00CA33C1"/>
    <w:rsid w:val="00CA344F"/>
    <w:rsid w:val="00CA34C0"/>
    <w:rsid w:val="00CA354E"/>
    <w:rsid w:val="00CA359A"/>
    <w:rsid w:val="00CA37B3"/>
    <w:rsid w:val="00CA38BA"/>
    <w:rsid w:val="00CA39E7"/>
    <w:rsid w:val="00CA3A4D"/>
    <w:rsid w:val="00CA3AB2"/>
    <w:rsid w:val="00CA3AD9"/>
    <w:rsid w:val="00CA3B6A"/>
    <w:rsid w:val="00CA3D58"/>
    <w:rsid w:val="00CA3E87"/>
    <w:rsid w:val="00CA3EEE"/>
    <w:rsid w:val="00CA3F65"/>
    <w:rsid w:val="00CA421D"/>
    <w:rsid w:val="00CA44E4"/>
    <w:rsid w:val="00CA44F5"/>
    <w:rsid w:val="00CA453C"/>
    <w:rsid w:val="00CA46A5"/>
    <w:rsid w:val="00CA470F"/>
    <w:rsid w:val="00CA474B"/>
    <w:rsid w:val="00CA4770"/>
    <w:rsid w:val="00CA4778"/>
    <w:rsid w:val="00CA4856"/>
    <w:rsid w:val="00CA4994"/>
    <w:rsid w:val="00CA4A86"/>
    <w:rsid w:val="00CA4B0F"/>
    <w:rsid w:val="00CA4B34"/>
    <w:rsid w:val="00CA4BEF"/>
    <w:rsid w:val="00CA4D0A"/>
    <w:rsid w:val="00CA4F7C"/>
    <w:rsid w:val="00CA4FEC"/>
    <w:rsid w:val="00CA500C"/>
    <w:rsid w:val="00CA533C"/>
    <w:rsid w:val="00CA5640"/>
    <w:rsid w:val="00CA5958"/>
    <w:rsid w:val="00CA5990"/>
    <w:rsid w:val="00CA5A0C"/>
    <w:rsid w:val="00CA5A1D"/>
    <w:rsid w:val="00CA5ADA"/>
    <w:rsid w:val="00CA5CA3"/>
    <w:rsid w:val="00CA603A"/>
    <w:rsid w:val="00CA6044"/>
    <w:rsid w:val="00CA60A9"/>
    <w:rsid w:val="00CA6130"/>
    <w:rsid w:val="00CA621C"/>
    <w:rsid w:val="00CA6232"/>
    <w:rsid w:val="00CA684B"/>
    <w:rsid w:val="00CA6CB0"/>
    <w:rsid w:val="00CA6E32"/>
    <w:rsid w:val="00CA70F9"/>
    <w:rsid w:val="00CA72D0"/>
    <w:rsid w:val="00CA7470"/>
    <w:rsid w:val="00CA74E0"/>
    <w:rsid w:val="00CA76B4"/>
    <w:rsid w:val="00CA7752"/>
    <w:rsid w:val="00CA792A"/>
    <w:rsid w:val="00CA7B11"/>
    <w:rsid w:val="00CA7B39"/>
    <w:rsid w:val="00CA7CD5"/>
    <w:rsid w:val="00CA7D0A"/>
    <w:rsid w:val="00CA7DEB"/>
    <w:rsid w:val="00CB016A"/>
    <w:rsid w:val="00CB020F"/>
    <w:rsid w:val="00CB040C"/>
    <w:rsid w:val="00CB0731"/>
    <w:rsid w:val="00CB098D"/>
    <w:rsid w:val="00CB0A7C"/>
    <w:rsid w:val="00CB0B9E"/>
    <w:rsid w:val="00CB0BD2"/>
    <w:rsid w:val="00CB0CA5"/>
    <w:rsid w:val="00CB0D59"/>
    <w:rsid w:val="00CB0DE0"/>
    <w:rsid w:val="00CB0E5A"/>
    <w:rsid w:val="00CB1016"/>
    <w:rsid w:val="00CB105E"/>
    <w:rsid w:val="00CB10E1"/>
    <w:rsid w:val="00CB10FD"/>
    <w:rsid w:val="00CB11E4"/>
    <w:rsid w:val="00CB1211"/>
    <w:rsid w:val="00CB1340"/>
    <w:rsid w:val="00CB16DA"/>
    <w:rsid w:val="00CB17DB"/>
    <w:rsid w:val="00CB1A3C"/>
    <w:rsid w:val="00CB1A87"/>
    <w:rsid w:val="00CB1C67"/>
    <w:rsid w:val="00CB1F28"/>
    <w:rsid w:val="00CB21EE"/>
    <w:rsid w:val="00CB24DB"/>
    <w:rsid w:val="00CB26F3"/>
    <w:rsid w:val="00CB2937"/>
    <w:rsid w:val="00CB2BCD"/>
    <w:rsid w:val="00CB2F0A"/>
    <w:rsid w:val="00CB30F4"/>
    <w:rsid w:val="00CB332C"/>
    <w:rsid w:val="00CB364C"/>
    <w:rsid w:val="00CB3843"/>
    <w:rsid w:val="00CB38ED"/>
    <w:rsid w:val="00CB3AE9"/>
    <w:rsid w:val="00CB3B8F"/>
    <w:rsid w:val="00CB3BA4"/>
    <w:rsid w:val="00CB3BAC"/>
    <w:rsid w:val="00CB3E12"/>
    <w:rsid w:val="00CB3E76"/>
    <w:rsid w:val="00CB3ED0"/>
    <w:rsid w:val="00CB3F43"/>
    <w:rsid w:val="00CB3FD0"/>
    <w:rsid w:val="00CB40D7"/>
    <w:rsid w:val="00CB4125"/>
    <w:rsid w:val="00CB438F"/>
    <w:rsid w:val="00CB4462"/>
    <w:rsid w:val="00CB4572"/>
    <w:rsid w:val="00CB459D"/>
    <w:rsid w:val="00CB4769"/>
    <w:rsid w:val="00CB4881"/>
    <w:rsid w:val="00CB4A9D"/>
    <w:rsid w:val="00CB4D17"/>
    <w:rsid w:val="00CB4D26"/>
    <w:rsid w:val="00CB4D41"/>
    <w:rsid w:val="00CB4F72"/>
    <w:rsid w:val="00CB5191"/>
    <w:rsid w:val="00CB54A0"/>
    <w:rsid w:val="00CB585D"/>
    <w:rsid w:val="00CB5886"/>
    <w:rsid w:val="00CB5AA3"/>
    <w:rsid w:val="00CB5BF1"/>
    <w:rsid w:val="00CB5F42"/>
    <w:rsid w:val="00CB5F6C"/>
    <w:rsid w:val="00CB615B"/>
    <w:rsid w:val="00CB6376"/>
    <w:rsid w:val="00CB63E8"/>
    <w:rsid w:val="00CB64E0"/>
    <w:rsid w:val="00CB6607"/>
    <w:rsid w:val="00CB686B"/>
    <w:rsid w:val="00CB6885"/>
    <w:rsid w:val="00CB6ABC"/>
    <w:rsid w:val="00CB6B4C"/>
    <w:rsid w:val="00CB6CCB"/>
    <w:rsid w:val="00CB6E3F"/>
    <w:rsid w:val="00CB6E94"/>
    <w:rsid w:val="00CB6FAD"/>
    <w:rsid w:val="00CB728D"/>
    <w:rsid w:val="00CB7461"/>
    <w:rsid w:val="00CB75AB"/>
    <w:rsid w:val="00CB75B8"/>
    <w:rsid w:val="00CB7644"/>
    <w:rsid w:val="00CB7AC3"/>
    <w:rsid w:val="00CB7C25"/>
    <w:rsid w:val="00CB7CC6"/>
    <w:rsid w:val="00CB7E26"/>
    <w:rsid w:val="00CB7E96"/>
    <w:rsid w:val="00CC003A"/>
    <w:rsid w:val="00CC0050"/>
    <w:rsid w:val="00CC006A"/>
    <w:rsid w:val="00CC00DE"/>
    <w:rsid w:val="00CC0235"/>
    <w:rsid w:val="00CC0271"/>
    <w:rsid w:val="00CC045A"/>
    <w:rsid w:val="00CC047C"/>
    <w:rsid w:val="00CC0529"/>
    <w:rsid w:val="00CC09FD"/>
    <w:rsid w:val="00CC0AA0"/>
    <w:rsid w:val="00CC0B68"/>
    <w:rsid w:val="00CC0B85"/>
    <w:rsid w:val="00CC1329"/>
    <w:rsid w:val="00CC16A4"/>
    <w:rsid w:val="00CC1712"/>
    <w:rsid w:val="00CC17DB"/>
    <w:rsid w:val="00CC1935"/>
    <w:rsid w:val="00CC199B"/>
    <w:rsid w:val="00CC1D3C"/>
    <w:rsid w:val="00CC1D8B"/>
    <w:rsid w:val="00CC1DB3"/>
    <w:rsid w:val="00CC1DF3"/>
    <w:rsid w:val="00CC2039"/>
    <w:rsid w:val="00CC2130"/>
    <w:rsid w:val="00CC2208"/>
    <w:rsid w:val="00CC224F"/>
    <w:rsid w:val="00CC2292"/>
    <w:rsid w:val="00CC2438"/>
    <w:rsid w:val="00CC24E2"/>
    <w:rsid w:val="00CC251C"/>
    <w:rsid w:val="00CC26BB"/>
    <w:rsid w:val="00CC2840"/>
    <w:rsid w:val="00CC28C3"/>
    <w:rsid w:val="00CC29AE"/>
    <w:rsid w:val="00CC2A79"/>
    <w:rsid w:val="00CC2DAD"/>
    <w:rsid w:val="00CC2F50"/>
    <w:rsid w:val="00CC30F1"/>
    <w:rsid w:val="00CC3550"/>
    <w:rsid w:val="00CC35DE"/>
    <w:rsid w:val="00CC374B"/>
    <w:rsid w:val="00CC3792"/>
    <w:rsid w:val="00CC37FC"/>
    <w:rsid w:val="00CC3966"/>
    <w:rsid w:val="00CC3A92"/>
    <w:rsid w:val="00CC3BDD"/>
    <w:rsid w:val="00CC3C68"/>
    <w:rsid w:val="00CC3D1D"/>
    <w:rsid w:val="00CC401F"/>
    <w:rsid w:val="00CC418C"/>
    <w:rsid w:val="00CC4496"/>
    <w:rsid w:val="00CC4564"/>
    <w:rsid w:val="00CC45FE"/>
    <w:rsid w:val="00CC4626"/>
    <w:rsid w:val="00CC46B3"/>
    <w:rsid w:val="00CC47F7"/>
    <w:rsid w:val="00CC4A56"/>
    <w:rsid w:val="00CC4D70"/>
    <w:rsid w:val="00CC4D77"/>
    <w:rsid w:val="00CC4DA9"/>
    <w:rsid w:val="00CC4E09"/>
    <w:rsid w:val="00CC4F1F"/>
    <w:rsid w:val="00CC4F32"/>
    <w:rsid w:val="00CC51BA"/>
    <w:rsid w:val="00CC5546"/>
    <w:rsid w:val="00CC5633"/>
    <w:rsid w:val="00CC5AA0"/>
    <w:rsid w:val="00CC5B25"/>
    <w:rsid w:val="00CC5C11"/>
    <w:rsid w:val="00CC5C19"/>
    <w:rsid w:val="00CC5C5E"/>
    <w:rsid w:val="00CC5EE3"/>
    <w:rsid w:val="00CC61C9"/>
    <w:rsid w:val="00CC6329"/>
    <w:rsid w:val="00CC6662"/>
    <w:rsid w:val="00CC6734"/>
    <w:rsid w:val="00CC6973"/>
    <w:rsid w:val="00CC6983"/>
    <w:rsid w:val="00CC6AD7"/>
    <w:rsid w:val="00CC6D18"/>
    <w:rsid w:val="00CC6D8A"/>
    <w:rsid w:val="00CC703D"/>
    <w:rsid w:val="00CC70A0"/>
    <w:rsid w:val="00CC7107"/>
    <w:rsid w:val="00CC7176"/>
    <w:rsid w:val="00CC71B0"/>
    <w:rsid w:val="00CC71D4"/>
    <w:rsid w:val="00CC75A8"/>
    <w:rsid w:val="00CC773E"/>
    <w:rsid w:val="00CC793B"/>
    <w:rsid w:val="00CC7A28"/>
    <w:rsid w:val="00CC7AA5"/>
    <w:rsid w:val="00CC7C45"/>
    <w:rsid w:val="00CC7CE1"/>
    <w:rsid w:val="00CC7E49"/>
    <w:rsid w:val="00CC7E56"/>
    <w:rsid w:val="00CD0161"/>
    <w:rsid w:val="00CD0569"/>
    <w:rsid w:val="00CD05A2"/>
    <w:rsid w:val="00CD05EA"/>
    <w:rsid w:val="00CD07F8"/>
    <w:rsid w:val="00CD097E"/>
    <w:rsid w:val="00CD09FD"/>
    <w:rsid w:val="00CD0B4F"/>
    <w:rsid w:val="00CD0BFB"/>
    <w:rsid w:val="00CD0E41"/>
    <w:rsid w:val="00CD107D"/>
    <w:rsid w:val="00CD12B8"/>
    <w:rsid w:val="00CD147E"/>
    <w:rsid w:val="00CD149D"/>
    <w:rsid w:val="00CD1567"/>
    <w:rsid w:val="00CD165F"/>
    <w:rsid w:val="00CD182B"/>
    <w:rsid w:val="00CD1832"/>
    <w:rsid w:val="00CD1889"/>
    <w:rsid w:val="00CD1925"/>
    <w:rsid w:val="00CD1C37"/>
    <w:rsid w:val="00CD1C88"/>
    <w:rsid w:val="00CD1D1A"/>
    <w:rsid w:val="00CD1FE0"/>
    <w:rsid w:val="00CD24CB"/>
    <w:rsid w:val="00CD27DA"/>
    <w:rsid w:val="00CD2BF8"/>
    <w:rsid w:val="00CD2C87"/>
    <w:rsid w:val="00CD2D6C"/>
    <w:rsid w:val="00CD2E5A"/>
    <w:rsid w:val="00CD2E6F"/>
    <w:rsid w:val="00CD2FFC"/>
    <w:rsid w:val="00CD30FC"/>
    <w:rsid w:val="00CD32B4"/>
    <w:rsid w:val="00CD33C1"/>
    <w:rsid w:val="00CD3424"/>
    <w:rsid w:val="00CD3486"/>
    <w:rsid w:val="00CD3547"/>
    <w:rsid w:val="00CD3591"/>
    <w:rsid w:val="00CD36D1"/>
    <w:rsid w:val="00CD37BB"/>
    <w:rsid w:val="00CD37BC"/>
    <w:rsid w:val="00CD3A8F"/>
    <w:rsid w:val="00CD3DA0"/>
    <w:rsid w:val="00CD3F5C"/>
    <w:rsid w:val="00CD3F9A"/>
    <w:rsid w:val="00CD4039"/>
    <w:rsid w:val="00CD410B"/>
    <w:rsid w:val="00CD4272"/>
    <w:rsid w:val="00CD4402"/>
    <w:rsid w:val="00CD4807"/>
    <w:rsid w:val="00CD482A"/>
    <w:rsid w:val="00CD4997"/>
    <w:rsid w:val="00CD49C6"/>
    <w:rsid w:val="00CD4B81"/>
    <w:rsid w:val="00CD4BD4"/>
    <w:rsid w:val="00CD4CA0"/>
    <w:rsid w:val="00CD4D98"/>
    <w:rsid w:val="00CD4E7E"/>
    <w:rsid w:val="00CD4E9D"/>
    <w:rsid w:val="00CD4EA2"/>
    <w:rsid w:val="00CD5032"/>
    <w:rsid w:val="00CD50C4"/>
    <w:rsid w:val="00CD524C"/>
    <w:rsid w:val="00CD5286"/>
    <w:rsid w:val="00CD52D4"/>
    <w:rsid w:val="00CD536B"/>
    <w:rsid w:val="00CD53E2"/>
    <w:rsid w:val="00CD56CE"/>
    <w:rsid w:val="00CD5AEC"/>
    <w:rsid w:val="00CD5AEF"/>
    <w:rsid w:val="00CD5B72"/>
    <w:rsid w:val="00CD5DD0"/>
    <w:rsid w:val="00CD5FEC"/>
    <w:rsid w:val="00CD6177"/>
    <w:rsid w:val="00CD61EC"/>
    <w:rsid w:val="00CD6290"/>
    <w:rsid w:val="00CD62E1"/>
    <w:rsid w:val="00CD644D"/>
    <w:rsid w:val="00CD647F"/>
    <w:rsid w:val="00CD6538"/>
    <w:rsid w:val="00CD6581"/>
    <w:rsid w:val="00CD65B4"/>
    <w:rsid w:val="00CD6682"/>
    <w:rsid w:val="00CD6740"/>
    <w:rsid w:val="00CD6751"/>
    <w:rsid w:val="00CD68DC"/>
    <w:rsid w:val="00CD692E"/>
    <w:rsid w:val="00CD6988"/>
    <w:rsid w:val="00CD6A3D"/>
    <w:rsid w:val="00CD6B5C"/>
    <w:rsid w:val="00CD6BE7"/>
    <w:rsid w:val="00CD6E04"/>
    <w:rsid w:val="00CD6E55"/>
    <w:rsid w:val="00CD6F88"/>
    <w:rsid w:val="00CD71A0"/>
    <w:rsid w:val="00CD730B"/>
    <w:rsid w:val="00CD73F4"/>
    <w:rsid w:val="00CD742C"/>
    <w:rsid w:val="00CD74AB"/>
    <w:rsid w:val="00CD77B6"/>
    <w:rsid w:val="00CD7B07"/>
    <w:rsid w:val="00CD7CEA"/>
    <w:rsid w:val="00CD7D76"/>
    <w:rsid w:val="00CD7E51"/>
    <w:rsid w:val="00CE0099"/>
    <w:rsid w:val="00CE0268"/>
    <w:rsid w:val="00CE0295"/>
    <w:rsid w:val="00CE0420"/>
    <w:rsid w:val="00CE0671"/>
    <w:rsid w:val="00CE06DF"/>
    <w:rsid w:val="00CE0783"/>
    <w:rsid w:val="00CE078A"/>
    <w:rsid w:val="00CE07DB"/>
    <w:rsid w:val="00CE08D9"/>
    <w:rsid w:val="00CE096A"/>
    <w:rsid w:val="00CE0C16"/>
    <w:rsid w:val="00CE0DD5"/>
    <w:rsid w:val="00CE0F95"/>
    <w:rsid w:val="00CE0F99"/>
    <w:rsid w:val="00CE11FC"/>
    <w:rsid w:val="00CE12E4"/>
    <w:rsid w:val="00CE1484"/>
    <w:rsid w:val="00CE156E"/>
    <w:rsid w:val="00CE1750"/>
    <w:rsid w:val="00CE17F8"/>
    <w:rsid w:val="00CE18CC"/>
    <w:rsid w:val="00CE1BC2"/>
    <w:rsid w:val="00CE1CA1"/>
    <w:rsid w:val="00CE1CCF"/>
    <w:rsid w:val="00CE1EFA"/>
    <w:rsid w:val="00CE1F2A"/>
    <w:rsid w:val="00CE1F4C"/>
    <w:rsid w:val="00CE2035"/>
    <w:rsid w:val="00CE20FF"/>
    <w:rsid w:val="00CE2148"/>
    <w:rsid w:val="00CE223B"/>
    <w:rsid w:val="00CE2370"/>
    <w:rsid w:val="00CE2375"/>
    <w:rsid w:val="00CE260D"/>
    <w:rsid w:val="00CE26CD"/>
    <w:rsid w:val="00CE26E1"/>
    <w:rsid w:val="00CE2728"/>
    <w:rsid w:val="00CE27DC"/>
    <w:rsid w:val="00CE28CF"/>
    <w:rsid w:val="00CE2908"/>
    <w:rsid w:val="00CE2B8F"/>
    <w:rsid w:val="00CE2BB8"/>
    <w:rsid w:val="00CE3105"/>
    <w:rsid w:val="00CE34A4"/>
    <w:rsid w:val="00CE350A"/>
    <w:rsid w:val="00CE3569"/>
    <w:rsid w:val="00CE3872"/>
    <w:rsid w:val="00CE389A"/>
    <w:rsid w:val="00CE3A96"/>
    <w:rsid w:val="00CE3BED"/>
    <w:rsid w:val="00CE3C65"/>
    <w:rsid w:val="00CE412D"/>
    <w:rsid w:val="00CE4389"/>
    <w:rsid w:val="00CE44D9"/>
    <w:rsid w:val="00CE4845"/>
    <w:rsid w:val="00CE4899"/>
    <w:rsid w:val="00CE4A26"/>
    <w:rsid w:val="00CE4A84"/>
    <w:rsid w:val="00CE4B36"/>
    <w:rsid w:val="00CE4C6C"/>
    <w:rsid w:val="00CE4DD7"/>
    <w:rsid w:val="00CE4F39"/>
    <w:rsid w:val="00CE5131"/>
    <w:rsid w:val="00CE57D4"/>
    <w:rsid w:val="00CE5B5A"/>
    <w:rsid w:val="00CE5BD5"/>
    <w:rsid w:val="00CE5C84"/>
    <w:rsid w:val="00CE5EC7"/>
    <w:rsid w:val="00CE5F70"/>
    <w:rsid w:val="00CE5FDA"/>
    <w:rsid w:val="00CE5FEF"/>
    <w:rsid w:val="00CE601A"/>
    <w:rsid w:val="00CE6131"/>
    <w:rsid w:val="00CE6319"/>
    <w:rsid w:val="00CE64AC"/>
    <w:rsid w:val="00CE64C6"/>
    <w:rsid w:val="00CE657C"/>
    <w:rsid w:val="00CE690A"/>
    <w:rsid w:val="00CE69EC"/>
    <w:rsid w:val="00CE6A08"/>
    <w:rsid w:val="00CE6D46"/>
    <w:rsid w:val="00CE6D81"/>
    <w:rsid w:val="00CE6E38"/>
    <w:rsid w:val="00CE7591"/>
    <w:rsid w:val="00CE772F"/>
    <w:rsid w:val="00CE79AE"/>
    <w:rsid w:val="00CE7A4F"/>
    <w:rsid w:val="00CE7C6B"/>
    <w:rsid w:val="00CE7C87"/>
    <w:rsid w:val="00CE7C99"/>
    <w:rsid w:val="00CE7CF7"/>
    <w:rsid w:val="00CE7D20"/>
    <w:rsid w:val="00CE7EF7"/>
    <w:rsid w:val="00CF00EB"/>
    <w:rsid w:val="00CF00FE"/>
    <w:rsid w:val="00CF0584"/>
    <w:rsid w:val="00CF0701"/>
    <w:rsid w:val="00CF0A10"/>
    <w:rsid w:val="00CF0B37"/>
    <w:rsid w:val="00CF0C14"/>
    <w:rsid w:val="00CF0D0B"/>
    <w:rsid w:val="00CF0D6E"/>
    <w:rsid w:val="00CF0DBA"/>
    <w:rsid w:val="00CF0E4B"/>
    <w:rsid w:val="00CF0E5E"/>
    <w:rsid w:val="00CF1011"/>
    <w:rsid w:val="00CF1145"/>
    <w:rsid w:val="00CF1252"/>
    <w:rsid w:val="00CF14C1"/>
    <w:rsid w:val="00CF1535"/>
    <w:rsid w:val="00CF15AF"/>
    <w:rsid w:val="00CF15C2"/>
    <w:rsid w:val="00CF1702"/>
    <w:rsid w:val="00CF1A74"/>
    <w:rsid w:val="00CF1ABC"/>
    <w:rsid w:val="00CF1CC5"/>
    <w:rsid w:val="00CF1D73"/>
    <w:rsid w:val="00CF1E3F"/>
    <w:rsid w:val="00CF1FEB"/>
    <w:rsid w:val="00CF203C"/>
    <w:rsid w:val="00CF2161"/>
    <w:rsid w:val="00CF2168"/>
    <w:rsid w:val="00CF23BF"/>
    <w:rsid w:val="00CF24BF"/>
    <w:rsid w:val="00CF252E"/>
    <w:rsid w:val="00CF26B6"/>
    <w:rsid w:val="00CF2722"/>
    <w:rsid w:val="00CF28EE"/>
    <w:rsid w:val="00CF295F"/>
    <w:rsid w:val="00CF2DAB"/>
    <w:rsid w:val="00CF2EB3"/>
    <w:rsid w:val="00CF2EDC"/>
    <w:rsid w:val="00CF2FB9"/>
    <w:rsid w:val="00CF2FD1"/>
    <w:rsid w:val="00CF32E7"/>
    <w:rsid w:val="00CF3386"/>
    <w:rsid w:val="00CF3790"/>
    <w:rsid w:val="00CF393E"/>
    <w:rsid w:val="00CF3C91"/>
    <w:rsid w:val="00CF412A"/>
    <w:rsid w:val="00CF4231"/>
    <w:rsid w:val="00CF4274"/>
    <w:rsid w:val="00CF42C7"/>
    <w:rsid w:val="00CF466F"/>
    <w:rsid w:val="00CF46AF"/>
    <w:rsid w:val="00CF4AA6"/>
    <w:rsid w:val="00CF4CB1"/>
    <w:rsid w:val="00CF4CF5"/>
    <w:rsid w:val="00CF50B1"/>
    <w:rsid w:val="00CF5366"/>
    <w:rsid w:val="00CF53D4"/>
    <w:rsid w:val="00CF5482"/>
    <w:rsid w:val="00CF5495"/>
    <w:rsid w:val="00CF56BC"/>
    <w:rsid w:val="00CF56FA"/>
    <w:rsid w:val="00CF581C"/>
    <w:rsid w:val="00CF58FE"/>
    <w:rsid w:val="00CF5934"/>
    <w:rsid w:val="00CF5AD4"/>
    <w:rsid w:val="00CF5AE0"/>
    <w:rsid w:val="00CF5BA3"/>
    <w:rsid w:val="00CF5E17"/>
    <w:rsid w:val="00CF6098"/>
    <w:rsid w:val="00CF6117"/>
    <w:rsid w:val="00CF6281"/>
    <w:rsid w:val="00CF6373"/>
    <w:rsid w:val="00CF6534"/>
    <w:rsid w:val="00CF6709"/>
    <w:rsid w:val="00CF674B"/>
    <w:rsid w:val="00CF6783"/>
    <w:rsid w:val="00CF67C6"/>
    <w:rsid w:val="00CF688C"/>
    <w:rsid w:val="00CF68DE"/>
    <w:rsid w:val="00CF6960"/>
    <w:rsid w:val="00CF6A86"/>
    <w:rsid w:val="00CF6C98"/>
    <w:rsid w:val="00CF6CC7"/>
    <w:rsid w:val="00CF6D17"/>
    <w:rsid w:val="00CF6D69"/>
    <w:rsid w:val="00CF70E0"/>
    <w:rsid w:val="00CF71EF"/>
    <w:rsid w:val="00CF73B3"/>
    <w:rsid w:val="00CF743E"/>
    <w:rsid w:val="00CF74A6"/>
    <w:rsid w:val="00CF776C"/>
    <w:rsid w:val="00CF785C"/>
    <w:rsid w:val="00CF7960"/>
    <w:rsid w:val="00CF7A8D"/>
    <w:rsid w:val="00CF7A94"/>
    <w:rsid w:val="00CF7B78"/>
    <w:rsid w:val="00CF7C2F"/>
    <w:rsid w:val="00CF7CE9"/>
    <w:rsid w:val="00CF7E13"/>
    <w:rsid w:val="00CF7F5A"/>
    <w:rsid w:val="00CF7FCD"/>
    <w:rsid w:val="00D0002E"/>
    <w:rsid w:val="00D000B1"/>
    <w:rsid w:val="00D001EF"/>
    <w:rsid w:val="00D0038F"/>
    <w:rsid w:val="00D00390"/>
    <w:rsid w:val="00D00404"/>
    <w:rsid w:val="00D004E4"/>
    <w:rsid w:val="00D00560"/>
    <w:rsid w:val="00D00631"/>
    <w:rsid w:val="00D0075C"/>
    <w:rsid w:val="00D007D7"/>
    <w:rsid w:val="00D00835"/>
    <w:rsid w:val="00D0084D"/>
    <w:rsid w:val="00D008B7"/>
    <w:rsid w:val="00D009A9"/>
    <w:rsid w:val="00D00B76"/>
    <w:rsid w:val="00D00B8F"/>
    <w:rsid w:val="00D00CF9"/>
    <w:rsid w:val="00D00DED"/>
    <w:rsid w:val="00D00E4C"/>
    <w:rsid w:val="00D0107D"/>
    <w:rsid w:val="00D010E7"/>
    <w:rsid w:val="00D01143"/>
    <w:rsid w:val="00D01194"/>
    <w:rsid w:val="00D01350"/>
    <w:rsid w:val="00D0140D"/>
    <w:rsid w:val="00D01518"/>
    <w:rsid w:val="00D01646"/>
    <w:rsid w:val="00D0192E"/>
    <w:rsid w:val="00D01BE0"/>
    <w:rsid w:val="00D01C38"/>
    <w:rsid w:val="00D01C65"/>
    <w:rsid w:val="00D01FBF"/>
    <w:rsid w:val="00D0206E"/>
    <w:rsid w:val="00D02203"/>
    <w:rsid w:val="00D02397"/>
    <w:rsid w:val="00D023EA"/>
    <w:rsid w:val="00D02523"/>
    <w:rsid w:val="00D02792"/>
    <w:rsid w:val="00D02A93"/>
    <w:rsid w:val="00D02D20"/>
    <w:rsid w:val="00D03258"/>
    <w:rsid w:val="00D032D7"/>
    <w:rsid w:val="00D03312"/>
    <w:rsid w:val="00D0346B"/>
    <w:rsid w:val="00D0354F"/>
    <w:rsid w:val="00D035C6"/>
    <w:rsid w:val="00D03797"/>
    <w:rsid w:val="00D03816"/>
    <w:rsid w:val="00D03926"/>
    <w:rsid w:val="00D03A6F"/>
    <w:rsid w:val="00D03B4B"/>
    <w:rsid w:val="00D03E79"/>
    <w:rsid w:val="00D03FD1"/>
    <w:rsid w:val="00D04000"/>
    <w:rsid w:val="00D04030"/>
    <w:rsid w:val="00D04112"/>
    <w:rsid w:val="00D045B7"/>
    <w:rsid w:val="00D04606"/>
    <w:rsid w:val="00D046CC"/>
    <w:rsid w:val="00D04772"/>
    <w:rsid w:val="00D04816"/>
    <w:rsid w:val="00D04AA7"/>
    <w:rsid w:val="00D04B7D"/>
    <w:rsid w:val="00D04BA7"/>
    <w:rsid w:val="00D04CB8"/>
    <w:rsid w:val="00D04CC6"/>
    <w:rsid w:val="00D04D76"/>
    <w:rsid w:val="00D05169"/>
    <w:rsid w:val="00D054EB"/>
    <w:rsid w:val="00D056E1"/>
    <w:rsid w:val="00D0575F"/>
    <w:rsid w:val="00D05BBE"/>
    <w:rsid w:val="00D05D30"/>
    <w:rsid w:val="00D05E51"/>
    <w:rsid w:val="00D05EA5"/>
    <w:rsid w:val="00D05F2D"/>
    <w:rsid w:val="00D06088"/>
    <w:rsid w:val="00D061EF"/>
    <w:rsid w:val="00D06243"/>
    <w:rsid w:val="00D062F7"/>
    <w:rsid w:val="00D0634B"/>
    <w:rsid w:val="00D0642D"/>
    <w:rsid w:val="00D064CA"/>
    <w:rsid w:val="00D06726"/>
    <w:rsid w:val="00D06968"/>
    <w:rsid w:val="00D069CF"/>
    <w:rsid w:val="00D06A51"/>
    <w:rsid w:val="00D06D1A"/>
    <w:rsid w:val="00D06D59"/>
    <w:rsid w:val="00D06D95"/>
    <w:rsid w:val="00D06DAF"/>
    <w:rsid w:val="00D06E98"/>
    <w:rsid w:val="00D06EA8"/>
    <w:rsid w:val="00D06F31"/>
    <w:rsid w:val="00D06F6C"/>
    <w:rsid w:val="00D06F91"/>
    <w:rsid w:val="00D07010"/>
    <w:rsid w:val="00D07354"/>
    <w:rsid w:val="00D073F8"/>
    <w:rsid w:val="00D07473"/>
    <w:rsid w:val="00D0750E"/>
    <w:rsid w:val="00D0772C"/>
    <w:rsid w:val="00D07859"/>
    <w:rsid w:val="00D07A45"/>
    <w:rsid w:val="00D07B90"/>
    <w:rsid w:val="00D07E26"/>
    <w:rsid w:val="00D1006B"/>
    <w:rsid w:val="00D100DB"/>
    <w:rsid w:val="00D10206"/>
    <w:rsid w:val="00D10214"/>
    <w:rsid w:val="00D10362"/>
    <w:rsid w:val="00D103D1"/>
    <w:rsid w:val="00D1047C"/>
    <w:rsid w:val="00D10631"/>
    <w:rsid w:val="00D1071A"/>
    <w:rsid w:val="00D10732"/>
    <w:rsid w:val="00D1099C"/>
    <w:rsid w:val="00D10ADF"/>
    <w:rsid w:val="00D10BF3"/>
    <w:rsid w:val="00D10C96"/>
    <w:rsid w:val="00D10CCF"/>
    <w:rsid w:val="00D10DEF"/>
    <w:rsid w:val="00D10F28"/>
    <w:rsid w:val="00D11297"/>
    <w:rsid w:val="00D112B9"/>
    <w:rsid w:val="00D11376"/>
    <w:rsid w:val="00D11426"/>
    <w:rsid w:val="00D1145F"/>
    <w:rsid w:val="00D11B7A"/>
    <w:rsid w:val="00D11C1A"/>
    <w:rsid w:val="00D11E65"/>
    <w:rsid w:val="00D11F82"/>
    <w:rsid w:val="00D11F8E"/>
    <w:rsid w:val="00D11FDD"/>
    <w:rsid w:val="00D1204A"/>
    <w:rsid w:val="00D120BB"/>
    <w:rsid w:val="00D125C2"/>
    <w:rsid w:val="00D1260D"/>
    <w:rsid w:val="00D12695"/>
    <w:rsid w:val="00D128A9"/>
    <w:rsid w:val="00D12A80"/>
    <w:rsid w:val="00D12B65"/>
    <w:rsid w:val="00D12C6D"/>
    <w:rsid w:val="00D12C9A"/>
    <w:rsid w:val="00D12D36"/>
    <w:rsid w:val="00D12D3B"/>
    <w:rsid w:val="00D130E7"/>
    <w:rsid w:val="00D13148"/>
    <w:rsid w:val="00D1317D"/>
    <w:rsid w:val="00D132AC"/>
    <w:rsid w:val="00D13573"/>
    <w:rsid w:val="00D13680"/>
    <w:rsid w:val="00D1375E"/>
    <w:rsid w:val="00D13823"/>
    <w:rsid w:val="00D13948"/>
    <w:rsid w:val="00D139AB"/>
    <w:rsid w:val="00D13B54"/>
    <w:rsid w:val="00D13C32"/>
    <w:rsid w:val="00D1419A"/>
    <w:rsid w:val="00D141EE"/>
    <w:rsid w:val="00D144F1"/>
    <w:rsid w:val="00D14568"/>
    <w:rsid w:val="00D14687"/>
    <w:rsid w:val="00D146BC"/>
    <w:rsid w:val="00D14734"/>
    <w:rsid w:val="00D147A0"/>
    <w:rsid w:val="00D147AD"/>
    <w:rsid w:val="00D14B1C"/>
    <w:rsid w:val="00D14CF9"/>
    <w:rsid w:val="00D14DFC"/>
    <w:rsid w:val="00D14F23"/>
    <w:rsid w:val="00D14F40"/>
    <w:rsid w:val="00D14F52"/>
    <w:rsid w:val="00D1512E"/>
    <w:rsid w:val="00D152CF"/>
    <w:rsid w:val="00D1549A"/>
    <w:rsid w:val="00D15578"/>
    <w:rsid w:val="00D15624"/>
    <w:rsid w:val="00D156C9"/>
    <w:rsid w:val="00D156E1"/>
    <w:rsid w:val="00D15798"/>
    <w:rsid w:val="00D15927"/>
    <w:rsid w:val="00D1592D"/>
    <w:rsid w:val="00D15C77"/>
    <w:rsid w:val="00D15E8D"/>
    <w:rsid w:val="00D15FE3"/>
    <w:rsid w:val="00D16526"/>
    <w:rsid w:val="00D1674E"/>
    <w:rsid w:val="00D16994"/>
    <w:rsid w:val="00D169B1"/>
    <w:rsid w:val="00D16F53"/>
    <w:rsid w:val="00D1703E"/>
    <w:rsid w:val="00D17293"/>
    <w:rsid w:val="00D17349"/>
    <w:rsid w:val="00D1782E"/>
    <w:rsid w:val="00D17F59"/>
    <w:rsid w:val="00D2003C"/>
    <w:rsid w:val="00D20129"/>
    <w:rsid w:val="00D201D8"/>
    <w:rsid w:val="00D20255"/>
    <w:rsid w:val="00D2025E"/>
    <w:rsid w:val="00D202B9"/>
    <w:rsid w:val="00D204BD"/>
    <w:rsid w:val="00D20506"/>
    <w:rsid w:val="00D20563"/>
    <w:rsid w:val="00D205BD"/>
    <w:rsid w:val="00D209C7"/>
    <w:rsid w:val="00D20A33"/>
    <w:rsid w:val="00D20A96"/>
    <w:rsid w:val="00D20AAA"/>
    <w:rsid w:val="00D20E32"/>
    <w:rsid w:val="00D20F1B"/>
    <w:rsid w:val="00D21015"/>
    <w:rsid w:val="00D21044"/>
    <w:rsid w:val="00D21356"/>
    <w:rsid w:val="00D213A5"/>
    <w:rsid w:val="00D2161B"/>
    <w:rsid w:val="00D21666"/>
    <w:rsid w:val="00D217BC"/>
    <w:rsid w:val="00D2185F"/>
    <w:rsid w:val="00D21913"/>
    <w:rsid w:val="00D21993"/>
    <w:rsid w:val="00D21C39"/>
    <w:rsid w:val="00D21C48"/>
    <w:rsid w:val="00D21CD6"/>
    <w:rsid w:val="00D21EDF"/>
    <w:rsid w:val="00D21F35"/>
    <w:rsid w:val="00D21F6A"/>
    <w:rsid w:val="00D22028"/>
    <w:rsid w:val="00D22128"/>
    <w:rsid w:val="00D2226E"/>
    <w:rsid w:val="00D222CE"/>
    <w:rsid w:val="00D22416"/>
    <w:rsid w:val="00D22507"/>
    <w:rsid w:val="00D2257C"/>
    <w:rsid w:val="00D22581"/>
    <w:rsid w:val="00D225B6"/>
    <w:rsid w:val="00D226A6"/>
    <w:rsid w:val="00D228AF"/>
    <w:rsid w:val="00D22BDD"/>
    <w:rsid w:val="00D22BFB"/>
    <w:rsid w:val="00D22C17"/>
    <w:rsid w:val="00D22C88"/>
    <w:rsid w:val="00D22CB5"/>
    <w:rsid w:val="00D22D37"/>
    <w:rsid w:val="00D22DF9"/>
    <w:rsid w:val="00D22E4F"/>
    <w:rsid w:val="00D2321D"/>
    <w:rsid w:val="00D23262"/>
    <w:rsid w:val="00D232E5"/>
    <w:rsid w:val="00D233F7"/>
    <w:rsid w:val="00D238FD"/>
    <w:rsid w:val="00D23B89"/>
    <w:rsid w:val="00D23BCE"/>
    <w:rsid w:val="00D240C8"/>
    <w:rsid w:val="00D2427A"/>
    <w:rsid w:val="00D24511"/>
    <w:rsid w:val="00D2461A"/>
    <w:rsid w:val="00D2468D"/>
    <w:rsid w:val="00D2469A"/>
    <w:rsid w:val="00D24783"/>
    <w:rsid w:val="00D2486D"/>
    <w:rsid w:val="00D24FAA"/>
    <w:rsid w:val="00D25448"/>
    <w:rsid w:val="00D25661"/>
    <w:rsid w:val="00D2570A"/>
    <w:rsid w:val="00D2585B"/>
    <w:rsid w:val="00D25EC8"/>
    <w:rsid w:val="00D25F4C"/>
    <w:rsid w:val="00D2624C"/>
    <w:rsid w:val="00D26463"/>
    <w:rsid w:val="00D26590"/>
    <w:rsid w:val="00D2661F"/>
    <w:rsid w:val="00D26737"/>
    <w:rsid w:val="00D267E0"/>
    <w:rsid w:val="00D2685B"/>
    <w:rsid w:val="00D2687A"/>
    <w:rsid w:val="00D268BA"/>
    <w:rsid w:val="00D26942"/>
    <w:rsid w:val="00D26A31"/>
    <w:rsid w:val="00D26A9E"/>
    <w:rsid w:val="00D26C96"/>
    <w:rsid w:val="00D26E54"/>
    <w:rsid w:val="00D27050"/>
    <w:rsid w:val="00D2722C"/>
    <w:rsid w:val="00D274A0"/>
    <w:rsid w:val="00D27549"/>
    <w:rsid w:val="00D27650"/>
    <w:rsid w:val="00D27718"/>
    <w:rsid w:val="00D27991"/>
    <w:rsid w:val="00D27BD6"/>
    <w:rsid w:val="00D27CAA"/>
    <w:rsid w:val="00D305F4"/>
    <w:rsid w:val="00D30600"/>
    <w:rsid w:val="00D30A8A"/>
    <w:rsid w:val="00D30C9E"/>
    <w:rsid w:val="00D30DAD"/>
    <w:rsid w:val="00D30E18"/>
    <w:rsid w:val="00D30EB7"/>
    <w:rsid w:val="00D310D4"/>
    <w:rsid w:val="00D31120"/>
    <w:rsid w:val="00D31293"/>
    <w:rsid w:val="00D31302"/>
    <w:rsid w:val="00D314EC"/>
    <w:rsid w:val="00D31520"/>
    <w:rsid w:val="00D31634"/>
    <w:rsid w:val="00D31696"/>
    <w:rsid w:val="00D31742"/>
    <w:rsid w:val="00D31995"/>
    <w:rsid w:val="00D319B1"/>
    <w:rsid w:val="00D31AA4"/>
    <w:rsid w:val="00D31EF6"/>
    <w:rsid w:val="00D320BE"/>
    <w:rsid w:val="00D3234D"/>
    <w:rsid w:val="00D3269E"/>
    <w:rsid w:val="00D327C2"/>
    <w:rsid w:val="00D327FA"/>
    <w:rsid w:val="00D32833"/>
    <w:rsid w:val="00D328FC"/>
    <w:rsid w:val="00D3295B"/>
    <w:rsid w:val="00D329B4"/>
    <w:rsid w:val="00D32CAF"/>
    <w:rsid w:val="00D32DA9"/>
    <w:rsid w:val="00D32E7F"/>
    <w:rsid w:val="00D32EA5"/>
    <w:rsid w:val="00D32F95"/>
    <w:rsid w:val="00D33081"/>
    <w:rsid w:val="00D331E6"/>
    <w:rsid w:val="00D333B0"/>
    <w:rsid w:val="00D33449"/>
    <w:rsid w:val="00D33516"/>
    <w:rsid w:val="00D3366A"/>
    <w:rsid w:val="00D33821"/>
    <w:rsid w:val="00D33823"/>
    <w:rsid w:val="00D33937"/>
    <w:rsid w:val="00D33A2E"/>
    <w:rsid w:val="00D33C3E"/>
    <w:rsid w:val="00D33CE4"/>
    <w:rsid w:val="00D33D2C"/>
    <w:rsid w:val="00D33D97"/>
    <w:rsid w:val="00D33E57"/>
    <w:rsid w:val="00D34003"/>
    <w:rsid w:val="00D34281"/>
    <w:rsid w:val="00D3431B"/>
    <w:rsid w:val="00D344D7"/>
    <w:rsid w:val="00D345BA"/>
    <w:rsid w:val="00D346CF"/>
    <w:rsid w:val="00D34835"/>
    <w:rsid w:val="00D3485E"/>
    <w:rsid w:val="00D3493F"/>
    <w:rsid w:val="00D34ACF"/>
    <w:rsid w:val="00D34ADF"/>
    <w:rsid w:val="00D34AE5"/>
    <w:rsid w:val="00D34B58"/>
    <w:rsid w:val="00D34BD6"/>
    <w:rsid w:val="00D34BF6"/>
    <w:rsid w:val="00D3520C"/>
    <w:rsid w:val="00D353C3"/>
    <w:rsid w:val="00D355CA"/>
    <w:rsid w:val="00D355FC"/>
    <w:rsid w:val="00D35788"/>
    <w:rsid w:val="00D35969"/>
    <w:rsid w:val="00D359F7"/>
    <w:rsid w:val="00D35A53"/>
    <w:rsid w:val="00D35C92"/>
    <w:rsid w:val="00D35D13"/>
    <w:rsid w:val="00D35E6E"/>
    <w:rsid w:val="00D35EB2"/>
    <w:rsid w:val="00D360E1"/>
    <w:rsid w:val="00D361DB"/>
    <w:rsid w:val="00D36543"/>
    <w:rsid w:val="00D36544"/>
    <w:rsid w:val="00D36644"/>
    <w:rsid w:val="00D3669C"/>
    <w:rsid w:val="00D366F7"/>
    <w:rsid w:val="00D36814"/>
    <w:rsid w:val="00D36926"/>
    <w:rsid w:val="00D36C7A"/>
    <w:rsid w:val="00D36EE6"/>
    <w:rsid w:val="00D36F45"/>
    <w:rsid w:val="00D371B0"/>
    <w:rsid w:val="00D37263"/>
    <w:rsid w:val="00D37607"/>
    <w:rsid w:val="00D3775B"/>
    <w:rsid w:val="00D377A7"/>
    <w:rsid w:val="00D377FB"/>
    <w:rsid w:val="00D378AB"/>
    <w:rsid w:val="00D37954"/>
    <w:rsid w:val="00D37A36"/>
    <w:rsid w:val="00D37B3A"/>
    <w:rsid w:val="00D37B48"/>
    <w:rsid w:val="00D37DD6"/>
    <w:rsid w:val="00D37F4D"/>
    <w:rsid w:val="00D37F80"/>
    <w:rsid w:val="00D37FC5"/>
    <w:rsid w:val="00D4031F"/>
    <w:rsid w:val="00D40489"/>
    <w:rsid w:val="00D40797"/>
    <w:rsid w:val="00D407C9"/>
    <w:rsid w:val="00D40919"/>
    <w:rsid w:val="00D40935"/>
    <w:rsid w:val="00D40C35"/>
    <w:rsid w:val="00D40CDC"/>
    <w:rsid w:val="00D40E72"/>
    <w:rsid w:val="00D40EA4"/>
    <w:rsid w:val="00D40EE7"/>
    <w:rsid w:val="00D40F6E"/>
    <w:rsid w:val="00D40FE7"/>
    <w:rsid w:val="00D410CE"/>
    <w:rsid w:val="00D41185"/>
    <w:rsid w:val="00D4135C"/>
    <w:rsid w:val="00D41379"/>
    <w:rsid w:val="00D41387"/>
    <w:rsid w:val="00D415B1"/>
    <w:rsid w:val="00D41618"/>
    <w:rsid w:val="00D4161C"/>
    <w:rsid w:val="00D41649"/>
    <w:rsid w:val="00D417C3"/>
    <w:rsid w:val="00D41EBE"/>
    <w:rsid w:val="00D421CD"/>
    <w:rsid w:val="00D423DF"/>
    <w:rsid w:val="00D42410"/>
    <w:rsid w:val="00D42694"/>
    <w:rsid w:val="00D42809"/>
    <w:rsid w:val="00D42878"/>
    <w:rsid w:val="00D42B73"/>
    <w:rsid w:val="00D42D4A"/>
    <w:rsid w:val="00D430C7"/>
    <w:rsid w:val="00D43450"/>
    <w:rsid w:val="00D435FA"/>
    <w:rsid w:val="00D4361F"/>
    <w:rsid w:val="00D43639"/>
    <w:rsid w:val="00D437EF"/>
    <w:rsid w:val="00D43813"/>
    <w:rsid w:val="00D438D1"/>
    <w:rsid w:val="00D43A6C"/>
    <w:rsid w:val="00D43AEC"/>
    <w:rsid w:val="00D43D10"/>
    <w:rsid w:val="00D43E3B"/>
    <w:rsid w:val="00D43F58"/>
    <w:rsid w:val="00D43F6F"/>
    <w:rsid w:val="00D440F0"/>
    <w:rsid w:val="00D44164"/>
    <w:rsid w:val="00D44404"/>
    <w:rsid w:val="00D44622"/>
    <w:rsid w:val="00D446FB"/>
    <w:rsid w:val="00D447A0"/>
    <w:rsid w:val="00D44891"/>
    <w:rsid w:val="00D448AB"/>
    <w:rsid w:val="00D449F7"/>
    <w:rsid w:val="00D44B78"/>
    <w:rsid w:val="00D44BA0"/>
    <w:rsid w:val="00D44C14"/>
    <w:rsid w:val="00D4503D"/>
    <w:rsid w:val="00D4505C"/>
    <w:rsid w:val="00D450B4"/>
    <w:rsid w:val="00D451FB"/>
    <w:rsid w:val="00D45265"/>
    <w:rsid w:val="00D4527E"/>
    <w:rsid w:val="00D452CE"/>
    <w:rsid w:val="00D453DF"/>
    <w:rsid w:val="00D454BD"/>
    <w:rsid w:val="00D454BF"/>
    <w:rsid w:val="00D4551C"/>
    <w:rsid w:val="00D45580"/>
    <w:rsid w:val="00D4559E"/>
    <w:rsid w:val="00D45666"/>
    <w:rsid w:val="00D458F5"/>
    <w:rsid w:val="00D45AD8"/>
    <w:rsid w:val="00D45D56"/>
    <w:rsid w:val="00D45E86"/>
    <w:rsid w:val="00D45EED"/>
    <w:rsid w:val="00D460F0"/>
    <w:rsid w:val="00D46294"/>
    <w:rsid w:val="00D4637D"/>
    <w:rsid w:val="00D46518"/>
    <w:rsid w:val="00D468CB"/>
    <w:rsid w:val="00D46A29"/>
    <w:rsid w:val="00D46AAA"/>
    <w:rsid w:val="00D46ABF"/>
    <w:rsid w:val="00D46C9C"/>
    <w:rsid w:val="00D46E24"/>
    <w:rsid w:val="00D46F77"/>
    <w:rsid w:val="00D4707E"/>
    <w:rsid w:val="00D4710B"/>
    <w:rsid w:val="00D47221"/>
    <w:rsid w:val="00D4724B"/>
    <w:rsid w:val="00D47629"/>
    <w:rsid w:val="00D47822"/>
    <w:rsid w:val="00D4786D"/>
    <w:rsid w:val="00D478C5"/>
    <w:rsid w:val="00D47C51"/>
    <w:rsid w:val="00D47CC3"/>
    <w:rsid w:val="00D47EE0"/>
    <w:rsid w:val="00D47F66"/>
    <w:rsid w:val="00D50145"/>
    <w:rsid w:val="00D5037B"/>
    <w:rsid w:val="00D5046A"/>
    <w:rsid w:val="00D505D7"/>
    <w:rsid w:val="00D50642"/>
    <w:rsid w:val="00D507A8"/>
    <w:rsid w:val="00D509AC"/>
    <w:rsid w:val="00D50B9B"/>
    <w:rsid w:val="00D50D9E"/>
    <w:rsid w:val="00D50DBB"/>
    <w:rsid w:val="00D50F12"/>
    <w:rsid w:val="00D50F2F"/>
    <w:rsid w:val="00D510DE"/>
    <w:rsid w:val="00D511E3"/>
    <w:rsid w:val="00D51369"/>
    <w:rsid w:val="00D5151F"/>
    <w:rsid w:val="00D515DA"/>
    <w:rsid w:val="00D51775"/>
    <w:rsid w:val="00D51827"/>
    <w:rsid w:val="00D5184A"/>
    <w:rsid w:val="00D5189A"/>
    <w:rsid w:val="00D5189E"/>
    <w:rsid w:val="00D518FA"/>
    <w:rsid w:val="00D51C1F"/>
    <w:rsid w:val="00D51E2C"/>
    <w:rsid w:val="00D51E2E"/>
    <w:rsid w:val="00D51E5B"/>
    <w:rsid w:val="00D51FC9"/>
    <w:rsid w:val="00D5212F"/>
    <w:rsid w:val="00D522BB"/>
    <w:rsid w:val="00D523F4"/>
    <w:rsid w:val="00D52412"/>
    <w:rsid w:val="00D5242A"/>
    <w:rsid w:val="00D52494"/>
    <w:rsid w:val="00D524FC"/>
    <w:rsid w:val="00D527C3"/>
    <w:rsid w:val="00D52F18"/>
    <w:rsid w:val="00D531A1"/>
    <w:rsid w:val="00D53495"/>
    <w:rsid w:val="00D534CE"/>
    <w:rsid w:val="00D534E8"/>
    <w:rsid w:val="00D5351E"/>
    <w:rsid w:val="00D53683"/>
    <w:rsid w:val="00D53688"/>
    <w:rsid w:val="00D53692"/>
    <w:rsid w:val="00D536EE"/>
    <w:rsid w:val="00D5384A"/>
    <w:rsid w:val="00D5385B"/>
    <w:rsid w:val="00D53893"/>
    <w:rsid w:val="00D53A61"/>
    <w:rsid w:val="00D53A62"/>
    <w:rsid w:val="00D53D82"/>
    <w:rsid w:val="00D53EC5"/>
    <w:rsid w:val="00D53FA7"/>
    <w:rsid w:val="00D540AA"/>
    <w:rsid w:val="00D541D6"/>
    <w:rsid w:val="00D5425B"/>
    <w:rsid w:val="00D542A7"/>
    <w:rsid w:val="00D545ED"/>
    <w:rsid w:val="00D54A9E"/>
    <w:rsid w:val="00D55055"/>
    <w:rsid w:val="00D551AE"/>
    <w:rsid w:val="00D551CB"/>
    <w:rsid w:val="00D5534B"/>
    <w:rsid w:val="00D5534F"/>
    <w:rsid w:val="00D5535A"/>
    <w:rsid w:val="00D5538E"/>
    <w:rsid w:val="00D554AE"/>
    <w:rsid w:val="00D554D2"/>
    <w:rsid w:val="00D5552D"/>
    <w:rsid w:val="00D55721"/>
    <w:rsid w:val="00D55780"/>
    <w:rsid w:val="00D5583A"/>
    <w:rsid w:val="00D55B95"/>
    <w:rsid w:val="00D55D0F"/>
    <w:rsid w:val="00D55E52"/>
    <w:rsid w:val="00D55F09"/>
    <w:rsid w:val="00D56012"/>
    <w:rsid w:val="00D5621D"/>
    <w:rsid w:val="00D56491"/>
    <w:rsid w:val="00D564CD"/>
    <w:rsid w:val="00D564FD"/>
    <w:rsid w:val="00D56541"/>
    <w:rsid w:val="00D56562"/>
    <w:rsid w:val="00D56612"/>
    <w:rsid w:val="00D56621"/>
    <w:rsid w:val="00D5680A"/>
    <w:rsid w:val="00D5691D"/>
    <w:rsid w:val="00D56A17"/>
    <w:rsid w:val="00D56A50"/>
    <w:rsid w:val="00D56BA0"/>
    <w:rsid w:val="00D56DF1"/>
    <w:rsid w:val="00D56EBA"/>
    <w:rsid w:val="00D56EE5"/>
    <w:rsid w:val="00D56FA0"/>
    <w:rsid w:val="00D570AD"/>
    <w:rsid w:val="00D57172"/>
    <w:rsid w:val="00D5717A"/>
    <w:rsid w:val="00D57235"/>
    <w:rsid w:val="00D572CC"/>
    <w:rsid w:val="00D573BA"/>
    <w:rsid w:val="00D57411"/>
    <w:rsid w:val="00D5744B"/>
    <w:rsid w:val="00D5772F"/>
    <w:rsid w:val="00D577AB"/>
    <w:rsid w:val="00D57924"/>
    <w:rsid w:val="00D579D2"/>
    <w:rsid w:val="00D57C07"/>
    <w:rsid w:val="00D57C84"/>
    <w:rsid w:val="00D57C97"/>
    <w:rsid w:val="00D57D65"/>
    <w:rsid w:val="00D57DDF"/>
    <w:rsid w:val="00D57E27"/>
    <w:rsid w:val="00D57F02"/>
    <w:rsid w:val="00D57F78"/>
    <w:rsid w:val="00D57FC3"/>
    <w:rsid w:val="00D6007D"/>
    <w:rsid w:val="00D60113"/>
    <w:rsid w:val="00D603A3"/>
    <w:rsid w:val="00D6042D"/>
    <w:rsid w:val="00D607DA"/>
    <w:rsid w:val="00D60AC9"/>
    <w:rsid w:val="00D60B59"/>
    <w:rsid w:val="00D60B5C"/>
    <w:rsid w:val="00D60BF4"/>
    <w:rsid w:val="00D60C4E"/>
    <w:rsid w:val="00D60DDC"/>
    <w:rsid w:val="00D60E27"/>
    <w:rsid w:val="00D60F54"/>
    <w:rsid w:val="00D60FE3"/>
    <w:rsid w:val="00D611BE"/>
    <w:rsid w:val="00D611D7"/>
    <w:rsid w:val="00D616F4"/>
    <w:rsid w:val="00D6179E"/>
    <w:rsid w:val="00D617C6"/>
    <w:rsid w:val="00D61A9C"/>
    <w:rsid w:val="00D61B03"/>
    <w:rsid w:val="00D61B45"/>
    <w:rsid w:val="00D61BFB"/>
    <w:rsid w:val="00D61C4C"/>
    <w:rsid w:val="00D61CB0"/>
    <w:rsid w:val="00D62144"/>
    <w:rsid w:val="00D62335"/>
    <w:rsid w:val="00D62478"/>
    <w:rsid w:val="00D6248A"/>
    <w:rsid w:val="00D625DC"/>
    <w:rsid w:val="00D626B8"/>
    <w:rsid w:val="00D626CC"/>
    <w:rsid w:val="00D62762"/>
    <w:rsid w:val="00D627BE"/>
    <w:rsid w:val="00D62989"/>
    <w:rsid w:val="00D62DE4"/>
    <w:rsid w:val="00D62EC2"/>
    <w:rsid w:val="00D62F43"/>
    <w:rsid w:val="00D62F7A"/>
    <w:rsid w:val="00D632B2"/>
    <w:rsid w:val="00D63506"/>
    <w:rsid w:val="00D63731"/>
    <w:rsid w:val="00D63980"/>
    <w:rsid w:val="00D63DB2"/>
    <w:rsid w:val="00D63F2F"/>
    <w:rsid w:val="00D63F33"/>
    <w:rsid w:val="00D63F55"/>
    <w:rsid w:val="00D6429F"/>
    <w:rsid w:val="00D64357"/>
    <w:rsid w:val="00D643B5"/>
    <w:rsid w:val="00D64403"/>
    <w:rsid w:val="00D6459E"/>
    <w:rsid w:val="00D64688"/>
    <w:rsid w:val="00D646AD"/>
    <w:rsid w:val="00D646E9"/>
    <w:rsid w:val="00D6478A"/>
    <w:rsid w:val="00D6487D"/>
    <w:rsid w:val="00D64B6E"/>
    <w:rsid w:val="00D64BC7"/>
    <w:rsid w:val="00D64C0E"/>
    <w:rsid w:val="00D64C8A"/>
    <w:rsid w:val="00D64DD8"/>
    <w:rsid w:val="00D64EA1"/>
    <w:rsid w:val="00D64F31"/>
    <w:rsid w:val="00D64F98"/>
    <w:rsid w:val="00D64FD6"/>
    <w:rsid w:val="00D65A07"/>
    <w:rsid w:val="00D65BA7"/>
    <w:rsid w:val="00D65BBD"/>
    <w:rsid w:val="00D65BBE"/>
    <w:rsid w:val="00D65BBF"/>
    <w:rsid w:val="00D65BD7"/>
    <w:rsid w:val="00D65DD1"/>
    <w:rsid w:val="00D65E1D"/>
    <w:rsid w:val="00D66028"/>
    <w:rsid w:val="00D66094"/>
    <w:rsid w:val="00D661EA"/>
    <w:rsid w:val="00D66205"/>
    <w:rsid w:val="00D663A6"/>
    <w:rsid w:val="00D663E3"/>
    <w:rsid w:val="00D66437"/>
    <w:rsid w:val="00D66670"/>
    <w:rsid w:val="00D666B2"/>
    <w:rsid w:val="00D666B4"/>
    <w:rsid w:val="00D66850"/>
    <w:rsid w:val="00D66D62"/>
    <w:rsid w:val="00D66EE2"/>
    <w:rsid w:val="00D66F32"/>
    <w:rsid w:val="00D67003"/>
    <w:rsid w:val="00D67010"/>
    <w:rsid w:val="00D67290"/>
    <w:rsid w:val="00D672AC"/>
    <w:rsid w:val="00D672F5"/>
    <w:rsid w:val="00D6757B"/>
    <w:rsid w:val="00D6794C"/>
    <w:rsid w:val="00D67960"/>
    <w:rsid w:val="00D67B14"/>
    <w:rsid w:val="00D67CD4"/>
    <w:rsid w:val="00D67D5B"/>
    <w:rsid w:val="00D67F01"/>
    <w:rsid w:val="00D7009F"/>
    <w:rsid w:val="00D701C3"/>
    <w:rsid w:val="00D703F2"/>
    <w:rsid w:val="00D70503"/>
    <w:rsid w:val="00D705BC"/>
    <w:rsid w:val="00D70646"/>
    <w:rsid w:val="00D7066C"/>
    <w:rsid w:val="00D70728"/>
    <w:rsid w:val="00D708F1"/>
    <w:rsid w:val="00D70C31"/>
    <w:rsid w:val="00D70D03"/>
    <w:rsid w:val="00D70EDD"/>
    <w:rsid w:val="00D70FC5"/>
    <w:rsid w:val="00D70FCD"/>
    <w:rsid w:val="00D71010"/>
    <w:rsid w:val="00D712CE"/>
    <w:rsid w:val="00D714D4"/>
    <w:rsid w:val="00D71570"/>
    <w:rsid w:val="00D7163E"/>
    <w:rsid w:val="00D71650"/>
    <w:rsid w:val="00D7186D"/>
    <w:rsid w:val="00D7190B"/>
    <w:rsid w:val="00D71AAB"/>
    <w:rsid w:val="00D71BC0"/>
    <w:rsid w:val="00D71DFB"/>
    <w:rsid w:val="00D71F40"/>
    <w:rsid w:val="00D71F78"/>
    <w:rsid w:val="00D7212C"/>
    <w:rsid w:val="00D72153"/>
    <w:rsid w:val="00D721AB"/>
    <w:rsid w:val="00D722BD"/>
    <w:rsid w:val="00D723DD"/>
    <w:rsid w:val="00D72714"/>
    <w:rsid w:val="00D7283C"/>
    <w:rsid w:val="00D728C4"/>
    <w:rsid w:val="00D72B01"/>
    <w:rsid w:val="00D72DAB"/>
    <w:rsid w:val="00D72EE4"/>
    <w:rsid w:val="00D72F4B"/>
    <w:rsid w:val="00D7330D"/>
    <w:rsid w:val="00D733AC"/>
    <w:rsid w:val="00D7341F"/>
    <w:rsid w:val="00D73430"/>
    <w:rsid w:val="00D73503"/>
    <w:rsid w:val="00D73505"/>
    <w:rsid w:val="00D73811"/>
    <w:rsid w:val="00D73A75"/>
    <w:rsid w:val="00D73A7C"/>
    <w:rsid w:val="00D73A94"/>
    <w:rsid w:val="00D73A9D"/>
    <w:rsid w:val="00D73B40"/>
    <w:rsid w:val="00D73BBB"/>
    <w:rsid w:val="00D73CE9"/>
    <w:rsid w:val="00D73D6E"/>
    <w:rsid w:val="00D73EEB"/>
    <w:rsid w:val="00D73FC5"/>
    <w:rsid w:val="00D74055"/>
    <w:rsid w:val="00D740A5"/>
    <w:rsid w:val="00D741AC"/>
    <w:rsid w:val="00D741BC"/>
    <w:rsid w:val="00D741D5"/>
    <w:rsid w:val="00D744E9"/>
    <w:rsid w:val="00D747E4"/>
    <w:rsid w:val="00D748A8"/>
    <w:rsid w:val="00D7498E"/>
    <w:rsid w:val="00D74A5C"/>
    <w:rsid w:val="00D74B60"/>
    <w:rsid w:val="00D74CC8"/>
    <w:rsid w:val="00D74DF1"/>
    <w:rsid w:val="00D74E6D"/>
    <w:rsid w:val="00D74E82"/>
    <w:rsid w:val="00D74F74"/>
    <w:rsid w:val="00D74FC3"/>
    <w:rsid w:val="00D750D5"/>
    <w:rsid w:val="00D7517F"/>
    <w:rsid w:val="00D7521B"/>
    <w:rsid w:val="00D7527F"/>
    <w:rsid w:val="00D75475"/>
    <w:rsid w:val="00D756AD"/>
    <w:rsid w:val="00D757E6"/>
    <w:rsid w:val="00D758B1"/>
    <w:rsid w:val="00D75D5C"/>
    <w:rsid w:val="00D75D67"/>
    <w:rsid w:val="00D75EC5"/>
    <w:rsid w:val="00D7607A"/>
    <w:rsid w:val="00D760B1"/>
    <w:rsid w:val="00D76161"/>
    <w:rsid w:val="00D76237"/>
    <w:rsid w:val="00D7629E"/>
    <w:rsid w:val="00D762AA"/>
    <w:rsid w:val="00D7641E"/>
    <w:rsid w:val="00D764DE"/>
    <w:rsid w:val="00D7652B"/>
    <w:rsid w:val="00D769AF"/>
    <w:rsid w:val="00D769EB"/>
    <w:rsid w:val="00D76C39"/>
    <w:rsid w:val="00D76D3F"/>
    <w:rsid w:val="00D76D62"/>
    <w:rsid w:val="00D76DBD"/>
    <w:rsid w:val="00D771B8"/>
    <w:rsid w:val="00D77461"/>
    <w:rsid w:val="00D777BC"/>
    <w:rsid w:val="00D77808"/>
    <w:rsid w:val="00D77AEA"/>
    <w:rsid w:val="00D77C18"/>
    <w:rsid w:val="00D77D2C"/>
    <w:rsid w:val="00D77D65"/>
    <w:rsid w:val="00D77DE1"/>
    <w:rsid w:val="00D8005D"/>
    <w:rsid w:val="00D80139"/>
    <w:rsid w:val="00D8023D"/>
    <w:rsid w:val="00D80599"/>
    <w:rsid w:val="00D805C0"/>
    <w:rsid w:val="00D808FD"/>
    <w:rsid w:val="00D809F8"/>
    <w:rsid w:val="00D80A3E"/>
    <w:rsid w:val="00D80B63"/>
    <w:rsid w:val="00D80C12"/>
    <w:rsid w:val="00D80C30"/>
    <w:rsid w:val="00D80CB1"/>
    <w:rsid w:val="00D81274"/>
    <w:rsid w:val="00D812F1"/>
    <w:rsid w:val="00D813A4"/>
    <w:rsid w:val="00D817BA"/>
    <w:rsid w:val="00D8195F"/>
    <w:rsid w:val="00D81B63"/>
    <w:rsid w:val="00D81B64"/>
    <w:rsid w:val="00D81BFB"/>
    <w:rsid w:val="00D81C73"/>
    <w:rsid w:val="00D81C75"/>
    <w:rsid w:val="00D81C8A"/>
    <w:rsid w:val="00D81DEC"/>
    <w:rsid w:val="00D81EE3"/>
    <w:rsid w:val="00D81F8D"/>
    <w:rsid w:val="00D820B4"/>
    <w:rsid w:val="00D82147"/>
    <w:rsid w:val="00D82299"/>
    <w:rsid w:val="00D82472"/>
    <w:rsid w:val="00D8256C"/>
    <w:rsid w:val="00D829E6"/>
    <w:rsid w:val="00D82AFD"/>
    <w:rsid w:val="00D82B5A"/>
    <w:rsid w:val="00D82B8E"/>
    <w:rsid w:val="00D82D29"/>
    <w:rsid w:val="00D82DCF"/>
    <w:rsid w:val="00D82EBF"/>
    <w:rsid w:val="00D82F59"/>
    <w:rsid w:val="00D83039"/>
    <w:rsid w:val="00D8336E"/>
    <w:rsid w:val="00D837FD"/>
    <w:rsid w:val="00D8387E"/>
    <w:rsid w:val="00D83A1E"/>
    <w:rsid w:val="00D83ABC"/>
    <w:rsid w:val="00D83FA3"/>
    <w:rsid w:val="00D84290"/>
    <w:rsid w:val="00D842C7"/>
    <w:rsid w:val="00D84396"/>
    <w:rsid w:val="00D846CD"/>
    <w:rsid w:val="00D847F5"/>
    <w:rsid w:val="00D8498A"/>
    <w:rsid w:val="00D84999"/>
    <w:rsid w:val="00D84B38"/>
    <w:rsid w:val="00D85123"/>
    <w:rsid w:val="00D852FF"/>
    <w:rsid w:val="00D85393"/>
    <w:rsid w:val="00D85436"/>
    <w:rsid w:val="00D854AD"/>
    <w:rsid w:val="00D854BB"/>
    <w:rsid w:val="00D855C0"/>
    <w:rsid w:val="00D857FE"/>
    <w:rsid w:val="00D85809"/>
    <w:rsid w:val="00D8583A"/>
    <w:rsid w:val="00D8584F"/>
    <w:rsid w:val="00D85863"/>
    <w:rsid w:val="00D85895"/>
    <w:rsid w:val="00D858B8"/>
    <w:rsid w:val="00D8598F"/>
    <w:rsid w:val="00D85ABA"/>
    <w:rsid w:val="00D85AFC"/>
    <w:rsid w:val="00D85B09"/>
    <w:rsid w:val="00D85C19"/>
    <w:rsid w:val="00D85CFD"/>
    <w:rsid w:val="00D85DDA"/>
    <w:rsid w:val="00D8608E"/>
    <w:rsid w:val="00D8624D"/>
    <w:rsid w:val="00D86282"/>
    <w:rsid w:val="00D86407"/>
    <w:rsid w:val="00D86508"/>
    <w:rsid w:val="00D866FA"/>
    <w:rsid w:val="00D86815"/>
    <w:rsid w:val="00D86D61"/>
    <w:rsid w:val="00D87000"/>
    <w:rsid w:val="00D87051"/>
    <w:rsid w:val="00D870B7"/>
    <w:rsid w:val="00D870E4"/>
    <w:rsid w:val="00D8722B"/>
    <w:rsid w:val="00D87304"/>
    <w:rsid w:val="00D874C1"/>
    <w:rsid w:val="00D87682"/>
    <w:rsid w:val="00D877A6"/>
    <w:rsid w:val="00D878B9"/>
    <w:rsid w:val="00D87CDE"/>
    <w:rsid w:val="00D87EA4"/>
    <w:rsid w:val="00D90088"/>
    <w:rsid w:val="00D90153"/>
    <w:rsid w:val="00D90168"/>
    <w:rsid w:val="00D90395"/>
    <w:rsid w:val="00D903C5"/>
    <w:rsid w:val="00D903EF"/>
    <w:rsid w:val="00D90549"/>
    <w:rsid w:val="00D90694"/>
    <w:rsid w:val="00D90838"/>
    <w:rsid w:val="00D90988"/>
    <w:rsid w:val="00D90A31"/>
    <w:rsid w:val="00D90B91"/>
    <w:rsid w:val="00D90CB6"/>
    <w:rsid w:val="00D90D50"/>
    <w:rsid w:val="00D90E8A"/>
    <w:rsid w:val="00D912E5"/>
    <w:rsid w:val="00D91315"/>
    <w:rsid w:val="00D91440"/>
    <w:rsid w:val="00D9145B"/>
    <w:rsid w:val="00D914BF"/>
    <w:rsid w:val="00D9156F"/>
    <w:rsid w:val="00D915EB"/>
    <w:rsid w:val="00D91667"/>
    <w:rsid w:val="00D9169D"/>
    <w:rsid w:val="00D916DB"/>
    <w:rsid w:val="00D9170C"/>
    <w:rsid w:val="00D917B5"/>
    <w:rsid w:val="00D917DE"/>
    <w:rsid w:val="00D91975"/>
    <w:rsid w:val="00D91A2D"/>
    <w:rsid w:val="00D91A9D"/>
    <w:rsid w:val="00D91B51"/>
    <w:rsid w:val="00D91B52"/>
    <w:rsid w:val="00D91B74"/>
    <w:rsid w:val="00D91C9C"/>
    <w:rsid w:val="00D91DDA"/>
    <w:rsid w:val="00D92164"/>
    <w:rsid w:val="00D921DD"/>
    <w:rsid w:val="00D92207"/>
    <w:rsid w:val="00D9222C"/>
    <w:rsid w:val="00D92377"/>
    <w:rsid w:val="00D924E4"/>
    <w:rsid w:val="00D92783"/>
    <w:rsid w:val="00D92963"/>
    <w:rsid w:val="00D929F5"/>
    <w:rsid w:val="00D92FD9"/>
    <w:rsid w:val="00D9308A"/>
    <w:rsid w:val="00D936A4"/>
    <w:rsid w:val="00D93717"/>
    <w:rsid w:val="00D93836"/>
    <w:rsid w:val="00D93977"/>
    <w:rsid w:val="00D939A1"/>
    <w:rsid w:val="00D93B3E"/>
    <w:rsid w:val="00D93B53"/>
    <w:rsid w:val="00D93D35"/>
    <w:rsid w:val="00D93D7D"/>
    <w:rsid w:val="00D93DD8"/>
    <w:rsid w:val="00D93F44"/>
    <w:rsid w:val="00D93F54"/>
    <w:rsid w:val="00D93FF3"/>
    <w:rsid w:val="00D93FF4"/>
    <w:rsid w:val="00D9444E"/>
    <w:rsid w:val="00D9454A"/>
    <w:rsid w:val="00D94560"/>
    <w:rsid w:val="00D9457E"/>
    <w:rsid w:val="00D94638"/>
    <w:rsid w:val="00D94692"/>
    <w:rsid w:val="00D949D1"/>
    <w:rsid w:val="00D94B0D"/>
    <w:rsid w:val="00D94CF4"/>
    <w:rsid w:val="00D94EF8"/>
    <w:rsid w:val="00D950A3"/>
    <w:rsid w:val="00D950C3"/>
    <w:rsid w:val="00D95503"/>
    <w:rsid w:val="00D95585"/>
    <w:rsid w:val="00D9569E"/>
    <w:rsid w:val="00D9579B"/>
    <w:rsid w:val="00D957D5"/>
    <w:rsid w:val="00D95807"/>
    <w:rsid w:val="00D9594C"/>
    <w:rsid w:val="00D95965"/>
    <w:rsid w:val="00D95B09"/>
    <w:rsid w:val="00D95B18"/>
    <w:rsid w:val="00D95BB9"/>
    <w:rsid w:val="00D95BE8"/>
    <w:rsid w:val="00D95BF2"/>
    <w:rsid w:val="00D95D01"/>
    <w:rsid w:val="00D95EA5"/>
    <w:rsid w:val="00D95EBE"/>
    <w:rsid w:val="00D95F5B"/>
    <w:rsid w:val="00D9625B"/>
    <w:rsid w:val="00D96571"/>
    <w:rsid w:val="00D966A8"/>
    <w:rsid w:val="00D966AA"/>
    <w:rsid w:val="00D969D5"/>
    <w:rsid w:val="00D96A1D"/>
    <w:rsid w:val="00D96A3F"/>
    <w:rsid w:val="00D96B48"/>
    <w:rsid w:val="00D96B71"/>
    <w:rsid w:val="00D96C08"/>
    <w:rsid w:val="00D96C5B"/>
    <w:rsid w:val="00D96CA1"/>
    <w:rsid w:val="00D96D40"/>
    <w:rsid w:val="00D96D99"/>
    <w:rsid w:val="00D96EEA"/>
    <w:rsid w:val="00D970F2"/>
    <w:rsid w:val="00D97374"/>
    <w:rsid w:val="00D97417"/>
    <w:rsid w:val="00D976F9"/>
    <w:rsid w:val="00D9771A"/>
    <w:rsid w:val="00D97BBC"/>
    <w:rsid w:val="00D97C34"/>
    <w:rsid w:val="00D97D59"/>
    <w:rsid w:val="00D97D65"/>
    <w:rsid w:val="00D97D78"/>
    <w:rsid w:val="00D97E94"/>
    <w:rsid w:val="00D97F00"/>
    <w:rsid w:val="00D97F29"/>
    <w:rsid w:val="00D97F67"/>
    <w:rsid w:val="00DA008E"/>
    <w:rsid w:val="00DA008F"/>
    <w:rsid w:val="00DA02B2"/>
    <w:rsid w:val="00DA02D5"/>
    <w:rsid w:val="00DA034F"/>
    <w:rsid w:val="00DA0443"/>
    <w:rsid w:val="00DA05E9"/>
    <w:rsid w:val="00DA0AC7"/>
    <w:rsid w:val="00DA0B17"/>
    <w:rsid w:val="00DA0B63"/>
    <w:rsid w:val="00DA0B8F"/>
    <w:rsid w:val="00DA0C1B"/>
    <w:rsid w:val="00DA0C39"/>
    <w:rsid w:val="00DA0FCA"/>
    <w:rsid w:val="00DA1254"/>
    <w:rsid w:val="00DA1419"/>
    <w:rsid w:val="00DA1478"/>
    <w:rsid w:val="00DA1800"/>
    <w:rsid w:val="00DA192F"/>
    <w:rsid w:val="00DA1AF6"/>
    <w:rsid w:val="00DA1B76"/>
    <w:rsid w:val="00DA1B7F"/>
    <w:rsid w:val="00DA1C83"/>
    <w:rsid w:val="00DA1CC6"/>
    <w:rsid w:val="00DA1EDD"/>
    <w:rsid w:val="00DA1F6E"/>
    <w:rsid w:val="00DA2272"/>
    <w:rsid w:val="00DA2302"/>
    <w:rsid w:val="00DA2324"/>
    <w:rsid w:val="00DA2379"/>
    <w:rsid w:val="00DA2596"/>
    <w:rsid w:val="00DA25AE"/>
    <w:rsid w:val="00DA26DD"/>
    <w:rsid w:val="00DA2736"/>
    <w:rsid w:val="00DA2912"/>
    <w:rsid w:val="00DA2935"/>
    <w:rsid w:val="00DA2E4F"/>
    <w:rsid w:val="00DA2E57"/>
    <w:rsid w:val="00DA2FB2"/>
    <w:rsid w:val="00DA3221"/>
    <w:rsid w:val="00DA3422"/>
    <w:rsid w:val="00DA36FB"/>
    <w:rsid w:val="00DA37E0"/>
    <w:rsid w:val="00DA386E"/>
    <w:rsid w:val="00DA3A5A"/>
    <w:rsid w:val="00DA3ACF"/>
    <w:rsid w:val="00DA3B29"/>
    <w:rsid w:val="00DA3BC3"/>
    <w:rsid w:val="00DA3C9F"/>
    <w:rsid w:val="00DA3F35"/>
    <w:rsid w:val="00DA4061"/>
    <w:rsid w:val="00DA40C7"/>
    <w:rsid w:val="00DA42D6"/>
    <w:rsid w:val="00DA439A"/>
    <w:rsid w:val="00DA44AC"/>
    <w:rsid w:val="00DA4563"/>
    <w:rsid w:val="00DA4693"/>
    <w:rsid w:val="00DA473C"/>
    <w:rsid w:val="00DA4A7C"/>
    <w:rsid w:val="00DA50A3"/>
    <w:rsid w:val="00DA51B8"/>
    <w:rsid w:val="00DA51EB"/>
    <w:rsid w:val="00DA5223"/>
    <w:rsid w:val="00DA522D"/>
    <w:rsid w:val="00DA527A"/>
    <w:rsid w:val="00DA52CB"/>
    <w:rsid w:val="00DA53AF"/>
    <w:rsid w:val="00DA543E"/>
    <w:rsid w:val="00DA5449"/>
    <w:rsid w:val="00DA547E"/>
    <w:rsid w:val="00DA57FF"/>
    <w:rsid w:val="00DA5918"/>
    <w:rsid w:val="00DA5957"/>
    <w:rsid w:val="00DA5959"/>
    <w:rsid w:val="00DA5A69"/>
    <w:rsid w:val="00DA5D11"/>
    <w:rsid w:val="00DA5E49"/>
    <w:rsid w:val="00DA5EFF"/>
    <w:rsid w:val="00DA60C8"/>
    <w:rsid w:val="00DA60F6"/>
    <w:rsid w:val="00DA6701"/>
    <w:rsid w:val="00DA6765"/>
    <w:rsid w:val="00DA6888"/>
    <w:rsid w:val="00DA6AC9"/>
    <w:rsid w:val="00DA6B67"/>
    <w:rsid w:val="00DA6F39"/>
    <w:rsid w:val="00DA7043"/>
    <w:rsid w:val="00DA71E9"/>
    <w:rsid w:val="00DA721B"/>
    <w:rsid w:val="00DA737F"/>
    <w:rsid w:val="00DA74CB"/>
    <w:rsid w:val="00DA74D3"/>
    <w:rsid w:val="00DA776E"/>
    <w:rsid w:val="00DA779A"/>
    <w:rsid w:val="00DA77FB"/>
    <w:rsid w:val="00DA7A8C"/>
    <w:rsid w:val="00DA7A97"/>
    <w:rsid w:val="00DA7BD0"/>
    <w:rsid w:val="00DA7C31"/>
    <w:rsid w:val="00DA7C43"/>
    <w:rsid w:val="00DA7F08"/>
    <w:rsid w:val="00DA7FB6"/>
    <w:rsid w:val="00DB01CA"/>
    <w:rsid w:val="00DB02F7"/>
    <w:rsid w:val="00DB06D1"/>
    <w:rsid w:val="00DB0EEF"/>
    <w:rsid w:val="00DB0F63"/>
    <w:rsid w:val="00DB1204"/>
    <w:rsid w:val="00DB1264"/>
    <w:rsid w:val="00DB1377"/>
    <w:rsid w:val="00DB137F"/>
    <w:rsid w:val="00DB13D0"/>
    <w:rsid w:val="00DB1406"/>
    <w:rsid w:val="00DB157A"/>
    <w:rsid w:val="00DB15DD"/>
    <w:rsid w:val="00DB177F"/>
    <w:rsid w:val="00DB18AD"/>
    <w:rsid w:val="00DB1AE9"/>
    <w:rsid w:val="00DB1B79"/>
    <w:rsid w:val="00DB1B80"/>
    <w:rsid w:val="00DB1C09"/>
    <w:rsid w:val="00DB1DC3"/>
    <w:rsid w:val="00DB1F63"/>
    <w:rsid w:val="00DB1FD1"/>
    <w:rsid w:val="00DB2048"/>
    <w:rsid w:val="00DB2065"/>
    <w:rsid w:val="00DB228D"/>
    <w:rsid w:val="00DB242E"/>
    <w:rsid w:val="00DB2490"/>
    <w:rsid w:val="00DB24DC"/>
    <w:rsid w:val="00DB2511"/>
    <w:rsid w:val="00DB2519"/>
    <w:rsid w:val="00DB255A"/>
    <w:rsid w:val="00DB26CA"/>
    <w:rsid w:val="00DB26FB"/>
    <w:rsid w:val="00DB2754"/>
    <w:rsid w:val="00DB28D9"/>
    <w:rsid w:val="00DB290A"/>
    <w:rsid w:val="00DB2AFB"/>
    <w:rsid w:val="00DB2C63"/>
    <w:rsid w:val="00DB2E3E"/>
    <w:rsid w:val="00DB311B"/>
    <w:rsid w:val="00DB3577"/>
    <w:rsid w:val="00DB36C8"/>
    <w:rsid w:val="00DB39B2"/>
    <w:rsid w:val="00DB3A1E"/>
    <w:rsid w:val="00DB3C17"/>
    <w:rsid w:val="00DB3C88"/>
    <w:rsid w:val="00DB3D1A"/>
    <w:rsid w:val="00DB3E56"/>
    <w:rsid w:val="00DB3E9B"/>
    <w:rsid w:val="00DB3F07"/>
    <w:rsid w:val="00DB414B"/>
    <w:rsid w:val="00DB4376"/>
    <w:rsid w:val="00DB437E"/>
    <w:rsid w:val="00DB4592"/>
    <w:rsid w:val="00DB471E"/>
    <w:rsid w:val="00DB4A85"/>
    <w:rsid w:val="00DB4B8C"/>
    <w:rsid w:val="00DB506A"/>
    <w:rsid w:val="00DB509E"/>
    <w:rsid w:val="00DB50B9"/>
    <w:rsid w:val="00DB5255"/>
    <w:rsid w:val="00DB536D"/>
    <w:rsid w:val="00DB537D"/>
    <w:rsid w:val="00DB5388"/>
    <w:rsid w:val="00DB5687"/>
    <w:rsid w:val="00DB591B"/>
    <w:rsid w:val="00DB5A7C"/>
    <w:rsid w:val="00DB5E38"/>
    <w:rsid w:val="00DB5EBA"/>
    <w:rsid w:val="00DB61AA"/>
    <w:rsid w:val="00DB6546"/>
    <w:rsid w:val="00DB65AE"/>
    <w:rsid w:val="00DB65BF"/>
    <w:rsid w:val="00DB65D4"/>
    <w:rsid w:val="00DB6672"/>
    <w:rsid w:val="00DB66D2"/>
    <w:rsid w:val="00DB6A4E"/>
    <w:rsid w:val="00DB7106"/>
    <w:rsid w:val="00DB7516"/>
    <w:rsid w:val="00DB7637"/>
    <w:rsid w:val="00DB7655"/>
    <w:rsid w:val="00DB77D9"/>
    <w:rsid w:val="00DB77E6"/>
    <w:rsid w:val="00DB7845"/>
    <w:rsid w:val="00DB7894"/>
    <w:rsid w:val="00DB7924"/>
    <w:rsid w:val="00DB7954"/>
    <w:rsid w:val="00DB7BD9"/>
    <w:rsid w:val="00DB7C73"/>
    <w:rsid w:val="00DB7D1B"/>
    <w:rsid w:val="00DB7E0E"/>
    <w:rsid w:val="00DB7E3A"/>
    <w:rsid w:val="00DC0055"/>
    <w:rsid w:val="00DC006B"/>
    <w:rsid w:val="00DC02E2"/>
    <w:rsid w:val="00DC0327"/>
    <w:rsid w:val="00DC0393"/>
    <w:rsid w:val="00DC044A"/>
    <w:rsid w:val="00DC04DD"/>
    <w:rsid w:val="00DC050F"/>
    <w:rsid w:val="00DC053C"/>
    <w:rsid w:val="00DC054C"/>
    <w:rsid w:val="00DC05AF"/>
    <w:rsid w:val="00DC07D6"/>
    <w:rsid w:val="00DC0822"/>
    <w:rsid w:val="00DC0865"/>
    <w:rsid w:val="00DC08CA"/>
    <w:rsid w:val="00DC0903"/>
    <w:rsid w:val="00DC0A37"/>
    <w:rsid w:val="00DC0A5A"/>
    <w:rsid w:val="00DC0AB7"/>
    <w:rsid w:val="00DC0ACB"/>
    <w:rsid w:val="00DC0ECE"/>
    <w:rsid w:val="00DC0F43"/>
    <w:rsid w:val="00DC109F"/>
    <w:rsid w:val="00DC11B2"/>
    <w:rsid w:val="00DC1223"/>
    <w:rsid w:val="00DC12C7"/>
    <w:rsid w:val="00DC15F5"/>
    <w:rsid w:val="00DC1630"/>
    <w:rsid w:val="00DC168C"/>
    <w:rsid w:val="00DC171A"/>
    <w:rsid w:val="00DC18C0"/>
    <w:rsid w:val="00DC18DB"/>
    <w:rsid w:val="00DC1920"/>
    <w:rsid w:val="00DC1B20"/>
    <w:rsid w:val="00DC1D40"/>
    <w:rsid w:val="00DC1E52"/>
    <w:rsid w:val="00DC1E5D"/>
    <w:rsid w:val="00DC1E5F"/>
    <w:rsid w:val="00DC20AD"/>
    <w:rsid w:val="00DC22CB"/>
    <w:rsid w:val="00DC2368"/>
    <w:rsid w:val="00DC236B"/>
    <w:rsid w:val="00DC23AF"/>
    <w:rsid w:val="00DC25D3"/>
    <w:rsid w:val="00DC2662"/>
    <w:rsid w:val="00DC268D"/>
    <w:rsid w:val="00DC29B8"/>
    <w:rsid w:val="00DC2C1F"/>
    <w:rsid w:val="00DC2D29"/>
    <w:rsid w:val="00DC2DAE"/>
    <w:rsid w:val="00DC2E0C"/>
    <w:rsid w:val="00DC2E22"/>
    <w:rsid w:val="00DC2EF7"/>
    <w:rsid w:val="00DC3071"/>
    <w:rsid w:val="00DC33C6"/>
    <w:rsid w:val="00DC3543"/>
    <w:rsid w:val="00DC36B5"/>
    <w:rsid w:val="00DC3855"/>
    <w:rsid w:val="00DC391C"/>
    <w:rsid w:val="00DC3A8C"/>
    <w:rsid w:val="00DC41DC"/>
    <w:rsid w:val="00DC41E5"/>
    <w:rsid w:val="00DC44BF"/>
    <w:rsid w:val="00DC44FB"/>
    <w:rsid w:val="00DC4592"/>
    <w:rsid w:val="00DC45E9"/>
    <w:rsid w:val="00DC48D1"/>
    <w:rsid w:val="00DC4968"/>
    <w:rsid w:val="00DC49E7"/>
    <w:rsid w:val="00DC4B3B"/>
    <w:rsid w:val="00DC4DCB"/>
    <w:rsid w:val="00DC4FAC"/>
    <w:rsid w:val="00DC52F4"/>
    <w:rsid w:val="00DC540E"/>
    <w:rsid w:val="00DC54CB"/>
    <w:rsid w:val="00DC55ED"/>
    <w:rsid w:val="00DC55F4"/>
    <w:rsid w:val="00DC56EB"/>
    <w:rsid w:val="00DC574B"/>
    <w:rsid w:val="00DC5829"/>
    <w:rsid w:val="00DC5972"/>
    <w:rsid w:val="00DC5984"/>
    <w:rsid w:val="00DC599A"/>
    <w:rsid w:val="00DC5B8E"/>
    <w:rsid w:val="00DC5DC3"/>
    <w:rsid w:val="00DC6235"/>
    <w:rsid w:val="00DC62E4"/>
    <w:rsid w:val="00DC63E2"/>
    <w:rsid w:val="00DC6555"/>
    <w:rsid w:val="00DC67E8"/>
    <w:rsid w:val="00DC6880"/>
    <w:rsid w:val="00DC6A0E"/>
    <w:rsid w:val="00DC6B12"/>
    <w:rsid w:val="00DC6B19"/>
    <w:rsid w:val="00DC6BA9"/>
    <w:rsid w:val="00DC6DA2"/>
    <w:rsid w:val="00DC6E92"/>
    <w:rsid w:val="00DC6F06"/>
    <w:rsid w:val="00DC7035"/>
    <w:rsid w:val="00DC72AE"/>
    <w:rsid w:val="00DC74CC"/>
    <w:rsid w:val="00DC777E"/>
    <w:rsid w:val="00DC7879"/>
    <w:rsid w:val="00DC78DC"/>
    <w:rsid w:val="00DC7A72"/>
    <w:rsid w:val="00DC7AF0"/>
    <w:rsid w:val="00DC7B26"/>
    <w:rsid w:val="00DC7D40"/>
    <w:rsid w:val="00DC7D8A"/>
    <w:rsid w:val="00DC7DC7"/>
    <w:rsid w:val="00DD00A1"/>
    <w:rsid w:val="00DD00DE"/>
    <w:rsid w:val="00DD0309"/>
    <w:rsid w:val="00DD0470"/>
    <w:rsid w:val="00DD08D8"/>
    <w:rsid w:val="00DD0A84"/>
    <w:rsid w:val="00DD0EF4"/>
    <w:rsid w:val="00DD0FF7"/>
    <w:rsid w:val="00DD0FFE"/>
    <w:rsid w:val="00DD1159"/>
    <w:rsid w:val="00DD1227"/>
    <w:rsid w:val="00DD1354"/>
    <w:rsid w:val="00DD14E8"/>
    <w:rsid w:val="00DD152C"/>
    <w:rsid w:val="00DD155C"/>
    <w:rsid w:val="00DD1564"/>
    <w:rsid w:val="00DD1603"/>
    <w:rsid w:val="00DD187E"/>
    <w:rsid w:val="00DD19F5"/>
    <w:rsid w:val="00DD19FE"/>
    <w:rsid w:val="00DD1BDC"/>
    <w:rsid w:val="00DD1C2B"/>
    <w:rsid w:val="00DD209B"/>
    <w:rsid w:val="00DD22F7"/>
    <w:rsid w:val="00DD230E"/>
    <w:rsid w:val="00DD23DF"/>
    <w:rsid w:val="00DD24A5"/>
    <w:rsid w:val="00DD24C5"/>
    <w:rsid w:val="00DD2681"/>
    <w:rsid w:val="00DD26C2"/>
    <w:rsid w:val="00DD2C05"/>
    <w:rsid w:val="00DD2C71"/>
    <w:rsid w:val="00DD2CAA"/>
    <w:rsid w:val="00DD2F26"/>
    <w:rsid w:val="00DD3139"/>
    <w:rsid w:val="00DD3340"/>
    <w:rsid w:val="00DD33A1"/>
    <w:rsid w:val="00DD33FF"/>
    <w:rsid w:val="00DD34ED"/>
    <w:rsid w:val="00DD3500"/>
    <w:rsid w:val="00DD3925"/>
    <w:rsid w:val="00DD395F"/>
    <w:rsid w:val="00DD3D40"/>
    <w:rsid w:val="00DD3D60"/>
    <w:rsid w:val="00DD3F5D"/>
    <w:rsid w:val="00DD416C"/>
    <w:rsid w:val="00DD4440"/>
    <w:rsid w:val="00DD444B"/>
    <w:rsid w:val="00DD44C7"/>
    <w:rsid w:val="00DD488C"/>
    <w:rsid w:val="00DD48D4"/>
    <w:rsid w:val="00DD493E"/>
    <w:rsid w:val="00DD4BA8"/>
    <w:rsid w:val="00DD4BE8"/>
    <w:rsid w:val="00DD4E30"/>
    <w:rsid w:val="00DD4E65"/>
    <w:rsid w:val="00DD4E6A"/>
    <w:rsid w:val="00DD4F3D"/>
    <w:rsid w:val="00DD4FCC"/>
    <w:rsid w:val="00DD4FDF"/>
    <w:rsid w:val="00DD50DB"/>
    <w:rsid w:val="00DD540C"/>
    <w:rsid w:val="00DD55F4"/>
    <w:rsid w:val="00DD5779"/>
    <w:rsid w:val="00DD5D53"/>
    <w:rsid w:val="00DD5DA4"/>
    <w:rsid w:val="00DD5DD6"/>
    <w:rsid w:val="00DD5E6D"/>
    <w:rsid w:val="00DD5EC3"/>
    <w:rsid w:val="00DD62F9"/>
    <w:rsid w:val="00DD671B"/>
    <w:rsid w:val="00DD684B"/>
    <w:rsid w:val="00DD68B6"/>
    <w:rsid w:val="00DD69DA"/>
    <w:rsid w:val="00DD6C13"/>
    <w:rsid w:val="00DD6C8F"/>
    <w:rsid w:val="00DD6CF1"/>
    <w:rsid w:val="00DD6D60"/>
    <w:rsid w:val="00DD6E6A"/>
    <w:rsid w:val="00DD7045"/>
    <w:rsid w:val="00DD709F"/>
    <w:rsid w:val="00DD7311"/>
    <w:rsid w:val="00DD7456"/>
    <w:rsid w:val="00DD74BB"/>
    <w:rsid w:val="00DD760E"/>
    <w:rsid w:val="00DD764D"/>
    <w:rsid w:val="00DD766E"/>
    <w:rsid w:val="00DD791E"/>
    <w:rsid w:val="00DD7BD0"/>
    <w:rsid w:val="00DE0111"/>
    <w:rsid w:val="00DE015B"/>
    <w:rsid w:val="00DE0216"/>
    <w:rsid w:val="00DE0489"/>
    <w:rsid w:val="00DE05A9"/>
    <w:rsid w:val="00DE069F"/>
    <w:rsid w:val="00DE0A11"/>
    <w:rsid w:val="00DE0A87"/>
    <w:rsid w:val="00DE0B54"/>
    <w:rsid w:val="00DE0C59"/>
    <w:rsid w:val="00DE0C92"/>
    <w:rsid w:val="00DE0CA0"/>
    <w:rsid w:val="00DE0D1C"/>
    <w:rsid w:val="00DE0D29"/>
    <w:rsid w:val="00DE1065"/>
    <w:rsid w:val="00DE10A2"/>
    <w:rsid w:val="00DE1291"/>
    <w:rsid w:val="00DE12FC"/>
    <w:rsid w:val="00DE13BA"/>
    <w:rsid w:val="00DE13E3"/>
    <w:rsid w:val="00DE1430"/>
    <w:rsid w:val="00DE1431"/>
    <w:rsid w:val="00DE153A"/>
    <w:rsid w:val="00DE15F9"/>
    <w:rsid w:val="00DE160E"/>
    <w:rsid w:val="00DE1622"/>
    <w:rsid w:val="00DE170D"/>
    <w:rsid w:val="00DE1804"/>
    <w:rsid w:val="00DE183A"/>
    <w:rsid w:val="00DE189B"/>
    <w:rsid w:val="00DE18A7"/>
    <w:rsid w:val="00DE19BA"/>
    <w:rsid w:val="00DE1AE6"/>
    <w:rsid w:val="00DE1B9B"/>
    <w:rsid w:val="00DE1C0E"/>
    <w:rsid w:val="00DE1D08"/>
    <w:rsid w:val="00DE2084"/>
    <w:rsid w:val="00DE20E8"/>
    <w:rsid w:val="00DE215B"/>
    <w:rsid w:val="00DE2294"/>
    <w:rsid w:val="00DE22A4"/>
    <w:rsid w:val="00DE22DB"/>
    <w:rsid w:val="00DE23D8"/>
    <w:rsid w:val="00DE2481"/>
    <w:rsid w:val="00DE25AE"/>
    <w:rsid w:val="00DE275E"/>
    <w:rsid w:val="00DE2833"/>
    <w:rsid w:val="00DE29D0"/>
    <w:rsid w:val="00DE29F9"/>
    <w:rsid w:val="00DE2A37"/>
    <w:rsid w:val="00DE2ABB"/>
    <w:rsid w:val="00DE2C58"/>
    <w:rsid w:val="00DE2D17"/>
    <w:rsid w:val="00DE2D64"/>
    <w:rsid w:val="00DE2DE4"/>
    <w:rsid w:val="00DE2E5A"/>
    <w:rsid w:val="00DE3188"/>
    <w:rsid w:val="00DE3403"/>
    <w:rsid w:val="00DE34AC"/>
    <w:rsid w:val="00DE366D"/>
    <w:rsid w:val="00DE395C"/>
    <w:rsid w:val="00DE39B5"/>
    <w:rsid w:val="00DE39F3"/>
    <w:rsid w:val="00DE3C95"/>
    <w:rsid w:val="00DE3C9A"/>
    <w:rsid w:val="00DE3CA7"/>
    <w:rsid w:val="00DE3E27"/>
    <w:rsid w:val="00DE4070"/>
    <w:rsid w:val="00DE4285"/>
    <w:rsid w:val="00DE43A9"/>
    <w:rsid w:val="00DE469C"/>
    <w:rsid w:val="00DE46E5"/>
    <w:rsid w:val="00DE4883"/>
    <w:rsid w:val="00DE4943"/>
    <w:rsid w:val="00DE4ABD"/>
    <w:rsid w:val="00DE4BD9"/>
    <w:rsid w:val="00DE4BDF"/>
    <w:rsid w:val="00DE4C2F"/>
    <w:rsid w:val="00DE4F83"/>
    <w:rsid w:val="00DE4FAF"/>
    <w:rsid w:val="00DE5052"/>
    <w:rsid w:val="00DE52D2"/>
    <w:rsid w:val="00DE52E7"/>
    <w:rsid w:val="00DE53DD"/>
    <w:rsid w:val="00DE5552"/>
    <w:rsid w:val="00DE55D9"/>
    <w:rsid w:val="00DE5AEC"/>
    <w:rsid w:val="00DE6405"/>
    <w:rsid w:val="00DE6429"/>
    <w:rsid w:val="00DE65AD"/>
    <w:rsid w:val="00DE6695"/>
    <w:rsid w:val="00DE6746"/>
    <w:rsid w:val="00DE678F"/>
    <w:rsid w:val="00DE68B9"/>
    <w:rsid w:val="00DE6948"/>
    <w:rsid w:val="00DE69C0"/>
    <w:rsid w:val="00DE69DE"/>
    <w:rsid w:val="00DE6C0B"/>
    <w:rsid w:val="00DE6F43"/>
    <w:rsid w:val="00DE6F4E"/>
    <w:rsid w:val="00DE74A5"/>
    <w:rsid w:val="00DE7687"/>
    <w:rsid w:val="00DE76CB"/>
    <w:rsid w:val="00DE7718"/>
    <w:rsid w:val="00DE7783"/>
    <w:rsid w:val="00DE78C6"/>
    <w:rsid w:val="00DE7915"/>
    <w:rsid w:val="00DE797D"/>
    <w:rsid w:val="00DE7AA8"/>
    <w:rsid w:val="00DE7B20"/>
    <w:rsid w:val="00DE7B29"/>
    <w:rsid w:val="00DE7B65"/>
    <w:rsid w:val="00DE7D0F"/>
    <w:rsid w:val="00DF01DA"/>
    <w:rsid w:val="00DF0267"/>
    <w:rsid w:val="00DF0488"/>
    <w:rsid w:val="00DF0770"/>
    <w:rsid w:val="00DF08E7"/>
    <w:rsid w:val="00DF091A"/>
    <w:rsid w:val="00DF09C5"/>
    <w:rsid w:val="00DF0B76"/>
    <w:rsid w:val="00DF0D75"/>
    <w:rsid w:val="00DF0E8E"/>
    <w:rsid w:val="00DF1080"/>
    <w:rsid w:val="00DF12E0"/>
    <w:rsid w:val="00DF13A1"/>
    <w:rsid w:val="00DF1424"/>
    <w:rsid w:val="00DF14DB"/>
    <w:rsid w:val="00DF18C9"/>
    <w:rsid w:val="00DF197D"/>
    <w:rsid w:val="00DF1995"/>
    <w:rsid w:val="00DF1AF1"/>
    <w:rsid w:val="00DF1B61"/>
    <w:rsid w:val="00DF1C2B"/>
    <w:rsid w:val="00DF1E10"/>
    <w:rsid w:val="00DF1F7C"/>
    <w:rsid w:val="00DF1FC6"/>
    <w:rsid w:val="00DF2491"/>
    <w:rsid w:val="00DF24A8"/>
    <w:rsid w:val="00DF2510"/>
    <w:rsid w:val="00DF2654"/>
    <w:rsid w:val="00DF279E"/>
    <w:rsid w:val="00DF27DB"/>
    <w:rsid w:val="00DF280A"/>
    <w:rsid w:val="00DF2837"/>
    <w:rsid w:val="00DF286D"/>
    <w:rsid w:val="00DF2A19"/>
    <w:rsid w:val="00DF2D0F"/>
    <w:rsid w:val="00DF2E61"/>
    <w:rsid w:val="00DF2EC1"/>
    <w:rsid w:val="00DF30F0"/>
    <w:rsid w:val="00DF313A"/>
    <w:rsid w:val="00DF31C5"/>
    <w:rsid w:val="00DF3449"/>
    <w:rsid w:val="00DF3656"/>
    <w:rsid w:val="00DF39C3"/>
    <w:rsid w:val="00DF3A4A"/>
    <w:rsid w:val="00DF3B13"/>
    <w:rsid w:val="00DF3B65"/>
    <w:rsid w:val="00DF3D77"/>
    <w:rsid w:val="00DF3E8A"/>
    <w:rsid w:val="00DF4144"/>
    <w:rsid w:val="00DF42B4"/>
    <w:rsid w:val="00DF4491"/>
    <w:rsid w:val="00DF48D9"/>
    <w:rsid w:val="00DF4971"/>
    <w:rsid w:val="00DF4976"/>
    <w:rsid w:val="00DF49EA"/>
    <w:rsid w:val="00DF4B4D"/>
    <w:rsid w:val="00DF4C60"/>
    <w:rsid w:val="00DF4CFC"/>
    <w:rsid w:val="00DF4D80"/>
    <w:rsid w:val="00DF4DE1"/>
    <w:rsid w:val="00DF4E0E"/>
    <w:rsid w:val="00DF4F52"/>
    <w:rsid w:val="00DF50E5"/>
    <w:rsid w:val="00DF514E"/>
    <w:rsid w:val="00DF518B"/>
    <w:rsid w:val="00DF5422"/>
    <w:rsid w:val="00DF5469"/>
    <w:rsid w:val="00DF56BF"/>
    <w:rsid w:val="00DF56CE"/>
    <w:rsid w:val="00DF56D0"/>
    <w:rsid w:val="00DF57E8"/>
    <w:rsid w:val="00DF5876"/>
    <w:rsid w:val="00DF589C"/>
    <w:rsid w:val="00DF5913"/>
    <w:rsid w:val="00DF5D61"/>
    <w:rsid w:val="00DF5DA7"/>
    <w:rsid w:val="00DF5E62"/>
    <w:rsid w:val="00DF5EAA"/>
    <w:rsid w:val="00DF5F6E"/>
    <w:rsid w:val="00DF6137"/>
    <w:rsid w:val="00DF63AB"/>
    <w:rsid w:val="00DF640E"/>
    <w:rsid w:val="00DF68B1"/>
    <w:rsid w:val="00DF68D6"/>
    <w:rsid w:val="00DF69AD"/>
    <w:rsid w:val="00DF69EB"/>
    <w:rsid w:val="00DF6A2B"/>
    <w:rsid w:val="00DF6A62"/>
    <w:rsid w:val="00DF6B66"/>
    <w:rsid w:val="00DF6BB1"/>
    <w:rsid w:val="00DF6D73"/>
    <w:rsid w:val="00DF6E90"/>
    <w:rsid w:val="00DF6F93"/>
    <w:rsid w:val="00DF6FC1"/>
    <w:rsid w:val="00DF7047"/>
    <w:rsid w:val="00DF7475"/>
    <w:rsid w:val="00DF7562"/>
    <w:rsid w:val="00DF7620"/>
    <w:rsid w:val="00DF76C5"/>
    <w:rsid w:val="00DF7734"/>
    <w:rsid w:val="00DF77CC"/>
    <w:rsid w:val="00DF7888"/>
    <w:rsid w:val="00DF7A12"/>
    <w:rsid w:val="00DF7AAA"/>
    <w:rsid w:val="00DF7DA2"/>
    <w:rsid w:val="00DF7F1C"/>
    <w:rsid w:val="00DF7F67"/>
    <w:rsid w:val="00E000EE"/>
    <w:rsid w:val="00E00248"/>
    <w:rsid w:val="00E00349"/>
    <w:rsid w:val="00E0067C"/>
    <w:rsid w:val="00E008AF"/>
    <w:rsid w:val="00E009CB"/>
    <w:rsid w:val="00E00A00"/>
    <w:rsid w:val="00E00A78"/>
    <w:rsid w:val="00E00A8D"/>
    <w:rsid w:val="00E00B7D"/>
    <w:rsid w:val="00E00CFC"/>
    <w:rsid w:val="00E00D3E"/>
    <w:rsid w:val="00E00E53"/>
    <w:rsid w:val="00E01043"/>
    <w:rsid w:val="00E010DA"/>
    <w:rsid w:val="00E011C5"/>
    <w:rsid w:val="00E0120D"/>
    <w:rsid w:val="00E01226"/>
    <w:rsid w:val="00E013AC"/>
    <w:rsid w:val="00E01491"/>
    <w:rsid w:val="00E01506"/>
    <w:rsid w:val="00E01509"/>
    <w:rsid w:val="00E01564"/>
    <w:rsid w:val="00E015AC"/>
    <w:rsid w:val="00E01623"/>
    <w:rsid w:val="00E0189F"/>
    <w:rsid w:val="00E018C5"/>
    <w:rsid w:val="00E0193F"/>
    <w:rsid w:val="00E01B8C"/>
    <w:rsid w:val="00E01D00"/>
    <w:rsid w:val="00E02031"/>
    <w:rsid w:val="00E020FB"/>
    <w:rsid w:val="00E021B8"/>
    <w:rsid w:val="00E02326"/>
    <w:rsid w:val="00E02553"/>
    <w:rsid w:val="00E02616"/>
    <w:rsid w:val="00E026A9"/>
    <w:rsid w:val="00E026B7"/>
    <w:rsid w:val="00E0291F"/>
    <w:rsid w:val="00E029DB"/>
    <w:rsid w:val="00E02A1E"/>
    <w:rsid w:val="00E02A4C"/>
    <w:rsid w:val="00E02DCA"/>
    <w:rsid w:val="00E02DE4"/>
    <w:rsid w:val="00E02E1E"/>
    <w:rsid w:val="00E02F15"/>
    <w:rsid w:val="00E03180"/>
    <w:rsid w:val="00E0334E"/>
    <w:rsid w:val="00E035C0"/>
    <w:rsid w:val="00E036D7"/>
    <w:rsid w:val="00E03A46"/>
    <w:rsid w:val="00E03A9C"/>
    <w:rsid w:val="00E0429E"/>
    <w:rsid w:val="00E0434F"/>
    <w:rsid w:val="00E04429"/>
    <w:rsid w:val="00E04686"/>
    <w:rsid w:val="00E046D6"/>
    <w:rsid w:val="00E04991"/>
    <w:rsid w:val="00E04A70"/>
    <w:rsid w:val="00E04B94"/>
    <w:rsid w:val="00E04BC5"/>
    <w:rsid w:val="00E04C43"/>
    <w:rsid w:val="00E04DCB"/>
    <w:rsid w:val="00E04E71"/>
    <w:rsid w:val="00E05331"/>
    <w:rsid w:val="00E055B5"/>
    <w:rsid w:val="00E0592E"/>
    <w:rsid w:val="00E05A44"/>
    <w:rsid w:val="00E05B8B"/>
    <w:rsid w:val="00E05CB2"/>
    <w:rsid w:val="00E05E9E"/>
    <w:rsid w:val="00E05FB2"/>
    <w:rsid w:val="00E06209"/>
    <w:rsid w:val="00E0621D"/>
    <w:rsid w:val="00E066CE"/>
    <w:rsid w:val="00E0675C"/>
    <w:rsid w:val="00E069A8"/>
    <w:rsid w:val="00E069D2"/>
    <w:rsid w:val="00E06A34"/>
    <w:rsid w:val="00E06BFB"/>
    <w:rsid w:val="00E06D69"/>
    <w:rsid w:val="00E06D6F"/>
    <w:rsid w:val="00E06E78"/>
    <w:rsid w:val="00E06F56"/>
    <w:rsid w:val="00E07481"/>
    <w:rsid w:val="00E07499"/>
    <w:rsid w:val="00E0749A"/>
    <w:rsid w:val="00E07BAB"/>
    <w:rsid w:val="00E07D3F"/>
    <w:rsid w:val="00E07DFD"/>
    <w:rsid w:val="00E07EC1"/>
    <w:rsid w:val="00E10327"/>
    <w:rsid w:val="00E1033C"/>
    <w:rsid w:val="00E1049C"/>
    <w:rsid w:val="00E109A2"/>
    <w:rsid w:val="00E10B6D"/>
    <w:rsid w:val="00E10DDE"/>
    <w:rsid w:val="00E10E06"/>
    <w:rsid w:val="00E10E51"/>
    <w:rsid w:val="00E10F50"/>
    <w:rsid w:val="00E10FF6"/>
    <w:rsid w:val="00E110AC"/>
    <w:rsid w:val="00E1124E"/>
    <w:rsid w:val="00E11271"/>
    <w:rsid w:val="00E113B5"/>
    <w:rsid w:val="00E113D5"/>
    <w:rsid w:val="00E1150D"/>
    <w:rsid w:val="00E11693"/>
    <w:rsid w:val="00E116BF"/>
    <w:rsid w:val="00E117FF"/>
    <w:rsid w:val="00E11928"/>
    <w:rsid w:val="00E11999"/>
    <w:rsid w:val="00E119CF"/>
    <w:rsid w:val="00E11CF0"/>
    <w:rsid w:val="00E11D4B"/>
    <w:rsid w:val="00E11FD1"/>
    <w:rsid w:val="00E121A9"/>
    <w:rsid w:val="00E123FD"/>
    <w:rsid w:val="00E12649"/>
    <w:rsid w:val="00E1268A"/>
    <w:rsid w:val="00E126CC"/>
    <w:rsid w:val="00E126F7"/>
    <w:rsid w:val="00E12968"/>
    <w:rsid w:val="00E12AAD"/>
    <w:rsid w:val="00E12BE4"/>
    <w:rsid w:val="00E12C5A"/>
    <w:rsid w:val="00E12CBD"/>
    <w:rsid w:val="00E12D24"/>
    <w:rsid w:val="00E12EA6"/>
    <w:rsid w:val="00E12F2F"/>
    <w:rsid w:val="00E13049"/>
    <w:rsid w:val="00E131D8"/>
    <w:rsid w:val="00E131F4"/>
    <w:rsid w:val="00E1326C"/>
    <w:rsid w:val="00E1326F"/>
    <w:rsid w:val="00E134E3"/>
    <w:rsid w:val="00E13664"/>
    <w:rsid w:val="00E13795"/>
    <w:rsid w:val="00E13951"/>
    <w:rsid w:val="00E13A61"/>
    <w:rsid w:val="00E13A68"/>
    <w:rsid w:val="00E13AF1"/>
    <w:rsid w:val="00E13B44"/>
    <w:rsid w:val="00E13DA2"/>
    <w:rsid w:val="00E13E0A"/>
    <w:rsid w:val="00E13E43"/>
    <w:rsid w:val="00E140EA"/>
    <w:rsid w:val="00E14297"/>
    <w:rsid w:val="00E14396"/>
    <w:rsid w:val="00E143A8"/>
    <w:rsid w:val="00E1440A"/>
    <w:rsid w:val="00E14606"/>
    <w:rsid w:val="00E1497E"/>
    <w:rsid w:val="00E14B24"/>
    <w:rsid w:val="00E14C51"/>
    <w:rsid w:val="00E14F2A"/>
    <w:rsid w:val="00E14F8D"/>
    <w:rsid w:val="00E15004"/>
    <w:rsid w:val="00E1531E"/>
    <w:rsid w:val="00E1545B"/>
    <w:rsid w:val="00E154D1"/>
    <w:rsid w:val="00E15590"/>
    <w:rsid w:val="00E15611"/>
    <w:rsid w:val="00E157EE"/>
    <w:rsid w:val="00E1580B"/>
    <w:rsid w:val="00E15995"/>
    <w:rsid w:val="00E15A7F"/>
    <w:rsid w:val="00E15B56"/>
    <w:rsid w:val="00E15BED"/>
    <w:rsid w:val="00E15BFE"/>
    <w:rsid w:val="00E15C33"/>
    <w:rsid w:val="00E15F2E"/>
    <w:rsid w:val="00E160E9"/>
    <w:rsid w:val="00E16166"/>
    <w:rsid w:val="00E163DE"/>
    <w:rsid w:val="00E16493"/>
    <w:rsid w:val="00E164A5"/>
    <w:rsid w:val="00E164A7"/>
    <w:rsid w:val="00E165CF"/>
    <w:rsid w:val="00E16C52"/>
    <w:rsid w:val="00E16D52"/>
    <w:rsid w:val="00E16E39"/>
    <w:rsid w:val="00E16FB5"/>
    <w:rsid w:val="00E1710A"/>
    <w:rsid w:val="00E17179"/>
    <w:rsid w:val="00E1757B"/>
    <w:rsid w:val="00E1784D"/>
    <w:rsid w:val="00E178F0"/>
    <w:rsid w:val="00E17A37"/>
    <w:rsid w:val="00E17BA5"/>
    <w:rsid w:val="00E17C11"/>
    <w:rsid w:val="00E17DD0"/>
    <w:rsid w:val="00E20020"/>
    <w:rsid w:val="00E20409"/>
    <w:rsid w:val="00E2063F"/>
    <w:rsid w:val="00E20745"/>
    <w:rsid w:val="00E20747"/>
    <w:rsid w:val="00E207D8"/>
    <w:rsid w:val="00E207FA"/>
    <w:rsid w:val="00E2082D"/>
    <w:rsid w:val="00E20B88"/>
    <w:rsid w:val="00E20C1E"/>
    <w:rsid w:val="00E210B8"/>
    <w:rsid w:val="00E211DD"/>
    <w:rsid w:val="00E21261"/>
    <w:rsid w:val="00E2148A"/>
    <w:rsid w:val="00E2150B"/>
    <w:rsid w:val="00E21610"/>
    <w:rsid w:val="00E216EA"/>
    <w:rsid w:val="00E21782"/>
    <w:rsid w:val="00E21889"/>
    <w:rsid w:val="00E21BAE"/>
    <w:rsid w:val="00E21C3D"/>
    <w:rsid w:val="00E21CFF"/>
    <w:rsid w:val="00E21EA5"/>
    <w:rsid w:val="00E21ED4"/>
    <w:rsid w:val="00E21FB1"/>
    <w:rsid w:val="00E2202D"/>
    <w:rsid w:val="00E22032"/>
    <w:rsid w:val="00E22169"/>
    <w:rsid w:val="00E2240B"/>
    <w:rsid w:val="00E2246A"/>
    <w:rsid w:val="00E22509"/>
    <w:rsid w:val="00E2255A"/>
    <w:rsid w:val="00E22696"/>
    <w:rsid w:val="00E22963"/>
    <w:rsid w:val="00E22A0C"/>
    <w:rsid w:val="00E22A31"/>
    <w:rsid w:val="00E22F5E"/>
    <w:rsid w:val="00E231AC"/>
    <w:rsid w:val="00E231F2"/>
    <w:rsid w:val="00E232A5"/>
    <w:rsid w:val="00E233A1"/>
    <w:rsid w:val="00E233D2"/>
    <w:rsid w:val="00E23715"/>
    <w:rsid w:val="00E2379B"/>
    <w:rsid w:val="00E237DC"/>
    <w:rsid w:val="00E23A84"/>
    <w:rsid w:val="00E23B95"/>
    <w:rsid w:val="00E23BDF"/>
    <w:rsid w:val="00E23D60"/>
    <w:rsid w:val="00E23E6D"/>
    <w:rsid w:val="00E24265"/>
    <w:rsid w:val="00E242BC"/>
    <w:rsid w:val="00E24465"/>
    <w:rsid w:val="00E244C3"/>
    <w:rsid w:val="00E24543"/>
    <w:rsid w:val="00E24631"/>
    <w:rsid w:val="00E247E1"/>
    <w:rsid w:val="00E24B52"/>
    <w:rsid w:val="00E24B93"/>
    <w:rsid w:val="00E24C66"/>
    <w:rsid w:val="00E24F3A"/>
    <w:rsid w:val="00E25319"/>
    <w:rsid w:val="00E25364"/>
    <w:rsid w:val="00E2542E"/>
    <w:rsid w:val="00E25777"/>
    <w:rsid w:val="00E25827"/>
    <w:rsid w:val="00E25828"/>
    <w:rsid w:val="00E258DE"/>
    <w:rsid w:val="00E258EF"/>
    <w:rsid w:val="00E25BA7"/>
    <w:rsid w:val="00E25C62"/>
    <w:rsid w:val="00E25CCE"/>
    <w:rsid w:val="00E25D4B"/>
    <w:rsid w:val="00E25D6E"/>
    <w:rsid w:val="00E25F74"/>
    <w:rsid w:val="00E26215"/>
    <w:rsid w:val="00E2634B"/>
    <w:rsid w:val="00E264D6"/>
    <w:rsid w:val="00E26519"/>
    <w:rsid w:val="00E2663A"/>
    <w:rsid w:val="00E26735"/>
    <w:rsid w:val="00E267B7"/>
    <w:rsid w:val="00E2680A"/>
    <w:rsid w:val="00E26C19"/>
    <w:rsid w:val="00E26C20"/>
    <w:rsid w:val="00E26D52"/>
    <w:rsid w:val="00E26DDF"/>
    <w:rsid w:val="00E26F75"/>
    <w:rsid w:val="00E26FA2"/>
    <w:rsid w:val="00E27003"/>
    <w:rsid w:val="00E270D2"/>
    <w:rsid w:val="00E271FA"/>
    <w:rsid w:val="00E27236"/>
    <w:rsid w:val="00E273F2"/>
    <w:rsid w:val="00E27492"/>
    <w:rsid w:val="00E27666"/>
    <w:rsid w:val="00E27672"/>
    <w:rsid w:val="00E278CD"/>
    <w:rsid w:val="00E27A2A"/>
    <w:rsid w:val="00E27AC7"/>
    <w:rsid w:val="00E27B17"/>
    <w:rsid w:val="00E27BF5"/>
    <w:rsid w:val="00E27C53"/>
    <w:rsid w:val="00E27C58"/>
    <w:rsid w:val="00E3002B"/>
    <w:rsid w:val="00E30052"/>
    <w:rsid w:val="00E300D5"/>
    <w:rsid w:val="00E300E2"/>
    <w:rsid w:val="00E3030C"/>
    <w:rsid w:val="00E3046F"/>
    <w:rsid w:val="00E304A2"/>
    <w:rsid w:val="00E307CA"/>
    <w:rsid w:val="00E30841"/>
    <w:rsid w:val="00E30886"/>
    <w:rsid w:val="00E30AEE"/>
    <w:rsid w:val="00E30CEB"/>
    <w:rsid w:val="00E30D6F"/>
    <w:rsid w:val="00E30F2A"/>
    <w:rsid w:val="00E30F93"/>
    <w:rsid w:val="00E30FFE"/>
    <w:rsid w:val="00E3101D"/>
    <w:rsid w:val="00E31051"/>
    <w:rsid w:val="00E31405"/>
    <w:rsid w:val="00E3153C"/>
    <w:rsid w:val="00E316D8"/>
    <w:rsid w:val="00E31762"/>
    <w:rsid w:val="00E31887"/>
    <w:rsid w:val="00E3194A"/>
    <w:rsid w:val="00E3198A"/>
    <w:rsid w:val="00E31C1A"/>
    <w:rsid w:val="00E31DDF"/>
    <w:rsid w:val="00E320BC"/>
    <w:rsid w:val="00E32177"/>
    <w:rsid w:val="00E32190"/>
    <w:rsid w:val="00E322AA"/>
    <w:rsid w:val="00E32366"/>
    <w:rsid w:val="00E32502"/>
    <w:rsid w:val="00E32535"/>
    <w:rsid w:val="00E3255D"/>
    <w:rsid w:val="00E326CD"/>
    <w:rsid w:val="00E32738"/>
    <w:rsid w:val="00E32809"/>
    <w:rsid w:val="00E32830"/>
    <w:rsid w:val="00E32906"/>
    <w:rsid w:val="00E32B4B"/>
    <w:rsid w:val="00E32D2F"/>
    <w:rsid w:val="00E32D37"/>
    <w:rsid w:val="00E32E84"/>
    <w:rsid w:val="00E32F07"/>
    <w:rsid w:val="00E330BE"/>
    <w:rsid w:val="00E330F6"/>
    <w:rsid w:val="00E332CC"/>
    <w:rsid w:val="00E337D3"/>
    <w:rsid w:val="00E33998"/>
    <w:rsid w:val="00E33A46"/>
    <w:rsid w:val="00E33A66"/>
    <w:rsid w:val="00E33ACA"/>
    <w:rsid w:val="00E33ADB"/>
    <w:rsid w:val="00E33C0F"/>
    <w:rsid w:val="00E33C30"/>
    <w:rsid w:val="00E33E6A"/>
    <w:rsid w:val="00E33F67"/>
    <w:rsid w:val="00E3407E"/>
    <w:rsid w:val="00E340A7"/>
    <w:rsid w:val="00E340A9"/>
    <w:rsid w:val="00E340BE"/>
    <w:rsid w:val="00E34311"/>
    <w:rsid w:val="00E3439E"/>
    <w:rsid w:val="00E343EA"/>
    <w:rsid w:val="00E3441B"/>
    <w:rsid w:val="00E3461E"/>
    <w:rsid w:val="00E34980"/>
    <w:rsid w:val="00E34B98"/>
    <w:rsid w:val="00E34C91"/>
    <w:rsid w:val="00E34D78"/>
    <w:rsid w:val="00E34DA5"/>
    <w:rsid w:val="00E34E62"/>
    <w:rsid w:val="00E35099"/>
    <w:rsid w:val="00E35341"/>
    <w:rsid w:val="00E353EB"/>
    <w:rsid w:val="00E354D7"/>
    <w:rsid w:val="00E35780"/>
    <w:rsid w:val="00E358CF"/>
    <w:rsid w:val="00E358E6"/>
    <w:rsid w:val="00E3593F"/>
    <w:rsid w:val="00E35A55"/>
    <w:rsid w:val="00E35AE5"/>
    <w:rsid w:val="00E35BAD"/>
    <w:rsid w:val="00E35BC5"/>
    <w:rsid w:val="00E36280"/>
    <w:rsid w:val="00E36325"/>
    <w:rsid w:val="00E3654A"/>
    <w:rsid w:val="00E36679"/>
    <w:rsid w:val="00E366BB"/>
    <w:rsid w:val="00E36826"/>
    <w:rsid w:val="00E3683D"/>
    <w:rsid w:val="00E36969"/>
    <w:rsid w:val="00E36A3B"/>
    <w:rsid w:val="00E36C27"/>
    <w:rsid w:val="00E36FD2"/>
    <w:rsid w:val="00E370EF"/>
    <w:rsid w:val="00E37172"/>
    <w:rsid w:val="00E37212"/>
    <w:rsid w:val="00E374A0"/>
    <w:rsid w:val="00E3765D"/>
    <w:rsid w:val="00E37822"/>
    <w:rsid w:val="00E37A50"/>
    <w:rsid w:val="00E37A8C"/>
    <w:rsid w:val="00E37BCD"/>
    <w:rsid w:val="00E37C52"/>
    <w:rsid w:val="00E37C9E"/>
    <w:rsid w:val="00E37D58"/>
    <w:rsid w:val="00E37D90"/>
    <w:rsid w:val="00E37F61"/>
    <w:rsid w:val="00E37F6A"/>
    <w:rsid w:val="00E37F71"/>
    <w:rsid w:val="00E37F87"/>
    <w:rsid w:val="00E37FE7"/>
    <w:rsid w:val="00E4023F"/>
    <w:rsid w:val="00E40341"/>
    <w:rsid w:val="00E40555"/>
    <w:rsid w:val="00E4055F"/>
    <w:rsid w:val="00E406D2"/>
    <w:rsid w:val="00E406FA"/>
    <w:rsid w:val="00E40736"/>
    <w:rsid w:val="00E40895"/>
    <w:rsid w:val="00E408B9"/>
    <w:rsid w:val="00E4094A"/>
    <w:rsid w:val="00E40B17"/>
    <w:rsid w:val="00E40DB5"/>
    <w:rsid w:val="00E40E78"/>
    <w:rsid w:val="00E40EEA"/>
    <w:rsid w:val="00E4103A"/>
    <w:rsid w:val="00E411C3"/>
    <w:rsid w:val="00E411C5"/>
    <w:rsid w:val="00E41286"/>
    <w:rsid w:val="00E41317"/>
    <w:rsid w:val="00E414E8"/>
    <w:rsid w:val="00E414F5"/>
    <w:rsid w:val="00E415FA"/>
    <w:rsid w:val="00E416B3"/>
    <w:rsid w:val="00E41A01"/>
    <w:rsid w:val="00E41B5A"/>
    <w:rsid w:val="00E41BBA"/>
    <w:rsid w:val="00E41CDD"/>
    <w:rsid w:val="00E41D31"/>
    <w:rsid w:val="00E41F8A"/>
    <w:rsid w:val="00E41F98"/>
    <w:rsid w:val="00E42304"/>
    <w:rsid w:val="00E42578"/>
    <w:rsid w:val="00E425BB"/>
    <w:rsid w:val="00E42901"/>
    <w:rsid w:val="00E42922"/>
    <w:rsid w:val="00E429F7"/>
    <w:rsid w:val="00E42A8B"/>
    <w:rsid w:val="00E42B2D"/>
    <w:rsid w:val="00E42B96"/>
    <w:rsid w:val="00E42DAA"/>
    <w:rsid w:val="00E4327B"/>
    <w:rsid w:val="00E4332D"/>
    <w:rsid w:val="00E43364"/>
    <w:rsid w:val="00E4339D"/>
    <w:rsid w:val="00E43406"/>
    <w:rsid w:val="00E434B2"/>
    <w:rsid w:val="00E436D4"/>
    <w:rsid w:val="00E4380A"/>
    <w:rsid w:val="00E438D2"/>
    <w:rsid w:val="00E439A9"/>
    <w:rsid w:val="00E43BE2"/>
    <w:rsid w:val="00E43D6B"/>
    <w:rsid w:val="00E43D6E"/>
    <w:rsid w:val="00E43E0A"/>
    <w:rsid w:val="00E43ED8"/>
    <w:rsid w:val="00E43F6B"/>
    <w:rsid w:val="00E444FB"/>
    <w:rsid w:val="00E44684"/>
    <w:rsid w:val="00E4470B"/>
    <w:rsid w:val="00E448E3"/>
    <w:rsid w:val="00E449A9"/>
    <w:rsid w:val="00E44CD9"/>
    <w:rsid w:val="00E44D87"/>
    <w:rsid w:val="00E44DD1"/>
    <w:rsid w:val="00E4509C"/>
    <w:rsid w:val="00E450EB"/>
    <w:rsid w:val="00E452A3"/>
    <w:rsid w:val="00E45488"/>
    <w:rsid w:val="00E454EF"/>
    <w:rsid w:val="00E457ED"/>
    <w:rsid w:val="00E45866"/>
    <w:rsid w:val="00E45C16"/>
    <w:rsid w:val="00E45DDA"/>
    <w:rsid w:val="00E45DDD"/>
    <w:rsid w:val="00E45DE7"/>
    <w:rsid w:val="00E45F07"/>
    <w:rsid w:val="00E45F41"/>
    <w:rsid w:val="00E46019"/>
    <w:rsid w:val="00E461F6"/>
    <w:rsid w:val="00E4625B"/>
    <w:rsid w:val="00E462AD"/>
    <w:rsid w:val="00E4632F"/>
    <w:rsid w:val="00E4640B"/>
    <w:rsid w:val="00E4675C"/>
    <w:rsid w:val="00E46BF0"/>
    <w:rsid w:val="00E46C50"/>
    <w:rsid w:val="00E46D53"/>
    <w:rsid w:val="00E46E06"/>
    <w:rsid w:val="00E46F20"/>
    <w:rsid w:val="00E46F2E"/>
    <w:rsid w:val="00E46FB2"/>
    <w:rsid w:val="00E4708E"/>
    <w:rsid w:val="00E47285"/>
    <w:rsid w:val="00E472A0"/>
    <w:rsid w:val="00E47454"/>
    <w:rsid w:val="00E47553"/>
    <w:rsid w:val="00E47683"/>
    <w:rsid w:val="00E476D7"/>
    <w:rsid w:val="00E476E5"/>
    <w:rsid w:val="00E47714"/>
    <w:rsid w:val="00E4782C"/>
    <w:rsid w:val="00E47BB9"/>
    <w:rsid w:val="00E47D41"/>
    <w:rsid w:val="00E47E24"/>
    <w:rsid w:val="00E47E7E"/>
    <w:rsid w:val="00E47EC0"/>
    <w:rsid w:val="00E47EF9"/>
    <w:rsid w:val="00E47F2E"/>
    <w:rsid w:val="00E47FB7"/>
    <w:rsid w:val="00E47FE2"/>
    <w:rsid w:val="00E5001B"/>
    <w:rsid w:val="00E500C4"/>
    <w:rsid w:val="00E50195"/>
    <w:rsid w:val="00E501B5"/>
    <w:rsid w:val="00E50643"/>
    <w:rsid w:val="00E5083A"/>
    <w:rsid w:val="00E50A0B"/>
    <w:rsid w:val="00E50AFD"/>
    <w:rsid w:val="00E50D61"/>
    <w:rsid w:val="00E50E25"/>
    <w:rsid w:val="00E50F7A"/>
    <w:rsid w:val="00E50FC4"/>
    <w:rsid w:val="00E51168"/>
    <w:rsid w:val="00E51211"/>
    <w:rsid w:val="00E51219"/>
    <w:rsid w:val="00E5148F"/>
    <w:rsid w:val="00E51591"/>
    <w:rsid w:val="00E517FB"/>
    <w:rsid w:val="00E519EB"/>
    <w:rsid w:val="00E51B56"/>
    <w:rsid w:val="00E51CC6"/>
    <w:rsid w:val="00E51E49"/>
    <w:rsid w:val="00E52016"/>
    <w:rsid w:val="00E52510"/>
    <w:rsid w:val="00E5268E"/>
    <w:rsid w:val="00E52A6C"/>
    <w:rsid w:val="00E52DFF"/>
    <w:rsid w:val="00E52EDC"/>
    <w:rsid w:val="00E52FEB"/>
    <w:rsid w:val="00E5311C"/>
    <w:rsid w:val="00E531B8"/>
    <w:rsid w:val="00E53207"/>
    <w:rsid w:val="00E53ADE"/>
    <w:rsid w:val="00E53ADF"/>
    <w:rsid w:val="00E53BA0"/>
    <w:rsid w:val="00E53D4F"/>
    <w:rsid w:val="00E53FFB"/>
    <w:rsid w:val="00E54038"/>
    <w:rsid w:val="00E5409A"/>
    <w:rsid w:val="00E544AF"/>
    <w:rsid w:val="00E544FF"/>
    <w:rsid w:val="00E54547"/>
    <w:rsid w:val="00E547A4"/>
    <w:rsid w:val="00E548A6"/>
    <w:rsid w:val="00E54A16"/>
    <w:rsid w:val="00E54A1D"/>
    <w:rsid w:val="00E54A61"/>
    <w:rsid w:val="00E54B86"/>
    <w:rsid w:val="00E54C65"/>
    <w:rsid w:val="00E54E7C"/>
    <w:rsid w:val="00E54F45"/>
    <w:rsid w:val="00E55060"/>
    <w:rsid w:val="00E55096"/>
    <w:rsid w:val="00E552DB"/>
    <w:rsid w:val="00E55387"/>
    <w:rsid w:val="00E55411"/>
    <w:rsid w:val="00E554A3"/>
    <w:rsid w:val="00E55507"/>
    <w:rsid w:val="00E55532"/>
    <w:rsid w:val="00E55535"/>
    <w:rsid w:val="00E55596"/>
    <w:rsid w:val="00E555AF"/>
    <w:rsid w:val="00E55609"/>
    <w:rsid w:val="00E556E2"/>
    <w:rsid w:val="00E556EB"/>
    <w:rsid w:val="00E557CB"/>
    <w:rsid w:val="00E55AEF"/>
    <w:rsid w:val="00E55E8A"/>
    <w:rsid w:val="00E561C6"/>
    <w:rsid w:val="00E56455"/>
    <w:rsid w:val="00E564B4"/>
    <w:rsid w:val="00E5654F"/>
    <w:rsid w:val="00E565EB"/>
    <w:rsid w:val="00E5691D"/>
    <w:rsid w:val="00E56D1B"/>
    <w:rsid w:val="00E56D2E"/>
    <w:rsid w:val="00E56EC3"/>
    <w:rsid w:val="00E573DB"/>
    <w:rsid w:val="00E574E3"/>
    <w:rsid w:val="00E57759"/>
    <w:rsid w:val="00E577B5"/>
    <w:rsid w:val="00E577DE"/>
    <w:rsid w:val="00E57B66"/>
    <w:rsid w:val="00E57B69"/>
    <w:rsid w:val="00E57F29"/>
    <w:rsid w:val="00E60017"/>
    <w:rsid w:val="00E600B1"/>
    <w:rsid w:val="00E60165"/>
    <w:rsid w:val="00E6029D"/>
    <w:rsid w:val="00E60332"/>
    <w:rsid w:val="00E60491"/>
    <w:rsid w:val="00E605EB"/>
    <w:rsid w:val="00E60875"/>
    <w:rsid w:val="00E60896"/>
    <w:rsid w:val="00E609F8"/>
    <w:rsid w:val="00E60BE5"/>
    <w:rsid w:val="00E60C11"/>
    <w:rsid w:val="00E60DB4"/>
    <w:rsid w:val="00E60DD6"/>
    <w:rsid w:val="00E61173"/>
    <w:rsid w:val="00E614E0"/>
    <w:rsid w:val="00E61636"/>
    <w:rsid w:val="00E617C0"/>
    <w:rsid w:val="00E618D5"/>
    <w:rsid w:val="00E61A45"/>
    <w:rsid w:val="00E61A77"/>
    <w:rsid w:val="00E61AEC"/>
    <w:rsid w:val="00E61BC4"/>
    <w:rsid w:val="00E61E8C"/>
    <w:rsid w:val="00E61F12"/>
    <w:rsid w:val="00E62051"/>
    <w:rsid w:val="00E62174"/>
    <w:rsid w:val="00E62358"/>
    <w:rsid w:val="00E6276B"/>
    <w:rsid w:val="00E6309B"/>
    <w:rsid w:val="00E630B4"/>
    <w:rsid w:val="00E631C2"/>
    <w:rsid w:val="00E63407"/>
    <w:rsid w:val="00E6358E"/>
    <w:rsid w:val="00E635E6"/>
    <w:rsid w:val="00E638F0"/>
    <w:rsid w:val="00E63910"/>
    <w:rsid w:val="00E63975"/>
    <w:rsid w:val="00E639BC"/>
    <w:rsid w:val="00E63C96"/>
    <w:rsid w:val="00E63D14"/>
    <w:rsid w:val="00E63D6A"/>
    <w:rsid w:val="00E63E8C"/>
    <w:rsid w:val="00E642B2"/>
    <w:rsid w:val="00E6437A"/>
    <w:rsid w:val="00E643A7"/>
    <w:rsid w:val="00E644EC"/>
    <w:rsid w:val="00E64763"/>
    <w:rsid w:val="00E6477D"/>
    <w:rsid w:val="00E648EB"/>
    <w:rsid w:val="00E64A11"/>
    <w:rsid w:val="00E64C01"/>
    <w:rsid w:val="00E650AF"/>
    <w:rsid w:val="00E650E9"/>
    <w:rsid w:val="00E651AB"/>
    <w:rsid w:val="00E65262"/>
    <w:rsid w:val="00E65291"/>
    <w:rsid w:val="00E65389"/>
    <w:rsid w:val="00E653DD"/>
    <w:rsid w:val="00E6565C"/>
    <w:rsid w:val="00E656CC"/>
    <w:rsid w:val="00E65977"/>
    <w:rsid w:val="00E65C00"/>
    <w:rsid w:val="00E65D1E"/>
    <w:rsid w:val="00E65F71"/>
    <w:rsid w:val="00E660DB"/>
    <w:rsid w:val="00E6619D"/>
    <w:rsid w:val="00E661D3"/>
    <w:rsid w:val="00E66264"/>
    <w:rsid w:val="00E66297"/>
    <w:rsid w:val="00E663FE"/>
    <w:rsid w:val="00E66540"/>
    <w:rsid w:val="00E66785"/>
    <w:rsid w:val="00E66806"/>
    <w:rsid w:val="00E66850"/>
    <w:rsid w:val="00E66A4B"/>
    <w:rsid w:val="00E66AF9"/>
    <w:rsid w:val="00E66C34"/>
    <w:rsid w:val="00E66C88"/>
    <w:rsid w:val="00E66DDE"/>
    <w:rsid w:val="00E66FFE"/>
    <w:rsid w:val="00E6700D"/>
    <w:rsid w:val="00E67390"/>
    <w:rsid w:val="00E673F7"/>
    <w:rsid w:val="00E674B5"/>
    <w:rsid w:val="00E67540"/>
    <w:rsid w:val="00E67674"/>
    <w:rsid w:val="00E6769F"/>
    <w:rsid w:val="00E677AF"/>
    <w:rsid w:val="00E67805"/>
    <w:rsid w:val="00E678ED"/>
    <w:rsid w:val="00E679B9"/>
    <w:rsid w:val="00E67A1B"/>
    <w:rsid w:val="00E67BF3"/>
    <w:rsid w:val="00E67CCB"/>
    <w:rsid w:val="00E67E36"/>
    <w:rsid w:val="00E67ED3"/>
    <w:rsid w:val="00E7013C"/>
    <w:rsid w:val="00E705CC"/>
    <w:rsid w:val="00E70656"/>
    <w:rsid w:val="00E7088F"/>
    <w:rsid w:val="00E70946"/>
    <w:rsid w:val="00E709C4"/>
    <w:rsid w:val="00E70A51"/>
    <w:rsid w:val="00E70B58"/>
    <w:rsid w:val="00E70C08"/>
    <w:rsid w:val="00E70F2F"/>
    <w:rsid w:val="00E70F8C"/>
    <w:rsid w:val="00E710BE"/>
    <w:rsid w:val="00E711C6"/>
    <w:rsid w:val="00E712C1"/>
    <w:rsid w:val="00E7152B"/>
    <w:rsid w:val="00E715B6"/>
    <w:rsid w:val="00E716D9"/>
    <w:rsid w:val="00E71777"/>
    <w:rsid w:val="00E717C4"/>
    <w:rsid w:val="00E7190B"/>
    <w:rsid w:val="00E71A4A"/>
    <w:rsid w:val="00E71A4B"/>
    <w:rsid w:val="00E71AC8"/>
    <w:rsid w:val="00E71D26"/>
    <w:rsid w:val="00E71F57"/>
    <w:rsid w:val="00E71FC9"/>
    <w:rsid w:val="00E720F5"/>
    <w:rsid w:val="00E7235C"/>
    <w:rsid w:val="00E723D1"/>
    <w:rsid w:val="00E72516"/>
    <w:rsid w:val="00E726BC"/>
    <w:rsid w:val="00E727AF"/>
    <w:rsid w:val="00E727F1"/>
    <w:rsid w:val="00E72A1D"/>
    <w:rsid w:val="00E72DAD"/>
    <w:rsid w:val="00E7309F"/>
    <w:rsid w:val="00E73250"/>
    <w:rsid w:val="00E7327B"/>
    <w:rsid w:val="00E732BA"/>
    <w:rsid w:val="00E733FD"/>
    <w:rsid w:val="00E73527"/>
    <w:rsid w:val="00E73630"/>
    <w:rsid w:val="00E73A33"/>
    <w:rsid w:val="00E73AD3"/>
    <w:rsid w:val="00E73B75"/>
    <w:rsid w:val="00E73C3E"/>
    <w:rsid w:val="00E73C88"/>
    <w:rsid w:val="00E73D5B"/>
    <w:rsid w:val="00E73E19"/>
    <w:rsid w:val="00E73F96"/>
    <w:rsid w:val="00E74081"/>
    <w:rsid w:val="00E746B2"/>
    <w:rsid w:val="00E749B3"/>
    <w:rsid w:val="00E74A99"/>
    <w:rsid w:val="00E74D34"/>
    <w:rsid w:val="00E74DDB"/>
    <w:rsid w:val="00E74E47"/>
    <w:rsid w:val="00E74EC3"/>
    <w:rsid w:val="00E74F66"/>
    <w:rsid w:val="00E74FB7"/>
    <w:rsid w:val="00E75062"/>
    <w:rsid w:val="00E7523F"/>
    <w:rsid w:val="00E75292"/>
    <w:rsid w:val="00E75319"/>
    <w:rsid w:val="00E7562A"/>
    <w:rsid w:val="00E75637"/>
    <w:rsid w:val="00E756DE"/>
    <w:rsid w:val="00E75724"/>
    <w:rsid w:val="00E75740"/>
    <w:rsid w:val="00E759CA"/>
    <w:rsid w:val="00E75B74"/>
    <w:rsid w:val="00E75BDA"/>
    <w:rsid w:val="00E75C78"/>
    <w:rsid w:val="00E75D1B"/>
    <w:rsid w:val="00E76450"/>
    <w:rsid w:val="00E76492"/>
    <w:rsid w:val="00E7652E"/>
    <w:rsid w:val="00E765BB"/>
    <w:rsid w:val="00E768DA"/>
    <w:rsid w:val="00E769AD"/>
    <w:rsid w:val="00E76A80"/>
    <w:rsid w:val="00E76DA3"/>
    <w:rsid w:val="00E76DBB"/>
    <w:rsid w:val="00E76E40"/>
    <w:rsid w:val="00E76E63"/>
    <w:rsid w:val="00E76EC6"/>
    <w:rsid w:val="00E77539"/>
    <w:rsid w:val="00E77641"/>
    <w:rsid w:val="00E7786C"/>
    <w:rsid w:val="00E778A1"/>
    <w:rsid w:val="00E77901"/>
    <w:rsid w:val="00E77921"/>
    <w:rsid w:val="00E77A66"/>
    <w:rsid w:val="00E77A96"/>
    <w:rsid w:val="00E77B37"/>
    <w:rsid w:val="00E77C2E"/>
    <w:rsid w:val="00E77D4C"/>
    <w:rsid w:val="00E77D99"/>
    <w:rsid w:val="00E77F77"/>
    <w:rsid w:val="00E77FB6"/>
    <w:rsid w:val="00E77FFD"/>
    <w:rsid w:val="00E800AA"/>
    <w:rsid w:val="00E8026B"/>
    <w:rsid w:val="00E802D6"/>
    <w:rsid w:val="00E80452"/>
    <w:rsid w:val="00E804CD"/>
    <w:rsid w:val="00E806ED"/>
    <w:rsid w:val="00E807C4"/>
    <w:rsid w:val="00E807FC"/>
    <w:rsid w:val="00E8081A"/>
    <w:rsid w:val="00E80852"/>
    <w:rsid w:val="00E80982"/>
    <w:rsid w:val="00E809B9"/>
    <w:rsid w:val="00E80AB0"/>
    <w:rsid w:val="00E80AF2"/>
    <w:rsid w:val="00E80D04"/>
    <w:rsid w:val="00E80D09"/>
    <w:rsid w:val="00E812F4"/>
    <w:rsid w:val="00E8131C"/>
    <w:rsid w:val="00E81455"/>
    <w:rsid w:val="00E81482"/>
    <w:rsid w:val="00E8158B"/>
    <w:rsid w:val="00E816FA"/>
    <w:rsid w:val="00E8183F"/>
    <w:rsid w:val="00E81862"/>
    <w:rsid w:val="00E81C90"/>
    <w:rsid w:val="00E81D0D"/>
    <w:rsid w:val="00E81E5F"/>
    <w:rsid w:val="00E81EEC"/>
    <w:rsid w:val="00E82024"/>
    <w:rsid w:val="00E8203F"/>
    <w:rsid w:val="00E820C5"/>
    <w:rsid w:val="00E823B0"/>
    <w:rsid w:val="00E82662"/>
    <w:rsid w:val="00E82ABE"/>
    <w:rsid w:val="00E82C6C"/>
    <w:rsid w:val="00E82EE9"/>
    <w:rsid w:val="00E82F1C"/>
    <w:rsid w:val="00E82FE0"/>
    <w:rsid w:val="00E8303C"/>
    <w:rsid w:val="00E83061"/>
    <w:rsid w:val="00E8309E"/>
    <w:rsid w:val="00E83221"/>
    <w:rsid w:val="00E832EC"/>
    <w:rsid w:val="00E8337C"/>
    <w:rsid w:val="00E833A2"/>
    <w:rsid w:val="00E833D8"/>
    <w:rsid w:val="00E83438"/>
    <w:rsid w:val="00E834ED"/>
    <w:rsid w:val="00E836FA"/>
    <w:rsid w:val="00E837A1"/>
    <w:rsid w:val="00E8386C"/>
    <w:rsid w:val="00E838B3"/>
    <w:rsid w:val="00E83A7A"/>
    <w:rsid w:val="00E83BCC"/>
    <w:rsid w:val="00E83DD1"/>
    <w:rsid w:val="00E83DF1"/>
    <w:rsid w:val="00E83E16"/>
    <w:rsid w:val="00E83F7D"/>
    <w:rsid w:val="00E8405E"/>
    <w:rsid w:val="00E84100"/>
    <w:rsid w:val="00E84157"/>
    <w:rsid w:val="00E84197"/>
    <w:rsid w:val="00E841AD"/>
    <w:rsid w:val="00E84268"/>
    <w:rsid w:val="00E842AF"/>
    <w:rsid w:val="00E843C9"/>
    <w:rsid w:val="00E843E2"/>
    <w:rsid w:val="00E84750"/>
    <w:rsid w:val="00E84959"/>
    <w:rsid w:val="00E84988"/>
    <w:rsid w:val="00E84AAD"/>
    <w:rsid w:val="00E84BC0"/>
    <w:rsid w:val="00E84BE0"/>
    <w:rsid w:val="00E84D0A"/>
    <w:rsid w:val="00E84D59"/>
    <w:rsid w:val="00E84EC7"/>
    <w:rsid w:val="00E851CD"/>
    <w:rsid w:val="00E851CE"/>
    <w:rsid w:val="00E85292"/>
    <w:rsid w:val="00E8529B"/>
    <w:rsid w:val="00E85423"/>
    <w:rsid w:val="00E856D3"/>
    <w:rsid w:val="00E85853"/>
    <w:rsid w:val="00E85874"/>
    <w:rsid w:val="00E85B1E"/>
    <w:rsid w:val="00E85B6B"/>
    <w:rsid w:val="00E85D8A"/>
    <w:rsid w:val="00E861E1"/>
    <w:rsid w:val="00E86A01"/>
    <w:rsid w:val="00E86BB7"/>
    <w:rsid w:val="00E86CB0"/>
    <w:rsid w:val="00E86DB2"/>
    <w:rsid w:val="00E86FF5"/>
    <w:rsid w:val="00E87096"/>
    <w:rsid w:val="00E87113"/>
    <w:rsid w:val="00E871A3"/>
    <w:rsid w:val="00E871B4"/>
    <w:rsid w:val="00E87280"/>
    <w:rsid w:val="00E872A6"/>
    <w:rsid w:val="00E87337"/>
    <w:rsid w:val="00E87773"/>
    <w:rsid w:val="00E878AD"/>
    <w:rsid w:val="00E87993"/>
    <w:rsid w:val="00E87CE0"/>
    <w:rsid w:val="00E87D20"/>
    <w:rsid w:val="00E87E88"/>
    <w:rsid w:val="00E87F47"/>
    <w:rsid w:val="00E87F74"/>
    <w:rsid w:val="00E87FA7"/>
    <w:rsid w:val="00E900A8"/>
    <w:rsid w:val="00E90435"/>
    <w:rsid w:val="00E90437"/>
    <w:rsid w:val="00E9056C"/>
    <w:rsid w:val="00E905C0"/>
    <w:rsid w:val="00E906CF"/>
    <w:rsid w:val="00E907BF"/>
    <w:rsid w:val="00E9098E"/>
    <w:rsid w:val="00E909AA"/>
    <w:rsid w:val="00E90A6E"/>
    <w:rsid w:val="00E90B81"/>
    <w:rsid w:val="00E90D30"/>
    <w:rsid w:val="00E90E5E"/>
    <w:rsid w:val="00E90E63"/>
    <w:rsid w:val="00E9104C"/>
    <w:rsid w:val="00E9110B"/>
    <w:rsid w:val="00E9118E"/>
    <w:rsid w:val="00E91240"/>
    <w:rsid w:val="00E9129C"/>
    <w:rsid w:val="00E912EB"/>
    <w:rsid w:val="00E912FE"/>
    <w:rsid w:val="00E9130F"/>
    <w:rsid w:val="00E91332"/>
    <w:rsid w:val="00E91383"/>
    <w:rsid w:val="00E913E1"/>
    <w:rsid w:val="00E91564"/>
    <w:rsid w:val="00E915ED"/>
    <w:rsid w:val="00E91719"/>
    <w:rsid w:val="00E917DA"/>
    <w:rsid w:val="00E91831"/>
    <w:rsid w:val="00E91867"/>
    <w:rsid w:val="00E91883"/>
    <w:rsid w:val="00E919E4"/>
    <w:rsid w:val="00E91CA3"/>
    <w:rsid w:val="00E91CE7"/>
    <w:rsid w:val="00E91E01"/>
    <w:rsid w:val="00E92118"/>
    <w:rsid w:val="00E9232D"/>
    <w:rsid w:val="00E92393"/>
    <w:rsid w:val="00E9242C"/>
    <w:rsid w:val="00E924A5"/>
    <w:rsid w:val="00E92525"/>
    <w:rsid w:val="00E9254C"/>
    <w:rsid w:val="00E926FF"/>
    <w:rsid w:val="00E927F5"/>
    <w:rsid w:val="00E928E5"/>
    <w:rsid w:val="00E92B79"/>
    <w:rsid w:val="00E92C21"/>
    <w:rsid w:val="00E92D5A"/>
    <w:rsid w:val="00E92DBA"/>
    <w:rsid w:val="00E92F0D"/>
    <w:rsid w:val="00E9311B"/>
    <w:rsid w:val="00E93125"/>
    <w:rsid w:val="00E931EB"/>
    <w:rsid w:val="00E932E0"/>
    <w:rsid w:val="00E93310"/>
    <w:rsid w:val="00E933AE"/>
    <w:rsid w:val="00E9344D"/>
    <w:rsid w:val="00E93887"/>
    <w:rsid w:val="00E939E0"/>
    <w:rsid w:val="00E93A25"/>
    <w:rsid w:val="00E93A6D"/>
    <w:rsid w:val="00E93BCF"/>
    <w:rsid w:val="00E93BE1"/>
    <w:rsid w:val="00E93CD6"/>
    <w:rsid w:val="00E94264"/>
    <w:rsid w:val="00E944EF"/>
    <w:rsid w:val="00E945FF"/>
    <w:rsid w:val="00E94739"/>
    <w:rsid w:val="00E947B7"/>
    <w:rsid w:val="00E947CF"/>
    <w:rsid w:val="00E94942"/>
    <w:rsid w:val="00E949A5"/>
    <w:rsid w:val="00E94D0B"/>
    <w:rsid w:val="00E94D84"/>
    <w:rsid w:val="00E94DA3"/>
    <w:rsid w:val="00E94DF5"/>
    <w:rsid w:val="00E94E48"/>
    <w:rsid w:val="00E94E6F"/>
    <w:rsid w:val="00E9500D"/>
    <w:rsid w:val="00E9509C"/>
    <w:rsid w:val="00E950D5"/>
    <w:rsid w:val="00E951BF"/>
    <w:rsid w:val="00E951C1"/>
    <w:rsid w:val="00E9523B"/>
    <w:rsid w:val="00E957C1"/>
    <w:rsid w:val="00E9584D"/>
    <w:rsid w:val="00E95875"/>
    <w:rsid w:val="00E95973"/>
    <w:rsid w:val="00E95A7E"/>
    <w:rsid w:val="00E95BC0"/>
    <w:rsid w:val="00E95F44"/>
    <w:rsid w:val="00E95FC9"/>
    <w:rsid w:val="00E96066"/>
    <w:rsid w:val="00E96154"/>
    <w:rsid w:val="00E9640B"/>
    <w:rsid w:val="00E967A6"/>
    <w:rsid w:val="00E96880"/>
    <w:rsid w:val="00E96A61"/>
    <w:rsid w:val="00E96AF8"/>
    <w:rsid w:val="00E96B43"/>
    <w:rsid w:val="00E96B48"/>
    <w:rsid w:val="00E96B83"/>
    <w:rsid w:val="00E96D63"/>
    <w:rsid w:val="00E96D95"/>
    <w:rsid w:val="00E96E54"/>
    <w:rsid w:val="00E96F2F"/>
    <w:rsid w:val="00E9702F"/>
    <w:rsid w:val="00E97577"/>
    <w:rsid w:val="00E9759C"/>
    <w:rsid w:val="00E977FD"/>
    <w:rsid w:val="00E97934"/>
    <w:rsid w:val="00E97B14"/>
    <w:rsid w:val="00E97C78"/>
    <w:rsid w:val="00E97D40"/>
    <w:rsid w:val="00E97D93"/>
    <w:rsid w:val="00E97F0B"/>
    <w:rsid w:val="00E97F75"/>
    <w:rsid w:val="00E97FA2"/>
    <w:rsid w:val="00EA02AD"/>
    <w:rsid w:val="00EA05EF"/>
    <w:rsid w:val="00EA0725"/>
    <w:rsid w:val="00EA0737"/>
    <w:rsid w:val="00EA07D6"/>
    <w:rsid w:val="00EA0812"/>
    <w:rsid w:val="00EA0887"/>
    <w:rsid w:val="00EA0D2C"/>
    <w:rsid w:val="00EA105B"/>
    <w:rsid w:val="00EA10FC"/>
    <w:rsid w:val="00EA116F"/>
    <w:rsid w:val="00EA1245"/>
    <w:rsid w:val="00EA14CC"/>
    <w:rsid w:val="00EA17AC"/>
    <w:rsid w:val="00EA17C1"/>
    <w:rsid w:val="00EA17CD"/>
    <w:rsid w:val="00EA187C"/>
    <w:rsid w:val="00EA1943"/>
    <w:rsid w:val="00EA1C22"/>
    <w:rsid w:val="00EA1E83"/>
    <w:rsid w:val="00EA1E9F"/>
    <w:rsid w:val="00EA1EA1"/>
    <w:rsid w:val="00EA1ECF"/>
    <w:rsid w:val="00EA1EEB"/>
    <w:rsid w:val="00EA217A"/>
    <w:rsid w:val="00EA21C6"/>
    <w:rsid w:val="00EA2300"/>
    <w:rsid w:val="00EA234F"/>
    <w:rsid w:val="00EA2529"/>
    <w:rsid w:val="00EA26F3"/>
    <w:rsid w:val="00EA2B92"/>
    <w:rsid w:val="00EA2B93"/>
    <w:rsid w:val="00EA2C4D"/>
    <w:rsid w:val="00EA2DF5"/>
    <w:rsid w:val="00EA2F7F"/>
    <w:rsid w:val="00EA3019"/>
    <w:rsid w:val="00EA307B"/>
    <w:rsid w:val="00EA313E"/>
    <w:rsid w:val="00EA3234"/>
    <w:rsid w:val="00EA3422"/>
    <w:rsid w:val="00EA3443"/>
    <w:rsid w:val="00EA3508"/>
    <w:rsid w:val="00EA35C4"/>
    <w:rsid w:val="00EA373C"/>
    <w:rsid w:val="00EA3A1C"/>
    <w:rsid w:val="00EA3E3E"/>
    <w:rsid w:val="00EA3ED7"/>
    <w:rsid w:val="00EA424A"/>
    <w:rsid w:val="00EA44E1"/>
    <w:rsid w:val="00EA44EF"/>
    <w:rsid w:val="00EA4549"/>
    <w:rsid w:val="00EA465C"/>
    <w:rsid w:val="00EA4931"/>
    <w:rsid w:val="00EA4A79"/>
    <w:rsid w:val="00EA4E8F"/>
    <w:rsid w:val="00EA4EDB"/>
    <w:rsid w:val="00EA4F8D"/>
    <w:rsid w:val="00EA506F"/>
    <w:rsid w:val="00EA5410"/>
    <w:rsid w:val="00EA551A"/>
    <w:rsid w:val="00EA5933"/>
    <w:rsid w:val="00EA5995"/>
    <w:rsid w:val="00EA5AC3"/>
    <w:rsid w:val="00EA5B86"/>
    <w:rsid w:val="00EA5CD6"/>
    <w:rsid w:val="00EA5CE5"/>
    <w:rsid w:val="00EA5CFB"/>
    <w:rsid w:val="00EA5FCD"/>
    <w:rsid w:val="00EA6045"/>
    <w:rsid w:val="00EA607A"/>
    <w:rsid w:val="00EA6498"/>
    <w:rsid w:val="00EA67E5"/>
    <w:rsid w:val="00EA7046"/>
    <w:rsid w:val="00EA7092"/>
    <w:rsid w:val="00EA70EA"/>
    <w:rsid w:val="00EA713B"/>
    <w:rsid w:val="00EA7404"/>
    <w:rsid w:val="00EA7556"/>
    <w:rsid w:val="00EA7979"/>
    <w:rsid w:val="00EA7A10"/>
    <w:rsid w:val="00EA7B05"/>
    <w:rsid w:val="00EA7D63"/>
    <w:rsid w:val="00EA7DD4"/>
    <w:rsid w:val="00EA7EC5"/>
    <w:rsid w:val="00EA7F16"/>
    <w:rsid w:val="00EA7FC5"/>
    <w:rsid w:val="00EB0210"/>
    <w:rsid w:val="00EB0317"/>
    <w:rsid w:val="00EB0324"/>
    <w:rsid w:val="00EB03FC"/>
    <w:rsid w:val="00EB049D"/>
    <w:rsid w:val="00EB06A2"/>
    <w:rsid w:val="00EB06AA"/>
    <w:rsid w:val="00EB088A"/>
    <w:rsid w:val="00EB08A1"/>
    <w:rsid w:val="00EB08A6"/>
    <w:rsid w:val="00EB0B94"/>
    <w:rsid w:val="00EB0F3D"/>
    <w:rsid w:val="00EB113D"/>
    <w:rsid w:val="00EB11C8"/>
    <w:rsid w:val="00EB11FE"/>
    <w:rsid w:val="00EB125E"/>
    <w:rsid w:val="00EB1292"/>
    <w:rsid w:val="00EB139C"/>
    <w:rsid w:val="00EB141A"/>
    <w:rsid w:val="00EB1464"/>
    <w:rsid w:val="00EB149F"/>
    <w:rsid w:val="00EB1535"/>
    <w:rsid w:val="00EB16BF"/>
    <w:rsid w:val="00EB1787"/>
    <w:rsid w:val="00EB1799"/>
    <w:rsid w:val="00EB1B9E"/>
    <w:rsid w:val="00EB1BEF"/>
    <w:rsid w:val="00EB1DEF"/>
    <w:rsid w:val="00EB2037"/>
    <w:rsid w:val="00EB218D"/>
    <w:rsid w:val="00EB2340"/>
    <w:rsid w:val="00EB23D6"/>
    <w:rsid w:val="00EB2511"/>
    <w:rsid w:val="00EB25BC"/>
    <w:rsid w:val="00EB261B"/>
    <w:rsid w:val="00EB2716"/>
    <w:rsid w:val="00EB272B"/>
    <w:rsid w:val="00EB27DA"/>
    <w:rsid w:val="00EB297D"/>
    <w:rsid w:val="00EB2A09"/>
    <w:rsid w:val="00EB2A7F"/>
    <w:rsid w:val="00EB2E22"/>
    <w:rsid w:val="00EB2EA4"/>
    <w:rsid w:val="00EB301E"/>
    <w:rsid w:val="00EB31E5"/>
    <w:rsid w:val="00EB3477"/>
    <w:rsid w:val="00EB3497"/>
    <w:rsid w:val="00EB35AE"/>
    <w:rsid w:val="00EB361D"/>
    <w:rsid w:val="00EB397E"/>
    <w:rsid w:val="00EB39FF"/>
    <w:rsid w:val="00EB3C91"/>
    <w:rsid w:val="00EB3CBD"/>
    <w:rsid w:val="00EB3E69"/>
    <w:rsid w:val="00EB3F14"/>
    <w:rsid w:val="00EB431B"/>
    <w:rsid w:val="00EB44DA"/>
    <w:rsid w:val="00EB46DB"/>
    <w:rsid w:val="00EB4739"/>
    <w:rsid w:val="00EB4888"/>
    <w:rsid w:val="00EB4A00"/>
    <w:rsid w:val="00EB4AA1"/>
    <w:rsid w:val="00EB4B01"/>
    <w:rsid w:val="00EB4BCE"/>
    <w:rsid w:val="00EB4CBC"/>
    <w:rsid w:val="00EB504B"/>
    <w:rsid w:val="00EB5103"/>
    <w:rsid w:val="00EB5288"/>
    <w:rsid w:val="00EB52E8"/>
    <w:rsid w:val="00EB5519"/>
    <w:rsid w:val="00EB5597"/>
    <w:rsid w:val="00EB55A7"/>
    <w:rsid w:val="00EB56A9"/>
    <w:rsid w:val="00EB5753"/>
    <w:rsid w:val="00EB5A5B"/>
    <w:rsid w:val="00EB5C43"/>
    <w:rsid w:val="00EB5ECF"/>
    <w:rsid w:val="00EB5F79"/>
    <w:rsid w:val="00EB5F88"/>
    <w:rsid w:val="00EB605A"/>
    <w:rsid w:val="00EB60BD"/>
    <w:rsid w:val="00EB61BC"/>
    <w:rsid w:val="00EB6382"/>
    <w:rsid w:val="00EB63DF"/>
    <w:rsid w:val="00EB6476"/>
    <w:rsid w:val="00EB6528"/>
    <w:rsid w:val="00EB6716"/>
    <w:rsid w:val="00EB6B9B"/>
    <w:rsid w:val="00EB6E08"/>
    <w:rsid w:val="00EB6EDC"/>
    <w:rsid w:val="00EB7012"/>
    <w:rsid w:val="00EB7032"/>
    <w:rsid w:val="00EB7098"/>
    <w:rsid w:val="00EB71B0"/>
    <w:rsid w:val="00EB728E"/>
    <w:rsid w:val="00EB7420"/>
    <w:rsid w:val="00EB76AF"/>
    <w:rsid w:val="00EB77D7"/>
    <w:rsid w:val="00EB7A0F"/>
    <w:rsid w:val="00EB7F1D"/>
    <w:rsid w:val="00EC01CE"/>
    <w:rsid w:val="00EC0466"/>
    <w:rsid w:val="00EC0475"/>
    <w:rsid w:val="00EC0660"/>
    <w:rsid w:val="00EC06BF"/>
    <w:rsid w:val="00EC0901"/>
    <w:rsid w:val="00EC0A69"/>
    <w:rsid w:val="00EC0A9D"/>
    <w:rsid w:val="00EC0C61"/>
    <w:rsid w:val="00EC0CA7"/>
    <w:rsid w:val="00EC0D3C"/>
    <w:rsid w:val="00EC0D72"/>
    <w:rsid w:val="00EC1014"/>
    <w:rsid w:val="00EC1186"/>
    <w:rsid w:val="00EC123D"/>
    <w:rsid w:val="00EC1319"/>
    <w:rsid w:val="00EC1488"/>
    <w:rsid w:val="00EC16C0"/>
    <w:rsid w:val="00EC173D"/>
    <w:rsid w:val="00EC1759"/>
    <w:rsid w:val="00EC1763"/>
    <w:rsid w:val="00EC19C2"/>
    <w:rsid w:val="00EC1BAD"/>
    <w:rsid w:val="00EC1BBD"/>
    <w:rsid w:val="00EC1EE0"/>
    <w:rsid w:val="00EC1FA5"/>
    <w:rsid w:val="00EC2019"/>
    <w:rsid w:val="00EC21EF"/>
    <w:rsid w:val="00EC225A"/>
    <w:rsid w:val="00EC247E"/>
    <w:rsid w:val="00EC2511"/>
    <w:rsid w:val="00EC266D"/>
    <w:rsid w:val="00EC288E"/>
    <w:rsid w:val="00EC28D0"/>
    <w:rsid w:val="00EC2986"/>
    <w:rsid w:val="00EC29A5"/>
    <w:rsid w:val="00EC2E68"/>
    <w:rsid w:val="00EC2F5D"/>
    <w:rsid w:val="00EC311B"/>
    <w:rsid w:val="00EC3334"/>
    <w:rsid w:val="00EC3367"/>
    <w:rsid w:val="00EC33CE"/>
    <w:rsid w:val="00EC3572"/>
    <w:rsid w:val="00EC3630"/>
    <w:rsid w:val="00EC36B2"/>
    <w:rsid w:val="00EC3D45"/>
    <w:rsid w:val="00EC3D9D"/>
    <w:rsid w:val="00EC3EFB"/>
    <w:rsid w:val="00EC3F5B"/>
    <w:rsid w:val="00EC40C5"/>
    <w:rsid w:val="00EC40D3"/>
    <w:rsid w:val="00EC42A3"/>
    <w:rsid w:val="00EC439D"/>
    <w:rsid w:val="00EC43FD"/>
    <w:rsid w:val="00EC446E"/>
    <w:rsid w:val="00EC4753"/>
    <w:rsid w:val="00EC49A0"/>
    <w:rsid w:val="00EC4A17"/>
    <w:rsid w:val="00EC4B19"/>
    <w:rsid w:val="00EC4EE2"/>
    <w:rsid w:val="00EC5074"/>
    <w:rsid w:val="00EC5080"/>
    <w:rsid w:val="00EC51DF"/>
    <w:rsid w:val="00EC52F4"/>
    <w:rsid w:val="00EC543D"/>
    <w:rsid w:val="00EC5636"/>
    <w:rsid w:val="00EC57F9"/>
    <w:rsid w:val="00EC58E9"/>
    <w:rsid w:val="00EC591E"/>
    <w:rsid w:val="00EC5A21"/>
    <w:rsid w:val="00EC5A2C"/>
    <w:rsid w:val="00EC5AB5"/>
    <w:rsid w:val="00EC5CD7"/>
    <w:rsid w:val="00EC5D80"/>
    <w:rsid w:val="00EC5F02"/>
    <w:rsid w:val="00EC61EA"/>
    <w:rsid w:val="00EC62E8"/>
    <w:rsid w:val="00EC6325"/>
    <w:rsid w:val="00EC669A"/>
    <w:rsid w:val="00EC6862"/>
    <w:rsid w:val="00EC6929"/>
    <w:rsid w:val="00EC69D4"/>
    <w:rsid w:val="00EC7041"/>
    <w:rsid w:val="00EC7043"/>
    <w:rsid w:val="00EC7046"/>
    <w:rsid w:val="00EC711A"/>
    <w:rsid w:val="00EC7286"/>
    <w:rsid w:val="00EC7341"/>
    <w:rsid w:val="00EC75C1"/>
    <w:rsid w:val="00EC762E"/>
    <w:rsid w:val="00EC773B"/>
    <w:rsid w:val="00EC77FD"/>
    <w:rsid w:val="00EC7DFE"/>
    <w:rsid w:val="00EC7E24"/>
    <w:rsid w:val="00EC7E71"/>
    <w:rsid w:val="00EC7ED8"/>
    <w:rsid w:val="00ED0079"/>
    <w:rsid w:val="00ED0349"/>
    <w:rsid w:val="00ED0653"/>
    <w:rsid w:val="00ED06B4"/>
    <w:rsid w:val="00ED06BC"/>
    <w:rsid w:val="00ED06EE"/>
    <w:rsid w:val="00ED071F"/>
    <w:rsid w:val="00ED077C"/>
    <w:rsid w:val="00ED07D9"/>
    <w:rsid w:val="00ED0905"/>
    <w:rsid w:val="00ED0A84"/>
    <w:rsid w:val="00ED0AA3"/>
    <w:rsid w:val="00ED0CE7"/>
    <w:rsid w:val="00ED0E2E"/>
    <w:rsid w:val="00ED105D"/>
    <w:rsid w:val="00ED1536"/>
    <w:rsid w:val="00ED168A"/>
    <w:rsid w:val="00ED16F5"/>
    <w:rsid w:val="00ED1737"/>
    <w:rsid w:val="00ED1871"/>
    <w:rsid w:val="00ED1BAA"/>
    <w:rsid w:val="00ED1D17"/>
    <w:rsid w:val="00ED1F3D"/>
    <w:rsid w:val="00ED203D"/>
    <w:rsid w:val="00ED22B6"/>
    <w:rsid w:val="00ED24B1"/>
    <w:rsid w:val="00ED28E6"/>
    <w:rsid w:val="00ED2CF5"/>
    <w:rsid w:val="00ED2DF0"/>
    <w:rsid w:val="00ED315B"/>
    <w:rsid w:val="00ED3183"/>
    <w:rsid w:val="00ED326C"/>
    <w:rsid w:val="00ED32D1"/>
    <w:rsid w:val="00ED33C0"/>
    <w:rsid w:val="00ED371E"/>
    <w:rsid w:val="00ED37AB"/>
    <w:rsid w:val="00ED38DF"/>
    <w:rsid w:val="00ED399F"/>
    <w:rsid w:val="00ED3B21"/>
    <w:rsid w:val="00ED3B93"/>
    <w:rsid w:val="00ED3BEB"/>
    <w:rsid w:val="00ED3CC0"/>
    <w:rsid w:val="00ED3D1A"/>
    <w:rsid w:val="00ED3D39"/>
    <w:rsid w:val="00ED3D71"/>
    <w:rsid w:val="00ED3F1A"/>
    <w:rsid w:val="00ED3F6C"/>
    <w:rsid w:val="00ED42CB"/>
    <w:rsid w:val="00ED43FF"/>
    <w:rsid w:val="00ED442D"/>
    <w:rsid w:val="00ED45AE"/>
    <w:rsid w:val="00ED4697"/>
    <w:rsid w:val="00ED470C"/>
    <w:rsid w:val="00ED480A"/>
    <w:rsid w:val="00ED4899"/>
    <w:rsid w:val="00ED49E0"/>
    <w:rsid w:val="00ED4E6E"/>
    <w:rsid w:val="00ED4EE3"/>
    <w:rsid w:val="00ED52AF"/>
    <w:rsid w:val="00ED52F9"/>
    <w:rsid w:val="00ED5304"/>
    <w:rsid w:val="00ED5473"/>
    <w:rsid w:val="00ED5538"/>
    <w:rsid w:val="00ED55AD"/>
    <w:rsid w:val="00ED563E"/>
    <w:rsid w:val="00ED5715"/>
    <w:rsid w:val="00ED58D3"/>
    <w:rsid w:val="00ED5A00"/>
    <w:rsid w:val="00ED5AF0"/>
    <w:rsid w:val="00ED5B82"/>
    <w:rsid w:val="00ED5BE3"/>
    <w:rsid w:val="00ED5C69"/>
    <w:rsid w:val="00ED5CC0"/>
    <w:rsid w:val="00ED5D3E"/>
    <w:rsid w:val="00ED5E22"/>
    <w:rsid w:val="00ED5F63"/>
    <w:rsid w:val="00ED6039"/>
    <w:rsid w:val="00ED6179"/>
    <w:rsid w:val="00ED6275"/>
    <w:rsid w:val="00ED631D"/>
    <w:rsid w:val="00ED634F"/>
    <w:rsid w:val="00ED64B6"/>
    <w:rsid w:val="00ED653C"/>
    <w:rsid w:val="00ED65E0"/>
    <w:rsid w:val="00ED65F8"/>
    <w:rsid w:val="00ED6610"/>
    <w:rsid w:val="00ED6699"/>
    <w:rsid w:val="00ED66F6"/>
    <w:rsid w:val="00ED680D"/>
    <w:rsid w:val="00ED6A9D"/>
    <w:rsid w:val="00ED6BD2"/>
    <w:rsid w:val="00ED6C28"/>
    <w:rsid w:val="00ED6DE1"/>
    <w:rsid w:val="00ED6E56"/>
    <w:rsid w:val="00ED713F"/>
    <w:rsid w:val="00ED71FB"/>
    <w:rsid w:val="00ED72A6"/>
    <w:rsid w:val="00ED72DE"/>
    <w:rsid w:val="00ED72F0"/>
    <w:rsid w:val="00ED739E"/>
    <w:rsid w:val="00ED75B2"/>
    <w:rsid w:val="00ED780B"/>
    <w:rsid w:val="00ED7828"/>
    <w:rsid w:val="00ED79DF"/>
    <w:rsid w:val="00ED79FF"/>
    <w:rsid w:val="00ED7B8A"/>
    <w:rsid w:val="00ED7BB2"/>
    <w:rsid w:val="00ED7D5F"/>
    <w:rsid w:val="00EE000E"/>
    <w:rsid w:val="00EE01DD"/>
    <w:rsid w:val="00EE037E"/>
    <w:rsid w:val="00EE0606"/>
    <w:rsid w:val="00EE06E4"/>
    <w:rsid w:val="00EE1097"/>
    <w:rsid w:val="00EE109A"/>
    <w:rsid w:val="00EE1138"/>
    <w:rsid w:val="00EE1142"/>
    <w:rsid w:val="00EE121F"/>
    <w:rsid w:val="00EE1594"/>
    <w:rsid w:val="00EE1601"/>
    <w:rsid w:val="00EE16EE"/>
    <w:rsid w:val="00EE17E1"/>
    <w:rsid w:val="00EE18AB"/>
    <w:rsid w:val="00EE1A2A"/>
    <w:rsid w:val="00EE1AF0"/>
    <w:rsid w:val="00EE1CED"/>
    <w:rsid w:val="00EE1E6B"/>
    <w:rsid w:val="00EE1F81"/>
    <w:rsid w:val="00EE1FAA"/>
    <w:rsid w:val="00EE207F"/>
    <w:rsid w:val="00EE20B2"/>
    <w:rsid w:val="00EE21A2"/>
    <w:rsid w:val="00EE21E8"/>
    <w:rsid w:val="00EE248F"/>
    <w:rsid w:val="00EE24D3"/>
    <w:rsid w:val="00EE2672"/>
    <w:rsid w:val="00EE2785"/>
    <w:rsid w:val="00EE281F"/>
    <w:rsid w:val="00EE2A0A"/>
    <w:rsid w:val="00EE2AB3"/>
    <w:rsid w:val="00EE2C15"/>
    <w:rsid w:val="00EE2CC0"/>
    <w:rsid w:val="00EE2D20"/>
    <w:rsid w:val="00EE31B8"/>
    <w:rsid w:val="00EE3327"/>
    <w:rsid w:val="00EE348F"/>
    <w:rsid w:val="00EE3505"/>
    <w:rsid w:val="00EE35C1"/>
    <w:rsid w:val="00EE36AF"/>
    <w:rsid w:val="00EE36C6"/>
    <w:rsid w:val="00EE37D4"/>
    <w:rsid w:val="00EE38BB"/>
    <w:rsid w:val="00EE3909"/>
    <w:rsid w:val="00EE390E"/>
    <w:rsid w:val="00EE3925"/>
    <w:rsid w:val="00EE39A7"/>
    <w:rsid w:val="00EE3A00"/>
    <w:rsid w:val="00EE3C3F"/>
    <w:rsid w:val="00EE402B"/>
    <w:rsid w:val="00EE406D"/>
    <w:rsid w:val="00EE4221"/>
    <w:rsid w:val="00EE4290"/>
    <w:rsid w:val="00EE459F"/>
    <w:rsid w:val="00EE478B"/>
    <w:rsid w:val="00EE47B3"/>
    <w:rsid w:val="00EE484B"/>
    <w:rsid w:val="00EE49C2"/>
    <w:rsid w:val="00EE4B93"/>
    <w:rsid w:val="00EE4CF0"/>
    <w:rsid w:val="00EE50A4"/>
    <w:rsid w:val="00EE50B9"/>
    <w:rsid w:val="00EE521D"/>
    <w:rsid w:val="00EE5442"/>
    <w:rsid w:val="00EE5443"/>
    <w:rsid w:val="00EE5A35"/>
    <w:rsid w:val="00EE5ACC"/>
    <w:rsid w:val="00EE5DF8"/>
    <w:rsid w:val="00EE5E89"/>
    <w:rsid w:val="00EE5F9B"/>
    <w:rsid w:val="00EE6083"/>
    <w:rsid w:val="00EE61CA"/>
    <w:rsid w:val="00EE621B"/>
    <w:rsid w:val="00EE6276"/>
    <w:rsid w:val="00EE64A3"/>
    <w:rsid w:val="00EE650F"/>
    <w:rsid w:val="00EE6632"/>
    <w:rsid w:val="00EE675F"/>
    <w:rsid w:val="00EE6894"/>
    <w:rsid w:val="00EE6AA1"/>
    <w:rsid w:val="00EE6AF7"/>
    <w:rsid w:val="00EE6C01"/>
    <w:rsid w:val="00EE6CD5"/>
    <w:rsid w:val="00EE6D30"/>
    <w:rsid w:val="00EE71A5"/>
    <w:rsid w:val="00EE727F"/>
    <w:rsid w:val="00EE738E"/>
    <w:rsid w:val="00EE74F6"/>
    <w:rsid w:val="00EE75BD"/>
    <w:rsid w:val="00EE762E"/>
    <w:rsid w:val="00EE7836"/>
    <w:rsid w:val="00EE7A17"/>
    <w:rsid w:val="00EE7F2E"/>
    <w:rsid w:val="00EF0114"/>
    <w:rsid w:val="00EF0152"/>
    <w:rsid w:val="00EF017E"/>
    <w:rsid w:val="00EF01CE"/>
    <w:rsid w:val="00EF0220"/>
    <w:rsid w:val="00EF028F"/>
    <w:rsid w:val="00EF039D"/>
    <w:rsid w:val="00EF04C4"/>
    <w:rsid w:val="00EF04F7"/>
    <w:rsid w:val="00EF05A1"/>
    <w:rsid w:val="00EF061D"/>
    <w:rsid w:val="00EF080F"/>
    <w:rsid w:val="00EF081E"/>
    <w:rsid w:val="00EF0A3B"/>
    <w:rsid w:val="00EF0B67"/>
    <w:rsid w:val="00EF0BE4"/>
    <w:rsid w:val="00EF0C73"/>
    <w:rsid w:val="00EF0C93"/>
    <w:rsid w:val="00EF0FC1"/>
    <w:rsid w:val="00EF10FD"/>
    <w:rsid w:val="00EF113C"/>
    <w:rsid w:val="00EF119F"/>
    <w:rsid w:val="00EF11E4"/>
    <w:rsid w:val="00EF1282"/>
    <w:rsid w:val="00EF12EC"/>
    <w:rsid w:val="00EF13BC"/>
    <w:rsid w:val="00EF146E"/>
    <w:rsid w:val="00EF1527"/>
    <w:rsid w:val="00EF1621"/>
    <w:rsid w:val="00EF1851"/>
    <w:rsid w:val="00EF190F"/>
    <w:rsid w:val="00EF199D"/>
    <w:rsid w:val="00EF1B03"/>
    <w:rsid w:val="00EF1C4C"/>
    <w:rsid w:val="00EF1EB5"/>
    <w:rsid w:val="00EF203E"/>
    <w:rsid w:val="00EF2125"/>
    <w:rsid w:val="00EF22C4"/>
    <w:rsid w:val="00EF239A"/>
    <w:rsid w:val="00EF23E9"/>
    <w:rsid w:val="00EF270E"/>
    <w:rsid w:val="00EF2773"/>
    <w:rsid w:val="00EF284E"/>
    <w:rsid w:val="00EF28E5"/>
    <w:rsid w:val="00EF29B4"/>
    <w:rsid w:val="00EF29BD"/>
    <w:rsid w:val="00EF2A04"/>
    <w:rsid w:val="00EF2A30"/>
    <w:rsid w:val="00EF2BE3"/>
    <w:rsid w:val="00EF2CB6"/>
    <w:rsid w:val="00EF2DB4"/>
    <w:rsid w:val="00EF2E4C"/>
    <w:rsid w:val="00EF2EFF"/>
    <w:rsid w:val="00EF2F95"/>
    <w:rsid w:val="00EF2FF0"/>
    <w:rsid w:val="00EF3029"/>
    <w:rsid w:val="00EF3118"/>
    <w:rsid w:val="00EF3175"/>
    <w:rsid w:val="00EF32DC"/>
    <w:rsid w:val="00EF330C"/>
    <w:rsid w:val="00EF351B"/>
    <w:rsid w:val="00EF3550"/>
    <w:rsid w:val="00EF36DA"/>
    <w:rsid w:val="00EF389B"/>
    <w:rsid w:val="00EF39C9"/>
    <w:rsid w:val="00EF39D4"/>
    <w:rsid w:val="00EF3AA0"/>
    <w:rsid w:val="00EF3C4E"/>
    <w:rsid w:val="00EF3F0B"/>
    <w:rsid w:val="00EF40D0"/>
    <w:rsid w:val="00EF420C"/>
    <w:rsid w:val="00EF43FF"/>
    <w:rsid w:val="00EF46C4"/>
    <w:rsid w:val="00EF46D8"/>
    <w:rsid w:val="00EF4783"/>
    <w:rsid w:val="00EF47AC"/>
    <w:rsid w:val="00EF4841"/>
    <w:rsid w:val="00EF497C"/>
    <w:rsid w:val="00EF4A1A"/>
    <w:rsid w:val="00EF4E6A"/>
    <w:rsid w:val="00EF5011"/>
    <w:rsid w:val="00EF5142"/>
    <w:rsid w:val="00EF51E7"/>
    <w:rsid w:val="00EF5218"/>
    <w:rsid w:val="00EF5221"/>
    <w:rsid w:val="00EF547B"/>
    <w:rsid w:val="00EF54D1"/>
    <w:rsid w:val="00EF556C"/>
    <w:rsid w:val="00EF5720"/>
    <w:rsid w:val="00EF57D3"/>
    <w:rsid w:val="00EF5821"/>
    <w:rsid w:val="00EF58BA"/>
    <w:rsid w:val="00EF5978"/>
    <w:rsid w:val="00EF5A17"/>
    <w:rsid w:val="00EF5B69"/>
    <w:rsid w:val="00EF5F56"/>
    <w:rsid w:val="00EF603D"/>
    <w:rsid w:val="00EF6084"/>
    <w:rsid w:val="00EF60A5"/>
    <w:rsid w:val="00EF6221"/>
    <w:rsid w:val="00EF62F7"/>
    <w:rsid w:val="00EF635B"/>
    <w:rsid w:val="00EF6437"/>
    <w:rsid w:val="00EF667B"/>
    <w:rsid w:val="00EF66D7"/>
    <w:rsid w:val="00EF671D"/>
    <w:rsid w:val="00EF67A8"/>
    <w:rsid w:val="00EF67D9"/>
    <w:rsid w:val="00EF67EC"/>
    <w:rsid w:val="00EF69C4"/>
    <w:rsid w:val="00EF6AC3"/>
    <w:rsid w:val="00EF6CEE"/>
    <w:rsid w:val="00EF6E2A"/>
    <w:rsid w:val="00EF6EE5"/>
    <w:rsid w:val="00EF6F2E"/>
    <w:rsid w:val="00EF6FCB"/>
    <w:rsid w:val="00EF702A"/>
    <w:rsid w:val="00EF72DA"/>
    <w:rsid w:val="00EF77FB"/>
    <w:rsid w:val="00EF7932"/>
    <w:rsid w:val="00EF7B63"/>
    <w:rsid w:val="00EF7C02"/>
    <w:rsid w:val="00EF7C1C"/>
    <w:rsid w:val="00EF7DBD"/>
    <w:rsid w:val="00EF7F41"/>
    <w:rsid w:val="00F001E1"/>
    <w:rsid w:val="00F002BF"/>
    <w:rsid w:val="00F00409"/>
    <w:rsid w:val="00F00639"/>
    <w:rsid w:val="00F00A0E"/>
    <w:rsid w:val="00F00A17"/>
    <w:rsid w:val="00F00C2C"/>
    <w:rsid w:val="00F00D8D"/>
    <w:rsid w:val="00F01086"/>
    <w:rsid w:val="00F0108D"/>
    <w:rsid w:val="00F0142A"/>
    <w:rsid w:val="00F0145F"/>
    <w:rsid w:val="00F014D6"/>
    <w:rsid w:val="00F01B6D"/>
    <w:rsid w:val="00F01C59"/>
    <w:rsid w:val="00F01CC7"/>
    <w:rsid w:val="00F01E48"/>
    <w:rsid w:val="00F01E5B"/>
    <w:rsid w:val="00F0216B"/>
    <w:rsid w:val="00F02263"/>
    <w:rsid w:val="00F022D8"/>
    <w:rsid w:val="00F02349"/>
    <w:rsid w:val="00F023D0"/>
    <w:rsid w:val="00F02476"/>
    <w:rsid w:val="00F02523"/>
    <w:rsid w:val="00F025C2"/>
    <w:rsid w:val="00F02663"/>
    <w:rsid w:val="00F026CF"/>
    <w:rsid w:val="00F027C6"/>
    <w:rsid w:val="00F028AB"/>
    <w:rsid w:val="00F02984"/>
    <w:rsid w:val="00F02CD0"/>
    <w:rsid w:val="00F02E1F"/>
    <w:rsid w:val="00F02E24"/>
    <w:rsid w:val="00F02E8E"/>
    <w:rsid w:val="00F03016"/>
    <w:rsid w:val="00F030AF"/>
    <w:rsid w:val="00F03167"/>
    <w:rsid w:val="00F0322F"/>
    <w:rsid w:val="00F03428"/>
    <w:rsid w:val="00F0354E"/>
    <w:rsid w:val="00F03630"/>
    <w:rsid w:val="00F036D0"/>
    <w:rsid w:val="00F039CA"/>
    <w:rsid w:val="00F03BEE"/>
    <w:rsid w:val="00F03C8C"/>
    <w:rsid w:val="00F03D32"/>
    <w:rsid w:val="00F03E13"/>
    <w:rsid w:val="00F03E39"/>
    <w:rsid w:val="00F03F17"/>
    <w:rsid w:val="00F04069"/>
    <w:rsid w:val="00F041F0"/>
    <w:rsid w:val="00F0427F"/>
    <w:rsid w:val="00F0450A"/>
    <w:rsid w:val="00F04578"/>
    <w:rsid w:val="00F045F5"/>
    <w:rsid w:val="00F046CF"/>
    <w:rsid w:val="00F0479D"/>
    <w:rsid w:val="00F04905"/>
    <w:rsid w:val="00F0490B"/>
    <w:rsid w:val="00F04A43"/>
    <w:rsid w:val="00F04CC5"/>
    <w:rsid w:val="00F04DF9"/>
    <w:rsid w:val="00F05068"/>
    <w:rsid w:val="00F0522E"/>
    <w:rsid w:val="00F053AC"/>
    <w:rsid w:val="00F05453"/>
    <w:rsid w:val="00F054A6"/>
    <w:rsid w:val="00F0552D"/>
    <w:rsid w:val="00F059FA"/>
    <w:rsid w:val="00F05A75"/>
    <w:rsid w:val="00F05D0E"/>
    <w:rsid w:val="00F05D0F"/>
    <w:rsid w:val="00F05D69"/>
    <w:rsid w:val="00F060B0"/>
    <w:rsid w:val="00F063ED"/>
    <w:rsid w:val="00F06438"/>
    <w:rsid w:val="00F06659"/>
    <w:rsid w:val="00F0671C"/>
    <w:rsid w:val="00F0680F"/>
    <w:rsid w:val="00F06927"/>
    <w:rsid w:val="00F06A83"/>
    <w:rsid w:val="00F06B41"/>
    <w:rsid w:val="00F06C8F"/>
    <w:rsid w:val="00F06CAF"/>
    <w:rsid w:val="00F06E4F"/>
    <w:rsid w:val="00F06E64"/>
    <w:rsid w:val="00F06F17"/>
    <w:rsid w:val="00F06F26"/>
    <w:rsid w:val="00F06F85"/>
    <w:rsid w:val="00F07282"/>
    <w:rsid w:val="00F072B0"/>
    <w:rsid w:val="00F0732D"/>
    <w:rsid w:val="00F074C1"/>
    <w:rsid w:val="00F07658"/>
    <w:rsid w:val="00F0779E"/>
    <w:rsid w:val="00F07991"/>
    <w:rsid w:val="00F07A89"/>
    <w:rsid w:val="00F07B28"/>
    <w:rsid w:val="00F07B2D"/>
    <w:rsid w:val="00F07C04"/>
    <w:rsid w:val="00F07C35"/>
    <w:rsid w:val="00F07CEE"/>
    <w:rsid w:val="00F07DC6"/>
    <w:rsid w:val="00F07DF4"/>
    <w:rsid w:val="00F10056"/>
    <w:rsid w:val="00F10146"/>
    <w:rsid w:val="00F1044D"/>
    <w:rsid w:val="00F1062E"/>
    <w:rsid w:val="00F106D2"/>
    <w:rsid w:val="00F106EC"/>
    <w:rsid w:val="00F107E9"/>
    <w:rsid w:val="00F109FE"/>
    <w:rsid w:val="00F10A7A"/>
    <w:rsid w:val="00F10A7B"/>
    <w:rsid w:val="00F10B73"/>
    <w:rsid w:val="00F10BE4"/>
    <w:rsid w:val="00F10C1A"/>
    <w:rsid w:val="00F10D2E"/>
    <w:rsid w:val="00F10D6E"/>
    <w:rsid w:val="00F11120"/>
    <w:rsid w:val="00F111A2"/>
    <w:rsid w:val="00F111EE"/>
    <w:rsid w:val="00F114B2"/>
    <w:rsid w:val="00F117B3"/>
    <w:rsid w:val="00F117BE"/>
    <w:rsid w:val="00F11881"/>
    <w:rsid w:val="00F119E8"/>
    <w:rsid w:val="00F11F5D"/>
    <w:rsid w:val="00F11FC8"/>
    <w:rsid w:val="00F1208E"/>
    <w:rsid w:val="00F12116"/>
    <w:rsid w:val="00F12373"/>
    <w:rsid w:val="00F12536"/>
    <w:rsid w:val="00F12621"/>
    <w:rsid w:val="00F127BB"/>
    <w:rsid w:val="00F12820"/>
    <w:rsid w:val="00F12D1A"/>
    <w:rsid w:val="00F12ECF"/>
    <w:rsid w:val="00F12FB4"/>
    <w:rsid w:val="00F13244"/>
    <w:rsid w:val="00F1331D"/>
    <w:rsid w:val="00F135C2"/>
    <w:rsid w:val="00F136E0"/>
    <w:rsid w:val="00F13866"/>
    <w:rsid w:val="00F1391C"/>
    <w:rsid w:val="00F13AE6"/>
    <w:rsid w:val="00F13B4A"/>
    <w:rsid w:val="00F13F89"/>
    <w:rsid w:val="00F141B0"/>
    <w:rsid w:val="00F14236"/>
    <w:rsid w:val="00F142B1"/>
    <w:rsid w:val="00F143BB"/>
    <w:rsid w:val="00F144CB"/>
    <w:rsid w:val="00F145F8"/>
    <w:rsid w:val="00F1460C"/>
    <w:rsid w:val="00F146ED"/>
    <w:rsid w:val="00F1472A"/>
    <w:rsid w:val="00F148DC"/>
    <w:rsid w:val="00F14A8E"/>
    <w:rsid w:val="00F14B21"/>
    <w:rsid w:val="00F14C1F"/>
    <w:rsid w:val="00F14D7C"/>
    <w:rsid w:val="00F14ED7"/>
    <w:rsid w:val="00F14F09"/>
    <w:rsid w:val="00F14F42"/>
    <w:rsid w:val="00F14F6A"/>
    <w:rsid w:val="00F150B3"/>
    <w:rsid w:val="00F150B4"/>
    <w:rsid w:val="00F15207"/>
    <w:rsid w:val="00F15311"/>
    <w:rsid w:val="00F153DB"/>
    <w:rsid w:val="00F15433"/>
    <w:rsid w:val="00F15648"/>
    <w:rsid w:val="00F15745"/>
    <w:rsid w:val="00F15751"/>
    <w:rsid w:val="00F1592B"/>
    <w:rsid w:val="00F1592C"/>
    <w:rsid w:val="00F15967"/>
    <w:rsid w:val="00F15A3A"/>
    <w:rsid w:val="00F15B0E"/>
    <w:rsid w:val="00F15CAE"/>
    <w:rsid w:val="00F15D3F"/>
    <w:rsid w:val="00F15ECA"/>
    <w:rsid w:val="00F15EE0"/>
    <w:rsid w:val="00F160ED"/>
    <w:rsid w:val="00F162F0"/>
    <w:rsid w:val="00F16377"/>
    <w:rsid w:val="00F164C9"/>
    <w:rsid w:val="00F16569"/>
    <w:rsid w:val="00F1662A"/>
    <w:rsid w:val="00F1674F"/>
    <w:rsid w:val="00F167A5"/>
    <w:rsid w:val="00F167BC"/>
    <w:rsid w:val="00F16871"/>
    <w:rsid w:val="00F169FA"/>
    <w:rsid w:val="00F16AAA"/>
    <w:rsid w:val="00F16AE1"/>
    <w:rsid w:val="00F16D54"/>
    <w:rsid w:val="00F16F23"/>
    <w:rsid w:val="00F16F3B"/>
    <w:rsid w:val="00F1705D"/>
    <w:rsid w:val="00F172EB"/>
    <w:rsid w:val="00F173F9"/>
    <w:rsid w:val="00F174CE"/>
    <w:rsid w:val="00F1765F"/>
    <w:rsid w:val="00F17989"/>
    <w:rsid w:val="00F1798B"/>
    <w:rsid w:val="00F17ABD"/>
    <w:rsid w:val="00F17B19"/>
    <w:rsid w:val="00F17B70"/>
    <w:rsid w:val="00F17BF8"/>
    <w:rsid w:val="00F17DDB"/>
    <w:rsid w:val="00F17F29"/>
    <w:rsid w:val="00F17F8E"/>
    <w:rsid w:val="00F201D5"/>
    <w:rsid w:val="00F20314"/>
    <w:rsid w:val="00F203C7"/>
    <w:rsid w:val="00F2094B"/>
    <w:rsid w:val="00F209B5"/>
    <w:rsid w:val="00F20ACC"/>
    <w:rsid w:val="00F20C12"/>
    <w:rsid w:val="00F20E58"/>
    <w:rsid w:val="00F21272"/>
    <w:rsid w:val="00F216D9"/>
    <w:rsid w:val="00F2177A"/>
    <w:rsid w:val="00F218C4"/>
    <w:rsid w:val="00F2199C"/>
    <w:rsid w:val="00F21E2D"/>
    <w:rsid w:val="00F21E9B"/>
    <w:rsid w:val="00F22104"/>
    <w:rsid w:val="00F2221F"/>
    <w:rsid w:val="00F2223E"/>
    <w:rsid w:val="00F2225C"/>
    <w:rsid w:val="00F22279"/>
    <w:rsid w:val="00F223E3"/>
    <w:rsid w:val="00F223E9"/>
    <w:rsid w:val="00F22614"/>
    <w:rsid w:val="00F226B1"/>
    <w:rsid w:val="00F22909"/>
    <w:rsid w:val="00F22916"/>
    <w:rsid w:val="00F229B7"/>
    <w:rsid w:val="00F22A55"/>
    <w:rsid w:val="00F22AB4"/>
    <w:rsid w:val="00F22BEB"/>
    <w:rsid w:val="00F22C67"/>
    <w:rsid w:val="00F232EA"/>
    <w:rsid w:val="00F235A7"/>
    <w:rsid w:val="00F23690"/>
    <w:rsid w:val="00F23697"/>
    <w:rsid w:val="00F23728"/>
    <w:rsid w:val="00F2376D"/>
    <w:rsid w:val="00F2378E"/>
    <w:rsid w:val="00F23922"/>
    <w:rsid w:val="00F23DC9"/>
    <w:rsid w:val="00F23DD6"/>
    <w:rsid w:val="00F23E45"/>
    <w:rsid w:val="00F23EAD"/>
    <w:rsid w:val="00F243A1"/>
    <w:rsid w:val="00F243E1"/>
    <w:rsid w:val="00F243E5"/>
    <w:rsid w:val="00F2441B"/>
    <w:rsid w:val="00F244BA"/>
    <w:rsid w:val="00F2482A"/>
    <w:rsid w:val="00F2482F"/>
    <w:rsid w:val="00F2487D"/>
    <w:rsid w:val="00F24A44"/>
    <w:rsid w:val="00F24C9A"/>
    <w:rsid w:val="00F24CD3"/>
    <w:rsid w:val="00F24D72"/>
    <w:rsid w:val="00F24FEE"/>
    <w:rsid w:val="00F25009"/>
    <w:rsid w:val="00F2503E"/>
    <w:rsid w:val="00F2514C"/>
    <w:rsid w:val="00F251D2"/>
    <w:rsid w:val="00F2538D"/>
    <w:rsid w:val="00F25543"/>
    <w:rsid w:val="00F2560E"/>
    <w:rsid w:val="00F25682"/>
    <w:rsid w:val="00F257B3"/>
    <w:rsid w:val="00F257FD"/>
    <w:rsid w:val="00F25A5A"/>
    <w:rsid w:val="00F25B5F"/>
    <w:rsid w:val="00F25DB5"/>
    <w:rsid w:val="00F25E61"/>
    <w:rsid w:val="00F25E6F"/>
    <w:rsid w:val="00F25EA4"/>
    <w:rsid w:val="00F262F0"/>
    <w:rsid w:val="00F263F0"/>
    <w:rsid w:val="00F2640F"/>
    <w:rsid w:val="00F26456"/>
    <w:rsid w:val="00F26679"/>
    <w:rsid w:val="00F267DC"/>
    <w:rsid w:val="00F267F2"/>
    <w:rsid w:val="00F26890"/>
    <w:rsid w:val="00F26ACA"/>
    <w:rsid w:val="00F26AE1"/>
    <w:rsid w:val="00F26B1A"/>
    <w:rsid w:val="00F26B34"/>
    <w:rsid w:val="00F26E33"/>
    <w:rsid w:val="00F26EF2"/>
    <w:rsid w:val="00F26FDF"/>
    <w:rsid w:val="00F270C5"/>
    <w:rsid w:val="00F273BF"/>
    <w:rsid w:val="00F27658"/>
    <w:rsid w:val="00F276B0"/>
    <w:rsid w:val="00F276EE"/>
    <w:rsid w:val="00F2783B"/>
    <w:rsid w:val="00F27CDD"/>
    <w:rsid w:val="00F27F7B"/>
    <w:rsid w:val="00F27FB1"/>
    <w:rsid w:val="00F30127"/>
    <w:rsid w:val="00F3031D"/>
    <w:rsid w:val="00F30553"/>
    <w:rsid w:val="00F305B7"/>
    <w:rsid w:val="00F30A03"/>
    <w:rsid w:val="00F30A47"/>
    <w:rsid w:val="00F30A58"/>
    <w:rsid w:val="00F30C47"/>
    <w:rsid w:val="00F30CB2"/>
    <w:rsid w:val="00F31225"/>
    <w:rsid w:val="00F31396"/>
    <w:rsid w:val="00F3139F"/>
    <w:rsid w:val="00F31417"/>
    <w:rsid w:val="00F31423"/>
    <w:rsid w:val="00F314C2"/>
    <w:rsid w:val="00F31664"/>
    <w:rsid w:val="00F31BCB"/>
    <w:rsid w:val="00F31EAD"/>
    <w:rsid w:val="00F31FB7"/>
    <w:rsid w:val="00F32013"/>
    <w:rsid w:val="00F32319"/>
    <w:rsid w:val="00F323B2"/>
    <w:rsid w:val="00F32446"/>
    <w:rsid w:val="00F32796"/>
    <w:rsid w:val="00F3283E"/>
    <w:rsid w:val="00F32F26"/>
    <w:rsid w:val="00F3304B"/>
    <w:rsid w:val="00F330E6"/>
    <w:rsid w:val="00F3319B"/>
    <w:rsid w:val="00F33282"/>
    <w:rsid w:val="00F3330B"/>
    <w:rsid w:val="00F333DF"/>
    <w:rsid w:val="00F33406"/>
    <w:rsid w:val="00F335BA"/>
    <w:rsid w:val="00F33891"/>
    <w:rsid w:val="00F338AC"/>
    <w:rsid w:val="00F338EE"/>
    <w:rsid w:val="00F33C62"/>
    <w:rsid w:val="00F33E59"/>
    <w:rsid w:val="00F33F12"/>
    <w:rsid w:val="00F34232"/>
    <w:rsid w:val="00F34728"/>
    <w:rsid w:val="00F348D8"/>
    <w:rsid w:val="00F34B19"/>
    <w:rsid w:val="00F34DC3"/>
    <w:rsid w:val="00F34EF8"/>
    <w:rsid w:val="00F351CC"/>
    <w:rsid w:val="00F3548E"/>
    <w:rsid w:val="00F35521"/>
    <w:rsid w:val="00F355B2"/>
    <w:rsid w:val="00F3573D"/>
    <w:rsid w:val="00F3580C"/>
    <w:rsid w:val="00F35B81"/>
    <w:rsid w:val="00F35CD7"/>
    <w:rsid w:val="00F35EAE"/>
    <w:rsid w:val="00F35FC6"/>
    <w:rsid w:val="00F3617C"/>
    <w:rsid w:val="00F362BE"/>
    <w:rsid w:val="00F363C3"/>
    <w:rsid w:val="00F36544"/>
    <w:rsid w:val="00F367C2"/>
    <w:rsid w:val="00F36881"/>
    <w:rsid w:val="00F36B32"/>
    <w:rsid w:val="00F36BA6"/>
    <w:rsid w:val="00F36BF1"/>
    <w:rsid w:val="00F36CAA"/>
    <w:rsid w:val="00F36D18"/>
    <w:rsid w:val="00F36D30"/>
    <w:rsid w:val="00F36D86"/>
    <w:rsid w:val="00F36E41"/>
    <w:rsid w:val="00F36EA7"/>
    <w:rsid w:val="00F37047"/>
    <w:rsid w:val="00F3735A"/>
    <w:rsid w:val="00F373F9"/>
    <w:rsid w:val="00F374DB"/>
    <w:rsid w:val="00F376C6"/>
    <w:rsid w:val="00F377A5"/>
    <w:rsid w:val="00F3796C"/>
    <w:rsid w:val="00F379F9"/>
    <w:rsid w:val="00F37A5A"/>
    <w:rsid w:val="00F37A86"/>
    <w:rsid w:val="00F37AD5"/>
    <w:rsid w:val="00F37CE1"/>
    <w:rsid w:val="00F37E11"/>
    <w:rsid w:val="00F37E50"/>
    <w:rsid w:val="00F40141"/>
    <w:rsid w:val="00F40148"/>
    <w:rsid w:val="00F402CC"/>
    <w:rsid w:val="00F403E5"/>
    <w:rsid w:val="00F4057A"/>
    <w:rsid w:val="00F40654"/>
    <w:rsid w:val="00F40761"/>
    <w:rsid w:val="00F40A7F"/>
    <w:rsid w:val="00F40A9C"/>
    <w:rsid w:val="00F40B51"/>
    <w:rsid w:val="00F40BCD"/>
    <w:rsid w:val="00F410CB"/>
    <w:rsid w:val="00F41130"/>
    <w:rsid w:val="00F41379"/>
    <w:rsid w:val="00F4149D"/>
    <w:rsid w:val="00F414CF"/>
    <w:rsid w:val="00F41543"/>
    <w:rsid w:val="00F4156D"/>
    <w:rsid w:val="00F41674"/>
    <w:rsid w:val="00F417AC"/>
    <w:rsid w:val="00F4186E"/>
    <w:rsid w:val="00F419A3"/>
    <w:rsid w:val="00F41AE7"/>
    <w:rsid w:val="00F41C47"/>
    <w:rsid w:val="00F41C8B"/>
    <w:rsid w:val="00F41C93"/>
    <w:rsid w:val="00F41E30"/>
    <w:rsid w:val="00F41F2C"/>
    <w:rsid w:val="00F4207E"/>
    <w:rsid w:val="00F421DB"/>
    <w:rsid w:val="00F42293"/>
    <w:rsid w:val="00F42465"/>
    <w:rsid w:val="00F42484"/>
    <w:rsid w:val="00F424A6"/>
    <w:rsid w:val="00F42509"/>
    <w:rsid w:val="00F425AB"/>
    <w:rsid w:val="00F4269D"/>
    <w:rsid w:val="00F427B0"/>
    <w:rsid w:val="00F427B1"/>
    <w:rsid w:val="00F427BD"/>
    <w:rsid w:val="00F42873"/>
    <w:rsid w:val="00F42B92"/>
    <w:rsid w:val="00F42C15"/>
    <w:rsid w:val="00F42CA1"/>
    <w:rsid w:val="00F42E55"/>
    <w:rsid w:val="00F42F9A"/>
    <w:rsid w:val="00F43461"/>
    <w:rsid w:val="00F4351B"/>
    <w:rsid w:val="00F4357C"/>
    <w:rsid w:val="00F4385D"/>
    <w:rsid w:val="00F43995"/>
    <w:rsid w:val="00F43B42"/>
    <w:rsid w:val="00F43EC5"/>
    <w:rsid w:val="00F43F1E"/>
    <w:rsid w:val="00F43F55"/>
    <w:rsid w:val="00F44453"/>
    <w:rsid w:val="00F44464"/>
    <w:rsid w:val="00F4462E"/>
    <w:rsid w:val="00F44965"/>
    <w:rsid w:val="00F449E4"/>
    <w:rsid w:val="00F44E51"/>
    <w:rsid w:val="00F4517F"/>
    <w:rsid w:val="00F451BB"/>
    <w:rsid w:val="00F45408"/>
    <w:rsid w:val="00F457A2"/>
    <w:rsid w:val="00F457E7"/>
    <w:rsid w:val="00F45A9F"/>
    <w:rsid w:val="00F45C2B"/>
    <w:rsid w:val="00F45CAD"/>
    <w:rsid w:val="00F45F48"/>
    <w:rsid w:val="00F460C9"/>
    <w:rsid w:val="00F46181"/>
    <w:rsid w:val="00F461C9"/>
    <w:rsid w:val="00F463E2"/>
    <w:rsid w:val="00F46494"/>
    <w:rsid w:val="00F46779"/>
    <w:rsid w:val="00F46855"/>
    <w:rsid w:val="00F469BB"/>
    <w:rsid w:val="00F46B19"/>
    <w:rsid w:val="00F46C43"/>
    <w:rsid w:val="00F46CA3"/>
    <w:rsid w:val="00F46F8C"/>
    <w:rsid w:val="00F47116"/>
    <w:rsid w:val="00F47359"/>
    <w:rsid w:val="00F473E4"/>
    <w:rsid w:val="00F474FB"/>
    <w:rsid w:val="00F475B1"/>
    <w:rsid w:val="00F476D2"/>
    <w:rsid w:val="00F477F0"/>
    <w:rsid w:val="00F47870"/>
    <w:rsid w:val="00F47ACC"/>
    <w:rsid w:val="00F47C11"/>
    <w:rsid w:val="00F47F85"/>
    <w:rsid w:val="00F5000A"/>
    <w:rsid w:val="00F50197"/>
    <w:rsid w:val="00F50228"/>
    <w:rsid w:val="00F50783"/>
    <w:rsid w:val="00F508CF"/>
    <w:rsid w:val="00F50AB3"/>
    <w:rsid w:val="00F50DBD"/>
    <w:rsid w:val="00F50ECF"/>
    <w:rsid w:val="00F51113"/>
    <w:rsid w:val="00F5127A"/>
    <w:rsid w:val="00F5135D"/>
    <w:rsid w:val="00F51735"/>
    <w:rsid w:val="00F5180C"/>
    <w:rsid w:val="00F51B50"/>
    <w:rsid w:val="00F51BB4"/>
    <w:rsid w:val="00F51C1E"/>
    <w:rsid w:val="00F51C40"/>
    <w:rsid w:val="00F51E60"/>
    <w:rsid w:val="00F51E90"/>
    <w:rsid w:val="00F5207A"/>
    <w:rsid w:val="00F52224"/>
    <w:rsid w:val="00F522D9"/>
    <w:rsid w:val="00F522DF"/>
    <w:rsid w:val="00F523D0"/>
    <w:rsid w:val="00F527A9"/>
    <w:rsid w:val="00F52A3F"/>
    <w:rsid w:val="00F52A93"/>
    <w:rsid w:val="00F52C94"/>
    <w:rsid w:val="00F52D05"/>
    <w:rsid w:val="00F52D9D"/>
    <w:rsid w:val="00F52E9F"/>
    <w:rsid w:val="00F52EC4"/>
    <w:rsid w:val="00F52F8C"/>
    <w:rsid w:val="00F530D7"/>
    <w:rsid w:val="00F53373"/>
    <w:rsid w:val="00F5338D"/>
    <w:rsid w:val="00F533FF"/>
    <w:rsid w:val="00F53561"/>
    <w:rsid w:val="00F5362D"/>
    <w:rsid w:val="00F53689"/>
    <w:rsid w:val="00F5370C"/>
    <w:rsid w:val="00F53724"/>
    <w:rsid w:val="00F538A3"/>
    <w:rsid w:val="00F53A15"/>
    <w:rsid w:val="00F53AC1"/>
    <w:rsid w:val="00F53C6D"/>
    <w:rsid w:val="00F53D18"/>
    <w:rsid w:val="00F53EAC"/>
    <w:rsid w:val="00F53FF2"/>
    <w:rsid w:val="00F53FF7"/>
    <w:rsid w:val="00F5404C"/>
    <w:rsid w:val="00F5415B"/>
    <w:rsid w:val="00F54178"/>
    <w:rsid w:val="00F54286"/>
    <w:rsid w:val="00F543AE"/>
    <w:rsid w:val="00F54491"/>
    <w:rsid w:val="00F5466A"/>
    <w:rsid w:val="00F54721"/>
    <w:rsid w:val="00F54904"/>
    <w:rsid w:val="00F54972"/>
    <w:rsid w:val="00F54995"/>
    <w:rsid w:val="00F549BC"/>
    <w:rsid w:val="00F54A72"/>
    <w:rsid w:val="00F54AA7"/>
    <w:rsid w:val="00F54D23"/>
    <w:rsid w:val="00F54E9D"/>
    <w:rsid w:val="00F54EFC"/>
    <w:rsid w:val="00F5519F"/>
    <w:rsid w:val="00F5526A"/>
    <w:rsid w:val="00F552D7"/>
    <w:rsid w:val="00F55354"/>
    <w:rsid w:val="00F5536A"/>
    <w:rsid w:val="00F5577F"/>
    <w:rsid w:val="00F55813"/>
    <w:rsid w:val="00F5586C"/>
    <w:rsid w:val="00F558A0"/>
    <w:rsid w:val="00F558EC"/>
    <w:rsid w:val="00F558FE"/>
    <w:rsid w:val="00F55944"/>
    <w:rsid w:val="00F55BA1"/>
    <w:rsid w:val="00F55D76"/>
    <w:rsid w:val="00F55F38"/>
    <w:rsid w:val="00F5606F"/>
    <w:rsid w:val="00F5631C"/>
    <w:rsid w:val="00F5634C"/>
    <w:rsid w:val="00F56392"/>
    <w:rsid w:val="00F5653C"/>
    <w:rsid w:val="00F567DB"/>
    <w:rsid w:val="00F56862"/>
    <w:rsid w:val="00F56923"/>
    <w:rsid w:val="00F569D9"/>
    <w:rsid w:val="00F56A7E"/>
    <w:rsid w:val="00F56A81"/>
    <w:rsid w:val="00F56AB2"/>
    <w:rsid w:val="00F56C7F"/>
    <w:rsid w:val="00F56D04"/>
    <w:rsid w:val="00F56D31"/>
    <w:rsid w:val="00F56D54"/>
    <w:rsid w:val="00F56D8A"/>
    <w:rsid w:val="00F57036"/>
    <w:rsid w:val="00F571F9"/>
    <w:rsid w:val="00F575AD"/>
    <w:rsid w:val="00F5764A"/>
    <w:rsid w:val="00F576C0"/>
    <w:rsid w:val="00F5773E"/>
    <w:rsid w:val="00F57A19"/>
    <w:rsid w:val="00F57B5E"/>
    <w:rsid w:val="00F57D45"/>
    <w:rsid w:val="00F57DBE"/>
    <w:rsid w:val="00F57E95"/>
    <w:rsid w:val="00F57EC1"/>
    <w:rsid w:val="00F57F1C"/>
    <w:rsid w:val="00F600C4"/>
    <w:rsid w:val="00F60127"/>
    <w:rsid w:val="00F6024A"/>
    <w:rsid w:val="00F6051B"/>
    <w:rsid w:val="00F605D2"/>
    <w:rsid w:val="00F6060C"/>
    <w:rsid w:val="00F60952"/>
    <w:rsid w:val="00F60AFB"/>
    <w:rsid w:val="00F60CB6"/>
    <w:rsid w:val="00F60F6D"/>
    <w:rsid w:val="00F61035"/>
    <w:rsid w:val="00F611BC"/>
    <w:rsid w:val="00F612B7"/>
    <w:rsid w:val="00F6132C"/>
    <w:rsid w:val="00F613AF"/>
    <w:rsid w:val="00F61435"/>
    <w:rsid w:val="00F61505"/>
    <w:rsid w:val="00F6158B"/>
    <w:rsid w:val="00F615C9"/>
    <w:rsid w:val="00F618AD"/>
    <w:rsid w:val="00F618EF"/>
    <w:rsid w:val="00F619B1"/>
    <w:rsid w:val="00F61A6F"/>
    <w:rsid w:val="00F61E4D"/>
    <w:rsid w:val="00F61F0B"/>
    <w:rsid w:val="00F61F52"/>
    <w:rsid w:val="00F62318"/>
    <w:rsid w:val="00F62416"/>
    <w:rsid w:val="00F626E0"/>
    <w:rsid w:val="00F627F4"/>
    <w:rsid w:val="00F628FC"/>
    <w:rsid w:val="00F62A23"/>
    <w:rsid w:val="00F62BA6"/>
    <w:rsid w:val="00F62E65"/>
    <w:rsid w:val="00F62F4A"/>
    <w:rsid w:val="00F63149"/>
    <w:rsid w:val="00F63159"/>
    <w:rsid w:val="00F63232"/>
    <w:rsid w:val="00F63765"/>
    <w:rsid w:val="00F637ED"/>
    <w:rsid w:val="00F6381B"/>
    <w:rsid w:val="00F638F1"/>
    <w:rsid w:val="00F63AED"/>
    <w:rsid w:val="00F63E3F"/>
    <w:rsid w:val="00F640F5"/>
    <w:rsid w:val="00F64279"/>
    <w:rsid w:val="00F64339"/>
    <w:rsid w:val="00F64719"/>
    <w:rsid w:val="00F64735"/>
    <w:rsid w:val="00F6492D"/>
    <w:rsid w:val="00F649C1"/>
    <w:rsid w:val="00F64A35"/>
    <w:rsid w:val="00F64B19"/>
    <w:rsid w:val="00F64CDF"/>
    <w:rsid w:val="00F64DAD"/>
    <w:rsid w:val="00F64DCD"/>
    <w:rsid w:val="00F64E1F"/>
    <w:rsid w:val="00F64E34"/>
    <w:rsid w:val="00F65001"/>
    <w:rsid w:val="00F650CB"/>
    <w:rsid w:val="00F65168"/>
    <w:rsid w:val="00F65451"/>
    <w:rsid w:val="00F65489"/>
    <w:rsid w:val="00F656B1"/>
    <w:rsid w:val="00F65713"/>
    <w:rsid w:val="00F65823"/>
    <w:rsid w:val="00F65926"/>
    <w:rsid w:val="00F659E7"/>
    <w:rsid w:val="00F65A13"/>
    <w:rsid w:val="00F65CD8"/>
    <w:rsid w:val="00F65D09"/>
    <w:rsid w:val="00F65E30"/>
    <w:rsid w:val="00F661E0"/>
    <w:rsid w:val="00F66402"/>
    <w:rsid w:val="00F664AB"/>
    <w:rsid w:val="00F66516"/>
    <w:rsid w:val="00F66581"/>
    <w:rsid w:val="00F66636"/>
    <w:rsid w:val="00F668AE"/>
    <w:rsid w:val="00F66A94"/>
    <w:rsid w:val="00F66A95"/>
    <w:rsid w:val="00F66FA7"/>
    <w:rsid w:val="00F671D6"/>
    <w:rsid w:val="00F672A1"/>
    <w:rsid w:val="00F672AE"/>
    <w:rsid w:val="00F673B1"/>
    <w:rsid w:val="00F67676"/>
    <w:rsid w:val="00F67797"/>
    <w:rsid w:val="00F677FD"/>
    <w:rsid w:val="00F678B2"/>
    <w:rsid w:val="00F67BA5"/>
    <w:rsid w:val="00F67BC2"/>
    <w:rsid w:val="00F67BDA"/>
    <w:rsid w:val="00F67F90"/>
    <w:rsid w:val="00F67FA3"/>
    <w:rsid w:val="00F70233"/>
    <w:rsid w:val="00F70404"/>
    <w:rsid w:val="00F70439"/>
    <w:rsid w:val="00F7059A"/>
    <w:rsid w:val="00F70996"/>
    <w:rsid w:val="00F70AAD"/>
    <w:rsid w:val="00F70B9F"/>
    <w:rsid w:val="00F70BBB"/>
    <w:rsid w:val="00F70CA9"/>
    <w:rsid w:val="00F70D55"/>
    <w:rsid w:val="00F70D6A"/>
    <w:rsid w:val="00F70D76"/>
    <w:rsid w:val="00F70EAB"/>
    <w:rsid w:val="00F7102D"/>
    <w:rsid w:val="00F7104D"/>
    <w:rsid w:val="00F71062"/>
    <w:rsid w:val="00F7134F"/>
    <w:rsid w:val="00F713AC"/>
    <w:rsid w:val="00F7148A"/>
    <w:rsid w:val="00F71603"/>
    <w:rsid w:val="00F716A3"/>
    <w:rsid w:val="00F71836"/>
    <w:rsid w:val="00F71837"/>
    <w:rsid w:val="00F71868"/>
    <w:rsid w:val="00F718F3"/>
    <w:rsid w:val="00F719E9"/>
    <w:rsid w:val="00F719FE"/>
    <w:rsid w:val="00F71A6A"/>
    <w:rsid w:val="00F71B9A"/>
    <w:rsid w:val="00F71BE0"/>
    <w:rsid w:val="00F71F23"/>
    <w:rsid w:val="00F720DA"/>
    <w:rsid w:val="00F723B4"/>
    <w:rsid w:val="00F72412"/>
    <w:rsid w:val="00F726DE"/>
    <w:rsid w:val="00F7277D"/>
    <w:rsid w:val="00F72A59"/>
    <w:rsid w:val="00F72DE3"/>
    <w:rsid w:val="00F72E96"/>
    <w:rsid w:val="00F72F17"/>
    <w:rsid w:val="00F7310E"/>
    <w:rsid w:val="00F73184"/>
    <w:rsid w:val="00F732F7"/>
    <w:rsid w:val="00F73485"/>
    <w:rsid w:val="00F7357E"/>
    <w:rsid w:val="00F7358A"/>
    <w:rsid w:val="00F73768"/>
    <w:rsid w:val="00F738C9"/>
    <w:rsid w:val="00F73D57"/>
    <w:rsid w:val="00F74083"/>
    <w:rsid w:val="00F74086"/>
    <w:rsid w:val="00F7415E"/>
    <w:rsid w:val="00F74243"/>
    <w:rsid w:val="00F74374"/>
    <w:rsid w:val="00F744C2"/>
    <w:rsid w:val="00F7455B"/>
    <w:rsid w:val="00F745F0"/>
    <w:rsid w:val="00F74641"/>
    <w:rsid w:val="00F74650"/>
    <w:rsid w:val="00F7499C"/>
    <w:rsid w:val="00F74B10"/>
    <w:rsid w:val="00F74D89"/>
    <w:rsid w:val="00F74E25"/>
    <w:rsid w:val="00F74EB3"/>
    <w:rsid w:val="00F74F69"/>
    <w:rsid w:val="00F74FF2"/>
    <w:rsid w:val="00F75045"/>
    <w:rsid w:val="00F753F5"/>
    <w:rsid w:val="00F7540F"/>
    <w:rsid w:val="00F755D1"/>
    <w:rsid w:val="00F7572C"/>
    <w:rsid w:val="00F7585D"/>
    <w:rsid w:val="00F75A64"/>
    <w:rsid w:val="00F75A65"/>
    <w:rsid w:val="00F75E99"/>
    <w:rsid w:val="00F75F29"/>
    <w:rsid w:val="00F75F42"/>
    <w:rsid w:val="00F75F6C"/>
    <w:rsid w:val="00F76053"/>
    <w:rsid w:val="00F76193"/>
    <w:rsid w:val="00F76516"/>
    <w:rsid w:val="00F7691F"/>
    <w:rsid w:val="00F76A30"/>
    <w:rsid w:val="00F76ABA"/>
    <w:rsid w:val="00F76ADD"/>
    <w:rsid w:val="00F77096"/>
    <w:rsid w:val="00F77120"/>
    <w:rsid w:val="00F7735F"/>
    <w:rsid w:val="00F77376"/>
    <w:rsid w:val="00F77449"/>
    <w:rsid w:val="00F776AC"/>
    <w:rsid w:val="00F77856"/>
    <w:rsid w:val="00F778C1"/>
    <w:rsid w:val="00F77935"/>
    <w:rsid w:val="00F7795C"/>
    <w:rsid w:val="00F77A77"/>
    <w:rsid w:val="00F77B27"/>
    <w:rsid w:val="00F77E24"/>
    <w:rsid w:val="00F77F59"/>
    <w:rsid w:val="00F77FD0"/>
    <w:rsid w:val="00F77FF2"/>
    <w:rsid w:val="00F800F3"/>
    <w:rsid w:val="00F8017D"/>
    <w:rsid w:val="00F801ED"/>
    <w:rsid w:val="00F80310"/>
    <w:rsid w:val="00F8032E"/>
    <w:rsid w:val="00F805F8"/>
    <w:rsid w:val="00F8061F"/>
    <w:rsid w:val="00F80696"/>
    <w:rsid w:val="00F8070D"/>
    <w:rsid w:val="00F80A43"/>
    <w:rsid w:val="00F80AE1"/>
    <w:rsid w:val="00F80C30"/>
    <w:rsid w:val="00F80DD9"/>
    <w:rsid w:val="00F80E39"/>
    <w:rsid w:val="00F81047"/>
    <w:rsid w:val="00F810B6"/>
    <w:rsid w:val="00F81119"/>
    <w:rsid w:val="00F811D5"/>
    <w:rsid w:val="00F81266"/>
    <w:rsid w:val="00F812B4"/>
    <w:rsid w:val="00F8137D"/>
    <w:rsid w:val="00F81433"/>
    <w:rsid w:val="00F814AF"/>
    <w:rsid w:val="00F815D1"/>
    <w:rsid w:val="00F81668"/>
    <w:rsid w:val="00F816A5"/>
    <w:rsid w:val="00F8173B"/>
    <w:rsid w:val="00F819D6"/>
    <w:rsid w:val="00F81AB2"/>
    <w:rsid w:val="00F81B4E"/>
    <w:rsid w:val="00F81B6E"/>
    <w:rsid w:val="00F81CCD"/>
    <w:rsid w:val="00F81F8B"/>
    <w:rsid w:val="00F81FB3"/>
    <w:rsid w:val="00F8219A"/>
    <w:rsid w:val="00F821A7"/>
    <w:rsid w:val="00F822C5"/>
    <w:rsid w:val="00F8246A"/>
    <w:rsid w:val="00F8293F"/>
    <w:rsid w:val="00F82B38"/>
    <w:rsid w:val="00F82CA0"/>
    <w:rsid w:val="00F82D74"/>
    <w:rsid w:val="00F82EEA"/>
    <w:rsid w:val="00F82F86"/>
    <w:rsid w:val="00F82FBC"/>
    <w:rsid w:val="00F83063"/>
    <w:rsid w:val="00F8312C"/>
    <w:rsid w:val="00F831E0"/>
    <w:rsid w:val="00F8323C"/>
    <w:rsid w:val="00F833B5"/>
    <w:rsid w:val="00F83458"/>
    <w:rsid w:val="00F8350D"/>
    <w:rsid w:val="00F835B2"/>
    <w:rsid w:val="00F83668"/>
    <w:rsid w:val="00F83757"/>
    <w:rsid w:val="00F83A08"/>
    <w:rsid w:val="00F83CF7"/>
    <w:rsid w:val="00F83E3E"/>
    <w:rsid w:val="00F84030"/>
    <w:rsid w:val="00F84039"/>
    <w:rsid w:val="00F8405F"/>
    <w:rsid w:val="00F84068"/>
    <w:rsid w:val="00F84124"/>
    <w:rsid w:val="00F84210"/>
    <w:rsid w:val="00F84362"/>
    <w:rsid w:val="00F84A61"/>
    <w:rsid w:val="00F84BC3"/>
    <w:rsid w:val="00F84BFE"/>
    <w:rsid w:val="00F84D47"/>
    <w:rsid w:val="00F84DAF"/>
    <w:rsid w:val="00F851CB"/>
    <w:rsid w:val="00F851EF"/>
    <w:rsid w:val="00F85216"/>
    <w:rsid w:val="00F853B8"/>
    <w:rsid w:val="00F8544F"/>
    <w:rsid w:val="00F855D9"/>
    <w:rsid w:val="00F85769"/>
    <w:rsid w:val="00F85AC6"/>
    <w:rsid w:val="00F85DA2"/>
    <w:rsid w:val="00F85DFA"/>
    <w:rsid w:val="00F85F7D"/>
    <w:rsid w:val="00F85FCE"/>
    <w:rsid w:val="00F86123"/>
    <w:rsid w:val="00F86176"/>
    <w:rsid w:val="00F86388"/>
    <w:rsid w:val="00F8674E"/>
    <w:rsid w:val="00F86A83"/>
    <w:rsid w:val="00F86A88"/>
    <w:rsid w:val="00F86D42"/>
    <w:rsid w:val="00F86D4D"/>
    <w:rsid w:val="00F86EAB"/>
    <w:rsid w:val="00F8704F"/>
    <w:rsid w:val="00F87169"/>
    <w:rsid w:val="00F871B3"/>
    <w:rsid w:val="00F8721F"/>
    <w:rsid w:val="00F875A9"/>
    <w:rsid w:val="00F875E5"/>
    <w:rsid w:val="00F8788D"/>
    <w:rsid w:val="00F87E73"/>
    <w:rsid w:val="00F87EE9"/>
    <w:rsid w:val="00F87F81"/>
    <w:rsid w:val="00F900D6"/>
    <w:rsid w:val="00F90378"/>
    <w:rsid w:val="00F903F1"/>
    <w:rsid w:val="00F905CC"/>
    <w:rsid w:val="00F906CE"/>
    <w:rsid w:val="00F9076F"/>
    <w:rsid w:val="00F90801"/>
    <w:rsid w:val="00F90965"/>
    <w:rsid w:val="00F909E2"/>
    <w:rsid w:val="00F90A51"/>
    <w:rsid w:val="00F90BAA"/>
    <w:rsid w:val="00F90EFD"/>
    <w:rsid w:val="00F90F7F"/>
    <w:rsid w:val="00F910DD"/>
    <w:rsid w:val="00F91295"/>
    <w:rsid w:val="00F914ED"/>
    <w:rsid w:val="00F915AE"/>
    <w:rsid w:val="00F915EE"/>
    <w:rsid w:val="00F9160C"/>
    <w:rsid w:val="00F9169A"/>
    <w:rsid w:val="00F91803"/>
    <w:rsid w:val="00F91869"/>
    <w:rsid w:val="00F919D0"/>
    <w:rsid w:val="00F91CCE"/>
    <w:rsid w:val="00F91CFD"/>
    <w:rsid w:val="00F91E50"/>
    <w:rsid w:val="00F91FC3"/>
    <w:rsid w:val="00F92490"/>
    <w:rsid w:val="00F9265E"/>
    <w:rsid w:val="00F926D4"/>
    <w:rsid w:val="00F92731"/>
    <w:rsid w:val="00F92748"/>
    <w:rsid w:val="00F92792"/>
    <w:rsid w:val="00F927D4"/>
    <w:rsid w:val="00F92829"/>
    <w:rsid w:val="00F92BC1"/>
    <w:rsid w:val="00F92D58"/>
    <w:rsid w:val="00F93204"/>
    <w:rsid w:val="00F93289"/>
    <w:rsid w:val="00F932CA"/>
    <w:rsid w:val="00F93387"/>
    <w:rsid w:val="00F933A3"/>
    <w:rsid w:val="00F9394E"/>
    <w:rsid w:val="00F939F8"/>
    <w:rsid w:val="00F93BDC"/>
    <w:rsid w:val="00F93C15"/>
    <w:rsid w:val="00F93C38"/>
    <w:rsid w:val="00F93CF4"/>
    <w:rsid w:val="00F9406C"/>
    <w:rsid w:val="00F940F4"/>
    <w:rsid w:val="00F942D3"/>
    <w:rsid w:val="00F9455D"/>
    <w:rsid w:val="00F94643"/>
    <w:rsid w:val="00F946AC"/>
    <w:rsid w:val="00F9493B"/>
    <w:rsid w:val="00F94CA6"/>
    <w:rsid w:val="00F94D63"/>
    <w:rsid w:val="00F94E4E"/>
    <w:rsid w:val="00F94E77"/>
    <w:rsid w:val="00F94F8C"/>
    <w:rsid w:val="00F94FB2"/>
    <w:rsid w:val="00F95080"/>
    <w:rsid w:val="00F950D4"/>
    <w:rsid w:val="00F950EC"/>
    <w:rsid w:val="00F9522B"/>
    <w:rsid w:val="00F9532E"/>
    <w:rsid w:val="00F9538A"/>
    <w:rsid w:val="00F955F1"/>
    <w:rsid w:val="00F95773"/>
    <w:rsid w:val="00F9578B"/>
    <w:rsid w:val="00F95808"/>
    <w:rsid w:val="00F959D7"/>
    <w:rsid w:val="00F95A1C"/>
    <w:rsid w:val="00F95B08"/>
    <w:rsid w:val="00F95CF8"/>
    <w:rsid w:val="00F960C5"/>
    <w:rsid w:val="00F9615E"/>
    <w:rsid w:val="00F961F5"/>
    <w:rsid w:val="00F96318"/>
    <w:rsid w:val="00F963AD"/>
    <w:rsid w:val="00F964A6"/>
    <w:rsid w:val="00F96562"/>
    <w:rsid w:val="00F96602"/>
    <w:rsid w:val="00F9660E"/>
    <w:rsid w:val="00F9670E"/>
    <w:rsid w:val="00F96775"/>
    <w:rsid w:val="00F96917"/>
    <w:rsid w:val="00F96920"/>
    <w:rsid w:val="00F96B5B"/>
    <w:rsid w:val="00F96CCF"/>
    <w:rsid w:val="00F96E74"/>
    <w:rsid w:val="00F970A7"/>
    <w:rsid w:val="00F97309"/>
    <w:rsid w:val="00F97628"/>
    <w:rsid w:val="00F976E1"/>
    <w:rsid w:val="00F97995"/>
    <w:rsid w:val="00F97A5D"/>
    <w:rsid w:val="00F97C62"/>
    <w:rsid w:val="00F97C6B"/>
    <w:rsid w:val="00F97FBB"/>
    <w:rsid w:val="00FA02CE"/>
    <w:rsid w:val="00FA02E7"/>
    <w:rsid w:val="00FA0412"/>
    <w:rsid w:val="00FA0440"/>
    <w:rsid w:val="00FA05AF"/>
    <w:rsid w:val="00FA0602"/>
    <w:rsid w:val="00FA0845"/>
    <w:rsid w:val="00FA08D7"/>
    <w:rsid w:val="00FA0AD5"/>
    <w:rsid w:val="00FA0B4F"/>
    <w:rsid w:val="00FA0C6D"/>
    <w:rsid w:val="00FA0D59"/>
    <w:rsid w:val="00FA0D60"/>
    <w:rsid w:val="00FA10C8"/>
    <w:rsid w:val="00FA1168"/>
    <w:rsid w:val="00FA11DE"/>
    <w:rsid w:val="00FA1276"/>
    <w:rsid w:val="00FA1277"/>
    <w:rsid w:val="00FA1361"/>
    <w:rsid w:val="00FA1516"/>
    <w:rsid w:val="00FA197F"/>
    <w:rsid w:val="00FA1C78"/>
    <w:rsid w:val="00FA1CCA"/>
    <w:rsid w:val="00FA20B4"/>
    <w:rsid w:val="00FA20D5"/>
    <w:rsid w:val="00FA2159"/>
    <w:rsid w:val="00FA248F"/>
    <w:rsid w:val="00FA25AC"/>
    <w:rsid w:val="00FA271E"/>
    <w:rsid w:val="00FA27A8"/>
    <w:rsid w:val="00FA29E1"/>
    <w:rsid w:val="00FA2DB5"/>
    <w:rsid w:val="00FA2E33"/>
    <w:rsid w:val="00FA2F0E"/>
    <w:rsid w:val="00FA30D6"/>
    <w:rsid w:val="00FA31F6"/>
    <w:rsid w:val="00FA32C0"/>
    <w:rsid w:val="00FA33E9"/>
    <w:rsid w:val="00FA33FD"/>
    <w:rsid w:val="00FA348E"/>
    <w:rsid w:val="00FA354A"/>
    <w:rsid w:val="00FA3667"/>
    <w:rsid w:val="00FA371D"/>
    <w:rsid w:val="00FA3CE5"/>
    <w:rsid w:val="00FA3F23"/>
    <w:rsid w:val="00FA3F60"/>
    <w:rsid w:val="00FA3FB6"/>
    <w:rsid w:val="00FA4029"/>
    <w:rsid w:val="00FA4169"/>
    <w:rsid w:val="00FA416B"/>
    <w:rsid w:val="00FA4529"/>
    <w:rsid w:val="00FA4B0D"/>
    <w:rsid w:val="00FA4BB4"/>
    <w:rsid w:val="00FA4C55"/>
    <w:rsid w:val="00FA4C74"/>
    <w:rsid w:val="00FA4E7E"/>
    <w:rsid w:val="00FA4F8B"/>
    <w:rsid w:val="00FA50C6"/>
    <w:rsid w:val="00FA51C5"/>
    <w:rsid w:val="00FA520E"/>
    <w:rsid w:val="00FA5437"/>
    <w:rsid w:val="00FA5482"/>
    <w:rsid w:val="00FA54AB"/>
    <w:rsid w:val="00FA55DD"/>
    <w:rsid w:val="00FA5715"/>
    <w:rsid w:val="00FA5965"/>
    <w:rsid w:val="00FA5A0B"/>
    <w:rsid w:val="00FA5ADB"/>
    <w:rsid w:val="00FA5B9D"/>
    <w:rsid w:val="00FA5C04"/>
    <w:rsid w:val="00FA5C6D"/>
    <w:rsid w:val="00FA5D4D"/>
    <w:rsid w:val="00FA5D57"/>
    <w:rsid w:val="00FA5F3B"/>
    <w:rsid w:val="00FA5F64"/>
    <w:rsid w:val="00FA5F77"/>
    <w:rsid w:val="00FA61A9"/>
    <w:rsid w:val="00FA6216"/>
    <w:rsid w:val="00FA6365"/>
    <w:rsid w:val="00FA63BB"/>
    <w:rsid w:val="00FA6513"/>
    <w:rsid w:val="00FA6516"/>
    <w:rsid w:val="00FA65D1"/>
    <w:rsid w:val="00FA6BD2"/>
    <w:rsid w:val="00FA6DF7"/>
    <w:rsid w:val="00FA6EAF"/>
    <w:rsid w:val="00FA6F83"/>
    <w:rsid w:val="00FA7037"/>
    <w:rsid w:val="00FA708B"/>
    <w:rsid w:val="00FA726C"/>
    <w:rsid w:val="00FA72E8"/>
    <w:rsid w:val="00FA737F"/>
    <w:rsid w:val="00FA73ED"/>
    <w:rsid w:val="00FA741B"/>
    <w:rsid w:val="00FA74EE"/>
    <w:rsid w:val="00FA7589"/>
    <w:rsid w:val="00FA7658"/>
    <w:rsid w:val="00FA766A"/>
    <w:rsid w:val="00FA7759"/>
    <w:rsid w:val="00FA7801"/>
    <w:rsid w:val="00FA79E5"/>
    <w:rsid w:val="00FA7D09"/>
    <w:rsid w:val="00FA7D1D"/>
    <w:rsid w:val="00FA7D66"/>
    <w:rsid w:val="00FA7D69"/>
    <w:rsid w:val="00FA7D86"/>
    <w:rsid w:val="00FA7DB7"/>
    <w:rsid w:val="00FA7EAB"/>
    <w:rsid w:val="00FA7F0A"/>
    <w:rsid w:val="00FB0037"/>
    <w:rsid w:val="00FB04F3"/>
    <w:rsid w:val="00FB0586"/>
    <w:rsid w:val="00FB0682"/>
    <w:rsid w:val="00FB0758"/>
    <w:rsid w:val="00FB0886"/>
    <w:rsid w:val="00FB08A2"/>
    <w:rsid w:val="00FB0A92"/>
    <w:rsid w:val="00FB0B01"/>
    <w:rsid w:val="00FB0B24"/>
    <w:rsid w:val="00FB0B37"/>
    <w:rsid w:val="00FB0D03"/>
    <w:rsid w:val="00FB0D9F"/>
    <w:rsid w:val="00FB0DB5"/>
    <w:rsid w:val="00FB104E"/>
    <w:rsid w:val="00FB10A0"/>
    <w:rsid w:val="00FB10D8"/>
    <w:rsid w:val="00FB1443"/>
    <w:rsid w:val="00FB17D7"/>
    <w:rsid w:val="00FB18C8"/>
    <w:rsid w:val="00FB1973"/>
    <w:rsid w:val="00FB1AC1"/>
    <w:rsid w:val="00FB1AE1"/>
    <w:rsid w:val="00FB1B64"/>
    <w:rsid w:val="00FB1E04"/>
    <w:rsid w:val="00FB1E0B"/>
    <w:rsid w:val="00FB20FD"/>
    <w:rsid w:val="00FB2113"/>
    <w:rsid w:val="00FB2155"/>
    <w:rsid w:val="00FB2196"/>
    <w:rsid w:val="00FB2379"/>
    <w:rsid w:val="00FB2BA6"/>
    <w:rsid w:val="00FB2D9C"/>
    <w:rsid w:val="00FB2E5B"/>
    <w:rsid w:val="00FB2F80"/>
    <w:rsid w:val="00FB30EC"/>
    <w:rsid w:val="00FB314B"/>
    <w:rsid w:val="00FB3187"/>
    <w:rsid w:val="00FB31C4"/>
    <w:rsid w:val="00FB342C"/>
    <w:rsid w:val="00FB3612"/>
    <w:rsid w:val="00FB3783"/>
    <w:rsid w:val="00FB38B5"/>
    <w:rsid w:val="00FB3B0C"/>
    <w:rsid w:val="00FB3B2C"/>
    <w:rsid w:val="00FB3DAE"/>
    <w:rsid w:val="00FB40AA"/>
    <w:rsid w:val="00FB40CA"/>
    <w:rsid w:val="00FB41C7"/>
    <w:rsid w:val="00FB42E0"/>
    <w:rsid w:val="00FB44FF"/>
    <w:rsid w:val="00FB47E3"/>
    <w:rsid w:val="00FB4803"/>
    <w:rsid w:val="00FB48B0"/>
    <w:rsid w:val="00FB493E"/>
    <w:rsid w:val="00FB495D"/>
    <w:rsid w:val="00FB4A5A"/>
    <w:rsid w:val="00FB4ACC"/>
    <w:rsid w:val="00FB4B75"/>
    <w:rsid w:val="00FB4BA3"/>
    <w:rsid w:val="00FB4D36"/>
    <w:rsid w:val="00FB4DC6"/>
    <w:rsid w:val="00FB4E7D"/>
    <w:rsid w:val="00FB4F2B"/>
    <w:rsid w:val="00FB5034"/>
    <w:rsid w:val="00FB50D5"/>
    <w:rsid w:val="00FB549D"/>
    <w:rsid w:val="00FB56EA"/>
    <w:rsid w:val="00FB571B"/>
    <w:rsid w:val="00FB5735"/>
    <w:rsid w:val="00FB5963"/>
    <w:rsid w:val="00FB5965"/>
    <w:rsid w:val="00FB597F"/>
    <w:rsid w:val="00FB5B4E"/>
    <w:rsid w:val="00FB5DCE"/>
    <w:rsid w:val="00FB5F56"/>
    <w:rsid w:val="00FB5FB6"/>
    <w:rsid w:val="00FB618A"/>
    <w:rsid w:val="00FB61E3"/>
    <w:rsid w:val="00FB61FA"/>
    <w:rsid w:val="00FB62B9"/>
    <w:rsid w:val="00FB6321"/>
    <w:rsid w:val="00FB635F"/>
    <w:rsid w:val="00FB637A"/>
    <w:rsid w:val="00FB6458"/>
    <w:rsid w:val="00FB6616"/>
    <w:rsid w:val="00FB6BDD"/>
    <w:rsid w:val="00FB6C63"/>
    <w:rsid w:val="00FB6CC5"/>
    <w:rsid w:val="00FB6CF6"/>
    <w:rsid w:val="00FB6D0C"/>
    <w:rsid w:val="00FB7131"/>
    <w:rsid w:val="00FB7170"/>
    <w:rsid w:val="00FB71FB"/>
    <w:rsid w:val="00FB7306"/>
    <w:rsid w:val="00FB7307"/>
    <w:rsid w:val="00FB7383"/>
    <w:rsid w:val="00FB746B"/>
    <w:rsid w:val="00FB7605"/>
    <w:rsid w:val="00FB769A"/>
    <w:rsid w:val="00FB791B"/>
    <w:rsid w:val="00FB7D08"/>
    <w:rsid w:val="00FB7E8B"/>
    <w:rsid w:val="00FB7ECE"/>
    <w:rsid w:val="00FC004A"/>
    <w:rsid w:val="00FC0277"/>
    <w:rsid w:val="00FC0335"/>
    <w:rsid w:val="00FC04C5"/>
    <w:rsid w:val="00FC094B"/>
    <w:rsid w:val="00FC0A99"/>
    <w:rsid w:val="00FC0ACA"/>
    <w:rsid w:val="00FC0D92"/>
    <w:rsid w:val="00FC0F02"/>
    <w:rsid w:val="00FC1137"/>
    <w:rsid w:val="00FC120B"/>
    <w:rsid w:val="00FC1391"/>
    <w:rsid w:val="00FC1424"/>
    <w:rsid w:val="00FC14B5"/>
    <w:rsid w:val="00FC1729"/>
    <w:rsid w:val="00FC1793"/>
    <w:rsid w:val="00FC17D0"/>
    <w:rsid w:val="00FC183A"/>
    <w:rsid w:val="00FC18B2"/>
    <w:rsid w:val="00FC1B03"/>
    <w:rsid w:val="00FC1C79"/>
    <w:rsid w:val="00FC1E8F"/>
    <w:rsid w:val="00FC1EC1"/>
    <w:rsid w:val="00FC2045"/>
    <w:rsid w:val="00FC2047"/>
    <w:rsid w:val="00FC21FA"/>
    <w:rsid w:val="00FC2970"/>
    <w:rsid w:val="00FC2A3A"/>
    <w:rsid w:val="00FC2AB9"/>
    <w:rsid w:val="00FC2B86"/>
    <w:rsid w:val="00FC3084"/>
    <w:rsid w:val="00FC32D5"/>
    <w:rsid w:val="00FC3530"/>
    <w:rsid w:val="00FC35A7"/>
    <w:rsid w:val="00FC376D"/>
    <w:rsid w:val="00FC3BE4"/>
    <w:rsid w:val="00FC3D27"/>
    <w:rsid w:val="00FC3DFA"/>
    <w:rsid w:val="00FC3E32"/>
    <w:rsid w:val="00FC3F3B"/>
    <w:rsid w:val="00FC4078"/>
    <w:rsid w:val="00FC4099"/>
    <w:rsid w:val="00FC41F2"/>
    <w:rsid w:val="00FC429D"/>
    <w:rsid w:val="00FC434D"/>
    <w:rsid w:val="00FC4398"/>
    <w:rsid w:val="00FC44C0"/>
    <w:rsid w:val="00FC44CC"/>
    <w:rsid w:val="00FC46A3"/>
    <w:rsid w:val="00FC476E"/>
    <w:rsid w:val="00FC496E"/>
    <w:rsid w:val="00FC4A9D"/>
    <w:rsid w:val="00FC4D40"/>
    <w:rsid w:val="00FC4D8B"/>
    <w:rsid w:val="00FC4E2E"/>
    <w:rsid w:val="00FC4FD9"/>
    <w:rsid w:val="00FC515A"/>
    <w:rsid w:val="00FC5192"/>
    <w:rsid w:val="00FC51B1"/>
    <w:rsid w:val="00FC51C8"/>
    <w:rsid w:val="00FC5676"/>
    <w:rsid w:val="00FC59A4"/>
    <w:rsid w:val="00FC5AAE"/>
    <w:rsid w:val="00FC5B0C"/>
    <w:rsid w:val="00FC5B48"/>
    <w:rsid w:val="00FC5C03"/>
    <w:rsid w:val="00FC5D46"/>
    <w:rsid w:val="00FC5DCF"/>
    <w:rsid w:val="00FC5FC8"/>
    <w:rsid w:val="00FC6028"/>
    <w:rsid w:val="00FC61A9"/>
    <w:rsid w:val="00FC6245"/>
    <w:rsid w:val="00FC649F"/>
    <w:rsid w:val="00FC65A6"/>
    <w:rsid w:val="00FC65E9"/>
    <w:rsid w:val="00FC684E"/>
    <w:rsid w:val="00FC689E"/>
    <w:rsid w:val="00FC6A57"/>
    <w:rsid w:val="00FC6DD1"/>
    <w:rsid w:val="00FC6E8D"/>
    <w:rsid w:val="00FC6F7B"/>
    <w:rsid w:val="00FC7544"/>
    <w:rsid w:val="00FC77DA"/>
    <w:rsid w:val="00FC7856"/>
    <w:rsid w:val="00FD01BE"/>
    <w:rsid w:val="00FD065C"/>
    <w:rsid w:val="00FD0921"/>
    <w:rsid w:val="00FD0935"/>
    <w:rsid w:val="00FD09BB"/>
    <w:rsid w:val="00FD0BDA"/>
    <w:rsid w:val="00FD0C62"/>
    <w:rsid w:val="00FD0DC3"/>
    <w:rsid w:val="00FD0FF7"/>
    <w:rsid w:val="00FD11A3"/>
    <w:rsid w:val="00FD11CB"/>
    <w:rsid w:val="00FD120F"/>
    <w:rsid w:val="00FD127D"/>
    <w:rsid w:val="00FD1494"/>
    <w:rsid w:val="00FD14DF"/>
    <w:rsid w:val="00FD154E"/>
    <w:rsid w:val="00FD1656"/>
    <w:rsid w:val="00FD1757"/>
    <w:rsid w:val="00FD185C"/>
    <w:rsid w:val="00FD18AC"/>
    <w:rsid w:val="00FD18CD"/>
    <w:rsid w:val="00FD19BE"/>
    <w:rsid w:val="00FD1A4E"/>
    <w:rsid w:val="00FD1BD4"/>
    <w:rsid w:val="00FD1BEE"/>
    <w:rsid w:val="00FD1E7A"/>
    <w:rsid w:val="00FD1FA1"/>
    <w:rsid w:val="00FD2044"/>
    <w:rsid w:val="00FD214F"/>
    <w:rsid w:val="00FD215F"/>
    <w:rsid w:val="00FD21D1"/>
    <w:rsid w:val="00FD21E5"/>
    <w:rsid w:val="00FD223E"/>
    <w:rsid w:val="00FD268E"/>
    <w:rsid w:val="00FD2B3E"/>
    <w:rsid w:val="00FD2BC8"/>
    <w:rsid w:val="00FD2D66"/>
    <w:rsid w:val="00FD2F4A"/>
    <w:rsid w:val="00FD2FFD"/>
    <w:rsid w:val="00FD30A3"/>
    <w:rsid w:val="00FD31A9"/>
    <w:rsid w:val="00FD31E6"/>
    <w:rsid w:val="00FD3209"/>
    <w:rsid w:val="00FD324F"/>
    <w:rsid w:val="00FD32C6"/>
    <w:rsid w:val="00FD32F5"/>
    <w:rsid w:val="00FD3330"/>
    <w:rsid w:val="00FD33FF"/>
    <w:rsid w:val="00FD34E7"/>
    <w:rsid w:val="00FD362C"/>
    <w:rsid w:val="00FD3721"/>
    <w:rsid w:val="00FD373A"/>
    <w:rsid w:val="00FD384E"/>
    <w:rsid w:val="00FD3A31"/>
    <w:rsid w:val="00FD3B1E"/>
    <w:rsid w:val="00FD3E92"/>
    <w:rsid w:val="00FD3EFA"/>
    <w:rsid w:val="00FD4231"/>
    <w:rsid w:val="00FD4319"/>
    <w:rsid w:val="00FD433B"/>
    <w:rsid w:val="00FD4425"/>
    <w:rsid w:val="00FD45EA"/>
    <w:rsid w:val="00FD464E"/>
    <w:rsid w:val="00FD46C0"/>
    <w:rsid w:val="00FD4869"/>
    <w:rsid w:val="00FD4A6A"/>
    <w:rsid w:val="00FD4CA6"/>
    <w:rsid w:val="00FD4CED"/>
    <w:rsid w:val="00FD4CF8"/>
    <w:rsid w:val="00FD5052"/>
    <w:rsid w:val="00FD5121"/>
    <w:rsid w:val="00FD5146"/>
    <w:rsid w:val="00FD521B"/>
    <w:rsid w:val="00FD52A0"/>
    <w:rsid w:val="00FD55FD"/>
    <w:rsid w:val="00FD5794"/>
    <w:rsid w:val="00FD583D"/>
    <w:rsid w:val="00FD5853"/>
    <w:rsid w:val="00FD5997"/>
    <w:rsid w:val="00FD5E58"/>
    <w:rsid w:val="00FD6463"/>
    <w:rsid w:val="00FD65DE"/>
    <w:rsid w:val="00FD6703"/>
    <w:rsid w:val="00FD67C2"/>
    <w:rsid w:val="00FD68C1"/>
    <w:rsid w:val="00FD68DF"/>
    <w:rsid w:val="00FD6934"/>
    <w:rsid w:val="00FD6AD9"/>
    <w:rsid w:val="00FD6CBE"/>
    <w:rsid w:val="00FD6F38"/>
    <w:rsid w:val="00FD7285"/>
    <w:rsid w:val="00FD7365"/>
    <w:rsid w:val="00FD7433"/>
    <w:rsid w:val="00FD7686"/>
    <w:rsid w:val="00FD76A1"/>
    <w:rsid w:val="00FD7A42"/>
    <w:rsid w:val="00FD7B7D"/>
    <w:rsid w:val="00FD7BD9"/>
    <w:rsid w:val="00FD7BE1"/>
    <w:rsid w:val="00FD7C9B"/>
    <w:rsid w:val="00FD7D91"/>
    <w:rsid w:val="00FD7E27"/>
    <w:rsid w:val="00FD7F06"/>
    <w:rsid w:val="00FD7FFC"/>
    <w:rsid w:val="00FE00E0"/>
    <w:rsid w:val="00FE0315"/>
    <w:rsid w:val="00FE03ED"/>
    <w:rsid w:val="00FE04FC"/>
    <w:rsid w:val="00FE05AD"/>
    <w:rsid w:val="00FE05B3"/>
    <w:rsid w:val="00FE061C"/>
    <w:rsid w:val="00FE06C3"/>
    <w:rsid w:val="00FE07C9"/>
    <w:rsid w:val="00FE07FC"/>
    <w:rsid w:val="00FE088E"/>
    <w:rsid w:val="00FE08B1"/>
    <w:rsid w:val="00FE0ACC"/>
    <w:rsid w:val="00FE0B20"/>
    <w:rsid w:val="00FE0C21"/>
    <w:rsid w:val="00FE0C9C"/>
    <w:rsid w:val="00FE0E2D"/>
    <w:rsid w:val="00FE0EDB"/>
    <w:rsid w:val="00FE0F90"/>
    <w:rsid w:val="00FE0F9D"/>
    <w:rsid w:val="00FE1500"/>
    <w:rsid w:val="00FE1590"/>
    <w:rsid w:val="00FE15ED"/>
    <w:rsid w:val="00FE17A8"/>
    <w:rsid w:val="00FE19EE"/>
    <w:rsid w:val="00FE1AB7"/>
    <w:rsid w:val="00FE1AF2"/>
    <w:rsid w:val="00FE1C71"/>
    <w:rsid w:val="00FE1CAE"/>
    <w:rsid w:val="00FE1CE0"/>
    <w:rsid w:val="00FE1CEE"/>
    <w:rsid w:val="00FE1F23"/>
    <w:rsid w:val="00FE202E"/>
    <w:rsid w:val="00FE2091"/>
    <w:rsid w:val="00FE21C1"/>
    <w:rsid w:val="00FE22B3"/>
    <w:rsid w:val="00FE2349"/>
    <w:rsid w:val="00FE23F8"/>
    <w:rsid w:val="00FE245E"/>
    <w:rsid w:val="00FE2550"/>
    <w:rsid w:val="00FE257E"/>
    <w:rsid w:val="00FE2900"/>
    <w:rsid w:val="00FE2BE3"/>
    <w:rsid w:val="00FE2C08"/>
    <w:rsid w:val="00FE2DAF"/>
    <w:rsid w:val="00FE2E67"/>
    <w:rsid w:val="00FE2F05"/>
    <w:rsid w:val="00FE307A"/>
    <w:rsid w:val="00FE31C6"/>
    <w:rsid w:val="00FE31CB"/>
    <w:rsid w:val="00FE344A"/>
    <w:rsid w:val="00FE3550"/>
    <w:rsid w:val="00FE37A9"/>
    <w:rsid w:val="00FE3C3D"/>
    <w:rsid w:val="00FE426E"/>
    <w:rsid w:val="00FE437C"/>
    <w:rsid w:val="00FE44B8"/>
    <w:rsid w:val="00FE45D1"/>
    <w:rsid w:val="00FE4703"/>
    <w:rsid w:val="00FE479B"/>
    <w:rsid w:val="00FE47C2"/>
    <w:rsid w:val="00FE482B"/>
    <w:rsid w:val="00FE4945"/>
    <w:rsid w:val="00FE4986"/>
    <w:rsid w:val="00FE498A"/>
    <w:rsid w:val="00FE49EF"/>
    <w:rsid w:val="00FE4A5C"/>
    <w:rsid w:val="00FE4ACC"/>
    <w:rsid w:val="00FE4D20"/>
    <w:rsid w:val="00FE4ED2"/>
    <w:rsid w:val="00FE4EE1"/>
    <w:rsid w:val="00FE4F1E"/>
    <w:rsid w:val="00FE4F60"/>
    <w:rsid w:val="00FE5053"/>
    <w:rsid w:val="00FE5121"/>
    <w:rsid w:val="00FE5286"/>
    <w:rsid w:val="00FE52E8"/>
    <w:rsid w:val="00FE530B"/>
    <w:rsid w:val="00FE5356"/>
    <w:rsid w:val="00FE5783"/>
    <w:rsid w:val="00FE5788"/>
    <w:rsid w:val="00FE57A7"/>
    <w:rsid w:val="00FE58A8"/>
    <w:rsid w:val="00FE5905"/>
    <w:rsid w:val="00FE5969"/>
    <w:rsid w:val="00FE5BC4"/>
    <w:rsid w:val="00FE5C45"/>
    <w:rsid w:val="00FE5C5B"/>
    <w:rsid w:val="00FE6015"/>
    <w:rsid w:val="00FE6127"/>
    <w:rsid w:val="00FE6349"/>
    <w:rsid w:val="00FE63EF"/>
    <w:rsid w:val="00FE668D"/>
    <w:rsid w:val="00FE66D5"/>
    <w:rsid w:val="00FE67B6"/>
    <w:rsid w:val="00FE67E3"/>
    <w:rsid w:val="00FE6919"/>
    <w:rsid w:val="00FE6A61"/>
    <w:rsid w:val="00FE6A95"/>
    <w:rsid w:val="00FE6AE7"/>
    <w:rsid w:val="00FE6CE4"/>
    <w:rsid w:val="00FE6D52"/>
    <w:rsid w:val="00FE6EA7"/>
    <w:rsid w:val="00FE7088"/>
    <w:rsid w:val="00FE745B"/>
    <w:rsid w:val="00FE74A5"/>
    <w:rsid w:val="00FE74E7"/>
    <w:rsid w:val="00FE7768"/>
    <w:rsid w:val="00FE78E6"/>
    <w:rsid w:val="00FE7972"/>
    <w:rsid w:val="00FE79CD"/>
    <w:rsid w:val="00FE7CE1"/>
    <w:rsid w:val="00FE7D58"/>
    <w:rsid w:val="00FE7D6E"/>
    <w:rsid w:val="00FE7EAD"/>
    <w:rsid w:val="00FE7F84"/>
    <w:rsid w:val="00FF0387"/>
    <w:rsid w:val="00FF03D0"/>
    <w:rsid w:val="00FF045F"/>
    <w:rsid w:val="00FF0487"/>
    <w:rsid w:val="00FF0649"/>
    <w:rsid w:val="00FF06C7"/>
    <w:rsid w:val="00FF07B0"/>
    <w:rsid w:val="00FF0808"/>
    <w:rsid w:val="00FF0989"/>
    <w:rsid w:val="00FF09C3"/>
    <w:rsid w:val="00FF0E59"/>
    <w:rsid w:val="00FF0EF1"/>
    <w:rsid w:val="00FF0F23"/>
    <w:rsid w:val="00FF10A3"/>
    <w:rsid w:val="00FF12B7"/>
    <w:rsid w:val="00FF132C"/>
    <w:rsid w:val="00FF1409"/>
    <w:rsid w:val="00FF157E"/>
    <w:rsid w:val="00FF168A"/>
    <w:rsid w:val="00FF176A"/>
    <w:rsid w:val="00FF17AE"/>
    <w:rsid w:val="00FF1804"/>
    <w:rsid w:val="00FF18C3"/>
    <w:rsid w:val="00FF18E9"/>
    <w:rsid w:val="00FF1A2D"/>
    <w:rsid w:val="00FF205B"/>
    <w:rsid w:val="00FF2434"/>
    <w:rsid w:val="00FF24BF"/>
    <w:rsid w:val="00FF2505"/>
    <w:rsid w:val="00FF2566"/>
    <w:rsid w:val="00FF25E6"/>
    <w:rsid w:val="00FF2657"/>
    <w:rsid w:val="00FF26CE"/>
    <w:rsid w:val="00FF26F0"/>
    <w:rsid w:val="00FF270A"/>
    <w:rsid w:val="00FF275A"/>
    <w:rsid w:val="00FF2A5A"/>
    <w:rsid w:val="00FF2B67"/>
    <w:rsid w:val="00FF2C14"/>
    <w:rsid w:val="00FF2D88"/>
    <w:rsid w:val="00FF2DE7"/>
    <w:rsid w:val="00FF2DF8"/>
    <w:rsid w:val="00FF2E01"/>
    <w:rsid w:val="00FF2FB2"/>
    <w:rsid w:val="00FF325D"/>
    <w:rsid w:val="00FF367C"/>
    <w:rsid w:val="00FF3693"/>
    <w:rsid w:val="00FF3814"/>
    <w:rsid w:val="00FF394B"/>
    <w:rsid w:val="00FF3963"/>
    <w:rsid w:val="00FF3A7D"/>
    <w:rsid w:val="00FF3AFF"/>
    <w:rsid w:val="00FF3BA0"/>
    <w:rsid w:val="00FF3BF1"/>
    <w:rsid w:val="00FF3C13"/>
    <w:rsid w:val="00FF3C32"/>
    <w:rsid w:val="00FF3DDB"/>
    <w:rsid w:val="00FF3F26"/>
    <w:rsid w:val="00FF3FE3"/>
    <w:rsid w:val="00FF41BB"/>
    <w:rsid w:val="00FF43AD"/>
    <w:rsid w:val="00FF4409"/>
    <w:rsid w:val="00FF4410"/>
    <w:rsid w:val="00FF4622"/>
    <w:rsid w:val="00FF4667"/>
    <w:rsid w:val="00FF4703"/>
    <w:rsid w:val="00FF48C0"/>
    <w:rsid w:val="00FF48C7"/>
    <w:rsid w:val="00FF4962"/>
    <w:rsid w:val="00FF4AE6"/>
    <w:rsid w:val="00FF4B62"/>
    <w:rsid w:val="00FF4C9E"/>
    <w:rsid w:val="00FF4EE7"/>
    <w:rsid w:val="00FF4FC6"/>
    <w:rsid w:val="00FF50AB"/>
    <w:rsid w:val="00FF50F1"/>
    <w:rsid w:val="00FF5108"/>
    <w:rsid w:val="00FF51E0"/>
    <w:rsid w:val="00FF520F"/>
    <w:rsid w:val="00FF5365"/>
    <w:rsid w:val="00FF53B6"/>
    <w:rsid w:val="00FF5445"/>
    <w:rsid w:val="00FF54E3"/>
    <w:rsid w:val="00FF55C1"/>
    <w:rsid w:val="00FF5610"/>
    <w:rsid w:val="00FF59D9"/>
    <w:rsid w:val="00FF5C0A"/>
    <w:rsid w:val="00FF5C3C"/>
    <w:rsid w:val="00FF5D5F"/>
    <w:rsid w:val="00FF5E39"/>
    <w:rsid w:val="00FF601D"/>
    <w:rsid w:val="00FF60B0"/>
    <w:rsid w:val="00FF6118"/>
    <w:rsid w:val="00FF6179"/>
    <w:rsid w:val="00FF6191"/>
    <w:rsid w:val="00FF623A"/>
    <w:rsid w:val="00FF641A"/>
    <w:rsid w:val="00FF6732"/>
    <w:rsid w:val="00FF6780"/>
    <w:rsid w:val="00FF6796"/>
    <w:rsid w:val="00FF696B"/>
    <w:rsid w:val="00FF6B20"/>
    <w:rsid w:val="00FF6E61"/>
    <w:rsid w:val="00FF6FDC"/>
    <w:rsid w:val="00FF723C"/>
    <w:rsid w:val="00FF729A"/>
    <w:rsid w:val="00FF743F"/>
    <w:rsid w:val="00FF7534"/>
    <w:rsid w:val="00FF7555"/>
    <w:rsid w:val="00FF7966"/>
    <w:rsid w:val="00FF7C22"/>
    <w:rsid w:val="00FF7CA2"/>
    <w:rsid w:val="00FF7D1F"/>
    <w:rsid w:val="00FF7D5A"/>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4:docId w14:val="397CA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AU" w:eastAsia="en-AU" w:bidi="ar-SA"/>
      </w:rPr>
    </w:rPrDefault>
    <w:pPrDefault>
      <w:pPr>
        <w:spacing w:line="264"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2" w:qFormat="1"/>
    <w:lsdException w:name="annotation text" w:semiHidden="1" w:uiPriority="3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3" w:qFormat="1"/>
    <w:lsdException w:name="Emphasis" w:uiPriority="20" w:qFormat="1"/>
    <w:lsdException w:name="Document Map" w:semiHidden="1" w:uiPriority="3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668"/>
    <w:rPr>
      <w:rFonts w:ascii="Arial" w:hAnsi="Arial"/>
    </w:rPr>
  </w:style>
  <w:style w:type="paragraph" w:styleId="Heading1">
    <w:name w:val="heading 1"/>
    <w:basedOn w:val="Normal"/>
    <w:next w:val="BodyText"/>
    <w:link w:val="Heading1Char"/>
    <w:qFormat/>
    <w:rsid w:val="006A3600"/>
    <w:pPr>
      <w:keepNext/>
      <w:keepLines/>
      <w:numPr>
        <w:numId w:val="8"/>
      </w:numPr>
      <w:spacing w:after="240"/>
      <w:ind w:left="624"/>
      <w:outlineLvl w:val="0"/>
    </w:pPr>
    <w:rPr>
      <w:rFonts w:asciiTheme="majorHAnsi" w:eastAsiaTheme="minorEastAsia" w:hAnsiTheme="majorHAnsi" w:cstheme="majorBidi"/>
      <w:b/>
      <w:bCs/>
      <w:color w:val="002060"/>
      <w:sz w:val="32"/>
      <w:szCs w:val="32"/>
    </w:rPr>
  </w:style>
  <w:style w:type="paragraph" w:styleId="Heading2">
    <w:name w:val="heading 2"/>
    <w:basedOn w:val="Normal"/>
    <w:next w:val="BodyText"/>
    <w:link w:val="Heading2Char"/>
    <w:qFormat/>
    <w:rsid w:val="00D91DDA"/>
    <w:pPr>
      <w:keepNext/>
      <w:keepLines/>
      <w:numPr>
        <w:ilvl w:val="1"/>
        <w:numId w:val="8"/>
      </w:numPr>
      <w:spacing w:before="360" w:after="240"/>
      <w:ind w:left="624"/>
      <w:outlineLvl w:val="1"/>
    </w:pPr>
    <w:rPr>
      <w:rFonts w:asciiTheme="majorHAnsi" w:eastAsiaTheme="majorEastAsia" w:hAnsiTheme="majorHAnsi" w:cstheme="majorBidi"/>
      <w:b/>
      <w:bCs/>
      <w:color w:val="002060"/>
      <w:sz w:val="28"/>
      <w:szCs w:val="26"/>
    </w:rPr>
  </w:style>
  <w:style w:type="paragraph" w:styleId="Heading3">
    <w:name w:val="heading 3"/>
    <w:basedOn w:val="Normal"/>
    <w:next w:val="BodyText"/>
    <w:link w:val="Heading3Char"/>
    <w:qFormat/>
    <w:rsid w:val="00D91DDA"/>
    <w:pPr>
      <w:keepNext/>
      <w:keepLines/>
      <w:numPr>
        <w:ilvl w:val="2"/>
        <w:numId w:val="8"/>
      </w:numPr>
      <w:spacing w:before="360" w:after="240"/>
      <w:ind w:left="624"/>
      <w:contextualSpacing/>
      <w:outlineLvl w:val="2"/>
    </w:pPr>
    <w:rPr>
      <w:rFonts w:asciiTheme="majorHAnsi" w:eastAsiaTheme="majorEastAsia" w:hAnsiTheme="majorHAnsi" w:cstheme="majorBidi"/>
      <w:b/>
      <w:bCs/>
      <w:color w:val="002060"/>
      <w:sz w:val="24"/>
    </w:rPr>
  </w:style>
  <w:style w:type="paragraph" w:styleId="Heading4">
    <w:name w:val="heading 4"/>
    <w:basedOn w:val="Normal"/>
    <w:next w:val="BodyText"/>
    <w:link w:val="Heading4Char"/>
    <w:qFormat/>
    <w:rsid w:val="00D91DDA"/>
    <w:pPr>
      <w:keepNext/>
      <w:keepLines/>
      <w:numPr>
        <w:ilvl w:val="3"/>
        <w:numId w:val="8"/>
      </w:numPr>
      <w:spacing w:before="360" w:after="240"/>
      <w:outlineLvl w:val="3"/>
    </w:pPr>
    <w:rPr>
      <w:rFonts w:asciiTheme="majorHAnsi" w:eastAsiaTheme="majorEastAsia" w:hAnsiTheme="majorHAnsi" w:cstheme="majorBidi"/>
      <w:b/>
      <w:bCs/>
      <w:i/>
      <w:iCs/>
      <w:color w:val="002060"/>
    </w:rPr>
  </w:style>
  <w:style w:type="paragraph" w:styleId="Heading5">
    <w:name w:val="heading 5"/>
    <w:basedOn w:val="Normal"/>
    <w:next w:val="Normal"/>
    <w:link w:val="Heading5Char"/>
    <w:qFormat/>
    <w:rsid w:val="00A014E2"/>
    <w:pPr>
      <w:keepNext/>
      <w:keepLines/>
      <w:numPr>
        <w:ilvl w:val="4"/>
        <w:numId w:val="8"/>
      </w:numPr>
      <w:spacing w:before="360" w:after="240"/>
      <w:outlineLvl w:val="4"/>
    </w:pPr>
    <w:rPr>
      <w:rFonts w:asciiTheme="majorHAnsi" w:eastAsiaTheme="majorEastAsia" w:hAnsiTheme="majorHAnsi" w:cstheme="majorBidi"/>
      <w:i/>
      <w:color w:val="214C90" w:themeColor="text2"/>
    </w:rPr>
  </w:style>
  <w:style w:type="paragraph" w:styleId="Heading6">
    <w:name w:val="heading 6"/>
    <w:basedOn w:val="Normal"/>
    <w:next w:val="BodyText"/>
    <w:link w:val="Heading6Char"/>
    <w:uiPriority w:val="9"/>
    <w:qFormat/>
    <w:rsid w:val="00AD50BB"/>
    <w:pPr>
      <w:keepNext/>
      <w:keepLines/>
      <w:spacing w:before="240" w:after="120"/>
      <w:outlineLvl w:val="5"/>
    </w:pPr>
    <w:rPr>
      <w:rFonts w:asciiTheme="majorHAnsi" w:eastAsiaTheme="majorEastAsia" w:hAnsiTheme="majorHAnsi" w:cstheme="majorBidi"/>
      <w:b/>
      <w:iCs/>
      <w:color w:val="002060"/>
      <w:lang w:eastAsia="en-US"/>
    </w:rPr>
  </w:style>
  <w:style w:type="paragraph" w:styleId="Heading7">
    <w:name w:val="heading 7"/>
    <w:basedOn w:val="Normal"/>
    <w:next w:val="BodyText"/>
    <w:link w:val="Heading7Char"/>
    <w:uiPriority w:val="9"/>
    <w:qFormat/>
    <w:rsid w:val="00D31696"/>
    <w:pPr>
      <w:keepNext/>
      <w:keepLines/>
      <w:pageBreakBefore/>
      <w:spacing w:before="120" w:after="120"/>
      <w:outlineLvl w:val="6"/>
    </w:pPr>
    <w:rPr>
      <w:rFonts w:asciiTheme="majorHAnsi" w:eastAsiaTheme="majorEastAsia" w:hAnsiTheme="majorHAnsi" w:cstheme="majorBidi"/>
      <w:b/>
      <w:iCs/>
      <w:color w:val="214C90" w:themeColor="text2"/>
    </w:rPr>
  </w:style>
  <w:style w:type="paragraph" w:styleId="Heading8">
    <w:name w:val="heading 8"/>
    <w:basedOn w:val="Normal"/>
    <w:next w:val="BodyText"/>
    <w:link w:val="Heading8Char"/>
    <w:uiPriority w:val="9"/>
    <w:qFormat/>
    <w:rsid w:val="00FB10A0"/>
    <w:pPr>
      <w:keepNext/>
      <w:keepLines/>
      <w:pageBreakBefore/>
      <w:tabs>
        <w:tab w:val="right" w:pos="9639"/>
      </w:tabs>
      <w:spacing w:after="120"/>
      <w:outlineLvl w:val="7"/>
    </w:pPr>
    <w:rPr>
      <w:rFonts w:asciiTheme="majorHAnsi" w:eastAsiaTheme="majorEastAsia" w:hAnsiTheme="majorHAnsi" w:cstheme="majorBidi"/>
      <w:caps/>
      <w:color w:val="214C90" w:themeColor="text2"/>
      <w:sz w:val="28"/>
      <w:lang w:eastAsia="en-US"/>
    </w:rPr>
  </w:style>
  <w:style w:type="paragraph" w:styleId="Heading9">
    <w:name w:val="heading 9"/>
    <w:aliases w:val="Appendix Heading 1"/>
    <w:basedOn w:val="Normal"/>
    <w:next w:val="BodyText"/>
    <w:link w:val="Heading9Char"/>
    <w:uiPriority w:val="4"/>
    <w:qFormat/>
    <w:rsid w:val="00F36544"/>
    <w:pPr>
      <w:keepNext/>
      <w:keepLines/>
      <w:pageBreakBefore/>
      <w:numPr>
        <w:numId w:val="5"/>
      </w:numPr>
      <w:spacing w:before="240" w:after="240"/>
      <w:ind w:left="2268"/>
      <w:outlineLvl w:val="8"/>
    </w:pPr>
    <w:rPr>
      <w:rFonts w:asciiTheme="majorHAnsi" w:eastAsiaTheme="minorEastAsia" w:hAnsiTheme="majorHAnsi" w:cs="Arial"/>
      <w:b/>
      <w:color w:val="002060"/>
      <w:sz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ldHeading">
    <w:name w:val="Bold Heading"/>
    <w:basedOn w:val="Normal"/>
    <w:rsid w:val="00782365"/>
    <w:pPr>
      <w:spacing w:before="240" w:after="120"/>
    </w:pPr>
    <w:rPr>
      <w:b/>
    </w:rPr>
  </w:style>
  <w:style w:type="paragraph" w:customStyle="1" w:styleId="Image">
    <w:name w:val="Image"/>
    <w:basedOn w:val="Normal"/>
    <w:next w:val="BodyText"/>
    <w:rsid w:val="00965A70"/>
    <w:pPr>
      <w:keepNext/>
    </w:pPr>
  </w:style>
  <w:style w:type="paragraph" w:styleId="BodyText">
    <w:name w:val="Body Text"/>
    <w:basedOn w:val="Normal"/>
    <w:link w:val="BodyTextChar"/>
    <w:uiPriority w:val="99"/>
    <w:qFormat/>
    <w:rsid w:val="00AD6695"/>
    <w:pPr>
      <w:tabs>
        <w:tab w:val="left" w:pos="2268"/>
        <w:tab w:val="left" w:pos="4536"/>
        <w:tab w:val="left" w:pos="6804"/>
        <w:tab w:val="right" w:pos="9638"/>
      </w:tabs>
      <w:spacing w:before="240" w:after="120"/>
    </w:pPr>
  </w:style>
  <w:style w:type="character" w:customStyle="1" w:styleId="BodyTextChar">
    <w:name w:val="Body Text Char"/>
    <w:basedOn w:val="DefaultParagraphFont"/>
    <w:link w:val="BodyText"/>
    <w:uiPriority w:val="99"/>
    <w:rsid w:val="00AD6695"/>
    <w:rPr>
      <w:rFonts w:ascii="Arial" w:hAnsi="Arial"/>
    </w:rPr>
  </w:style>
  <w:style w:type="paragraph" w:styleId="BlockText">
    <w:name w:val="Block Text"/>
    <w:basedOn w:val="BodyText"/>
    <w:semiHidden/>
    <w:unhideWhenUsed/>
    <w:rsid w:val="00EF3AA0"/>
    <w:rPr>
      <w:rFonts w:eastAsiaTheme="minorEastAsia" w:cstheme="minorBidi"/>
      <w:iCs/>
    </w:rPr>
  </w:style>
  <w:style w:type="paragraph" w:styleId="Caption">
    <w:name w:val="caption"/>
    <w:basedOn w:val="Normal"/>
    <w:next w:val="BodyText"/>
    <w:link w:val="CaptionChar"/>
    <w:qFormat/>
    <w:rsid w:val="0013752B"/>
    <w:pPr>
      <w:keepNext/>
      <w:keepLines/>
      <w:spacing w:before="240" w:after="120"/>
    </w:pPr>
    <w:rPr>
      <w:rFonts w:eastAsiaTheme="minorHAnsi" w:cstheme="minorBidi"/>
      <w:b/>
      <w:bCs/>
      <w:lang w:eastAsia="fr-CA"/>
    </w:rPr>
  </w:style>
  <w:style w:type="paragraph" w:styleId="BalloonText">
    <w:name w:val="Balloon Text"/>
    <w:basedOn w:val="Normal"/>
    <w:link w:val="BalloonTextChar"/>
    <w:uiPriority w:val="99"/>
    <w:semiHidden/>
    <w:unhideWhenUsed/>
    <w:rsid w:val="005542F9"/>
    <w:rPr>
      <w:rFonts w:ascii="Tahoma" w:hAnsi="Tahoma" w:cs="Tahoma"/>
      <w:sz w:val="16"/>
      <w:szCs w:val="16"/>
    </w:rPr>
  </w:style>
  <w:style w:type="paragraph" w:styleId="TOCHeading">
    <w:name w:val="TOC Heading"/>
    <w:next w:val="Normal"/>
    <w:uiPriority w:val="39"/>
    <w:unhideWhenUsed/>
    <w:qFormat/>
    <w:rsid w:val="00DE2084"/>
    <w:pPr>
      <w:pageBreakBefore/>
      <w:spacing w:after="600" w:line="240" w:lineRule="auto"/>
      <w:outlineLvl w:val="3"/>
    </w:pPr>
    <w:rPr>
      <w:rFonts w:asciiTheme="majorHAnsi" w:eastAsiaTheme="minorEastAsia" w:hAnsiTheme="majorHAnsi" w:cstheme="majorBidi"/>
      <w:b/>
      <w:bCs/>
      <w:color w:val="007BC1"/>
      <w:sz w:val="32"/>
      <w:szCs w:val="28"/>
    </w:rPr>
  </w:style>
  <w:style w:type="character" w:customStyle="1" w:styleId="BalloonTextChar">
    <w:name w:val="Balloon Text Char"/>
    <w:basedOn w:val="DefaultParagraphFont"/>
    <w:link w:val="BalloonText"/>
    <w:uiPriority w:val="99"/>
    <w:semiHidden/>
    <w:rsid w:val="00475145"/>
    <w:rPr>
      <w:rFonts w:ascii="Tahoma" w:hAnsi="Tahoma" w:cs="Tahoma"/>
      <w:color w:val="000000" w:themeColor="text1"/>
      <w:sz w:val="16"/>
      <w:szCs w:val="16"/>
    </w:rPr>
  </w:style>
  <w:style w:type="paragraph" w:styleId="Footer">
    <w:name w:val="footer"/>
    <w:basedOn w:val="Normal"/>
    <w:link w:val="FooterChar"/>
    <w:uiPriority w:val="99"/>
    <w:rsid w:val="003B6692"/>
    <w:pPr>
      <w:tabs>
        <w:tab w:val="left" w:pos="1077"/>
        <w:tab w:val="center" w:pos="4320"/>
        <w:tab w:val="right" w:pos="8640"/>
      </w:tabs>
      <w:jc w:val="center"/>
    </w:pPr>
    <w:rPr>
      <w:rFonts w:eastAsia="Cambria" w:cstheme="minorBidi"/>
      <w:sz w:val="18"/>
      <w:lang w:eastAsia="en-US"/>
    </w:rPr>
  </w:style>
  <w:style w:type="character" w:customStyle="1" w:styleId="FooterChar">
    <w:name w:val="Footer Char"/>
    <w:basedOn w:val="DefaultParagraphFont"/>
    <w:link w:val="Footer"/>
    <w:uiPriority w:val="99"/>
    <w:rsid w:val="003B6692"/>
    <w:rPr>
      <w:rFonts w:eastAsia="Cambria" w:cstheme="minorBidi"/>
      <w:sz w:val="18"/>
      <w:lang w:eastAsia="en-US"/>
    </w:rPr>
  </w:style>
  <w:style w:type="numbering" w:customStyle="1" w:styleId="HangingList">
    <w:name w:val="HangingList"/>
    <w:uiPriority w:val="99"/>
    <w:rsid w:val="00DD7311"/>
    <w:pPr>
      <w:numPr>
        <w:numId w:val="1"/>
      </w:numPr>
    </w:pPr>
  </w:style>
  <w:style w:type="paragraph" w:styleId="Header">
    <w:name w:val="header"/>
    <w:basedOn w:val="Normal"/>
    <w:link w:val="HeaderChar"/>
    <w:uiPriority w:val="99"/>
    <w:rsid w:val="00294804"/>
    <w:pPr>
      <w:tabs>
        <w:tab w:val="left" w:pos="7796"/>
      </w:tabs>
    </w:pPr>
    <w:rPr>
      <w:rFonts w:eastAsiaTheme="minorHAnsi" w:cstheme="minorBidi"/>
      <w:sz w:val="18"/>
      <w:lang w:eastAsia="fr-CA"/>
    </w:rPr>
  </w:style>
  <w:style w:type="character" w:customStyle="1" w:styleId="HeaderChar">
    <w:name w:val="Header Char"/>
    <w:basedOn w:val="DefaultParagraphFont"/>
    <w:link w:val="Header"/>
    <w:uiPriority w:val="99"/>
    <w:rsid w:val="00294804"/>
    <w:rPr>
      <w:rFonts w:eastAsiaTheme="minorHAnsi" w:cstheme="minorBidi"/>
      <w:sz w:val="18"/>
      <w:lang w:eastAsia="fr-CA"/>
    </w:rPr>
  </w:style>
  <w:style w:type="paragraph" w:customStyle="1" w:styleId="AppendixHeading2">
    <w:name w:val="Appendix Heading 2"/>
    <w:basedOn w:val="Normal"/>
    <w:next w:val="BodyText"/>
    <w:uiPriority w:val="4"/>
    <w:rsid w:val="005C7AE9"/>
    <w:pPr>
      <w:keepNext/>
      <w:numPr>
        <w:ilvl w:val="1"/>
        <w:numId w:val="5"/>
      </w:numPr>
      <w:spacing w:before="360" w:after="240"/>
    </w:pPr>
    <w:rPr>
      <w:rFonts w:asciiTheme="majorHAnsi" w:eastAsiaTheme="minorEastAsia" w:hAnsiTheme="majorHAnsi"/>
      <w:b/>
      <w:color w:val="002060"/>
      <w:sz w:val="28"/>
      <w:lang w:eastAsia="en-US"/>
    </w:rPr>
  </w:style>
  <w:style w:type="paragraph" w:customStyle="1" w:styleId="AppendixHeading3">
    <w:name w:val="Appendix Heading 3"/>
    <w:basedOn w:val="Normal"/>
    <w:next w:val="BodyText"/>
    <w:uiPriority w:val="4"/>
    <w:rsid w:val="005C7AE9"/>
    <w:pPr>
      <w:keepNext/>
      <w:numPr>
        <w:ilvl w:val="2"/>
        <w:numId w:val="5"/>
      </w:numPr>
      <w:tabs>
        <w:tab w:val="left" w:pos="1559"/>
        <w:tab w:val="left" w:pos="1843"/>
        <w:tab w:val="left" w:pos="2126"/>
        <w:tab w:val="left" w:pos="2410"/>
        <w:tab w:val="left" w:pos="6804"/>
        <w:tab w:val="right" w:pos="9639"/>
      </w:tabs>
      <w:spacing w:before="360" w:after="240"/>
    </w:pPr>
    <w:rPr>
      <w:rFonts w:asciiTheme="majorHAnsi" w:hAnsiTheme="majorHAnsi"/>
      <w:b/>
      <w:color w:val="002060"/>
      <w:lang w:eastAsia="en-US"/>
    </w:rPr>
  </w:style>
  <w:style w:type="character" w:customStyle="1" w:styleId="Italics">
    <w:name w:val="Italics"/>
    <w:uiPriority w:val="1"/>
    <w:rsid w:val="00C34E9D"/>
    <w:rPr>
      <w:i/>
      <w:lang w:eastAsia="en-US"/>
    </w:rPr>
  </w:style>
  <w:style w:type="character" w:customStyle="1" w:styleId="Heading1Char">
    <w:name w:val="Heading 1 Char"/>
    <w:basedOn w:val="DefaultParagraphFont"/>
    <w:link w:val="Heading1"/>
    <w:rsid w:val="006A3600"/>
    <w:rPr>
      <w:rFonts w:asciiTheme="majorHAnsi" w:eastAsiaTheme="minorEastAsia" w:hAnsiTheme="majorHAnsi" w:cstheme="majorBidi"/>
      <w:b/>
      <w:bCs/>
      <w:color w:val="002060"/>
      <w:sz w:val="32"/>
      <w:szCs w:val="32"/>
    </w:rPr>
  </w:style>
  <w:style w:type="character" w:customStyle="1" w:styleId="Heading2Char">
    <w:name w:val="Heading 2 Char"/>
    <w:basedOn w:val="DefaultParagraphFont"/>
    <w:link w:val="Heading2"/>
    <w:rsid w:val="00D91DDA"/>
    <w:rPr>
      <w:rFonts w:asciiTheme="majorHAnsi" w:eastAsiaTheme="majorEastAsia" w:hAnsiTheme="majorHAnsi" w:cstheme="majorBidi"/>
      <w:b/>
      <w:bCs/>
      <w:color w:val="002060"/>
      <w:sz w:val="28"/>
      <w:szCs w:val="26"/>
    </w:rPr>
  </w:style>
  <w:style w:type="character" w:customStyle="1" w:styleId="Heading3Char">
    <w:name w:val="Heading 3 Char"/>
    <w:basedOn w:val="DefaultParagraphFont"/>
    <w:link w:val="Heading3"/>
    <w:rsid w:val="00D91DDA"/>
    <w:rPr>
      <w:rFonts w:asciiTheme="majorHAnsi" w:eastAsiaTheme="majorEastAsia" w:hAnsiTheme="majorHAnsi" w:cstheme="majorBidi"/>
      <w:b/>
      <w:bCs/>
      <w:color w:val="002060"/>
      <w:sz w:val="24"/>
    </w:rPr>
  </w:style>
  <w:style w:type="character" w:customStyle="1" w:styleId="Heading4Char">
    <w:name w:val="Heading 4 Char"/>
    <w:basedOn w:val="DefaultParagraphFont"/>
    <w:link w:val="Heading4"/>
    <w:rsid w:val="00D91DDA"/>
    <w:rPr>
      <w:rFonts w:asciiTheme="majorHAnsi" w:eastAsiaTheme="majorEastAsia" w:hAnsiTheme="majorHAnsi" w:cstheme="majorBidi"/>
      <w:b/>
      <w:bCs/>
      <w:i/>
      <w:iCs/>
      <w:color w:val="002060"/>
    </w:rPr>
  </w:style>
  <w:style w:type="character" w:customStyle="1" w:styleId="Heading7Char">
    <w:name w:val="Heading 7 Char"/>
    <w:basedOn w:val="DefaultParagraphFont"/>
    <w:link w:val="Heading7"/>
    <w:semiHidden/>
    <w:rsid w:val="000D5E74"/>
    <w:rPr>
      <w:rFonts w:asciiTheme="majorHAnsi" w:eastAsiaTheme="majorEastAsia" w:hAnsiTheme="majorHAnsi" w:cstheme="majorBidi"/>
      <w:b/>
      <w:iCs/>
      <w:color w:val="214C90" w:themeColor="text2"/>
    </w:rPr>
  </w:style>
  <w:style w:type="character" w:customStyle="1" w:styleId="Heading8Char">
    <w:name w:val="Heading 8 Char"/>
    <w:basedOn w:val="DefaultParagraphFont"/>
    <w:link w:val="Heading8"/>
    <w:semiHidden/>
    <w:rsid w:val="000D5E74"/>
    <w:rPr>
      <w:rFonts w:asciiTheme="majorHAnsi" w:eastAsiaTheme="majorEastAsia" w:hAnsiTheme="majorHAnsi" w:cstheme="majorBidi"/>
      <w:caps/>
      <w:color w:val="214C90" w:themeColor="text2"/>
      <w:sz w:val="28"/>
      <w:lang w:eastAsia="en-US"/>
    </w:rPr>
  </w:style>
  <w:style w:type="character" w:customStyle="1" w:styleId="Heading9Char">
    <w:name w:val="Heading 9 Char"/>
    <w:aliases w:val="Appendix Heading 1 Char"/>
    <w:basedOn w:val="DefaultParagraphFont"/>
    <w:link w:val="Heading9"/>
    <w:uiPriority w:val="4"/>
    <w:rsid w:val="00F36544"/>
    <w:rPr>
      <w:rFonts w:asciiTheme="majorHAnsi" w:eastAsiaTheme="minorEastAsia" w:hAnsiTheme="majorHAnsi" w:cs="Arial"/>
      <w:b/>
      <w:color w:val="002060"/>
      <w:sz w:val="32"/>
      <w:lang w:eastAsia="en-US"/>
    </w:rPr>
  </w:style>
  <w:style w:type="character" w:styleId="Hyperlink">
    <w:name w:val="Hyperlink"/>
    <w:basedOn w:val="DefaultParagraphFont"/>
    <w:uiPriority w:val="99"/>
    <w:unhideWhenUsed/>
    <w:rsid w:val="002778AD"/>
    <w:rPr>
      <w:color w:val="000000" w:themeColor="text1"/>
      <w:u w:val="single"/>
    </w:rPr>
  </w:style>
  <w:style w:type="character" w:styleId="FollowedHyperlink">
    <w:name w:val="FollowedHyperlink"/>
    <w:basedOn w:val="DefaultParagraphFont"/>
    <w:uiPriority w:val="99"/>
    <w:rsid w:val="002778AD"/>
    <w:rPr>
      <w:color w:val="000000" w:themeColor="text1"/>
      <w:u w:val="single"/>
    </w:rPr>
  </w:style>
  <w:style w:type="paragraph" w:styleId="ListBullet">
    <w:name w:val="List Bullet"/>
    <w:basedOn w:val="BodyText"/>
    <w:link w:val="ListBulletChar"/>
    <w:qFormat/>
    <w:rsid w:val="00AD36B8"/>
    <w:pPr>
      <w:numPr>
        <w:numId w:val="20"/>
      </w:numPr>
      <w:tabs>
        <w:tab w:val="clear" w:pos="2268"/>
        <w:tab w:val="clear" w:pos="4536"/>
        <w:tab w:val="clear" w:pos="6804"/>
        <w:tab w:val="clear" w:pos="9638"/>
      </w:tabs>
      <w:spacing w:before="120"/>
    </w:pPr>
    <w:rPr>
      <w:rFonts w:eastAsiaTheme="minorHAnsi" w:cs="Arial"/>
    </w:rPr>
  </w:style>
  <w:style w:type="paragraph" w:styleId="ListBullet2">
    <w:name w:val="List Bullet 2"/>
    <w:basedOn w:val="ListBullet"/>
    <w:link w:val="ListBullet2Char"/>
    <w:rsid w:val="00C85EC5"/>
    <w:pPr>
      <w:numPr>
        <w:numId w:val="12"/>
      </w:numPr>
      <w:ind w:left="714" w:hanging="357"/>
    </w:pPr>
  </w:style>
  <w:style w:type="paragraph" w:styleId="ListBullet3">
    <w:name w:val="List Bullet 3"/>
    <w:basedOn w:val="ListBullet2"/>
    <w:rsid w:val="00BD3911"/>
    <w:pPr>
      <w:numPr>
        <w:numId w:val="161"/>
      </w:numPr>
      <w:ind w:left="1071" w:hanging="357"/>
    </w:pPr>
  </w:style>
  <w:style w:type="paragraph" w:styleId="ListContinue">
    <w:name w:val="List Continue"/>
    <w:aliases w:val="List Bullet Continue"/>
    <w:basedOn w:val="Normal"/>
    <w:rsid w:val="0013752B"/>
    <w:pPr>
      <w:spacing w:before="120" w:after="120"/>
      <w:ind w:left="357"/>
    </w:pPr>
    <w:rPr>
      <w:rFonts w:eastAsiaTheme="minorEastAsia"/>
    </w:rPr>
  </w:style>
  <w:style w:type="paragraph" w:styleId="ListNumber">
    <w:name w:val="List Number"/>
    <w:basedOn w:val="BodyText"/>
    <w:unhideWhenUsed/>
    <w:qFormat/>
    <w:rsid w:val="00E50195"/>
    <w:pPr>
      <w:numPr>
        <w:numId w:val="14"/>
      </w:numPr>
      <w:tabs>
        <w:tab w:val="clear" w:pos="2268"/>
        <w:tab w:val="clear" w:pos="4536"/>
        <w:tab w:val="clear" w:pos="6804"/>
        <w:tab w:val="clear" w:pos="9638"/>
      </w:tabs>
      <w:spacing w:before="120"/>
    </w:pPr>
  </w:style>
  <w:style w:type="paragraph" w:styleId="ListNumber2">
    <w:name w:val="List Number 2"/>
    <w:basedOn w:val="ListNumber"/>
    <w:uiPriority w:val="99"/>
    <w:unhideWhenUsed/>
    <w:rsid w:val="002E0889"/>
    <w:pPr>
      <w:numPr>
        <w:ilvl w:val="1"/>
      </w:numPr>
    </w:pPr>
  </w:style>
  <w:style w:type="paragraph" w:styleId="ListNumber3">
    <w:name w:val="List Number 3"/>
    <w:basedOn w:val="ListNumber2"/>
    <w:uiPriority w:val="99"/>
    <w:unhideWhenUsed/>
    <w:rsid w:val="00D33D2C"/>
    <w:pPr>
      <w:numPr>
        <w:ilvl w:val="2"/>
      </w:numPr>
    </w:pPr>
  </w:style>
  <w:style w:type="numbering" w:customStyle="1" w:styleId="MyListNumbering">
    <w:name w:val="MyListNumbering"/>
    <w:uiPriority w:val="99"/>
    <w:rsid w:val="000C70ED"/>
    <w:pPr>
      <w:numPr>
        <w:numId w:val="2"/>
      </w:numPr>
    </w:pPr>
  </w:style>
  <w:style w:type="character" w:styleId="PlaceholderText">
    <w:name w:val="Placeholder Text"/>
    <w:basedOn w:val="DefaultParagraphFont"/>
    <w:uiPriority w:val="99"/>
    <w:semiHidden/>
    <w:rsid w:val="00DD7311"/>
    <w:rPr>
      <w:color w:val="808080"/>
    </w:rPr>
  </w:style>
  <w:style w:type="paragraph" w:customStyle="1" w:styleId="TableBodyText">
    <w:name w:val="Table Body Text"/>
    <w:basedOn w:val="Normal"/>
    <w:link w:val="TableBodyTextChar"/>
    <w:qFormat/>
    <w:rsid w:val="0013752B"/>
    <w:pPr>
      <w:spacing w:before="60" w:after="60"/>
      <w:ind w:left="85" w:right="85"/>
    </w:pPr>
    <w:rPr>
      <w:rFonts w:cs="Arial"/>
      <w:sz w:val="18"/>
    </w:rPr>
  </w:style>
  <w:style w:type="paragraph" w:customStyle="1" w:styleId="TableBodyTextBold">
    <w:name w:val="Table Body Text Bold"/>
    <w:basedOn w:val="TableBodyText"/>
    <w:rsid w:val="0013752B"/>
    <w:rPr>
      <w:b/>
    </w:rPr>
  </w:style>
  <w:style w:type="table" w:styleId="TableGrid">
    <w:name w:val="Table Grid"/>
    <w:basedOn w:val="TableNormal"/>
    <w:uiPriority w:val="59"/>
    <w:rsid w:val="00C16912"/>
    <w:pPr>
      <w:spacing w:before="60" w:after="60"/>
      <w:ind w:left="85" w:right="85"/>
    </w:pPr>
    <w:rPr>
      <w:sz w:val="18"/>
    </w:rPr>
    <w:tblPr>
      <w:tblStyleRowBandSize w:val="1"/>
      <w:tblBorders>
        <w:top w:val="single" w:sz="4" w:space="0" w:color="auto"/>
        <w:bottom w:val="single" w:sz="4" w:space="0" w:color="auto"/>
        <w:insideH w:val="single" w:sz="4" w:space="0" w:color="auto"/>
        <w:insideV w:val="single" w:sz="4" w:space="0" w:color="auto"/>
      </w:tblBorders>
      <w:tblCellMar>
        <w:left w:w="0" w:type="dxa"/>
        <w:right w:w="0" w:type="dxa"/>
      </w:tblCellMar>
    </w:tblPr>
    <w:tblStylePr w:type="firstRow">
      <w:rPr>
        <w:b/>
        <w:color w:val="FFFFFF"/>
      </w:rPr>
      <w:tblPr/>
      <w:tcPr>
        <w:shd w:val="clear" w:color="auto" w:fill="214C90" w:themeFill="text2"/>
      </w:tcPr>
    </w:tblStylePr>
    <w:tblStylePr w:type="band2Horz">
      <w:tblPr/>
      <w:tcPr>
        <w:shd w:val="clear" w:color="auto" w:fill="E1E2E7" w:themeFill="background2"/>
      </w:tcPr>
    </w:tblStylePr>
  </w:style>
  <w:style w:type="paragraph" w:customStyle="1" w:styleId="TableHeading">
    <w:name w:val="Table Heading"/>
    <w:basedOn w:val="TableBodyText"/>
    <w:qFormat/>
    <w:rsid w:val="0013752B"/>
    <w:rPr>
      <w:color w:val="FFFFFF"/>
    </w:rPr>
  </w:style>
  <w:style w:type="paragraph" w:customStyle="1" w:styleId="TableBullet10">
    <w:name w:val="Table Bullet 1"/>
    <w:basedOn w:val="TableBodyText"/>
    <w:link w:val="TableBullet1Char"/>
    <w:uiPriority w:val="99"/>
    <w:qFormat/>
    <w:rsid w:val="0013752B"/>
    <w:pPr>
      <w:numPr>
        <w:numId w:val="7"/>
      </w:numPr>
    </w:pPr>
  </w:style>
  <w:style w:type="paragraph" w:customStyle="1" w:styleId="TableBullet2">
    <w:name w:val="Table Bullet 2"/>
    <w:basedOn w:val="TableBullet10"/>
    <w:uiPriority w:val="99"/>
    <w:qFormat/>
    <w:rsid w:val="0013752B"/>
    <w:pPr>
      <w:numPr>
        <w:ilvl w:val="1"/>
      </w:numPr>
    </w:pPr>
  </w:style>
  <w:style w:type="paragraph" w:customStyle="1" w:styleId="TableBullet3">
    <w:name w:val="Table Bullet 3"/>
    <w:basedOn w:val="TableBullet2"/>
    <w:uiPriority w:val="99"/>
    <w:qFormat/>
    <w:rsid w:val="0013752B"/>
    <w:pPr>
      <w:numPr>
        <w:ilvl w:val="2"/>
      </w:numPr>
    </w:pPr>
  </w:style>
  <w:style w:type="paragraph" w:customStyle="1" w:styleId="TableListNumber">
    <w:name w:val="Table List Number"/>
    <w:basedOn w:val="TableBodyText"/>
    <w:qFormat/>
    <w:rsid w:val="000E651E"/>
    <w:pPr>
      <w:numPr>
        <w:numId w:val="112"/>
      </w:numPr>
      <w:spacing w:before="20" w:after="20"/>
      <w:ind w:left="442" w:hanging="357"/>
    </w:pPr>
    <w:rPr>
      <w:rFonts w:eastAsiaTheme="minorEastAsia"/>
    </w:rPr>
  </w:style>
  <w:style w:type="paragraph" w:customStyle="1" w:styleId="TableListNumber2">
    <w:name w:val="Table List Number 2"/>
    <w:basedOn w:val="TableListNumber"/>
    <w:qFormat/>
    <w:rsid w:val="0013752B"/>
    <w:pPr>
      <w:numPr>
        <w:ilvl w:val="1"/>
      </w:numPr>
    </w:pPr>
  </w:style>
  <w:style w:type="paragraph" w:customStyle="1" w:styleId="TableListNumber3">
    <w:name w:val="Table List Number 3"/>
    <w:basedOn w:val="TableListNumber2"/>
    <w:qFormat/>
    <w:rsid w:val="0013752B"/>
    <w:pPr>
      <w:numPr>
        <w:ilvl w:val="2"/>
      </w:numPr>
    </w:pPr>
  </w:style>
  <w:style w:type="paragraph" w:styleId="TableofFigures">
    <w:name w:val="table of figures"/>
    <w:basedOn w:val="Normal"/>
    <w:next w:val="Normal"/>
    <w:uiPriority w:val="99"/>
    <w:rsid w:val="00844AB7"/>
    <w:pPr>
      <w:tabs>
        <w:tab w:val="right" w:leader="dot" w:pos="8165"/>
      </w:tabs>
      <w:spacing w:before="120" w:after="60"/>
      <w:ind w:left="1134" w:right="737" w:hanging="1134"/>
    </w:pPr>
    <w:rPr>
      <w:rFonts w:eastAsiaTheme="minorHAnsi" w:cstheme="minorBidi"/>
      <w:noProof/>
      <w:lang w:eastAsia="fr-CA"/>
    </w:rPr>
  </w:style>
  <w:style w:type="paragraph" w:customStyle="1" w:styleId="Source">
    <w:name w:val="Source"/>
    <w:basedOn w:val="Normal"/>
    <w:next w:val="BodyText"/>
    <w:rsid w:val="0013752B"/>
    <w:pPr>
      <w:spacing w:before="60" w:after="120" w:line="180" w:lineRule="atLeast"/>
    </w:pPr>
    <w:rPr>
      <w:rFonts w:cs="Arial"/>
      <w:sz w:val="18"/>
      <w:szCs w:val="18"/>
      <w:lang w:eastAsia="fr-CA"/>
    </w:rPr>
  </w:style>
  <w:style w:type="numbering" w:customStyle="1" w:styleId="TableBullets">
    <w:name w:val="TableBullets"/>
    <w:uiPriority w:val="99"/>
    <w:rsid w:val="00DD7311"/>
    <w:pPr>
      <w:numPr>
        <w:numId w:val="3"/>
      </w:numPr>
    </w:pPr>
  </w:style>
  <w:style w:type="numbering" w:customStyle="1" w:styleId="TableFootnotes">
    <w:name w:val="TableFootnotes"/>
    <w:uiPriority w:val="99"/>
    <w:rsid w:val="00DD7311"/>
    <w:pPr>
      <w:numPr>
        <w:numId w:val="4"/>
      </w:numPr>
    </w:pPr>
  </w:style>
  <w:style w:type="paragraph" w:styleId="Title">
    <w:name w:val="Title"/>
    <w:basedOn w:val="Normal"/>
    <w:link w:val="TitleChar"/>
    <w:uiPriority w:val="1"/>
    <w:rsid w:val="00D32EA5"/>
    <w:pPr>
      <w:spacing w:before="120" w:after="500" w:line="620" w:lineRule="exact"/>
      <w:ind w:left="227" w:right="1134"/>
    </w:pPr>
    <w:rPr>
      <w:rFonts w:asciiTheme="majorHAnsi" w:eastAsiaTheme="minorEastAsia" w:hAnsiTheme="majorHAnsi"/>
      <w:b/>
      <w:color w:val="214C90" w:themeColor="text2"/>
      <w:sz w:val="56"/>
      <w:szCs w:val="48"/>
    </w:rPr>
  </w:style>
  <w:style w:type="character" w:customStyle="1" w:styleId="TitleChar">
    <w:name w:val="Title Char"/>
    <w:basedOn w:val="DefaultParagraphFont"/>
    <w:link w:val="Title"/>
    <w:uiPriority w:val="1"/>
    <w:rsid w:val="00D32EA5"/>
    <w:rPr>
      <w:rFonts w:asciiTheme="majorHAnsi" w:eastAsiaTheme="minorEastAsia" w:hAnsiTheme="majorHAnsi"/>
      <w:b/>
      <w:color w:val="214C90" w:themeColor="text2"/>
      <w:sz w:val="56"/>
      <w:szCs w:val="48"/>
    </w:rPr>
  </w:style>
  <w:style w:type="paragraph" w:styleId="Subtitle">
    <w:name w:val="Subtitle"/>
    <w:basedOn w:val="Title"/>
    <w:next w:val="Normal"/>
    <w:link w:val="SubtitleChar"/>
    <w:uiPriority w:val="1"/>
    <w:rsid w:val="00D32EA5"/>
    <w:pPr>
      <w:spacing w:before="0" w:after="720" w:line="400" w:lineRule="exact"/>
      <w:contextualSpacing/>
    </w:pPr>
    <w:rPr>
      <w:rFonts w:asciiTheme="minorHAnsi" w:hAnsiTheme="minorHAnsi"/>
      <w:b w:val="0"/>
      <w:color w:val="5D89B4" w:themeColor="accent3"/>
      <w:spacing w:val="4"/>
      <w:sz w:val="40"/>
    </w:rPr>
  </w:style>
  <w:style w:type="paragraph" w:styleId="TOC1">
    <w:name w:val="toc 1"/>
    <w:basedOn w:val="Normal"/>
    <w:next w:val="Normal"/>
    <w:autoRedefine/>
    <w:uiPriority w:val="39"/>
    <w:rsid w:val="00D53A62"/>
    <w:pPr>
      <w:tabs>
        <w:tab w:val="left" w:pos="851"/>
        <w:tab w:val="right" w:pos="8505"/>
      </w:tabs>
      <w:spacing w:before="120" w:after="60"/>
      <w:ind w:left="851" w:right="737" w:hanging="851"/>
    </w:pPr>
    <w:rPr>
      <w:rFonts w:eastAsiaTheme="minorHAnsi" w:cstheme="minorBidi"/>
      <w:b/>
      <w:noProof/>
      <w:lang w:eastAsia="en-US"/>
    </w:rPr>
  </w:style>
  <w:style w:type="paragraph" w:styleId="TOC2">
    <w:name w:val="toc 2"/>
    <w:basedOn w:val="Normal"/>
    <w:next w:val="Normal"/>
    <w:autoRedefine/>
    <w:uiPriority w:val="39"/>
    <w:rsid w:val="00717A36"/>
    <w:pPr>
      <w:tabs>
        <w:tab w:val="right" w:pos="8505"/>
      </w:tabs>
      <w:spacing w:before="120" w:after="60"/>
      <w:ind w:left="851" w:right="737" w:hanging="851"/>
    </w:pPr>
    <w:rPr>
      <w:rFonts w:eastAsiaTheme="minorHAnsi" w:cstheme="minorBidi"/>
      <w:noProof/>
      <w:lang w:eastAsia="fr-CA"/>
    </w:rPr>
  </w:style>
  <w:style w:type="paragraph" w:styleId="TOC3">
    <w:name w:val="toc 3"/>
    <w:basedOn w:val="Normal"/>
    <w:next w:val="Normal"/>
    <w:autoRedefine/>
    <w:rsid w:val="00717A36"/>
    <w:pPr>
      <w:tabs>
        <w:tab w:val="left" w:pos="851"/>
        <w:tab w:val="right" w:leader="dot" w:pos="8165"/>
      </w:tabs>
      <w:spacing w:before="120" w:after="60"/>
      <w:ind w:left="851" w:right="737" w:hanging="851"/>
    </w:pPr>
    <w:rPr>
      <w:rFonts w:eastAsiaTheme="minorHAnsi" w:cstheme="minorBidi"/>
      <w:noProof/>
      <w:szCs w:val="18"/>
      <w:lang w:eastAsia="fr-CA"/>
    </w:rPr>
  </w:style>
  <w:style w:type="character" w:customStyle="1" w:styleId="SubtitleChar">
    <w:name w:val="Subtitle Char"/>
    <w:basedOn w:val="DefaultParagraphFont"/>
    <w:link w:val="Subtitle"/>
    <w:uiPriority w:val="1"/>
    <w:rsid w:val="00D32EA5"/>
    <w:rPr>
      <w:rFonts w:eastAsiaTheme="minorEastAsia"/>
      <w:color w:val="5D89B4" w:themeColor="accent3"/>
      <w:spacing w:val="4"/>
      <w:sz w:val="40"/>
      <w:szCs w:val="48"/>
    </w:rPr>
  </w:style>
  <w:style w:type="paragraph" w:styleId="NormalWeb">
    <w:name w:val="Normal (Web)"/>
    <w:basedOn w:val="Normal"/>
    <w:uiPriority w:val="99"/>
    <w:rsid w:val="003255DA"/>
    <w:rPr>
      <w:szCs w:val="24"/>
    </w:rPr>
  </w:style>
  <w:style w:type="paragraph" w:styleId="ListContinue2">
    <w:name w:val="List Continue 2"/>
    <w:basedOn w:val="Normal"/>
    <w:rsid w:val="0013752B"/>
    <w:pPr>
      <w:spacing w:before="120" w:after="120"/>
      <w:ind w:left="714"/>
    </w:pPr>
    <w:rPr>
      <w:rFonts w:eastAsiaTheme="minorEastAsia"/>
    </w:rPr>
  </w:style>
  <w:style w:type="paragraph" w:styleId="ListContinue3">
    <w:name w:val="List Continue 3"/>
    <w:basedOn w:val="Normal"/>
    <w:rsid w:val="0013752B"/>
    <w:pPr>
      <w:spacing w:before="120" w:after="120"/>
      <w:ind w:left="1072"/>
    </w:pPr>
    <w:rPr>
      <w:rFonts w:eastAsiaTheme="minorEastAsia"/>
    </w:rPr>
  </w:style>
  <w:style w:type="paragraph" w:styleId="NoSpacing">
    <w:name w:val="No Spacing"/>
    <w:next w:val="BodyText"/>
    <w:rsid w:val="00B85B75"/>
    <w:pPr>
      <w:spacing w:line="240" w:lineRule="auto"/>
    </w:pPr>
  </w:style>
  <w:style w:type="paragraph" w:customStyle="1" w:styleId="TableofFiguresHeading">
    <w:name w:val="Table of Figures Heading"/>
    <w:basedOn w:val="Normal"/>
    <w:rsid w:val="006E2604"/>
    <w:pPr>
      <w:spacing w:before="120" w:after="120"/>
    </w:pPr>
    <w:rPr>
      <w:rFonts w:asciiTheme="majorHAnsi" w:eastAsiaTheme="minorEastAsia" w:hAnsiTheme="majorHAnsi"/>
      <w:b/>
      <w:bCs/>
      <w:color w:val="214C90" w:themeColor="text2"/>
    </w:rPr>
  </w:style>
  <w:style w:type="paragraph" w:customStyle="1" w:styleId="SideNote">
    <w:name w:val="Side Note"/>
    <w:basedOn w:val="BodyText"/>
    <w:qFormat/>
    <w:rsid w:val="00B651D5"/>
    <w:pPr>
      <w:framePr w:w="1418" w:h="397" w:wrap="around" w:vAnchor="text" w:hAnchor="page" w:x="568" w:y="143"/>
      <w:spacing w:before="0" w:line="247" w:lineRule="auto"/>
    </w:pPr>
    <w:rPr>
      <w:i/>
      <w:sz w:val="20"/>
    </w:rPr>
  </w:style>
  <w:style w:type="paragraph" w:customStyle="1" w:styleId="Address">
    <w:name w:val="Address"/>
    <w:basedOn w:val="Normal"/>
    <w:rsid w:val="00C6084A"/>
    <w:pPr>
      <w:framePr w:hSpace="181" w:wrap="around" w:vAnchor="page" w:hAnchor="page" w:xAlign="right" w:yAlign="bottom"/>
      <w:tabs>
        <w:tab w:val="left" w:pos="227"/>
      </w:tabs>
      <w:spacing w:line="220" w:lineRule="atLeast"/>
      <w:suppressOverlap/>
    </w:pPr>
    <w:rPr>
      <w:noProof/>
      <w:color w:val="FFFFFF"/>
    </w:rPr>
  </w:style>
  <w:style w:type="character" w:customStyle="1" w:styleId="Heading5Char">
    <w:name w:val="Heading 5 Char"/>
    <w:basedOn w:val="DefaultParagraphFont"/>
    <w:link w:val="Heading5"/>
    <w:rsid w:val="00A014E2"/>
    <w:rPr>
      <w:rFonts w:asciiTheme="majorHAnsi" w:eastAsiaTheme="majorEastAsia" w:hAnsiTheme="majorHAnsi" w:cstheme="majorBidi"/>
      <w:i/>
      <w:color w:val="214C90" w:themeColor="text2"/>
    </w:rPr>
  </w:style>
  <w:style w:type="character" w:customStyle="1" w:styleId="Heading6Char">
    <w:name w:val="Heading 6 Char"/>
    <w:basedOn w:val="DefaultParagraphFont"/>
    <w:link w:val="Heading6"/>
    <w:uiPriority w:val="9"/>
    <w:rsid w:val="00AD50BB"/>
    <w:rPr>
      <w:rFonts w:asciiTheme="majorHAnsi" w:eastAsiaTheme="majorEastAsia" w:hAnsiTheme="majorHAnsi" w:cstheme="majorBidi"/>
      <w:b/>
      <w:iCs/>
      <w:color w:val="002060"/>
      <w:lang w:eastAsia="en-US"/>
    </w:rPr>
  </w:style>
  <w:style w:type="paragraph" w:styleId="Revision">
    <w:name w:val="Revision"/>
    <w:hidden/>
    <w:uiPriority w:val="99"/>
    <w:semiHidden/>
    <w:rsid w:val="009E7348"/>
    <w:rPr>
      <w:rFonts w:ascii="Calibri" w:eastAsia="Calibri" w:hAnsi="Calibri"/>
      <w:lang w:eastAsia="en-US"/>
    </w:rPr>
  </w:style>
  <w:style w:type="table" w:customStyle="1" w:styleId="TablePlaceholder">
    <w:name w:val="Table Placeholder"/>
    <w:basedOn w:val="TableNormal"/>
    <w:uiPriority w:val="99"/>
    <w:rsid w:val="00480149"/>
    <w:pPr>
      <w:spacing w:line="240" w:lineRule="auto"/>
    </w:pPr>
    <w:tblPr>
      <w:tblCellMar>
        <w:left w:w="45" w:type="dxa"/>
        <w:right w:w="45" w:type="dxa"/>
      </w:tblCellMar>
    </w:tblPr>
  </w:style>
  <w:style w:type="paragraph" w:styleId="Quote">
    <w:name w:val="Quote"/>
    <w:basedOn w:val="Normal"/>
    <w:next w:val="Normal"/>
    <w:link w:val="QuoteChar"/>
    <w:qFormat/>
    <w:rsid w:val="002778AD"/>
    <w:pPr>
      <w:spacing w:before="200" w:after="160"/>
      <w:ind w:left="357" w:right="357"/>
    </w:pPr>
    <w:rPr>
      <w:i/>
      <w:iCs/>
      <w:sz w:val="20"/>
    </w:rPr>
  </w:style>
  <w:style w:type="character" w:customStyle="1" w:styleId="QuoteChar">
    <w:name w:val="Quote Char"/>
    <w:basedOn w:val="DefaultParagraphFont"/>
    <w:link w:val="Quote"/>
    <w:rsid w:val="002778AD"/>
    <w:rPr>
      <w:i/>
      <w:iCs/>
      <w:sz w:val="20"/>
    </w:rPr>
  </w:style>
  <w:style w:type="paragraph" w:customStyle="1" w:styleId="PullOutBoxBodyText">
    <w:name w:val="Pull Out Box Body Text"/>
    <w:basedOn w:val="Normal"/>
    <w:rsid w:val="00782365"/>
    <w:pPr>
      <w:spacing w:before="120"/>
    </w:pPr>
    <w:rPr>
      <w:rFonts w:eastAsiaTheme="minorEastAsia" w:cstheme="minorBidi"/>
      <w:lang w:eastAsia="fr-CA"/>
    </w:rPr>
  </w:style>
  <w:style w:type="paragraph" w:customStyle="1" w:styleId="PullOutBoxHeading">
    <w:name w:val="Pull Out Box Heading"/>
    <w:basedOn w:val="Normal"/>
    <w:next w:val="PullOutBoxBodyText"/>
    <w:rsid w:val="00782365"/>
    <w:pPr>
      <w:spacing w:before="120"/>
    </w:pPr>
    <w:rPr>
      <w:rFonts w:eastAsiaTheme="minorHAnsi" w:cstheme="minorBidi"/>
      <w:b/>
      <w:color w:val="214C90" w:themeColor="text2"/>
      <w:szCs w:val="24"/>
      <w:lang w:eastAsia="fr-CA"/>
    </w:rPr>
  </w:style>
  <w:style w:type="table" w:customStyle="1" w:styleId="PullOutBoxTable">
    <w:name w:val="Pull Out Box Table"/>
    <w:basedOn w:val="TableNormal"/>
    <w:uiPriority w:val="99"/>
    <w:rsid w:val="004B3F0E"/>
    <w:pPr>
      <w:spacing w:line="240" w:lineRule="auto"/>
    </w:pPr>
    <w:tblPr>
      <w:tblCellMar>
        <w:top w:w="142" w:type="dxa"/>
        <w:left w:w="170" w:type="dxa"/>
        <w:bottom w:w="142" w:type="dxa"/>
        <w:right w:w="170" w:type="dxa"/>
      </w:tblCellMar>
    </w:tblPr>
    <w:tcPr>
      <w:shd w:val="clear" w:color="auto" w:fill="E1E2E7" w:themeFill="background2"/>
    </w:tcPr>
  </w:style>
  <w:style w:type="character" w:customStyle="1" w:styleId="Bold">
    <w:name w:val="Bold"/>
    <w:rsid w:val="00C34E9D"/>
    <w:rPr>
      <w:rFonts w:eastAsiaTheme="minorEastAsia"/>
      <w:b/>
      <w:i w:val="0"/>
      <w:strike w:val="0"/>
      <w:vertAlign w:val="baseline"/>
    </w:rPr>
  </w:style>
  <w:style w:type="character" w:customStyle="1" w:styleId="BoldAndItalics">
    <w:name w:val="Bold And Italics"/>
    <w:uiPriority w:val="99"/>
    <w:rsid w:val="00C34E9D"/>
    <w:rPr>
      <w:rFonts w:eastAsiaTheme="minorEastAsia"/>
      <w:b/>
      <w:i/>
      <w:strike w:val="0"/>
      <w:vertAlign w:val="baseline"/>
    </w:rPr>
  </w:style>
  <w:style w:type="paragraph" w:customStyle="1" w:styleId="TableHeadingBold">
    <w:name w:val="Table Heading Bold"/>
    <w:basedOn w:val="TableHeading"/>
    <w:rsid w:val="0013752B"/>
    <w:rPr>
      <w:b/>
    </w:rPr>
  </w:style>
  <w:style w:type="paragraph" w:customStyle="1" w:styleId="AppendixHeading4">
    <w:name w:val="Appendix Heading 4"/>
    <w:basedOn w:val="Normal"/>
    <w:next w:val="BodyText"/>
    <w:uiPriority w:val="4"/>
    <w:rsid w:val="007D7FFC"/>
    <w:pPr>
      <w:keepNext/>
      <w:numPr>
        <w:ilvl w:val="3"/>
        <w:numId w:val="5"/>
      </w:numPr>
      <w:spacing w:before="360" w:after="240"/>
    </w:pPr>
    <w:rPr>
      <w:rFonts w:asciiTheme="majorHAnsi" w:eastAsiaTheme="minorEastAsia" w:hAnsiTheme="majorHAnsi"/>
      <w:b/>
      <w:i/>
      <w:color w:val="007BC1"/>
      <w:lang w:eastAsia="en-US"/>
    </w:rPr>
  </w:style>
  <w:style w:type="paragraph" w:customStyle="1" w:styleId="xPageNumberHeading">
    <w:name w:val="xPage Number Heading"/>
    <w:basedOn w:val="Normal"/>
    <w:next w:val="BodyText"/>
    <w:rsid w:val="002778AD"/>
    <w:pPr>
      <w:keepNext/>
      <w:keepLines/>
      <w:tabs>
        <w:tab w:val="right" w:pos="9639"/>
      </w:tabs>
      <w:spacing w:after="360"/>
      <w:jc w:val="right"/>
    </w:pPr>
    <w:rPr>
      <w:lang w:eastAsia="en-US"/>
    </w:rPr>
  </w:style>
  <w:style w:type="paragraph" w:customStyle="1" w:styleId="Notes">
    <w:name w:val="Notes"/>
    <w:basedOn w:val="Normal"/>
    <w:rsid w:val="00782365"/>
    <w:pPr>
      <w:spacing w:before="120" w:after="120"/>
    </w:pPr>
    <w:rPr>
      <w:rFonts w:cs="Arial"/>
      <w:sz w:val="18"/>
    </w:rPr>
  </w:style>
  <w:style w:type="paragraph" w:styleId="Date">
    <w:name w:val="Date"/>
    <w:basedOn w:val="Normal"/>
    <w:next w:val="Normal"/>
    <w:link w:val="DateChar"/>
    <w:rsid w:val="007F2042"/>
    <w:pPr>
      <w:ind w:left="227"/>
    </w:pPr>
    <w:rPr>
      <w:rFonts w:eastAsiaTheme="minorEastAsia"/>
      <w:sz w:val="32"/>
    </w:rPr>
  </w:style>
  <w:style w:type="character" w:customStyle="1" w:styleId="DateChar">
    <w:name w:val="Date Char"/>
    <w:basedOn w:val="DefaultParagraphFont"/>
    <w:link w:val="Date"/>
    <w:rsid w:val="007F2042"/>
    <w:rPr>
      <w:rFonts w:eastAsiaTheme="minorEastAsia"/>
      <w:sz w:val="32"/>
    </w:rPr>
  </w:style>
  <w:style w:type="paragraph" w:customStyle="1" w:styleId="NotesNumbered">
    <w:name w:val="Notes Numbered"/>
    <w:basedOn w:val="Normal"/>
    <w:qFormat/>
    <w:rsid w:val="00323279"/>
    <w:pPr>
      <w:numPr>
        <w:numId w:val="6"/>
      </w:numPr>
      <w:spacing w:before="120" w:after="240" w:line="240" w:lineRule="auto"/>
      <w:contextualSpacing/>
    </w:pPr>
    <w:rPr>
      <w:sz w:val="18"/>
      <w:szCs w:val="20"/>
      <w:lang w:eastAsia="fr-CA"/>
    </w:rPr>
  </w:style>
  <w:style w:type="paragraph" w:styleId="FootnoteText">
    <w:name w:val="footnote text"/>
    <w:aliases w:val="BG Footnote Text,TBG Style,ALTS FOOTNOTE,(NECG) Footnote Text,Footnote text,AR Footnote Text,AR Footnote Text Char Char Char Char Char,ALTS FOOTNOTE Char1,Footnote Text Char1 Char,Footnote Text Char Char Char,fn,Footnote Text1,f,Style 7"/>
    <w:basedOn w:val="Normal"/>
    <w:link w:val="FootnoteTextChar"/>
    <w:uiPriority w:val="2"/>
    <w:qFormat/>
    <w:rsid w:val="003042FF"/>
    <w:pPr>
      <w:tabs>
        <w:tab w:val="left" w:pos="340"/>
      </w:tabs>
      <w:spacing w:before="60" w:after="60" w:line="240" w:lineRule="auto"/>
      <w:ind w:left="340" w:hanging="340"/>
    </w:pPr>
    <w:rPr>
      <w:sz w:val="16"/>
      <w:szCs w:val="20"/>
    </w:rPr>
  </w:style>
  <w:style w:type="character" w:customStyle="1" w:styleId="FootnoteTextChar">
    <w:name w:val="Footnote Text Char"/>
    <w:aliases w:val="BG Footnote Text Char,TBG Style Char,ALTS FOOTNOTE Char,(NECG) Footnote Text Char,Footnote text Char,AR Footnote Text Char,AR Footnote Text Char Char Char Char Char Char,ALTS FOOTNOTE Char1 Char,Footnote Text Char1 Char Char,fn Char"/>
    <w:basedOn w:val="DefaultParagraphFont"/>
    <w:link w:val="FootnoteText"/>
    <w:uiPriority w:val="2"/>
    <w:rsid w:val="003042FF"/>
    <w:rPr>
      <w:rFonts w:ascii="Arial" w:hAnsi="Arial"/>
      <w:sz w:val="16"/>
      <w:szCs w:val="20"/>
    </w:rPr>
  </w:style>
  <w:style w:type="character" w:styleId="FootnoteReference">
    <w:name w:val="footnote reference"/>
    <w:aliases w:val="(NECG) Footnote Reference,fr,o,Style 6 + 12 pt,(NECG) Footnote Reference1,(NECG) Footnote Reference2,(NECG) Footnote Reference3,(NECG) Footnote Reference4,(NECG) Footnote Reference5,(NECG) Footnote Reference6,SFG_Footnote_Reference"/>
    <w:basedOn w:val="DefaultParagraphFont"/>
    <w:uiPriority w:val="99"/>
    <w:unhideWhenUsed/>
    <w:qFormat/>
    <w:rsid w:val="00A176B6"/>
    <w:rPr>
      <w:vertAlign w:val="superscript"/>
    </w:rPr>
  </w:style>
  <w:style w:type="paragraph" w:styleId="ListNumber4">
    <w:name w:val="List Number 4"/>
    <w:basedOn w:val="Normal"/>
    <w:uiPriority w:val="99"/>
    <w:unhideWhenUsed/>
    <w:rsid w:val="00D33D2C"/>
    <w:pPr>
      <w:numPr>
        <w:ilvl w:val="3"/>
        <w:numId w:val="14"/>
      </w:numPr>
      <w:spacing w:before="120" w:after="120"/>
    </w:pPr>
  </w:style>
  <w:style w:type="paragraph" w:styleId="ListNumber5">
    <w:name w:val="List Number 5"/>
    <w:basedOn w:val="Normal"/>
    <w:uiPriority w:val="99"/>
    <w:unhideWhenUsed/>
    <w:rsid w:val="00D33D2C"/>
    <w:pPr>
      <w:numPr>
        <w:ilvl w:val="4"/>
        <w:numId w:val="14"/>
      </w:numPr>
      <w:spacing w:before="120" w:after="120"/>
    </w:pPr>
  </w:style>
  <w:style w:type="paragraph" w:styleId="ListBullet4">
    <w:name w:val="List Bullet 4"/>
    <w:basedOn w:val="Normal"/>
    <w:unhideWhenUsed/>
    <w:rsid w:val="001122BF"/>
    <w:pPr>
      <w:spacing w:before="120" w:after="120"/>
    </w:pPr>
  </w:style>
  <w:style w:type="paragraph" w:styleId="ListBullet5">
    <w:name w:val="List Bullet 5"/>
    <w:basedOn w:val="Normal"/>
    <w:unhideWhenUsed/>
    <w:rsid w:val="001122BF"/>
    <w:pPr>
      <w:contextualSpacing/>
    </w:pPr>
  </w:style>
  <w:style w:type="paragraph" w:customStyle="1" w:styleId="PageNumberinFrame">
    <w:name w:val="Page Number in Frame"/>
    <w:basedOn w:val="Normal"/>
    <w:qFormat/>
    <w:rsid w:val="00A13A74"/>
    <w:pPr>
      <w:framePr w:w="1701" w:h="1701" w:hRule="exact" w:wrap="around" w:vAnchor="text" w:hAnchor="margin" w:xAlign="right" w:y="1"/>
      <w:jc w:val="center"/>
    </w:pPr>
    <w:rPr>
      <w:sz w:val="18"/>
    </w:rPr>
  </w:style>
  <w:style w:type="paragraph" w:customStyle="1" w:styleId="BodyTextSmall">
    <w:name w:val="Body Text Small"/>
    <w:basedOn w:val="Normal"/>
    <w:qFormat/>
    <w:rsid w:val="00AD6695"/>
    <w:pPr>
      <w:spacing w:before="240" w:after="120"/>
    </w:pPr>
    <w:rPr>
      <w:sz w:val="18"/>
    </w:rPr>
  </w:style>
  <w:style w:type="paragraph" w:styleId="ListContinue4">
    <w:name w:val="List Continue 4"/>
    <w:basedOn w:val="Normal"/>
    <w:semiHidden/>
    <w:unhideWhenUsed/>
    <w:rsid w:val="0013752B"/>
    <w:pPr>
      <w:spacing w:before="120" w:after="120"/>
      <w:ind w:left="1429"/>
    </w:pPr>
  </w:style>
  <w:style w:type="paragraph" w:styleId="ListContinue5">
    <w:name w:val="List Continue 5"/>
    <w:basedOn w:val="Normal"/>
    <w:semiHidden/>
    <w:unhideWhenUsed/>
    <w:rsid w:val="0013752B"/>
    <w:pPr>
      <w:spacing w:before="120" w:after="120"/>
      <w:ind w:left="1786"/>
    </w:pPr>
  </w:style>
  <w:style w:type="paragraph" w:customStyle="1" w:styleId="ExecSummHeading1">
    <w:name w:val="Exec Summ Heading 1"/>
    <w:basedOn w:val="Normal"/>
    <w:next w:val="BodyText"/>
    <w:qFormat/>
    <w:rsid w:val="00D91DDA"/>
    <w:pPr>
      <w:widowControl w:val="0"/>
      <w:spacing w:after="240"/>
      <w:ind w:left="851" w:hanging="851"/>
      <w:outlineLvl w:val="0"/>
    </w:pPr>
    <w:rPr>
      <w:rFonts w:asciiTheme="majorHAnsi" w:hAnsiTheme="majorHAnsi"/>
      <w:b/>
      <w:color w:val="002060"/>
      <w:sz w:val="32"/>
    </w:rPr>
  </w:style>
  <w:style w:type="paragraph" w:customStyle="1" w:styleId="ExecSummHeading2">
    <w:name w:val="Exec Summ Heading 2"/>
    <w:basedOn w:val="ExecSummHeading1"/>
    <w:next w:val="BodyText"/>
    <w:qFormat/>
    <w:rsid w:val="00DE2084"/>
    <w:pPr>
      <w:spacing w:before="360"/>
      <w:outlineLvl w:val="9"/>
    </w:pPr>
    <w:rPr>
      <w:sz w:val="28"/>
    </w:rPr>
  </w:style>
  <w:style w:type="paragraph" w:customStyle="1" w:styleId="ExecSummHeading3">
    <w:name w:val="Exec Summ Heading 3"/>
    <w:basedOn w:val="ExecSummHeading2"/>
    <w:next w:val="BodyText"/>
    <w:qFormat/>
    <w:rsid w:val="00FF2DF8"/>
    <w:rPr>
      <w:sz w:val="22"/>
    </w:rPr>
  </w:style>
  <w:style w:type="paragraph" w:customStyle="1" w:styleId="ExecSummBodyText">
    <w:name w:val="Exec Summ Body Text"/>
    <w:basedOn w:val="Normal"/>
    <w:qFormat/>
    <w:rsid w:val="004B4F74"/>
    <w:pPr>
      <w:spacing w:before="240" w:after="120"/>
    </w:pPr>
  </w:style>
  <w:style w:type="paragraph" w:styleId="TOC4">
    <w:name w:val="toc 4"/>
    <w:basedOn w:val="Normal"/>
    <w:next w:val="Normal"/>
    <w:autoRedefine/>
    <w:unhideWhenUsed/>
    <w:rsid w:val="00774723"/>
    <w:pPr>
      <w:tabs>
        <w:tab w:val="right" w:leader="dot" w:pos="8165"/>
      </w:tabs>
      <w:spacing w:before="120" w:after="60"/>
      <w:ind w:right="737"/>
    </w:pPr>
  </w:style>
  <w:style w:type="character" w:customStyle="1" w:styleId="MyUnderlineStrikethrough">
    <w:name w:val="MyUnderline&amp;Strikethrough"/>
    <w:semiHidden/>
    <w:rsid w:val="00C34E9D"/>
    <w:rPr>
      <w:b w:val="0"/>
      <w:i w:val="0"/>
      <w:strike/>
      <w:dstrike w:val="0"/>
      <w:u w:val="single"/>
      <w:vertAlign w:val="baseline"/>
    </w:rPr>
  </w:style>
  <w:style w:type="character" w:customStyle="1" w:styleId="MyStrikethrough">
    <w:name w:val="MyStrikethrough"/>
    <w:semiHidden/>
    <w:rsid w:val="00C34E9D"/>
    <w:rPr>
      <w:b w:val="0"/>
      <w:i w:val="0"/>
      <w:strike/>
      <w:dstrike w:val="0"/>
      <w:vertAlign w:val="baseline"/>
    </w:rPr>
  </w:style>
  <w:style w:type="character" w:customStyle="1" w:styleId="MySuperscriptItalics">
    <w:name w:val="MySuperscript&amp;Italics"/>
    <w:semiHidden/>
    <w:rsid w:val="00C34E9D"/>
    <w:rPr>
      <w:b w:val="0"/>
      <w:i/>
      <w:strike w:val="0"/>
      <w:vertAlign w:val="superscript"/>
    </w:rPr>
  </w:style>
  <w:style w:type="character" w:customStyle="1" w:styleId="MySubscriptItalics">
    <w:name w:val="MySubscript&amp;Italics"/>
    <w:semiHidden/>
    <w:rsid w:val="00C34E9D"/>
    <w:rPr>
      <w:b w:val="0"/>
      <w:i/>
      <w:strike w:val="0"/>
      <w:vertAlign w:val="subscript"/>
    </w:rPr>
  </w:style>
  <w:style w:type="character" w:customStyle="1" w:styleId="MySuperscript">
    <w:name w:val="MySuperscript"/>
    <w:semiHidden/>
    <w:rsid w:val="00C34E9D"/>
    <w:rPr>
      <w:b w:val="0"/>
      <w:i w:val="0"/>
      <w:strike w:val="0"/>
      <w:vertAlign w:val="superscript"/>
    </w:rPr>
  </w:style>
  <w:style w:type="character" w:customStyle="1" w:styleId="MySubscript">
    <w:name w:val="MySubscript"/>
    <w:semiHidden/>
    <w:rsid w:val="00C34E9D"/>
    <w:rPr>
      <w:b w:val="0"/>
      <w:i w:val="0"/>
      <w:strike w:val="0"/>
      <w:vertAlign w:val="subscript"/>
    </w:rPr>
  </w:style>
  <w:style w:type="character" w:customStyle="1" w:styleId="MyBoldItalicsUnderline">
    <w:name w:val="MyBoldItalicsUnderline"/>
    <w:semiHidden/>
    <w:rsid w:val="00C34E9D"/>
    <w:rPr>
      <w:b/>
      <w:i/>
      <w:strike w:val="0"/>
      <w:u w:val="single"/>
      <w:vertAlign w:val="baseline"/>
    </w:rPr>
  </w:style>
  <w:style w:type="character" w:customStyle="1" w:styleId="MyBoldUnderline">
    <w:name w:val="MyBoldUnderline"/>
    <w:semiHidden/>
    <w:rsid w:val="00C34E9D"/>
    <w:rPr>
      <w:b/>
      <w:i/>
      <w:strike w:val="0"/>
      <w:u w:val="single"/>
      <w:vertAlign w:val="baseline"/>
    </w:rPr>
  </w:style>
  <w:style w:type="character" w:customStyle="1" w:styleId="MyItalicsUnderline">
    <w:name w:val="MyItalicsUnderline"/>
    <w:semiHidden/>
    <w:rsid w:val="00C34E9D"/>
    <w:rPr>
      <w:b/>
      <w:i/>
      <w:strike w:val="0"/>
      <w:u w:val="single"/>
      <w:vertAlign w:val="baseline"/>
    </w:rPr>
  </w:style>
  <w:style w:type="character" w:customStyle="1" w:styleId="MyUnderline">
    <w:name w:val="MyUnderline"/>
    <w:semiHidden/>
    <w:rsid w:val="00C34E9D"/>
    <w:rPr>
      <w:b w:val="0"/>
      <w:i w:val="0"/>
      <w:strike w:val="0"/>
      <w:u w:val="single"/>
      <w:vertAlign w:val="baseline"/>
    </w:rPr>
  </w:style>
  <w:style w:type="paragraph" w:styleId="CommentText">
    <w:name w:val="annotation text"/>
    <w:basedOn w:val="Normal"/>
    <w:link w:val="CommentTextChar"/>
    <w:uiPriority w:val="39"/>
    <w:unhideWhenUsed/>
    <w:rsid w:val="00130333"/>
    <w:pPr>
      <w:spacing w:after="160"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39"/>
    <w:rsid w:val="00130333"/>
    <w:rPr>
      <w:rFonts w:eastAsiaTheme="minorHAnsi" w:cstheme="minorBidi"/>
      <w:sz w:val="20"/>
      <w:szCs w:val="20"/>
      <w:lang w:eastAsia="en-US"/>
    </w:rPr>
  </w:style>
  <w:style w:type="character" w:customStyle="1" w:styleId="ListParagraphChar">
    <w:name w:val="List Paragraph Char"/>
    <w:aliases w:val="List Paragraph11 Char,Recommendation Char,List Paragraph1 Char,Bullet point Char,1 heading Char,Dot point 1.5 line spacing Char,L Char,List Paragraph - bullets Char,NFP GP Bulleted List Char,bullet point list Char,LP-DO NOT USE Char"/>
    <w:basedOn w:val="DefaultParagraphFont"/>
    <w:link w:val="ListParagraph"/>
    <w:uiPriority w:val="34"/>
    <w:locked/>
    <w:rsid w:val="00130333"/>
  </w:style>
  <w:style w:type="paragraph" w:styleId="ListParagraph">
    <w:name w:val="List Paragraph"/>
    <w:aliases w:val="List Paragraph11,Recommendation,List Paragraph1,Bullet point,1 heading,Dot point 1.5 line spacing,L,List Paragraph - bullets,NFP GP Bulleted List,bullet point list,LP-DO NOT USE,Bulleted Para,CV text,Dot pt,F5 List Paragraph,FooterText"/>
    <w:basedOn w:val="Normal"/>
    <w:link w:val="ListParagraphChar"/>
    <w:uiPriority w:val="34"/>
    <w:qFormat/>
    <w:rsid w:val="00130333"/>
    <w:pPr>
      <w:spacing w:after="160" w:line="256" w:lineRule="auto"/>
      <w:ind w:left="720"/>
      <w:contextualSpacing/>
    </w:pPr>
    <w:rPr>
      <w:rFonts w:asciiTheme="minorHAnsi" w:hAnsiTheme="minorHAnsi"/>
    </w:rPr>
  </w:style>
  <w:style w:type="paragraph" w:customStyle="1" w:styleId="Default">
    <w:name w:val="Default"/>
    <w:rsid w:val="00130333"/>
    <w:pPr>
      <w:autoSpaceDE w:val="0"/>
      <w:autoSpaceDN w:val="0"/>
      <w:adjustRightInd w:val="0"/>
      <w:spacing w:line="240" w:lineRule="auto"/>
    </w:pPr>
    <w:rPr>
      <w:rFonts w:ascii="Arial" w:eastAsia="Calibri" w:hAnsi="Arial" w:cs="Arial"/>
      <w:color w:val="000000"/>
      <w:sz w:val="24"/>
      <w:szCs w:val="24"/>
    </w:rPr>
  </w:style>
  <w:style w:type="character" w:styleId="CommentReference">
    <w:name w:val="annotation reference"/>
    <w:basedOn w:val="DefaultParagraphFont"/>
    <w:uiPriority w:val="39"/>
    <w:semiHidden/>
    <w:unhideWhenUsed/>
    <w:rsid w:val="00130333"/>
    <w:rPr>
      <w:sz w:val="16"/>
      <w:szCs w:val="16"/>
    </w:rPr>
  </w:style>
  <w:style w:type="numbering" w:customStyle="1" w:styleId="BulletList">
    <w:name w:val="Bullet List"/>
    <w:uiPriority w:val="99"/>
    <w:rsid w:val="00130333"/>
    <w:pPr>
      <w:numPr>
        <w:numId w:val="9"/>
      </w:numPr>
    </w:pPr>
  </w:style>
  <w:style w:type="paragraph" w:customStyle="1" w:styleId="Pa9">
    <w:name w:val="Pa9"/>
    <w:basedOn w:val="Default"/>
    <w:next w:val="Default"/>
    <w:uiPriority w:val="99"/>
    <w:rsid w:val="00CE1750"/>
    <w:pPr>
      <w:spacing w:line="201" w:lineRule="atLeast"/>
    </w:pPr>
    <w:rPr>
      <w:rFonts w:ascii="Gotham Light" w:eastAsia="Times New Roman" w:hAnsi="Gotham Light" w:cs="Times New Roman"/>
      <w:color w:val="auto"/>
    </w:rPr>
  </w:style>
  <w:style w:type="character" w:customStyle="1" w:styleId="A8">
    <w:name w:val="A8"/>
    <w:uiPriority w:val="99"/>
    <w:rsid w:val="00CE1750"/>
    <w:rPr>
      <w:rFonts w:cs="Gotham Light"/>
      <w:color w:val="000000"/>
      <w:sz w:val="11"/>
      <w:szCs w:val="11"/>
    </w:rPr>
  </w:style>
  <w:style w:type="character" w:customStyle="1" w:styleId="Mention1">
    <w:name w:val="Mention1"/>
    <w:basedOn w:val="DefaultParagraphFont"/>
    <w:uiPriority w:val="99"/>
    <w:semiHidden/>
    <w:unhideWhenUsed/>
    <w:rsid w:val="00823FB3"/>
    <w:rPr>
      <w:color w:val="2B579A"/>
      <w:shd w:val="clear" w:color="auto" w:fill="E6E6E6"/>
    </w:rPr>
  </w:style>
  <w:style w:type="paragraph" w:styleId="PlainText">
    <w:name w:val="Plain Text"/>
    <w:basedOn w:val="Normal"/>
    <w:link w:val="PlainTextChar"/>
    <w:uiPriority w:val="99"/>
    <w:semiHidden/>
    <w:unhideWhenUsed/>
    <w:rsid w:val="007617DF"/>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7617DF"/>
    <w:rPr>
      <w:rFonts w:ascii="Calibri" w:hAnsi="Calibri"/>
      <w:szCs w:val="21"/>
    </w:rPr>
  </w:style>
  <w:style w:type="paragraph" w:styleId="CommentSubject">
    <w:name w:val="annotation subject"/>
    <w:basedOn w:val="CommentText"/>
    <w:next w:val="CommentText"/>
    <w:link w:val="CommentSubjectChar"/>
    <w:uiPriority w:val="39"/>
    <w:semiHidden/>
    <w:unhideWhenUsed/>
    <w:rsid w:val="0023587F"/>
    <w:pPr>
      <w:spacing w:after="0"/>
    </w:pPr>
    <w:rPr>
      <w:rFonts w:ascii="Arial" w:eastAsia="Times New Roman" w:hAnsi="Arial" w:cs="Times New Roman"/>
      <w:b/>
      <w:bCs/>
      <w:lang w:eastAsia="en-AU"/>
    </w:rPr>
  </w:style>
  <w:style w:type="character" w:customStyle="1" w:styleId="CommentSubjectChar">
    <w:name w:val="Comment Subject Char"/>
    <w:basedOn w:val="CommentTextChar"/>
    <w:link w:val="CommentSubject"/>
    <w:uiPriority w:val="39"/>
    <w:semiHidden/>
    <w:rsid w:val="0023587F"/>
    <w:rPr>
      <w:rFonts w:ascii="Arial" w:eastAsiaTheme="minorHAnsi" w:hAnsi="Arial" w:cstheme="minorBidi"/>
      <w:b/>
      <w:bCs/>
      <w:sz w:val="20"/>
      <w:szCs w:val="20"/>
      <w:lang w:eastAsia="en-US"/>
    </w:rPr>
  </w:style>
  <w:style w:type="paragraph" w:customStyle="1" w:styleId="Bullet2a">
    <w:name w:val="Bullet2a"/>
    <w:basedOn w:val="ListBullet2"/>
    <w:link w:val="Bullet2aChar"/>
    <w:rsid w:val="005B1992"/>
  </w:style>
  <w:style w:type="paragraph" w:customStyle="1" w:styleId="Bullet2b">
    <w:name w:val="Bullet2b"/>
    <w:basedOn w:val="ListBullet2"/>
    <w:link w:val="Bullet2bChar"/>
    <w:rsid w:val="005B1992"/>
  </w:style>
  <w:style w:type="character" w:customStyle="1" w:styleId="ListBulletChar">
    <w:name w:val="List Bullet Char"/>
    <w:basedOn w:val="BodyTextChar"/>
    <w:link w:val="ListBullet"/>
    <w:rsid w:val="00AD36B8"/>
    <w:rPr>
      <w:rFonts w:ascii="Arial" w:eastAsiaTheme="minorHAnsi" w:hAnsi="Arial" w:cs="Arial"/>
    </w:rPr>
  </w:style>
  <w:style w:type="character" w:customStyle="1" w:styleId="ListBullet2Char">
    <w:name w:val="List Bullet 2 Char"/>
    <w:basedOn w:val="ListBulletChar"/>
    <w:link w:val="ListBullet2"/>
    <w:rsid w:val="00C85EC5"/>
    <w:rPr>
      <w:rFonts w:ascii="Arial" w:eastAsiaTheme="minorHAnsi" w:hAnsi="Arial" w:cs="Arial"/>
    </w:rPr>
  </w:style>
  <w:style w:type="character" w:customStyle="1" w:styleId="Bullet2aChar">
    <w:name w:val="Bullet2a Char"/>
    <w:basedOn w:val="ListBullet2Char"/>
    <w:link w:val="Bullet2a"/>
    <w:rsid w:val="005B1992"/>
    <w:rPr>
      <w:rFonts w:ascii="Arial" w:eastAsiaTheme="minorHAnsi" w:hAnsi="Arial" w:cs="Arial"/>
    </w:rPr>
  </w:style>
  <w:style w:type="character" w:customStyle="1" w:styleId="Bullet2bChar">
    <w:name w:val="Bullet2b Char"/>
    <w:basedOn w:val="ListBullet2Char"/>
    <w:link w:val="Bullet2b"/>
    <w:rsid w:val="005B1992"/>
    <w:rPr>
      <w:rFonts w:ascii="Arial" w:eastAsiaTheme="minorHAnsi" w:hAnsi="Arial" w:cs="Arial"/>
    </w:rPr>
  </w:style>
  <w:style w:type="paragraph" w:customStyle="1" w:styleId="text">
    <w:name w:val="text"/>
    <w:basedOn w:val="Normal"/>
    <w:uiPriority w:val="99"/>
    <w:rsid w:val="008E05C4"/>
    <w:pPr>
      <w:widowControl w:val="0"/>
      <w:suppressAutoHyphens/>
      <w:autoSpaceDE w:val="0"/>
      <w:autoSpaceDN w:val="0"/>
      <w:adjustRightInd w:val="0"/>
      <w:spacing w:after="170" w:line="210" w:lineRule="atLeast"/>
      <w:textAlignment w:val="center"/>
    </w:pPr>
    <w:rPr>
      <w:rFonts w:ascii="ArialMT" w:eastAsia="Cambria" w:hAnsi="ArialMT" w:cs="ArialMT"/>
      <w:color w:val="000000"/>
      <w:sz w:val="17"/>
      <w:szCs w:val="17"/>
      <w:lang w:val="en-GB" w:eastAsia="en-US"/>
    </w:rPr>
  </w:style>
  <w:style w:type="character" w:styleId="Emphasis">
    <w:name w:val="Emphasis"/>
    <w:uiPriority w:val="20"/>
    <w:qFormat/>
    <w:rsid w:val="00E164A7"/>
    <w:rPr>
      <w:i/>
    </w:rPr>
  </w:style>
  <w:style w:type="character" w:styleId="Strong">
    <w:name w:val="Strong"/>
    <w:aliases w:val="AER text bold"/>
    <w:basedOn w:val="DefaultParagraphFont"/>
    <w:uiPriority w:val="3"/>
    <w:qFormat/>
    <w:rsid w:val="00057416"/>
    <w:rPr>
      <w:b/>
      <w:bCs/>
    </w:rPr>
  </w:style>
  <w:style w:type="character" w:customStyle="1" w:styleId="caps1">
    <w:name w:val="caps1"/>
    <w:basedOn w:val="DefaultParagraphFont"/>
    <w:rsid w:val="00057416"/>
    <w:rPr>
      <w:sz w:val="22"/>
      <w:szCs w:val="22"/>
    </w:rPr>
  </w:style>
  <w:style w:type="character" w:customStyle="1" w:styleId="tgc">
    <w:name w:val="_tgc"/>
    <w:basedOn w:val="DefaultParagraphFont"/>
    <w:rsid w:val="00057416"/>
  </w:style>
  <w:style w:type="table" w:styleId="ListTable4-Accent1">
    <w:name w:val="List Table 4 Accent 1"/>
    <w:basedOn w:val="TableNormal"/>
    <w:uiPriority w:val="49"/>
    <w:rsid w:val="00742868"/>
    <w:pPr>
      <w:spacing w:line="240" w:lineRule="auto"/>
    </w:pPr>
    <w:rPr>
      <w:rFonts w:eastAsiaTheme="minorHAnsi" w:cstheme="minorBidi"/>
      <w:lang w:eastAsia="en-US"/>
    </w:rPr>
    <w:tblPr>
      <w:tblStyleRowBandSize w:val="1"/>
      <w:tblStyleColBandSize w:val="1"/>
      <w:tblInd w:w="0" w:type="nil"/>
      <w:tblBorders>
        <w:top w:val="single" w:sz="4" w:space="0" w:color="5C8CD9" w:themeColor="accent1" w:themeTint="99"/>
        <w:left w:val="single" w:sz="4" w:space="0" w:color="5C8CD9" w:themeColor="accent1" w:themeTint="99"/>
        <w:bottom w:val="single" w:sz="4" w:space="0" w:color="5C8CD9" w:themeColor="accent1" w:themeTint="99"/>
        <w:right w:val="single" w:sz="4" w:space="0" w:color="5C8CD9" w:themeColor="accent1" w:themeTint="99"/>
        <w:insideH w:val="single" w:sz="4" w:space="0" w:color="5C8CD9" w:themeColor="accent1" w:themeTint="99"/>
      </w:tblBorders>
    </w:tblPr>
    <w:tblStylePr w:type="firstRow">
      <w:rPr>
        <w:b/>
        <w:bCs/>
        <w:color w:val="FFFFFF" w:themeColor="background1"/>
      </w:rPr>
      <w:tblPr/>
      <w:tcPr>
        <w:tcBorders>
          <w:top w:val="single" w:sz="4" w:space="0" w:color="214C90" w:themeColor="accent1"/>
          <w:left w:val="single" w:sz="4" w:space="0" w:color="214C90" w:themeColor="accent1"/>
          <w:bottom w:val="single" w:sz="4" w:space="0" w:color="214C90" w:themeColor="accent1"/>
          <w:right w:val="single" w:sz="4" w:space="0" w:color="214C90" w:themeColor="accent1"/>
          <w:insideH w:val="nil"/>
        </w:tcBorders>
        <w:shd w:val="clear" w:color="auto" w:fill="214C90" w:themeFill="accent1"/>
      </w:tcPr>
    </w:tblStylePr>
    <w:tblStylePr w:type="lastRow">
      <w:rPr>
        <w:b/>
        <w:bCs/>
      </w:rPr>
      <w:tblPr/>
      <w:tcPr>
        <w:tcBorders>
          <w:top w:val="double" w:sz="4" w:space="0" w:color="5C8CD9" w:themeColor="accent1" w:themeTint="99"/>
        </w:tcBorders>
      </w:tcPr>
    </w:tblStylePr>
    <w:tblStylePr w:type="firstCol">
      <w:rPr>
        <w:b/>
        <w:bCs/>
      </w:rPr>
    </w:tblStylePr>
    <w:tblStylePr w:type="lastCol">
      <w:rPr>
        <w:b/>
        <w:bCs/>
      </w:rPr>
    </w:tblStylePr>
    <w:tblStylePr w:type="band1Vert">
      <w:tblPr/>
      <w:tcPr>
        <w:shd w:val="clear" w:color="auto" w:fill="C8D8F2" w:themeFill="accent1" w:themeFillTint="33"/>
      </w:tcPr>
    </w:tblStylePr>
    <w:tblStylePr w:type="band1Horz">
      <w:tblPr/>
      <w:tcPr>
        <w:shd w:val="clear" w:color="auto" w:fill="C8D8F2" w:themeFill="accent1" w:themeFillTint="33"/>
      </w:tcPr>
    </w:tblStylePr>
  </w:style>
  <w:style w:type="character" w:customStyle="1" w:styleId="med11">
    <w:name w:val="med11"/>
    <w:basedOn w:val="DefaultParagraphFont"/>
    <w:rsid w:val="00742868"/>
    <w:rPr>
      <w:sz w:val="18"/>
      <w:szCs w:val="18"/>
    </w:rPr>
  </w:style>
  <w:style w:type="paragraph" w:customStyle="1" w:styleId="paragraph">
    <w:name w:val="paragraph"/>
    <w:basedOn w:val="Normal"/>
    <w:rsid w:val="00797E66"/>
    <w:pPr>
      <w:spacing w:before="100" w:beforeAutospacing="1" w:after="100" w:afterAutospacing="1" w:line="240" w:lineRule="auto"/>
    </w:pPr>
    <w:rPr>
      <w:rFonts w:ascii="Times New Roman" w:hAnsi="Times New Roman"/>
      <w:sz w:val="24"/>
      <w:szCs w:val="24"/>
    </w:rPr>
  </w:style>
  <w:style w:type="paragraph" w:customStyle="1" w:styleId="paragraphsub">
    <w:name w:val="paragraphsub"/>
    <w:basedOn w:val="Normal"/>
    <w:rsid w:val="00797E66"/>
    <w:pPr>
      <w:spacing w:before="100" w:beforeAutospacing="1" w:after="100" w:afterAutospacing="1" w:line="240" w:lineRule="auto"/>
    </w:pPr>
    <w:rPr>
      <w:rFonts w:ascii="Times New Roman" w:hAnsi="Times New Roman"/>
      <w:sz w:val="24"/>
      <w:szCs w:val="24"/>
    </w:rPr>
  </w:style>
  <w:style w:type="paragraph" w:customStyle="1" w:styleId="subsection">
    <w:name w:val="subsection"/>
    <w:basedOn w:val="Normal"/>
    <w:rsid w:val="006F250E"/>
    <w:pPr>
      <w:spacing w:before="100" w:beforeAutospacing="1" w:after="100" w:afterAutospacing="1" w:line="240" w:lineRule="auto"/>
    </w:pPr>
    <w:rPr>
      <w:rFonts w:ascii="Times New Roman" w:hAnsi="Times New Roman"/>
      <w:sz w:val="24"/>
      <w:szCs w:val="24"/>
    </w:rPr>
  </w:style>
  <w:style w:type="numbering" w:customStyle="1" w:styleId="KeyPoints">
    <w:name w:val="Key Points"/>
    <w:basedOn w:val="NoList"/>
    <w:uiPriority w:val="99"/>
    <w:rsid w:val="006F250E"/>
    <w:pPr>
      <w:numPr>
        <w:numId w:val="10"/>
      </w:numPr>
    </w:pPr>
  </w:style>
  <w:style w:type="paragraph" w:customStyle="1" w:styleId="subsectionhead">
    <w:name w:val="subsectionhead"/>
    <w:basedOn w:val="Normal"/>
    <w:rsid w:val="00153551"/>
    <w:pPr>
      <w:spacing w:before="100" w:beforeAutospacing="1" w:after="100" w:afterAutospacing="1" w:line="240" w:lineRule="auto"/>
    </w:pPr>
    <w:rPr>
      <w:rFonts w:ascii="Times New Roman" w:hAnsi="Times New Roman"/>
      <w:sz w:val="24"/>
      <w:szCs w:val="24"/>
    </w:rPr>
  </w:style>
  <w:style w:type="paragraph" w:customStyle="1" w:styleId="indenta-p">
    <w:name w:val="indenta-p"/>
    <w:basedOn w:val="Normal"/>
    <w:rsid w:val="00153551"/>
    <w:pPr>
      <w:spacing w:before="100" w:beforeAutospacing="1" w:after="100" w:afterAutospacing="1" w:line="240" w:lineRule="auto"/>
    </w:pPr>
    <w:rPr>
      <w:rFonts w:ascii="Times New Roman" w:eastAsiaTheme="minorHAnsi" w:hAnsi="Times New Roman"/>
      <w:sz w:val="24"/>
      <w:szCs w:val="24"/>
    </w:rPr>
  </w:style>
  <w:style w:type="character" w:customStyle="1" w:styleId="indenta-h">
    <w:name w:val="indenta-h"/>
    <w:basedOn w:val="DefaultParagraphFont"/>
    <w:rsid w:val="00153551"/>
  </w:style>
  <w:style w:type="character" w:customStyle="1" w:styleId="charsectno">
    <w:name w:val="charsectno"/>
    <w:basedOn w:val="DefaultParagraphFont"/>
    <w:rsid w:val="00DC48D1"/>
  </w:style>
  <w:style w:type="paragraph" w:customStyle="1" w:styleId="acthead5">
    <w:name w:val="acthead5"/>
    <w:basedOn w:val="Normal"/>
    <w:rsid w:val="00DC48D1"/>
    <w:pPr>
      <w:spacing w:before="100" w:beforeAutospacing="1" w:after="100" w:afterAutospacing="1" w:line="240" w:lineRule="auto"/>
    </w:pPr>
    <w:rPr>
      <w:rFonts w:ascii="Times New Roman" w:hAnsi="Times New Roman"/>
      <w:sz w:val="24"/>
      <w:szCs w:val="24"/>
    </w:rPr>
  </w:style>
  <w:style w:type="character" w:customStyle="1" w:styleId="sectionlabel">
    <w:name w:val="sectionlabel"/>
    <w:basedOn w:val="DefaultParagraphFont"/>
    <w:rsid w:val="007E1D14"/>
    <w:rPr>
      <w:b/>
      <w:bCs/>
      <w:color w:val="000000"/>
    </w:rPr>
  </w:style>
  <w:style w:type="character" w:customStyle="1" w:styleId="lawlabel2">
    <w:name w:val="lawlabel2"/>
    <w:basedOn w:val="DefaultParagraphFont"/>
    <w:rsid w:val="007E1D14"/>
    <w:rPr>
      <w:b/>
      <w:bCs/>
      <w:color w:val="000000"/>
    </w:rPr>
  </w:style>
  <w:style w:type="paragraph" w:customStyle="1" w:styleId="CM3">
    <w:name w:val="CM3"/>
    <w:basedOn w:val="Default"/>
    <w:next w:val="Default"/>
    <w:uiPriority w:val="99"/>
    <w:rsid w:val="003258F0"/>
    <w:pPr>
      <w:spacing w:line="280" w:lineRule="atLeast"/>
    </w:pPr>
    <w:rPr>
      <w:rFonts w:ascii="Myriad Pro" w:eastAsia="Times New Roman" w:hAnsi="Myriad Pro" w:cs="Times New Roman"/>
      <w:color w:val="auto"/>
    </w:rPr>
  </w:style>
  <w:style w:type="paragraph" w:customStyle="1" w:styleId="Footerclassification">
    <w:name w:val="Footer classification"/>
    <w:basedOn w:val="Normal"/>
    <w:rsid w:val="00D5384A"/>
    <w:pPr>
      <w:tabs>
        <w:tab w:val="center" w:pos="4536"/>
        <w:tab w:val="center" w:pos="4819"/>
        <w:tab w:val="right" w:pos="9356"/>
      </w:tabs>
      <w:spacing w:before="240" w:line="276" w:lineRule="auto"/>
      <w:jc w:val="center"/>
    </w:pPr>
    <w:rPr>
      <w:rFonts w:cs="Arial"/>
      <w:color w:val="FF0000"/>
      <w:sz w:val="28"/>
      <w:szCs w:val="28"/>
    </w:rPr>
  </w:style>
  <w:style w:type="paragraph" w:customStyle="1" w:styleId="Tabletext">
    <w:name w:val="Table text"/>
    <w:basedOn w:val="Normal"/>
    <w:link w:val="TabletextChar"/>
    <w:uiPriority w:val="9"/>
    <w:qFormat/>
    <w:rsid w:val="00D5384A"/>
    <w:pPr>
      <w:spacing w:line="276" w:lineRule="auto"/>
    </w:pPr>
    <w:rPr>
      <w:rFonts w:eastAsia="Calibri"/>
      <w:lang w:eastAsia="en-US"/>
    </w:rPr>
  </w:style>
  <w:style w:type="paragraph" w:customStyle="1" w:styleId="Classificationsensitivity">
    <w:name w:val="Classification sensitivity"/>
    <w:basedOn w:val="Normal"/>
    <w:rsid w:val="00D5384A"/>
    <w:pPr>
      <w:tabs>
        <w:tab w:val="center" w:pos="4536"/>
        <w:tab w:val="center" w:pos="4819"/>
        <w:tab w:val="right" w:pos="9356"/>
      </w:tabs>
      <w:spacing w:after="240" w:line="276" w:lineRule="auto"/>
      <w:jc w:val="center"/>
    </w:pPr>
    <w:rPr>
      <w:rFonts w:cs="Arial"/>
      <w:color w:val="FF0000"/>
      <w:szCs w:val="28"/>
    </w:rPr>
  </w:style>
  <w:style w:type="character" w:customStyle="1" w:styleId="Numbered1Char">
    <w:name w:val="Numbered 1 Char"/>
    <w:basedOn w:val="DefaultParagraphFont"/>
    <w:link w:val="Numbered1"/>
    <w:locked/>
    <w:rsid w:val="00BE301F"/>
    <w:rPr>
      <w:sz w:val="24"/>
      <w:szCs w:val="24"/>
    </w:rPr>
  </w:style>
  <w:style w:type="paragraph" w:customStyle="1" w:styleId="Numbered1">
    <w:name w:val="Numbered 1"/>
    <w:basedOn w:val="Normal"/>
    <w:link w:val="Numbered1Char"/>
    <w:qFormat/>
    <w:rsid w:val="00BE301F"/>
    <w:pPr>
      <w:spacing w:after="200" w:line="276" w:lineRule="auto"/>
    </w:pPr>
    <w:rPr>
      <w:rFonts w:asciiTheme="minorHAnsi" w:hAnsiTheme="minorHAnsi"/>
      <w:sz w:val="24"/>
      <w:szCs w:val="24"/>
    </w:rPr>
  </w:style>
  <w:style w:type="paragraph" w:customStyle="1" w:styleId="Footnote">
    <w:name w:val="Footnote"/>
    <w:basedOn w:val="FootnoteText"/>
    <w:link w:val="FootnoteChar"/>
    <w:qFormat/>
    <w:rsid w:val="002634B1"/>
    <w:pPr>
      <w:tabs>
        <w:tab w:val="left" w:pos="720"/>
        <w:tab w:val="left" w:pos="1077"/>
      </w:tabs>
      <w:spacing w:before="0" w:after="0"/>
      <w:ind w:left="720" w:hanging="720"/>
    </w:pPr>
    <w:rPr>
      <w:rFonts w:ascii="Times New Roman" w:eastAsia="MS Mincho" w:hAnsi="Times New Roman" w:cstheme="minorBidi"/>
      <w:sz w:val="20"/>
      <w:lang w:eastAsia="en-US"/>
    </w:rPr>
  </w:style>
  <w:style w:type="character" w:customStyle="1" w:styleId="FootnoteChar">
    <w:name w:val="Footnote Char"/>
    <w:basedOn w:val="FootnoteTextChar"/>
    <w:link w:val="Footnote"/>
    <w:rsid w:val="002634B1"/>
    <w:rPr>
      <w:rFonts w:ascii="Times New Roman" w:eastAsia="MS Mincho" w:hAnsi="Times New Roman" w:cstheme="minorBidi"/>
      <w:sz w:val="20"/>
      <w:szCs w:val="20"/>
      <w:lang w:eastAsia="en-US"/>
    </w:rPr>
  </w:style>
  <w:style w:type="paragraph" w:customStyle="1" w:styleId="AppendixLevel1">
    <w:name w:val="Appendix Level 1"/>
    <w:basedOn w:val="Heading1"/>
    <w:next w:val="Normal"/>
    <w:rsid w:val="007D7FFC"/>
    <w:pPr>
      <w:pageBreakBefore/>
      <w:numPr>
        <w:numId w:val="13"/>
      </w:numPr>
      <w:tabs>
        <w:tab w:val="num" w:pos="360"/>
      </w:tabs>
      <w:spacing w:before="240" w:line="256" w:lineRule="auto"/>
      <w:ind w:left="0" w:right="1134" w:firstLine="0"/>
    </w:pPr>
    <w:rPr>
      <w:rFonts w:ascii="Franklin Gothic Demi Cond" w:eastAsiaTheme="majorEastAsia" w:hAnsi="Franklin Gothic Demi Cond"/>
      <w:b w:val="0"/>
      <w:bCs w:val="0"/>
      <w:color w:val="1C376B"/>
      <w:lang w:eastAsia="en-US"/>
    </w:rPr>
  </w:style>
  <w:style w:type="paragraph" w:customStyle="1" w:styleId="AppendixLevel2">
    <w:name w:val="Appendix Level 2"/>
    <w:basedOn w:val="Heading1"/>
    <w:next w:val="Normal"/>
    <w:rsid w:val="007D7FFC"/>
    <w:pPr>
      <w:numPr>
        <w:ilvl w:val="1"/>
        <w:numId w:val="13"/>
      </w:numPr>
      <w:tabs>
        <w:tab w:val="num" w:pos="360"/>
      </w:tabs>
      <w:spacing w:before="240" w:line="256" w:lineRule="auto"/>
      <w:ind w:left="0" w:firstLine="0"/>
    </w:pPr>
    <w:rPr>
      <w:rFonts w:ascii="Franklin Gothic Demi Cond" w:eastAsiaTheme="majorEastAsia" w:hAnsi="Franklin Gothic Demi Cond"/>
      <w:b w:val="0"/>
      <w:bCs w:val="0"/>
      <w:color w:val="1C376B"/>
      <w:lang w:eastAsia="en-US"/>
    </w:rPr>
  </w:style>
  <w:style w:type="paragraph" w:customStyle="1" w:styleId="AppendixLevel3">
    <w:name w:val="Appendix Level 3"/>
    <w:basedOn w:val="AppendixLevel2"/>
    <w:next w:val="Normal"/>
    <w:qFormat/>
    <w:rsid w:val="007D7FFC"/>
    <w:pPr>
      <w:numPr>
        <w:ilvl w:val="2"/>
      </w:numPr>
      <w:tabs>
        <w:tab w:val="num" w:pos="360"/>
      </w:tabs>
    </w:pPr>
  </w:style>
  <w:style w:type="character" w:customStyle="1" w:styleId="Mention2">
    <w:name w:val="Mention2"/>
    <w:basedOn w:val="DefaultParagraphFont"/>
    <w:uiPriority w:val="99"/>
    <w:semiHidden/>
    <w:unhideWhenUsed/>
    <w:rsid w:val="00C76364"/>
    <w:rPr>
      <w:color w:val="2B579A"/>
      <w:shd w:val="clear" w:color="auto" w:fill="E6E6E6"/>
    </w:rPr>
  </w:style>
  <w:style w:type="paragraph" w:customStyle="1" w:styleId="Pa4">
    <w:name w:val="Pa4"/>
    <w:basedOn w:val="Default"/>
    <w:next w:val="Default"/>
    <w:uiPriority w:val="99"/>
    <w:rsid w:val="006B1D5E"/>
    <w:pPr>
      <w:spacing w:line="161" w:lineRule="atLeast"/>
    </w:pPr>
    <w:rPr>
      <w:rFonts w:ascii="Myriad Pro" w:eastAsia="Times New Roman" w:hAnsi="Myriad Pro" w:cs="Times New Roman"/>
      <w:color w:val="auto"/>
    </w:rPr>
  </w:style>
  <w:style w:type="character" w:customStyle="1" w:styleId="Mention3">
    <w:name w:val="Mention3"/>
    <w:basedOn w:val="DefaultParagraphFont"/>
    <w:uiPriority w:val="99"/>
    <w:semiHidden/>
    <w:unhideWhenUsed/>
    <w:rsid w:val="00581557"/>
    <w:rPr>
      <w:color w:val="2B579A"/>
      <w:shd w:val="clear" w:color="auto" w:fill="E6E6E6"/>
    </w:rPr>
  </w:style>
  <w:style w:type="table" w:customStyle="1" w:styleId="AxiomAgendaMinutes">
    <w:name w:val="Axiom Agenda/Minutes"/>
    <w:basedOn w:val="TableNormal"/>
    <w:uiPriority w:val="99"/>
    <w:rsid w:val="00906A08"/>
    <w:pPr>
      <w:spacing w:line="240" w:lineRule="auto"/>
    </w:pPr>
    <w:tblPr>
      <w:tblBorders>
        <w:top w:val="single" w:sz="4" w:space="0" w:color="auto"/>
        <w:bottom w:val="single" w:sz="4" w:space="0" w:color="auto"/>
        <w:insideV w:val="single" w:sz="4" w:space="0" w:color="auto"/>
      </w:tblBorders>
      <w:tblCellMar>
        <w:top w:w="57" w:type="dxa"/>
        <w:left w:w="45" w:type="dxa"/>
        <w:bottom w:w="57" w:type="dxa"/>
        <w:right w:w="45" w:type="dxa"/>
      </w:tblCellMar>
    </w:tblPr>
    <w:tblStylePr w:type="firstRow">
      <w:tblPr/>
      <w:trPr>
        <w:cantSplit/>
        <w:tblHeader/>
      </w:trPr>
      <w:tcPr>
        <w:tcBorders>
          <w:top w:val="single" w:sz="4" w:space="0" w:color="auto"/>
          <w:left w:val="nil"/>
          <w:bottom w:val="single" w:sz="4" w:space="0" w:color="auto"/>
          <w:right w:val="nil"/>
          <w:insideH w:val="nil"/>
          <w:insideV w:val="single" w:sz="4" w:space="0" w:color="auto"/>
          <w:tl2br w:val="nil"/>
          <w:tr2bl w:val="nil"/>
        </w:tcBorders>
      </w:tcPr>
    </w:tblStylePr>
  </w:style>
  <w:style w:type="paragraph" w:customStyle="1" w:styleId="Bullet1a">
    <w:name w:val="Bullet 1a"/>
    <w:basedOn w:val="ListBullet"/>
    <w:link w:val="Bullet1aChar"/>
    <w:qFormat/>
    <w:rsid w:val="00A82787"/>
    <w:pPr>
      <w:numPr>
        <w:numId w:val="0"/>
      </w:numPr>
      <w:ind w:left="2268" w:hanging="2268"/>
    </w:pPr>
  </w:style>
  <w:style w:type="character" w:customStyle="1" w:styleId="Bullet1aChar">
    <w:name w:val="Bullet 1a Char"/>
    <w:basedOn w:val="ListBulletChar"/>
    <w:link w:val="Bullet1a"/>
    <w:rsid w:val="00A82787"/>
    <w:rPr>
      <w:rFonts w:ascii="Arial" w:eastAsiaTheme="minorHAnsi" w:hAnsi="Arial" w:cs="Arial"/>
    </w:rPr>
  </w:style>
  <w:style w:type="paragraph" w:customStyle="1" w:styleId="Bullet2a0">
    <w:name w:val="Bullet 2a"/>
    <w:basedOn w:val="ListBullet2"/>
    <w:link w:val="Bullet2aChar0"/>
    <w:qFormat/>
    <w:rsid w:val="009E1889"/>
    <w:pPr>
      <w:numPr>
        <w:numId w:val="0"/>
      </w:numPr>
      <w:ind w:left="851" w:hanging="851"/>
    </w:pPr>
  </w:style>
  <w:style w:type="character" w:customStyle="1" w:styleId="Bullet2aChar0">
    <w:name w:val="Bullet 2a Char"/>
    <w:basedOn w:val="DefaultParagraphFont"/>
    <w:link w:val="Bullet2a0"/>
    <w:rsid w:val="009E1889"/>
    <w:rPr>
      <w:rFonts w:ascii="Arial" w:hAnsi="Arial" w:cs="Arial"/>
    </w:rPr>
  </w:style>
  <w:style w:type="character" w:customStyle="1" w:styleId="UnresolvedMention1">
    <w:name w:val="Unresolved Mention1"/>
    <w:basedOn w:val="DefaultParagraphFont"/>
    <w:uiPriority w:val="99"/>
    <w:semiHidden/>
    <w:unhideWhenUsed/>
    <w:rsid w:val="00616B0F"/>
    <w:rPr>
      <w:color w:val="808080"/>
      <w:shd w:val="clear" w:color="auto" w:fill="E6E6E6"/>
    </w:rPr>
  </w:style>
  <w:style w:type="paragraph" w:customStyle="1" w:styleId="AERbulletlistfirststyle">
    <w:name w:val="AER bullet list (first style)"/>
    <w:basedOn w:val="ListBullet"/>
    <w:uiPriority w:val="99"/>
    <w:qFormat/>
    <w:rsid w:val="00D128A9"/>
    <w:pPr>
      <w:numPr>
        <w:numId w:val="15"/>
      </w:numPr>
      <w:tabs>
        <w:tab w:val="left" w:pos="340"/>
      </w:tabs>
      <w:spacing w:after="0" w:line="276" w:lineRule="auto"/>
    </w:pPr>
    <w:rPr>
      <w:lang w:eastAsia="en-US"/>
    </w:rPr>
  </w:style>
  <w:style w:type="character" w:customStyle="1" w:styleId="None">
    <w:name w:val="None"/>
    <w:rsid w:val="00BB42E0"/>
  </w:style>
  <w:style w:type="paragraph" w:customStyle="1" w:styleId="Bullet2b0">
    <w:name w:val="Bullet 2b"/>
    <w:basedOn w:val="ListBullet2"/>
    <w:link w:val="Bullet2bChar0"/>
    <w:qFormat/>
    <w:rsid w:val="00B13F44"/>
    <w:pPr>
      <w:spacing w:line="240" w:lineRule="auto"/>
    </w:pPr>
    <w:rPr>
      <w:rFonts w:eastAsiaTheme="majorEastAsia"/>
      <w:sz w:val="21"/>
      <w:szCs w:val="21"/>
    </w:rPr>
  </w:style>
  <w:style w:type="character" w:customStyle="1" w:styleId="Bullet2bChar0">
    <w:name w:val="Bullet 2b Char"/>
    <w:basedOn w:val="ListBullet2Char"/>
    <w:link w:val="Bullet2b0"/>
    <w:rsid w:val="00B13F44"/>
    <w:rPr>
      <w:rFonts w:ascii="Arial" w:eastAsiaTheme="majorEastAsia" w:hAnsi="Arial" w:cs="Arial"/>
      <w:sz w:val="21"/>
      <w:szCs w:val="21"/>
    </w:rPr>
  </w:style>
  <w:style w:type="paragraph" w:customStyle="1" w:styleId="Footnotes">
    <w:name w:val="Footnotes"/>
    <w:basedOn w:val="Normal"/>
    <w:rsid w:val="00C34E9D"/>
    <w:pPr>
      <w:tabs>
        <w:tab w:val="num" w:pos="425"/>
      </w:tabs>
      <w:spacing w:before="180" w:after="180" w:line="240" w:lineRule="auto"/>
      <w:ind w:left="425" w:hanging="425"/>
      <w:contextualSpacing/>
    </w:pPr>
    <w:rPr>
      <w:rFonts w:cs="Arial"/>
      <w:sz w:val="18"/>
      <w:szCs w:val="20"/>
    </w:rPr>
  </w:style>
  <w:style w:type="paragraph" w:styleId="TOC5">
    <w:name w:val="toc 5"/>
    <w:basedOn w:val="Normal"/>
    <w:next w:val="Normal"/>
    <w:autoRedefine/>
    <w:semiHidden/>
    <w:unhideWhenUsed/>
    <w:rsid w:val="00C34E9D"/>
    <w:pPr>
      <w:tabs>
        <w:tab w:val="right" w:leader="dot" w:pos="9015"/>
      </w:tabs>
      <w:spacing w:before="120" w:after="80"/>
    </w:pPr>
    <w:rPr>
      <w:rFonts w:asciiTheme="minorHAnsi" w:hAnsiTheme="minorHAnsi"/>
    </w:rPr>
  </w:style>
  <w:style w:type="paragraph" w:styleId="NoteHeading">
    <w:name w:val="Note Heading"/>
    <w:basedOn w:val="Normal"/>
    <w:next w:val="Normal"/>
    <w:link w:val="NoteHeadingChar"/>
    <w:semiHidden/>
    <w:unhideWhenUsed/>
    <w:rsid w:val="00C34E9D"/>
    <w:pPr>
      <w:spacing w:line="240" w:lineRule="auto"/>
    </w:pPr>
    <w:rPr>
      <w:rFonts w:asciiTheme="minorHAnsi" w:hAnsiTheme="minorHAnsi"/>
    </w:rPr>
  </w:style>
  <w:style w:type="character" w:customStyle="1" w:styleId="NoteHeadingChar">
    <w:name w:val="Note Heading Char"/>
    <w:basedOn w:val="DefaultParagraphFont"/>
    <w:link w:val="NoteHeading"/>
    <w:semiHidden/>
    <w:rsid w:val="00C34E9D"/>
  </w:style>
  <w:style w:type="paragraph" w:styleId="DocumentMap">
    <w:name w:val="Document Map"/>
    <w:basedOn w:val="Normal"/>
    <w:link w:val="DocumentMapChar"/>
    <w:uiPriority w:val="39"/>
    <w:semiHidden/>
    <w:unhideWhenUsed/>
    <w:rsid w:val="00C34E9D"/>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C34E9D"/>
    <w:rPr>
      <w:rFonts w:ascii="Segoe UI" w:hAnsi="Segoe UI" w:cs="Segoe UI"/>
      <w:sz w:val="16"/>
      <w:szCs w:val="16"/>
    </w:rPr>
  </w:style>
  <w:style w:type="paragraph" w:styleId="BodyText3">
    <w:name w:val="Body Text 3"/>
    <w:basedOn w:val="Normal"/>
    <w:link w:val="BodyText3Char"/>
    <w:semiHidden/>
    <w:unhideWhenUsed/>
    <w:rsid w:val="00732ECD"/>
    <w:pPr>
      <w:spacing w:after="120"/>
    </w:pPr>
    <w:rPr>
      <w:sz w:val="16"/>
      <w:szCs w:val="16"/>
    </w:rPr>
  </w:style>
  <w:style w:type="character" w:customStyle="1" w:styleId="BodyText3Char">
    <w:name w:val="Body Text 3 Char"/>
    <w:basedOn w:val="DefaultParagraphFont"/>
    <w:link w:val="BodyText3"/>
    <w:uiPriority w:val="4"/>
    <w:semiHidden/>
    <w:rsid w:val="00732ECD"/>
    <w:rPr>
      <w:rFonts w:ascii="Arial" w:hAnsi="Arial"/>
      <w:sz w:val="16"/>
      <w:szCs w:val="16"/>
    </w:rPr>
  </w:style>
  <w:style w:type="table" w:styleId="DarkList-Accent1">
    <w:name w:val="Dark List Accent 1"/>
    <w:basedOn w:val="TableNormal"/>
    <w:uiPriority w:val="70"/>
    <w:rsid w:val="004154A3"/>
    <w:pPr>
      <w:spacing w:line="240" w:lineRule="auto"/>
    </w:pPr>
    <w:rPr>
      <w:rFonts w:ascii="Times New Roman" w:hAnsi="Times New Roman"/>
      <w:color w:val="FFFFFF" w:themeColor="background1"/>
      <w:sz w:val="20"/>
      <w:szCs w:val="20"/>
      <w:lang w:val="en-US" w:eastAsia="zh-CN"/>
    </w:rPr>
    <w:tblPr>
      <w:tblStyleRowBandSize w:val="1"/>
      <w:tblStyleColBandSize w:val="1"/>
    </w:tblPr>
    <w:tcPr>
      <w:shd w:val="clear" w:color="auto" w:fill="214C9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254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386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386B" w:themeFill="accent1" w:themeFillShade="BF"/>
      </w:tcPr>
    </w:tblStylePr>
    <w:tblStylePr w:type="band1Vert">
      <w:tblPr/>
      <w:tcPr>
        <w:tcBorders>
          <w:top w:val="nil"/>
          <w:left w:val="nil"/>
          <w:bottom w:val="nil"/>
          <w:right w:val="nil"/>
          <w:insideH w:val="nil"/>
          <w:insideV w:val="nil"/>
        </w:tcBorders>
        <w:shd w:val="clear" w:color="auto" w:fill="18386B" w:themeFill="accent1" w:themeFillShade="BF"/>
      </w:tcPr>
    </w:tblStylePr>
    <w:tblStylePr w:type="band1Horz">
      <w:tblPr/>
      <w:tcPr>
        <w:tcBorders>
          <w:top w:val="nil"/>
          <w:left w:val="nil"/>
          <w:bottom w:val="nil"/>
          <w:right w:val="nil"/>
          <w:insideH w:val="nil"/>
          <w:insideV w:val="nil"/>
        </w:tcBorders>
        <w:shd w:val="clear" w:color="auto" w:fill="18386B" w:themeFill="accent1" w:themeFillShade="BF"/>
      </w:tcPr>
    </w:tblStylePr>
  </w:style>
  <w:style w:type="table" w:customStyle="1" w:styleId="NERATable">
    <w:name w:val="NERA Table"/>
    <w:basedOn w:val="TableNormal"/>
    <w:uiPriority w:val="99"/>
    <w:rsid w:val="004154A3"/>
    <w:pPr>
      <w:spacing w:line="240" w:lineRule="auto"/>
    </w:pPr>
    <w:rPr>
      <w:rFonts w:ascii="Times New Roman" w:eastAsia="MS Mincho" w:hAnsi="Times New Roman"/>
      <w:sz w:val="20"/>
      <w:szCs w:val="20"/>
      <w:lang w:val="en-US" w:eastAsia="zh-CN"/>
    </w:rPr>
    <w:tblPr>
      <w:jc w:val="center"/>
    </w:tblPr>
    <w:trPr>
      <w:jc w:val="center"/>
    </w:trPr>
    <w:tblStylePr w:type="firstRow">
      <w:pPr>
        <w:wordWrap/>
        <w:spacing w:afterLines="0" w:after="60" w:afterAutospacing="0"/>
      </w:pPr>
      <w:rPr>
        <w:b/>
      </w:rPr>
      <w:tblPr/>
      <w:tcPr>
        <w:tcBorders>
          <w:bottom w:val="single" w:sz="4" w:space="0" w:color="auto"/>
        </w:tcBorders>
      </w:tcPr>
    </w:tblStylePr>
    <w:tblStylePr w:type="lastRow">
      <w:tblPr/>
      <w:tcPr>
        <w:tcBorders>
          <w:bottom w:val="single" w:sz="4" w:space="0" w:color="auto"/>
        </w:tcBorders>
      </w:tcPr>
    </w:tblStylePr>
    <w:tblStylePr w:type="firstCol">
      <w:rPr>
        <w:b w:val="0"/>
      </w:rPr>
      <w:tblPr/>
      <w:tcPr>
        <w:tcBorders>
          <w:top w:val="nil"/>
          <w:left w:val="nil"/>
          <w:bottom w:val="nil"/>
          <w:right w:val="nil"/>
          <w:insideH w:val="nil"/>
          <w:insideV w:val="nil"/>
          <w:tl2br w:val="nil"/>
          <w:tr2bl w:val="nil"/>
        </w:tcBorders>
      </w:tcPr>
    </w:tblStylePr>
  </w:style>
  <w:style w:type="paragraph" w:customStyle="1" w:styleId="Exhibit">
    <w:name w:val="Exhibit"/>
    <w:basedOn w:val="Normal"/>
    <w:next w:val="Normal"/>
    <w:qFormat/>
    <w:rsid w:val="00A94C5D"/>
    <w:pPr>
      <w:keepLines/>
      <w:numPr>
        <w:numId w:val="16"/>
      </w:numPr>
      <w:spacing w:after="260" w:line="240" w:lineRule="auto"/>
    </w:pPr>
    <w:rPr>
      <w:rFonts w:asciiTheme="minorHAnsi" w:eastAsiaTheme="minorEastAsia" w:hAnsiTheme="minorHAnsi" w:cstheme="minorBidi"/>
      <w:i/>
      <w:sz w:val="24"/>
      <w:szCs w:val="24"/>
      <w:lang w:val="en-GB" w:eastAsia="ja-JP"/>
    </w:rPr>
  </w:style>
  <w:style w:type="numbering" w:customStyle="1" w:styleId="HeadingsList">
    <w:name w:val="Headings List"/>
    <w:uiPriority w:val="99"/>
    <w:rsid w:val="00735C04"/>
    <w:pPr>
      <w:numPr>
        <w:numId w:val="17"/>
      </w:numPr>
    </w:pPr>
  </w:style>
  <w:style w:type="character" w:customStyle="1" w:styleId="UnresolvedMention2">
    <w:name w:val="Unresolved Mention2"/>
    <w:basedOn w:val="DefaultParagraphFont"/>
    <w:uiPriority w:val="99"/>
    <w:semiHidden/>
    <w:unhideWhenUsed/>
    <w:rsid w:val="008F3C8D"/>
    <w:rPr>
      <w:color w:val="808080"/>
      <w:shd w:val="clear" w:color="auto" w:fill="E6E6E6"/>
    </w:rPr>
  </w:style>
  <w:style w:type="paragraph" w:customStyle="1" w:styleId="Bullet1">
    <w:name w:val="Bullet 1"/>
    <w:basedOn w:val="ListParagraph"/>
    <w:link w:val="Bullet1Char"/>
    <w:qFormat/>
    <w:rsid w:val="00525115"/>
    <w:pPr>
      <w:numPr>
        <w:numId w:val="18"/>
      </w:numPr>
      <w:spacing w:after="240" w:line="276" w:lineRule="auto"/>
      <w:ind w:left="357" w:hanging="357"/>
      <w:contextualSpacing w:val="0"/>
      <w:jc w:val="both"/>
    </w:pPr>
    <w:rPr>
      <w:rFonts w:ascii="Times New Roman" w:eastAsia="MS Mincho" w:hAnsi="Times New Roman"/>
      <w:sz w:val="24"/>
      <w:szCs w:val="20"/>
      <w:lang w:val="en-GB" w:eastAsia="ja-JP"/>
    </w:rPr>
  </w:style>
  <w:style w:type="character" w:customStyle="1" w:styleId="Bullet1Char">
    <w:name w:val="Bullet 1 Char"/>
    <w:basedOn w:val="ListParagraphChar"/>
    <w:link w:val="Bullet1"/>
    <w:rsid w:val="00525115"/>
    <w:rPr>
      <w:rFonts w:ascii="Times New Roman" w:eastAsia="MS Mincho" w:hAnsi="Times New Roman"/>
      <w:sz w:val="24"/>
      <w:szCs w:val="20"/>
      <w:lang w:val="en-GB" w:eastAsia="ja-JP"/>
    </w:rPr>
  </w:style>
  <w:style w:type="character" w:customStyle="1" w:styleId="CaptionChar">
    <w:name w:val="Caption Char"/>
    <w:basedOn w:val="DefaultParagraphFont"/>
    <w:link w:val="Caption"/>
    <w:rsid w:val="00525115"/>
    <w:rPr>
      <w:rFonts w:ascii="Arial" w:eastAsiaTheme="minorHAnsi" w:hAnsi="Arial" w:cstheme="minorBidi"/>
      <w:b/>
      <w:bCs/>
      <w:lang w:eastAsia="fr-CA"/>
    </w:rPr>
  </w:style>
  <w:style w:type="paragraph" w:customStyle="1" w:styleId="ListBullets">
    <w:name w:val="List Bullets"/>
    <w:basedOn w:val="List"/>
    <w:link w:val="ListBulletsChar"/>
    <w:rsid w:val="00525115"/>
    <w:pPr>
      <w:widowControl w:val="0"/>
      <w:numPr>
        <w:numId w:val="19"/>
      </w:numPr>
      <w:autoSpaceDE w:val="0"/>
      <w:autoSpaceDN w:val="0"/>
      <w:adjustRightInd w:val="0"/>
      <w:spacing w:after="240" w:line="240" w:lineRule="auto"/>
      <w:contextualSpacing w:val="0"/>
      <w:textboxTightWrap w:val="allLines"/>
    </w:pPr>
    <w:rPr>
      <w:rFonts w:ascii="Times New Roman" w:hAnsi="Times New Roman"/>
      <w:sz w:val="24"/>
      <w:szCs w:val="24"/>
      <w:lang w:eastAsia="en-US"/>
    </w:rPr>
  </w:style>
  <w:style w:type="character" w:customStyle="1" w:styleId="ListBulletsChar">
    <w:name w:val="List Bullets Char"/>
    <w:basedOn w:val="DefaultParagraphFont"/>
    <w:link w:val="ListBullets"/>
    <w:rsid w:val="00525115"/>
    <w:rPr>
      <w:rFonts w:ascii="Times New Roman" w:hAnsi="Times New Roman"/>
      <w:sz w:val="24"/>
      <w:szCs w:val="24"/>
      <w:lang w:eastAsia="en-US"/>
    </w:rPr>
  </w:style>
  <w:style w:type="paragraph" w:styleId="List">
    <w:name w:val="List"/>
    <w:basedOn w:val="Normal"/>
    <w:semiHidden/>
    <w:unhideWhenUsed/>
    <w:rsid w:val="00525115"/>
    <w:pPr>
      <w:ind w:left="283" w:hanging="283"/>
      <w:contextualSpacing/>
    </w:pPr>
  </w:style>
  <w:style w:type="paragraph" w:customStyle="1" w:styleId="CEGBodyText">
    <w:name w:val="CEG Body Text"/>
    <w:link w:val="CEGBodyTextChar"/>
    <w:uiPriority w:val="99"/>
    <w:rsid w:val="00520E6B"/>
    <w:pPr>
      <w:tabs>
        <w:tab w:val="num" w:pos="643"/>
      </w:tabs>
      <w:spacing w:before="200" w:after="200" w:line="276" w:lineRule="auto"/>
      <w:ind w:left="643" w:hanging="360"/>
      <w:jc w:val="both"/>
    </w:pPr>
    <w:rPr>
      <w:rFonts w:ascii="Georgia" w:eastAsia="Calibri" w:hAnsi="Georgia" w:cs="Georgia"/>
      <w:lang w:eastAsia="en-US"/>
    </w:rPr>
  </w:style>
  <w:style w:type="character" w:customStyle="1" w:styleId="CEGBodyTextChar">
    <w:name w:val="CEG Body Text Char"/>
    <w:basedOn w:val="DefaultParagraphFont"/>
    <w:link w:val="CEGBodyText"/>
    <w:uiPriority w:val="99"/>
    <w:locked/>
    <w:rsid w:val="00520E6B"/>
    <w:rPr>
      <w:rFonts w:ascii="Georgia" w:eastAsia="Calibri" w:hAnsi="Georgia" w:cs="Georgia"/>
      <w:lang w:eastAsia="en-US"/>
    </w:rPr>
  </w:style>
  <w:style w:type="table" w:customStyle="1" w:styleId="PullOutBoxTable11">
    <w:name w:val="Pull Out Box Table11"/>
    <w:basedOn w:val="TableNormal"/>
    <w:uiPriority w:val="99"/>
    <w:rsid w:val="00907DFD"/>
    <w:pPr>
      <w:spacing w:line="240" w:lineRule="auto"/>
    </w:pPr>
    <w:tblPr>
      <w:tblCellMar>
        <w:top w:w="142" w:type="dxa"/>
        <w:left w:w="170" w:type="dxa"/>
        <w:bottom w:w="142" w:type="dxa"/>
        <w:right w:w="170" w:type="dxa"/>
      </w:tblCellMar>
    </w:tblPr>
    <w:tcPr>
      <w:shd w:val="clear" w:color="auto" w:fill="E1E2E7" w:themeFill="background2"/>
    </w:tcPr>
  </w:style>
  <w:style w:type="table" w:customStyle="1" w:styleId="PullOutBoxTable7">
    <w:name w:val="Pull Out Box Table7"/>
    <w:basedOn w:val="TableNormal"/>
    <w:uiPriority w:val="99"/>
    <w:rsid w:val="0044471D"/>
    <w:pPr>
      <w:spacing w:line="240" w:lineRule="auto"/>
    </w:pPr>
    <w:tblPr>
      <w:tblInd w:w="0" w:type="nil"/>
      <w:tblCellMar>
        <w:top w:w="142" w:type="dxa"/>
        <w:left w:w="170" w:type="dxa"/>
        <w:bottom w:w="142" w:type="dxa"/>
        <w:right w:w="170" w:type="dxa"/>
      </w:tblCellMar>
    </w:tblPr>
    <w:tcPr>
      <w:shd w:val="clear" w:color="auto" w:fill="E1E2E7" w:themeFill="background2"/>
    </w:tcPr>
  </w:style>
  <w:style w:type="table" w:customStyle="1" w:styleId="TableGrid1">
    <w:name w:val="Table Grid1"/>
    <w:basedOn w:val="TableNormal"/>
    <w:uiPriority w:val="59"/>
    <w:rsid w:val="006B5038"/>
    <w:pPr>
      <w:spacing w:before="60" w:after="60"/>
      <w:ind w:left="85" w:right="85"/>
    </w:pPr>
    <w:rPr>
      <w:sz w:val="18"/>
    </w:rPr>
    <w:tblPr>
      <w:tblStyleRowBandSize w:val="1"/>
      <w:tblInd w:w="0" w:type="nil"/>
      <w:tblBorders>
        <w:top w:val="single" w:sz="4" w:space="0" w:color="auto"/>
        <w:bottom w:val="single" w:sz="4" w:space="0" w:color="auto"/>
        <w:insideH w:val="single" w:sz="4" w:space="0" w:color="auto"/>
        <w:insideV w:val="single" w:sz="4" w:space="0" w:color="auto"/>
      </w:tblBorders>
      <w:tblCellMar>
        <w:left w:w="0" w:type="dxa"/>
        <w:right w:w="0" w:type="dxa"/>
      </w:tblCellMar>
    </w:tblPr>
    <w:tblStylePr w:type="firstRow">
      <w:rPr>
        <w:b/>
        <w:color w:val="FFFFFF"/>
      </w:rPr>
      <w:tblPr/>
      <w:tcPr>
        <w:shd w:val="clear" w:color="auto" w:fill="214C90" w:themeFill="text2"/>
      </w:tcPr>
    </w:tblStylePr>
    <w:tblStylePr w:type="band2Horz">
      <w:tblPr/>
      <w:tcPr>
        <w:shd w:val="clear" w:color="auto" w:fill="E1E2E7" w:themeFill="background2"/>
      </w:tcPr>
    </w:tblStylePr>
  </w:style>
  <w:style w:type="character" w:customStyle="1" w:styleId="A11">
    <w:name w:val="A11"/>
    <w:uiPriority w:val="99"/>
    <w:rsid w:val="00BA29CC"/>
    <w:rPr>
      <w:rFonts w:cs="Gotham Light"/>
      <w:color w:val="000000"/>
      <w:sz w:val="20"/>
      <w:szCs w:val="20"/>
    </w:rPr>
  </w:style>
  <w:style w:type="character" w:customStyle="1" w:styleId="A7">
    <w:name w:val="A7"/>
    <w:uiPriority w:val="99"/>
    <w:rsid w:val="00BA29CC"/>
    <w:rPr>
      <w:rFonts w:cs="Gotham Light"/>
      <w:color w:val="000000"/>
      <w:sz w:val="20"/>
      <w:szCs w:val="20"/>
    </w:rPr>
  </w:style>
  <w:style w:type="numbering" w:customStyle="1" w:styleId="TableBulletsMultilevel">
    <w:name w:val="Table Bullets (Multilevel)"/>
    <w:uiPriority w:val="99"/>
    <w:rsid w:val="00C30B80"/>
    <w:pPr>
      <w:numPr>
        <w:numId w:val="23"/>
      </w:numPr>
    </w:pPr>
  </w:style>
  <w:style w:type="paragraph" w:customStyle="1" w:styleId="TableBullet4">
    <w:name w:val="Table Bullet 4"/>
    <w:basedOn w:val="TableBullet3"/>
    <w:uiPriority w:val="31"/>
    <w:semiHidden/>
    <w:unhideWhenUsed/>
    <w:rsid w:val="00C30B80"/>
    <w:pPr>
      <w:numPr>
        <w:ilvl w:val="0"/>
        <w:numId w:val="0"/>
      </w:numPr>
      <w:spacing w:before="40" w:after="40" w:line="240" w:lineRule="auto"/>
      <w:ind w:left="864" w:right="0" w:hanging="216"/>
    </w:pPr>
    <w:rPr>
      <w:rFonts w:asciiTheme="majorHAnsi" w:eastAsiaTheme="minorEastAsia" w:hAnsiTheme="majorHAnsi" w:cstheme="minorBidi"/>
      <w:sz w:val="20"/>
      <w:lang w:val="en-US" w:eastAsia="ja-JP"/>
    </w:rPr>
  </w:style>
  <w:style w:type="paragraph" w:customStyle="1" w:styleId="TableBullet5">
    <w:name w:val="Table Bullet 5"/>
    <w:basedOn w:val="TableBullet4"/>
    <w:uiPriority w:val="31"/>
    <w:semiHidden/>
    <w:unhideWhenUsed/>
    <w:rsid w:val="00C30B80"/>
    <w:pPr>
      <w:ind w:left="1080"/>
    </w:pPr>
  </w:style>
  <w:style w:type="paragraph" w:customStyle="1" w:styleId="TableBullet6">
    <w:name w:val="Table Bullet 6"/>
    <w:basedOn w:val="TableBullet5"/>
    <w:uiPriority w:val="31"/>
    <w:semiHidden/>
    <w:unhideWhenUsed/>
    <w:rsid w:val="00C30B80"/>
    <w:pPr>
      <w:ind w:left="1296"/>
    </w:pPr>
  </w:style>
  <w:style w:type="paragraph" w:customStyle="1" w:styleId="TableBullet7">
    <w:name w:val="Table Bullet 7"/>
    <w:basedOn w:val="TableBullet6"/>
    <w:uiPriority w:val="31"/>
    <w:semiHidden/>
    <w:unhideWhenUsed/>
    <w:rsid w:val="00C30B80"/>
    <w:pPr>
      <w:ind w:left="1512"/>
    </w:pPr>
  </w:style>
  <w:style w:type="paragraph" w:customStyle="1" w:styleId="TableBullet8">
    <w:name w:val="Table Bullet 8"/>
    <w:basedOn w:val="TableBullet7"/>
    <w:uiPriority w:val="31"/>
    <w:semiHidden/>
    <w:unhideWhenUsed/>
    <w:rsid w:val="00C30B80"/>
    <w:pPr>
      <w:ind w:left="1728"/>
    </w:pPr>
  </w:style>
  <w:style w:type="paragraph" w:customStyle="1" w:styleId="TableBullet9">
    <w:name w:val="Table Bullet 9"/>
    <w:basedOn w:val="TableBullet8"/>
    <w:uiPriority w:val="31"/>
    <w:semiHidden/>
    <w:unhideWhenUsed/>
    <w:rsid w:val="00C30B80"/>
    <w:pPr>
      <w:ind w:left="1944"/>
    </w:pPr>
  </w:style>
  <w:style w:type="numbering" w:customStyle="1" w:styleId="BulletsMultilevel">
    <w:name w:val="Bullets (Multilevel)"/>
    <w:uiPriority w:val="99"/>
    <w:rsid w:val="00F86D42"/>
    <w:pPr>
      <w:numPr>
        <w:numId w:val="27"/>
      </w:numPr>
    </w:pPr>
  </w:style>
  <w:style w:type="table" w:customStyle="1" w:styleId="TableGrid2">
    <w:name w:val="Table Grid2"/>
    <w:basedOn w:val="TableNormal"/>
    <w:next w:val="TableGrid"/>
    <w:uiPriority w:val="59"/>
    <w:rsid w:val="00710052"/>
    <w:pPr>
      <w:spacing w:before="60" w:after="60"/>
      <w:ind w:left="85" w:right="85"/>
    </w:pPr>
    <w:rPr>
      <w:sz w:val="18"/>
    </w:rPr>
    <w:tblPr>
      <w:tblStyleRowBandSize w:val="1"/>
      <w:tblBorders>
        <w:top w:val="single" w:sz="4" w:space="0" w:color="auto"/>
        <w:bottom w:val="single" w:sz="4" w:space="0" w:color="auto"/>
        <w:insideH w:val="single" w:sz="4" w:space="0" w:color="auto"/>
        <w:insideV w:val="single" w:sz="4" w:space="0" w:color="auto"/>
      </w:tblBorders>
      <w:tblCellMar>
        <w:left w:w="0" w:type="dxa"/>
        <w:right w:w="0" w:type="dxa"/>
      </w:tblCellMar>
    </w:tblPr>
    <w:tblStylePr w:type="firstRow">
      <w:rPr>
        <w:b/>
        <w:color w:val="FFFFFF"/>
      </w:rPr>
      <w:tblPr/>
      <w:tcPr>
        <w:shd w:val="clear" w:color="auto" w:fill="214C90" w:themeFill="text2"/>
      </w:tcPr>
    </w:tblStylePr>
    <w:tblStylePr w:type="band2Horz">
      <w:tblPr/>
      <w:tcPr>
        <w:shd w:val="clear" w:color="auto" w:fill="E1E2E7" w:themeFill="background2"/>
      </w:tcPr>
    </w:tblStylePr>
  </w:style>
  <w:style w:type="paragraph" w:customStyle="1" w:styleId="EMR-RSR-List-1-UNum">
    <w:name w:val="EMR-RSR-List-1-UNum"/>
    <w:basedOn w:val="Normal"/>
    <w:uiPriority w:val="99"/>
    <w:rsid w:val="00710052"/>
    <w:pPr>
      <w:autoSpaceDE w:val="0"/>
      <w:autoSpaceDN w:val="0"/>
      <w:adjustRightInd w:val="0"/>
      <w:spacing w:before="120" w:after="120" w:line="240" w:lineRule="auto"/>
      <w:ind w:left="1134"/>
      <w:jc w:val="both"/>
    </w:pPr>
    <w:rPr>
      <w:rFonts w:ascii="Times New Roman" w:eastAsiaTheme="minorEastAsia" w:hAnsi="Times New Roman"/>
      <w:color w:val="000000"/>
      <w:sz w:val="24"/>
      <w:szCs w:val="24"/>
    </w:rPr>
  </w:style>
  <w:style w:type="paragraph" w:customStyle="1" w:styleId="Pa29">
    <w:name w:val="Pa29"/>
    <w:basedOn w:val="Default"/>
    <w:next w:val="Default"/>
    <w:uiPriority w:val="99"/>
    <w:rsid w:val="00EC7046"/>
    <w:pPr>
      <w:spacing w:line="201" w:lineRule="atLeast"/>
    </w:pPr>
    <w:rPr>
      <w:rFonts w:ascii="Gotham Light" w:eastAsia="Times New Roman" w:hAnsi="Gotham Light" w:cs="Times New Roman"/>
      <w:color w:val="auto"/>
    </w:rPr>
  </w:style>
  <w:style w:type="paragraph" w:customStyle="1" w:styleId="Listalphabet2">
    <w:name w:val="List alphabet 2"/>
    <w:basedOn w:val="Normal"/>
    <w:rsid w:val="00602EF7"/>
  </w:style>
  <w:style w:type="table" w:styleId="GridTable4-Accent4">
    <w:name w:val="Grid Table 4 Accent 4"/>
    <w:basedOn w:val="TableNormal"/>
    <w:uiPriority w:val="49"/>
    <w:rsid w:val="00A30755"/>
    <w:pPr>
      <w:spacing w:line="240" w:lineRule="auto"/>
    </w:pPr>
    <w:tblPr>
      <w:tblStyleRowBandSize w:val="1"/>
      <w:tblStyleColBandSize w:val="1"/>
      <w:tblBorders>
        <w:top w:val="single" w:sz="4" w:space="0" w:color="CBCACB" w:themeColor="accent4" w:themeTint="99"/>
        <w:left w:val="single" w:sz="4" w:space="0" w:color="CBCACB" w:themeColor="accent4" w:themeTint="99"/>
        <w:bottom w:val="single" w:sz="4" w:space="0" w:color="CBCACB" w:themeColor="accent4" w:themeTint="99"/>
        <w:right w:val="single" w:sz="4" w:space="0" w:color="CBCACB" w:themeColor="accent4" w:themeTint="99"/>
        <w:insideH w:val="single" w:sz="4" w:space="0" w:color="CBCACB" w:themeColor="accent4" w:themeTint="99"/>
        <w:insideV w:val="single" w:sz="4" w:space="0" w:color="CBCACB" w:themeColor="accent4" w:themeTint="99"/>
      </w:tblBorders>
    </w:tblPr>
    <w:tblStylePr w:type="firstRow">
      <w:rPr>
        <w:b/>
        <w:bCs/>
        <w:color w:val="FFFFFF" w:themeColor="background1"/>
      </w:rPr>
      <w:tblPr/>
      <w:tcPr>
        <w:tcBorders>
          <w:top w:val="single" w:sz="4" w:space="0" w:color="A9A8A9" w:themeColor="accent4"/>
          <w:left w:val="single" w:sz="4" w:space="0" w:color="A9A8A9" w:themeColor="accent4"/>
          <w:bottom w:val="single" w:sz="4" w:space="0" w:color="A9A8A9" w:themeColor="accent4"/>
          <w:right w:val="single" w:sz="4" w:space="0" w:color="A9A8A9" w:themeColor="accent4"/>
          <w:insideH w:val="nil"/>
          <w:insideV w:val="nil"/>
        </w:tcBorders>
        <w:shd w:val="clear" w:color="auto" w:fill="A9A8A9" w:themeFill="accent4"/>
      </w:tcPr>
    </w:tblStylePr>
    <w:tblStylePr w:type="lastRow">
      <w:rPr>
        <w:b/>
        <w:bCs/>
      </w:rPr>
      <w:tblPr/>
      <w:tcPr>
        <w:tcBorders>
          <w:top w:val="double" w:sz="4" w:space="0" w:color="A9A8A9" w:themeColor="accent4"/>
        </w:tcBorders>
      </w:tcPr>
    </w:tblStylePr>
    <w:tblStylePr w:type="firstCol">
      <w:rPr>
        <w:b/>
        <w:bCs/>
      </w:rPr>
    </w:tblStylePr>
    <w:tblStylePr w:type="lastCol">
      <w:rPr>
        <w:b/>
        <w:bCs/>
      </w:rPr>
    </w:tblStylePr>
    <w:tblStylePr w:type="band1Vert">
      <w:tblPr/>
      <w:tcPr>
        <w:shd w:val="clear" w:color="auto" w:fill="EDEDED" w:themeFill="accent4" w:themeFillTint="33"/>
      </w:tcPr>
    </w:tblStylePr>
    <w:tblStylePr w:type="band1Horz">
      <w:tblPr/>
      <w:tcPr>
        <w:shd w:val="clear" w:color="auto" w:fill="EDEDED" w:themeFill="accent4" w:themeFillTint="33"/>
      </w:tcPr>
    </w:tblStylePr>
  </w:style>
  <w:style w:type="table" w:styleId="TableGridLight">
    <w:name w:val="Grid Table Light"/>
    <w:basedOn w:val="TableNormal"/>
    <w:uiPriority w:val="40"/>
    <w:rsid w:val="00A3075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ftandRightIndent">
    <w:name w:val="Left and Right Indent"/>
    <w:basedOn w:val="BodyText"/>
    <w:next w:val="BodyText"/>
    <w:uiPriority w:val="25"/>
    <w:qFormat/>
    <w:rsid w:val="007428B3"/>
    <w:pPr>
      <w:tabs>
        <w:tab w:val="clear" w:pos="2268"/>
        <w:tab w:val="clear" w:pos="4536"/>
        <w:tab w:val="clear" w:pos="6804"/>
        <w:tab w:val="clear" w:pos="9638"/>
      </w:tabs>
      <w:spacing w:before="0" w:after="200" w:line="240" w:lineRule="auto"/>
      <w:ind w:left="360" w:right="360"/>
    </w:pPr>
    <w:rPr>
      <w:rFonts w:asciiTheme="minorHAnsi" w:eastAsiaTheme="minorEastAsia" w:hAnsiTheme="minorHAnsi" w:cstheme="minorBidi"/>
      <w:lang w:val="en-US" w:eastAsia="ja-JP"/>
    </w:rPr>
  </w:style>
  <w:style w:type="paragraph" w:customStyle="1" w:styleId="BGNBulletedList">
    <w:name w:val="BGN Bulleted List"/>
    <w:basedOn w:val="Normal"/>
    <w:qFormat/>
    <w:rsid w:val="00CC6D18"/>
    <w:pPr>
      <w:numPr>
        <w:numId w:val="34"/>
      </w:numPr>
      <w:spacing w:line="240" w:lineRule="auto"/>
      <w:ind w:left="1080"/>
      <w:contextualSpacing/>
      <w:jc w:val="both"/>
    </w:pPr>
    <w:rPr>
      <w:rFonts w:ascii="Sylfaen" w:eastAsiaTheme="minorHAnsi" w:hAnsi="Sylfaen" w:cstheme="minorBidi"/>
      <w:color w:val="000000"/>
      <w:sz w:val="23"/>
      <w:szCs w:val="23"/>
      <w:lang w:eastAsia="ja-JP"/>
    </w:rPr>
  </w:style>
  <w:style w:type="numbering" w:customStyle="1" w:styleId="BGNBulletList">
    <w:name w:val="BGN Bullet List"/>
    <w:uiPriority w:val="99"/>
    <w:rsid w:val="00CC6D18"/>
    <w:pPr>
      <w:numPr>
        <w:numId w:val="33"/>
      </w:numPr>
    </w:pPr>
  </w:style>
  <w:style w:type="character" w:customStyle="1" w:styleId="TabletextChar">
    <w:name w:val="Table text Char"/>
    <w:basedOn w:val="DefaultParagraphFont"/>
    <w:link w:val="Tabletext"/>
    <w:uiPriority w:val="1"/>
    <w:rsid w:val="003C0285"/>
    <w:rPr>
      <w:rFonts w:ascii="Arial" w:eastAsia="Calibri" w:hAnsi="Arial"/>
      <w:lang w:eastAsia="en-US"/>
    </w:rPr>
  </w:style>
  <w:style w:type="paragraph" w:customStyle="1" w:styleId="Numbered11">
    <w:name w:val="Numbered 1.1"/>
    <w:basedOn w:val="Heading2"/>
    <w:next w:val="Normal"/>
    <w:qFormat/>
    <w:rsid w:val="003C0285"/>
    <w:pPr>
      <w:keepNext w:val="0"/>
      <w:keepLines w:val="0"/>
      <w:numPr>
        <w:ilvl w:val="0"/>
        <w:numId w:val="0"/>
      </w:numPr>
      <w:tabs>
        <w:tab w:val="left" w:pos="1021"/>
      </w:tabs>
      <w:spacing w:before="200" w:after="0" w:line="240" w:lineRule="atLeast"/>
      <w:ind w:left="680" w:hanging="680"/>
    </w:pPr>
    <w:rPr>
      <w:rFonts w:ascii="Arial" w:hAnsi="Arial" w:cs="Arial"/>
      <w:b w:val="0"/>
      <w:color w:val="214C90" w:themeColor="accent1"/>
      <w:lang w:eastAsia="en-US"/>
    </w:rPr>
  </w:style>
  <w:style w:type="paragraph" w:customStyle="1" w:styleId="Numbered111">
    <w:name w:val="Numbered 1.1.1"/>
    <w:basedOn w:val="Heading3"/>
    <w:next w:val="Normal"/>
    <w:qFormat/>
    <w:rsid w:val="003C0285"/>
    <w:pPr>
      <w:keepNext w:val="0"/>
      <w:keepLines w:val="0"/>
      <w:numPr>
        <w:ilvl w:val="0"/>
        <w:numId w:val="0"/>
      </w:numPr>
      <w:tabs>
        <w:tab w:val="left" w:pos="1361"/>
      </w:tabs>
      <w:spacing w:before="240" w:after="0" w:line="240" w:lineRule="atLeast"/>
      <w:ind w:left="1021" w:hanging="1021"/>
    </w:pPr>
    <w:rPr>
      <w:rFonts w:ascii="Arial" w:hAnsi="Arial"/>
      <w:color w:val="000000" w:themeColor="text1" w:themeShade="BF"/>
      <w:lang w:eastAsia="en-US"/>
    </w:rPr>
  </w:style>
  <w:style w:type="paragraph" w:customStyle="1" w:styleId="Numbered1111">
    <w:name w:val="Numbered 1.1.1.1"/>
    <w:basedOn w:val="Heading4"/>
    <w:next w:val="Normal"/>
    <w:rsid w:val="003C0285"/>
    <w:pPr>
      <w:keepNext w:val="0"/>
      <w:keepLines w:val="0"/>
      <w:numPr>
        <w:ilvl w:val="0"/>
        <w:numId w:val="0"/>
      </w:numPr>
      <w:tabs>
        <w:tab w:val="left" w:pos="1361"/>
      </w:tabs>
      <w:spacing w:before="240" w:after="0" w:line="240" w:lineRule="atLeast"/>
      <w:ind w:left="1361" w:hanging="1361"/>
    </w:pPr>
    <w:rPr>
      <w:rFonts w:ascii="Arial" w:hAnsi="Arial"/>
      <w:color w:val="214C90" w:themeColor="accent1"/>
      <w:sz w:val="24"/>
      <w:lang w:eastAsia="en-US"/>
    </w:rPr>
  </w:style>
  <w:style w:type="paragraph" w:customStyle="1" w:styleId="Numbered111111">
    <w:name w:val="Numbered 1.1.1.1.1.1"/>
    <w:basedOn w:val="Heading6"/>
    <w:next w:val="Normal"/>
    <w:uiPriority w:val="2"/>
    <w:rsid w:val="003C0285"/>
    <w:pPr>
      <w:keepNext w:val="0"/>
      <w:keepLines w:val="0"/>
      <w:tabs>
        <w:tab w:val="left" w:pos="1701"/>
      </w:tabs>
      <w:spacing w:after="0" w:line="240" w:lineRule="atLeast"/>
      <w:ind w:left="1701" w:hanging="1701"/>
    </w:pPr>
    <w:rPr>
      <w:rFonts w:ascii="Arial" w:hAnsi="Arial"/>
      <w:i/>
      <w:color w:val="auto"/>
    </w:rPr>
  </w:style>
  <w:style w:type="paragraph" w:customStyle="1" w:styleId="Tabletitle">
    <w:name w:val="Table title"/>
    <w:basedOn w:val="Normal"/>
    <w:link w:val="TabletitleChar"/>
    <w:qFormat/>
    <w:rsid w:val="003C0285"/>
    <w:pPr>
      <w:keepNext/>
      <w:spacing w:before="240" w:after="120" w:line="240" w:lineRule="atLeast"/>
      <w:ind w:left="1361" w:hanging="1361"/>
    </w:pPr>
    <w:rPr>
      <w:rFonts w:eastAsiaTheme="minorHAnsi" w:cstheme="minorBidi"/>
      <w:b/>
      <w:szCs w:val="20"/>
      <w:lang w:eastAsia="en-US"/>
    </w:rPr>
  </w:style>
  <w:style w:type="character" w:customStyle="1" w:styleId="TabletitleChar">
    <w:name w:val="Table title Char"/>
    <w:basedOn w:val="DefaultParagraphFont"/>
    <w:link w:val="Tabletitle"/>
    <w:rsid w:val="003C0285"/>
    <w:rPr>
      <w:rFonts w:ascii="Arial" w:eastAsiaTheme="minorHAnsi" w:hAnsi="Arial" w:cstheme="minorBidi"/>
      <w:b/>
      <w:szCs w:val="20"/>
      <w:lang w:eastAsia="en-US"/>
    </w:rPr>
  </w:style>
  <w:style w:type="paragraph" w:customStyle="1" w:styleId="Bulletpoint2">
    <w:name w:val="Bullet point 2"/>
    <w:basedOn w:val="ListBullet2"/>
    <w:uiPriority w:val="1"/>
    <w:qFormat/>
    <w:rsid w:val="003C0285"/>
    <w:pPr>
      <w:numPr>
        <w:numId w:val="36"/>
      </w:numPr>
      <w:tabs>
        <w:tab w:val="left" w:pos="680"/>
      </w:tabs>
      <w:spacing w:after="0" w:line="240" w:lineRule="atLeast"/>
    </w:pPr>
    <w:rPr>
      <w:rFonts w:cstheme="minorBidi"/>
      <w:lang w:eastAsia="en-US"/>
    </w:rPr>
  </w:style>
  <w:style w:type="paragraph" w:customStyle="1" w:styleId="Numbered1111111">
    <w:name w:val="Numbered 1.1.1.1.1.1.1"/>
    <w:basedOn w:val="Heading7"/>
    <w:next w:val="Normal"/>
    <w:uiPriority w:val="2"/>
    <w:rsid w:val="003C0285"/>
    <w:pPr>
      <w:keepNext w:val="0"/>
      <w:keepLines w:val="0"/>
      <w:pageBreakBefore w:val="0"/>
      <w:tabs>
        <w:tab w:val="left" w:pos="2041"/>
      </w:tabs>
      <w:spacing w:before="240" w:after="0" w:line="240" w:lineRule="atLeast"/>
      <w:ind w:left="2041" w:hanging="2041"/>
    </w:pPr>
    <w:rPr>
      <w:rFonts w:ascii="Arial" w:hAnsi="Arial"/>
      <w:b w:val="0"/>
      <w:i/>
      <w:color w:val="404040" w:themeColor="text1" w:themeTint="BF"/>
      <w:lang w:eastAsia="en-US"/>
    </w:rPr>
  </w:style>
  <w:style w:type="paragraph" w:customStyle="1" w:styleId="Numbered11111111">
    <w:name w:val="Numbered 1.1.1.1.1.1.1.1"/>
    <w:basedOn w:val="Heading8"/>
    <w:next w:val="Normal"/>
    <w:uiPriority w:val="2"/>
    <w:rsid w:val="003C0285"/>
    <w:pPr>
      <w:keepNext w:val="0"/>
      <w:keepLines w:val="0"/>
      <w:pageBreakBefore w:val="0"/>
      <w:tabs>
        <w:tab w:val="clear" w:pos="9639"/>
        <w:tab w:val="left" w:pos="2041"/>
      </w:tabs>
      <w:spacing w:before="240" w:after="0" w:line="240" w:lineRule="atLeast"/>
      <w:ind w:left="2041" w:hanging="2041"/>
    </w:pPr>
    <w:rPr>
      <w:rFonts w:ascii="Arial" w:hAnsi="Arial"/>
      <w:caps w:val="0"/>
      <w:color w:val="214C90" w:themeColor="accent1"/>
      <w:sz w:val="22"/>
      <w:szCs w:val="20"/>
    </w:rPr>
  </w:style>
  <w:style w:type="table" w:customStyle="1" w:styleId="LightShading1">
    <w:name w:val="Light Shading1"/>
    <w:basedOn w:val="TableNormal"/>
    <w:next w:val="LightShading"/>
    <w:uiPriority w:val="60"/>
    <w:rsid w:val="003C0285"/>
    <w:pPr>
      <w:spacing w:before="120" w:after="120" w:line="240" w:lineRule="auto"/>
    </w:pPr>
    <w:rPr>
      <w:rFonts w:eastAsiaTheme="minorHAnsi" w:cstheme="minorBidi"/>
      <w:color w:val="000000" w:themeColor="text1" w:themeShade="BF"/>
      <w:sz w:val="20"/>
      <w:lang w:eastAsia="en-US"/>
    </w:rPr>
    <w:tblPr>
      <w:tblBorders>
        <w:top w:val="single" w:sz="4" w:space="0" w:color="E1E2E7" w:themeColor="background2"/>
        <w:bottom w:val="single" w:sz="4" w:space="0" w:color="E1E2E7" w:themeColor="background2"/>
        <w:insideH w:val="single" w:sz="4" w:space="0" w:color="E1E2E7"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paragraph" w:customStyle="1" w:styleId="Numbered111111111">
    <w:name w:val="Numbered 1.1.1.1.1.1.1.1.1"/>
    <w:basedOn w:val="Heading9"/>
    <w:next w:val="Normal"/>
    <w:uiPriority w:val="2"/>
    <w:rsid w:val="003C0285"/>
    <w:pPr>
      <w:keepNext w:val="0"/>
      <w:keepLines w:val="0"/>
      <w:pageBreakBefore w:val="0"/>
      <w:numPr>
        <w:numId w:val="0"/>
      </w:numPr>
      <w:tabs>
        <w:tab w:val="left" w:pos="340"/>
        <w:tab w:val="left" w:pos="2381"/>
      </w:tabs>
      <w:spacing w:after="120" w:line="240" w:lineRule="atLeast"/>
      <w:ind w:left="2381" w:hanging="2381"/>
    </w:pPr>
    <w:rPr>
      <w:rFonts w:ascii="Arial" w:eastAsiaTheme="majorEastAsia" w:hAnsi="Arial" w:cstheme="majorBidi"/>
      <w:iCs/>
      <w:color w:val="000000" w:themeColor="text1"/>
      <w:sz w:val="24"/>
      <w:szCs w:val="20"/>
    </w:rPr>
  </w:style>
  <w:style w:type="paragraph" w:customStyle="1" w:styleId="Numberedparagraph">
    <w:name w:val="Numbered paragraph"/>
    <w:basedOn w:val="Normal"/>
    <w:rsid w:val="003C0285"/>
    <w:pPr>
      <w:numPr>
        <w:numId w:val="35"/>
      </w:numPr>
      <w:spacing w:before="200" w:line="240" w:lineRule="atLeast"/>
      <w:ind w:left="680" w:hanging="680"/>
    </w:pPr>
    <w:rPr>
      <w:color w:val="000000" w:themeColor="text1" w:themeShade="BF"/>
      <w:szCs w:val="20"/>
      <w:lang w:eastAsia="en-US"/>
    </w:rPr>
  </w:style>
  <w:style w:type="table" w:styleId="LightShading">
    <w:name w:val="Light Shading"/>
    <w:basedOn w:val="TableNormal"/>
    <w:uiPriority w:val="60"/>
    <w:semiHidden/>
    <w:unhideWhenUsed/>
    <w:rsid w:val="003C0285"/>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Quotationsblue">
    <w:name w:val="Quotations blue"/>
    <w:basedOn w:val="Normal"/>
    <w:qFormat/>
    <w:rsid w:val="00C52F56"/>
    <w:pPr>
      <w:keepLines/>
      <w:suppressAutoHyphens/>
      <w:spacing w:before="120" w:after="120" w:line="260" w:lineRule="atLeast"/>
      <w:ind w:left="425"/>
      <w:jc w:val="both"/>
    </w:pPr>
    <w:rPr>
      <w:rFonts w:ascii="Microsoft Sans Serif" w:hAnsi="Microsoft Sans Serif"/>
      <w:i/>
      <w:iCs/>
      <w:color w:val="09869B"/>
      <w:sz w:val="18"/>
      <w:szCs w:val="20"/>
      <w:lang w:eastAsia="en-US"/>
    </w:rPr>
  </w:style>
  <w:style w:type="paragraph" w:customStyle="1" w:styleId="BGNParagraphNumbering">
    <w:name w:val="BGN Paragraph Numbering"/>
    <w:basedOn w:val="Normal"/>
    <w:qFormat/>
    <w:rsid w:val="000F5B5C"/>
    <w:pPr>
      <w:numPr>
        <w:numId w:val="43"/>
      </w:numPr>
      <w:spacing w:before="160" w:line="240" w:lineRule="auto"/>
      <w:jc w:val="both"/>
    </w:pPr>
    <w:rPr>
      <w:rFonts w:ascii="Sylfaen" w:eastAsiaTheme="minorHAnsi" w:hAnsi="Sylfaen"/>
      <w:color w:val="000000"/>
      <w:sz w:val="23"/>
      <w:szCs w:val="23"/>
      <w:lang w:eastAsia="en-US"/>
    </w:rPr>
  </w:style>
  <w:style w:type="table" w:styleId="LightShading-Accent3">
    <w:name w:val="Light Shading Accent 3"/>
    <w:basedOn w:val="TableNormal"/>
    <w:uiPriority w:val="60"/>
    <w:rsid w:val="005E6448"/>
    <w:pPr>
      <w:spacing w:line="240" w:lineRule="auto"/>
    </w:pPr>
    <w:rPr>
      <w:rFonts w:eastAsiaTheme="minorHAnsi" w:cstheme="minorBidi"/>
      <w:color w:val="40668B" w:themeColor="accent3" w:themeShade="BF"/>
      <w:lang w:eastAsia="en-US"/>
    </w:rPr>
    <w:tblPr>
      <w:tblStyleRowBandSize w:val="1"/>
      <w:tblStyleColBandSize w:val="1"/>
      <w:tblBorders>
        <w:top w:val="single" w:sz="8" w:space="0" w:color="5D89B4" w:themeColor="accent3"/>
        <w:bottom w:val="single" w:sz="8" w:space="0" w:color="5D89B4" w:themeColor="accent3"/>
      </w:tblBorders>
    </w:tblPr>
    <w:tblStylePr w:type="firstRow">
      <w:pPr>
        <w:spacing w:before="0" w:after="0" w:line="240" w:lineRule="auto"/>
      </w:pPr>
      <w:rPr>
        <w:b/>
        <w:bCs/>
      </w:rPr>
      <w:tblPr/>
      <w:tcPr>
        <w:tcBorders>
          <w:top w:val="single" w:sz="8" w:space="0" w:color="5D89B4" w:themeColor="accent3"/>
          <w:left w:val="nil"/>
          <w:bottom w:val="single" w:sz="8" w:space="0" w:color="5D89B4" w:themeColor="accent3"/>
          <w:right w:val="nil"/>
          <w:insideH w:val="nil"/>
          <w:insideV w:val="nil"/>
        </w:tcBorders>
      </w:tcPr>
    </w:tblStylePr>
    <w:tblStylePr w:type="lastRow">
      <w:pPr>
        <w:spacing w:before="0" w:after="0" w:line="240" w:lineRule="auto"/>
      </w:pPr>
      <w:rPr>
        <w:b/>
        <w:bCs/>
      </w:rPr>
      <w:tblPr/>
      <w:tcPr>
        <w:tcBorders>
          <w:top w:val="single" w:sz="8" w:space="0" w:color="5D89B4" w:themeColor="accent3"/>
          <w:left w:val="nil"/>
          <w:bottom w:val="single" w:sz="8" w:space="0" w:color="5D89B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1EC" w:themeFill="accent3" w:themeFillTint="3F"/>
      </w:tcPr>
    </w:tblStylePr>
    <w:tblStylePr w:type="band1Horz">
      <w:tblPr/>
      <w:tcPr>
        <w:tcBorders>
          <w:left w:val="nil"/>
          <w:right w:val="nil"/>
          <w:insideH w:val="nil"/>
          <w:insideV w:val="nil"/>
        </w:tcBorders>
        <w:shd w:val="clear" w:color="auto" w:fill="D6E1EC" w:themeFill="accent3" w:themeFillTint="3F"/>
      </w:tcPr>
    </w:tblStylePr>
  </w:style>
  <w:style w:type="paragraph" w:customStyle="1" w:styleId="bulleta">
    <w:name w:val="bullet a"/>
    <w:basedOn w:val="BodyText"/>
    <w:link w:val="bulletaChar"/>
    <w:qFormat/>
    <w:rsid w:val="00DB4B8C"/>
    <w:pPr>
      <w:numPr>
        <w:numId w:val="56"/>
      </w:numPr>
      <w:spacing w:before="40" w:after="40" w:line="276" w:lineRule="auto"/>
      <w:ind w:left="312" w:right="85" w:hanging="227"/>
    </w:pPr>
    <w:rPr>
      <w:rFonts w:asciiTheme="majorHAnsi" w:eastAsia="Calibri" w:hAnsiTheme="majorHAnsi" w:cstheme="majorHAnsi"/>
      <w:sz w:val="16"/>
      <w:szCs w:val="16"/>
    </w:rPr>
  </w:style>
  <w:style w:type="character" w:customStyle="1" w:styleId="bulletaChar">
    <w:name w:val="bullet a Char"/>
    <w:basedOn w:val="BodyTextChar"/>
    <w:link w:val="bulleta"/>
    <w:rsid w:val="00DB4B8C"/>
    <w:rPr>
      <w:rFonts w:asciiTheme="majorHAnsi" w:eastAsia="Calibri" w:hAnsiTheme="majorHAnsi" w:cstheme="majorHAnsi"/>
      <w:sz w:val="16"/>
      <w:szCs w:val="16"/>
    </w:rPr>
  </w:style>
  <w:style w:type="table" w:customStyle="1" w:styleId="ListTable4-Accent11">
    <w:name w:val="List Table 4 - Accent 11"/>
    <w:basedOn w:val="TableNormal"/>
    <w:uiPriority w:val="49"/>
    <w:rsid w:val="008F565F"/>
    <w:pPr>
      <w:spacing w:line="240" w:lineRule="auto"/>
    </w:pPr>
    <w:rPr>
      <w:rFonts w:eastAsiaTheme="minorHAnsi" w:cstheme="minorBidi"/>
      <w:lang w:eastAsia="en-US"/>
    </w:rPr>
    <w:tblPr>
      <w:tblStyleRowBandSize w:val="1"/>
      <w:tblStyleColBandSize w:val="1"/>
      <w:tblBorders>
        <w:top w:val="single" w:sz="4" w:space="0" w:color="5C8CD9" w:themeColor="accent1" w:themeTint="99"/>
        <w:left w:val="single" w:sz="4" w:space="0" w:color="5C8CD9" w:themeColor="accent1" w:themeTint="99"/>
        <w:bottom w:val="single" w:sz="4" w:space="0" w:color="5C8CD9" w:themeColor="accent1" w:themeTint="99"/>
        <w:right w:val="single" w:sz="4" w:space="0" w:color="5C8CD9" w:themeColor="accent1" w:themeTint="99"/>
        <w:insideH w:val="single" w:sz="4" w:space="0" w:color="5C8CD9" w:themeColor="accent1" w:themeTint="99"/>
      </w:tblBorders>
    </w:tblPr>
    <w:tblStylePr w:type="firstRow">
      <w:rPr>
        <w:b/>
        <w:bCs/>
        <w:color w:val="FFFFFF" w:themeColor="background1"/>
      </w:rPr>
      <w:tblPr/>
      <w:tcPr>
        <w:tcBorders>
          <w:top w:val="single" w:sz="4" w:space="0" w:color="214C90" w:themeColor="accent1"/>
          <w:left w:val="single" w:sz="4" w:space="0" w:color="214C90" w:themeColor="accent1"/>
          <w:bottom w:val="single" w:sz="4" w:space="0" w:color="214C90" w:themeColor="accent1"/>
          <w:right w:val="single" w:sz="4" w:space="0" w:color="214C90" w:themeColor="accent1"/>
          <w:insideH w:val="nil"/>
        </w:tcBorders>
        <w:shd w:val="clear" w:color="auto" w:fill="214C90" w:themeFill="accent1"/>
      </w:tcPr>
    </w:tblStylePr>
    <w:tblStylePr w:type="lastRow">
      <w:rPr>
        <w:b/>
        <w:bCs/>
      </w:rPr>
      <w:tblPr/>
      <w:tcPr>
        <w:tcBorders>
          <w:top w:val="double" w:sz="4" w:space="0" w:color="5C8CD9" w:themeColor="accent1" w:themeTint="99"/>
        </w:tcBorders>
      </w:tcPr>
    </w:tblStylePr>
    <w:tblStylePr w:type="firstCol">
      <w:rPr>
        <w:b/>
        <w:bCs/>
      </w:rPr>
    </w:tblStylePr>
    <w:tblStylePr w:type="lastCol">
      <w:rPr>
        <w:b/>
        <w:bCs/>
      </w:rPr>
    </w:tblStylePr>
    <w:tblStylePr w:type="band1Vert">
      <w:tblPr/>
      <w:tcPr>
        <w:shd w:val="clear" w:color="auto" w:fill="C8D8F2" w:themeFill="accent1" w:themeFillTint="33"/>
      </w:tcPr>
    </w:tblStylePr>
    <w:tblStylePr w:type="band1Horz">
      <w:tblPr/>
      <w:tcPr>
        <w:shd w:val="clear" w:color="auto" w:fill="C8D8F2" w:themeFill="accent1" w:themeFillTint="33"/>
      </w:tcPr>
    </w:tblStylePr>
  </w:style>
  <w:style w:type="paragraph" w:customStyle="1" w:styleId="ListConsultationQuestions">
    <w:name w:val="List Consultation Questions"/>
    <w:basedOn w:val="ListNumber"/>
    <w:qFormat/>
    <w:rsid w:val="00FF3DDB"/>
    <w:pPr>
      <w:keepNext/>
      <w:numPr>
        <w:numId w:val="59"/>
      </w:numPr>
      <w:tabs>
        <w:tab w:val="left" w:pos="567"/>
      </w:tabs>
      <w:spacing w:line="280" w:lineRule="atLeast"/>
    </w:pPr>
    <w:rPr>
      <w:color w:val="005595"/>
      <w:lang w:eastAsia="fr-CA"/>
    </w:rPr>
  </w:style>
  <w:style w:type="paragraph" w:customStyle="1" w:styleId="ListConsultationQuestions2">
    <w:name w:val="List Consultation Questions 2"/>
    <w:basedOn w:val="ListConsultationQuestions"/>
    <w:qFormat/>
    <w:rsid w:val="00FF3DDB"/>
    <w:pPr>
      <w:numPr>
        <w:ilvl w:val="1"/>
      </w:numPr>
      <w:tabs>
        <w:tab w:val="clear" w:pos="567"/>
        <w:tab w:val="clear" w:pos="1021"/>
        <w:tab w:val="num" w:pos="360"/>
        <w:tab w:val="left" w:pos="993"/>
      </w:tabs>
      <w:ind w:hanging="567"/>
    </w:pPr>
  </w:style>
  <w:style w:type="character" w:customStyle="1" w:styleId="EmphasisItalics">
    <w:name w:val="Emphasis Italics"/>
    <w:uiPriority w:val="1"/>
    <w:rsid w:val="00253B46"/>
    <w:rPr>
      <w:i/>
      <w:lang w:eastAsia="en-US"/>
    </w:rPr>
  </w:style>
  <w:style w:type="table" w:customStyle="1" w:styleId="FETableStyle">
    <w:name w:val="FE Table Style"/>
    <w:basedOn w:val="TableNormal"/>
    <w:uiPriority w:val="99"/>
    <w:rsid w:val="00253B46"/>
    <w:pPr>
      <w:keepNext/>
      <w:spacing w:before="120" w:after="120" w:line="240" w:lineRule="auto"/>
    </w:pPr>
    <w:rPr>
      <w:rFonts w:eastAsiaTheme="minorHAnsi" w:cstheme="minorBidi"/>
      <w:sz w:val="20"/>
      <w:szCs w:val="20"/>
      <w:lang w:eastAsia="en-US"/>
    </w:rPr>
    <w:tblPr>
      <w:tblStyleRowBandSize w:val="1"/>
      <w:tblStyleColBandSize w:val="1"/>
      <w:tblBorders>
        <w:bottom w:val="single" w:sz="4" w:space="0" w:color="214C90" w:themeColor="accent1"/>
      </w:tblBorders>
    </w:tblPr>
    <w:trPr>
      <w:cantSplit/>
    </w:trPr>
    <w:tcPr>
      <w:shd w:val="clear" w:color="auto" w:fill="auto"/>
      <w:vAlign w:val="center"/>
    </w:tcPr>
    <w:tblStylePr w:type="firstRow">
      <w:pPr>
        <w:jc w:val="left"/>
      </w:pPr>
      <w:rPr>
        <w:rFonts w:asciiTheme="majorHAnsi" w:hAnsiTheme="majorHAnsi"/>
        <w:b/>
        <w:i w:val="0"/>
        <w:caps/>
        <w:smallCaps w:val="0"/>
        <w:strike w:val="0"/>
        <w:dstrike w:val="0"/>
        <w:vanish w:val="0"/>
        <w:color w:val="FFFFFF" w:themeColor="background1"/>
        <w:sz w:val="20"/>
        <w:vertAlign w:val="baseline"/>
      </w:rPr>
      <w:tblPr/>
      <w:trPr>
        <w:tblHeader/>
      </w:trPr>
      <w:tcPr>
        <w:tcBorders>
          <w:top w:val="nil"/>
          <w:left w:val="nil"/>
          <w:bottom w:val="nil"/>
          <w:right w:val="nil"/>
          <w:insideH w:val="nil"/>
          <w:insideV w:val="nil"/>
          <w:tl2br w:val="nil"/>
          <w:tr2bl w:val="nil"/>
        </w:tcBorders>
        <w:shd w:val="clear" w:color="auto" w:fill="5D89B4" w:themeFill="accent3"/>
      </w:tcPr>
    </w:tblStylePr>
    <w:tblStylePr w:type="lastRow">
      <w:rPr>
        <w:rFonts w:asciiTheme="minorHAnsi" w:hAnsiTheme="minorHAnsi"/>
        <w:sz w:val="22"/>
      </w:rPr>
    </w:tblStylePr>
    <w:tblStylePr w:type="firstCol">
      <w:rPr>
        <w:rFonts w:asciiTheme="majorHAnsi" w:hAnsiTheme="majorHAnsi"/>
        <w:b/>
        <w:i w:val="0"/>
        <w:caps/>
        <w:smallCaps w:val="0"/>
        <w:color w:val="FFFFFF" w:themeColor="background1"/>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214C90" w:themeFill="accent1"/>
      </w:tcPr>
    </w:tblStylePr>
    <w:tblStylePr w:type="band2Vert">
      <w:rPr>
        <w:color w:val="auto"/>
      </w:rPr>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PullOutBoxTable41">
    <w:name w:val="Pull Out Box Table41"/>
    <w:basedOn w:val="TableNormal"/>
    <w:uiPriority w:val="99"/>
    <w:rsid w:val="00253B46"/>
    <w:pPr>
      <w:spacing w:line="240" w:lineRule="auto"/>
    </w:pPr>
    <w:tblPr>
      <w:tblCellMar>
        <w:top w:w="142" w:type="dxa"/>
        <w:left w:w="170" w:type="dxa"/>
        <w:bottom w:w="142" w:type="dxa"/>
        <w:right w:w="170" w:type="dxa"/>
      </w:tblCellMar>
    </w:tblPr>
    <w:tcPr>
      <w:shd w:val="clear" w:color="auto" w:fill="E1E2E7" w:themeFill="background2"/>
    </w:tcPr>
  </w:style>
  <w:style w:type="paragraph" w:customStyle="1" w:styleId="TableParagraph">
    <w:name w:val="Table Paragraph"/>
    <w:basedOn w:val="Normal"/>
    <w:uiPriority w:val="1"/>
    <w:qFormat/>
    <w:rsid w:val="004F362E"/>
    <w:pPr>
      <w:widowControl w:val="0"/>
      <w:autoSpaceDE w:val="0"/>
      <w:autoSpaceDN w:val="0"/>
      <w:spacing w:line="240" w:lineRule="auto"/>
    </w:pPr>
    <w:rPr>
      <w:rFonts w:eastAsia="Arial" w:cs="Arial"/>
      <w:lang w:bidi="en-AU"/>
    </w:rPr>
  </w:style>
  <w:style w:type="character" w:customStyle="1" w:styleId="TableBullet1Char">
    <w:name w:val="Table Bullet 1 Char"/>
    <w:basedOn w:val="DefaultParagraphFont"/>
    <w:link w:val="TableBullet10"/>
    <w:uiPriority w:val="99"/>
    <w:rsid w:val="00E14396"/>
    <w:rPr>
      <w:rFonts w:ascii="Arial" w:hAnsi="Arial" w:cs="Arial"/>
      <w:sz w:val="18"/>
    </w:rPr>
  </w:style>
  <w:style w:type="paragraph" w:customStyle="1" w:styleId="Secondbullet">
    <w:name w:val="Second bullet"/>
    <w:basedOn w:val="TableListNumber2"/>
    <w:link w:val="SecondbulletChar"/>
    <w:qFormat/>
    <w:rsid w:val="00AB34D1"/>
    <w:pPr>
      <w:numPr>
        <w:ilvl w:val="0"/>
        <w:numId w:val="61"/>
      </w:numPr>
    </w:pPr>
    <w:rPr>
      <w:sz w:val="20"/>
      <w:szCs w:val="20"/>
    </w:rPr>
  </w:style>
  <w:style w:type="paragraph" w:customStyle="1" w:styleId="Thirdbullet">
    <w:name w:val="Third bullet"/>
    <w:link w:val="ThirdbulletChar"/>
    <w:qFormat/>
    <w:rsid w:val="00AB34D1"/>
    <w:pPr>
      <w:numPr>
        <w:numId w:val="62"/>
      </w:numPr>
      <w:spacing w:after="120" w:line="240" w:lineRule="auto"/>
    </w:pPr>
    <w:rPr>
      <w:rFonts w:ascii="Arial" w:hAnsi="Arial" w:cs="Arial"/>
      <w:sz w:val="20"/>
      <w:szCs w:val="20"/>
    </w:rPr>
  </w:style>
  <w:style w:type="character" w:customStyle="1" w:styleId="SecondbulletChar">
    <w:name w:val="Second bullet Char"/>
    <w:basedOn w:val="DefaultParagraphFont"/>
    <w:link w:val="Secondbullet"/>
    <w:rsid w:val="00AB34D1"/>
    <w:rPr>
      <w:rFonts w:ascii="Arial" w:eastAsiaTheme="minorEastAsia" w:hAnsi="Arial" w:cs="Arial"/>
      <w:sz w:val="20"/>
      <w:szCs w:val="20"/>
    </w:rPr>
  </w:style>
  <w:style w:type="paragraph" w:customStyle="1" w:styleId="Style1">
    <w:name w:val="Style1"/>
    <w:basedOn w:val="TableBullet10"/>
    <w:link w:val="Style1Char"/>
    <w:qFormat/>
    <w:rsid w:val="00AB34D1"/>
    <w:pPr>
      <w:numPr>
        <w:numId w:val="0"/>
      </w:numPr>
      <w:tabs>
        <w:tab w:val="left" w:pos="720"/>
      </w:tabs>
      <w:spacing w:after="80" w:line="240" w:lineRule="auto"/>
    </w:pPr>
    <w:rPr>
      <w:sz w:val="20"/>
      <w:szCs w:val="20"/>
    </w:rPr>
  </w:style>
  <w:style w:type="character" w:customStyle="1" w:styleId="ThirdbulletChar">
    <w:name w:val="Third bullet Char"/>
    <w:basedOn w:val="TableBullet1Char"/>
    <w:link w:val="Thirdbullet"/>
    <w:rsid w:val="00AB34D1"/>
    <w:rPr>
      <w:rFonts w:ascii="Arial" w:hAnsi="Arial" w:cs="Arial"/>
      <w:sz w:val="20"/>
      <w:szCs w:val="20"/>
    </w:rPr>
  </w:style>
  <w:style w:type="character" w:customStyle="1" w:styleId="Style1Char">
    <w:name w:val="Style1 Char"/>
    <w:basedOn w:val="TableBullet1Char"/>
    <w:link w:val="Style1"/>
    <w:rsid w:val="00AB34D1"/>
    <w:rPr>
      <w:rFonts w:ascii="Arial" w:hAnsi="Arial" w:cs="Arial"/>
      <w:sz w:val="20"/>
      <w:szCs w:val="20"/>
    </w:rPr>
  </w:style>
  <w:style w:type="paragraph" w:customStyle="1" w:styleId="Listfortext">
    <w:name w:val="List for text"/>
    <w:basedOn w:val="ListBullet"/>
    <w:link w:val="ListfortextChar"/>
    <w:qFormat/>
    <w:rsid w:val="00BD7BB1"/>
    <w:pPr>
      <w:numPr>
        <w:numId w:val="74"/>
      </w:numPr>
      <w:ind w:left="357" w:hanging="357"/>
    </w:pPr>
  </w:style>
  <w:style w:type="table" w:customStyle="1" w:styleId="TableGridLight1">
    <w:name w:val="Table Grid Light1"/>
    <w:basedOn w:val="TableNormal"/>
    <w:next w:val="TableNormal"/>
    <w:uiPriority w:val="40"/>
    <w:rsid w:val="000B0C37"/>
    <w:pPr>
      <w:spacing w:line="240" w:lineRule="auto"/>
    </w:pPr>
    <w:rPr>
      <w:rFonts w:ascii="Book Antiqua" w:hAnsi="Book Antiqu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ListfortextChar">
    <w:name w:val="List for text Char"/>
    <w:basedOn w:val="ListBulletChar"/>
    <w:link w:val="Listfortext"/>
    <w:rsid w:val="00BD7BB1"/>
    <w:rPr>
      <w:rFonts w:ascii="Arial" w:eastAsiaTheme="minorHAnsi" w:hAnsi="Arial" w:cs="Arial"/>
    </w:rPr>
  </w:style>
  <w:style w:type="table" w:customStyle="1" w:styleId="TableGrid4">
    <w:name w:val="Table Grid4"/>
    <w:basedOn w:val="TableNormal"/>
    <w:next w:val="TableGrid"/>
    <w:uiPriority w:val="39"/>
    <w:rsid w:val="000B0C37"/>
    <w:pPr>
      <w:spacing w:line="240" w:lineRule="auto"/>
    </w:pPr>
    <w:rPr>
      <w:rFonts w:ascii="Arial" w:eastAsia="Calibri" w:hAnsi="Arial"/>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customStyle="1" w:styleId="UnresolvedMention3">
    <w:name w:val="Unresolved Mention3"/>
    <w:basedOn w:val="DefaultParagraphFont"/>
    <w:uiPriority w:val="99"/>
    <w:semiHidden/>
    <w:unhideWhenUsed/>
    <w:rsid w:val="009B63BA"/>
    <w:rPr>
      <w:color w:val="605E5C"/>
      <w:shd w:val="clear" w:color="auto" w:fill="E1DFDD"/>
    </w:rPr>
  </w:style>
  <w:style w:type="paragraph" w:customStyle="1" w:styleId="Heading2-numbered">
    <w:name w:val="Heading 2 - numbered"/>
    <w:basedOn w:val="Heading2"/>
    <w:next w:val="BodyText"/>
    <w:qFormat/>
    <w:rsid w:val="00BD13A6"/>
    <w:pPr>
      <w:numPr>
        <w:ilvl w:val="0"/>
        <w:numId w:val="0"/>
      </w:numPr>
      <w:spacing w:before="240"/>
      <w:ind w:left="851" w:hanging="851"/>
    </w:pPr>
    <w:rPr>
      <w:color w:val="005595"/>
    </w:rPr>
  </w:style>
  <w:style w:type="paragraph" w:customStyle="1" w:styleId="Heading3-numbered">
    <w:name w:val="Heading 3 - numbered"/>
    <w:basedOn w:val="Heading2-numbered"/>
    <w:next w:val="BodyText"/>
    <w:qFormat/>
    <w:rsid w:val="00BD13A6"/>
    <w:rPr>
      <w:sz w:val="24"/>
    </w:rPr>
  </w:style>
  <w:style w:type="paragraph" w:customStyle="1" w:styleId="List2bullet">
    <w:name w:val="List 2 bullet"/>
    <w:basedOn w:val="ListContinue"/>
    <w:link w:val="List2bulletChar"/>
    <w:qFormat/>
    <w:rsid w:val="00BD13A6"/>
    <w:pPr>
      <w:numPr>
        <w:ilvl w:val="1"/>
        <w:numId w:val="15"/>
      </w:numPr>
      <w:tabs>
        <w:tab w:val="left" w:pos="714"/>
      </w:tabs>
      <w:ind w:left="714" w:hanging="357"/>
    </w:pPr>
  </w:style>
  <w:style w:type="character" w:customStyle="1" w:styleId="List2bulletChar">
    <w:name w:val="List 2 bullet Char"/>
    <w:basedOn w:val="DefaultParagraphFont"/>
    <w:link w:val="List2bullet"/>
    <w:rsid w:val="00BD13A6"/>
    <w:rPr>
      <w:rFonts w:ascii="Arial" w:eastAsiaTheme="minorEastAsia" w:hAnsi="Arial"/>
    </w:rPr>
  </w:style>
  <w:style w:type="character" w:customStyle="1" w:styleId="TableBodyTextChar">
    <w:name w:val="Table Body Text Char"/>
    <w:basedOn w:val="BodyTextChar"/>
    <w:link w:val="TableBodyText"/>
    <w:rsid w:val="00BD13A6"/>
    <w:rPr>
      <w:rFonts w:ascii="Arial" w:hAnsi="Arial" w:cs="Arial"/>
      <w:sz w:val="18"/>
    </w:rPr>
  </w:style>
  <w:style w:type="paragraph" w:customStyle="1" w:styleId="Tablebullet1">
    <w:name w:val="Table bullet 1"/>
    <w:basedOn w:val="TableBodyText"/>
    <w:link w:val="Tablebullet1Char0"/>
    <w:qFormat/>
    <w:rsid w:val="00122043"/>
    <w:pPr>
      <w:numPr>
        <w:numId w:val="100"/>
      </w:numPr>
      <w:spacing w:before="40" w:after="40"/>
      <w:ind w:left="442" w:hanging="357"/>
    </w:pPr>
    <w:rPr>
      <w:rFonts w:asciiTheme="majorHAnsi" w:hAnsiTheme="majorHAnsi" w:cstheme="majorHAnsi"/>
      <w:lang w:eastAsia="fr-CA"/>
    </w:rPr>
  </w:style>
  <w:style w:type="character" w:customStyle="1" w:styleId="Tablebullet1Char0">
    <w:name w:val="Table bullet 1 Char"/>
    <w:basedOn w:val="TableBodyTextChar"/>
    <w:link w:val="Tablebullet1"/>
    <w:rsid w:val="00122043"/>
    <w:rPr>
      <w:rFonts w:asciiTheme="majorHAnsi" w:hAnsiTheme="majorHAnsi" w:cstheme="majorHAnsi"/>
      <w:sz w:val="18"/>
      <w:lang w:eastAsia="fr-CA"/>
    </w:rPr>
  </w:style>
  <w:style w:type="paragraph" w:styleId="Bibliography">
    <w:name w:val="Bibliography"/>
    <w:basedOn w:val="Normal"/>
    <w:next w:val="Normal"/>
    <w:uiPriority w:val="37"/>
    <w:semiHidden/>
    <w:unhideWhenUsed/>
    <w:rsid w:val="00370905"/>
  </w:style>
  <w:style w:type="paragraph" w:styleId="BodyText2">
    <w:name w:val="Body Text 2"/>
    <w:basedOn w:val="Normal"/>
    <w:link w:val="BodyText2Char"/>
    <w:semiHidden/>
    <w:unhideWhenUsed/>
    <w:rsid w:val="00370905"/>
    <w:pPr>
      <w:spacing w:after="120" w:line="480" w:lineRule="auto"/>
    </w:pPr>
  </w:style>
  <w:style w:type="character" w:customStyle="1" w:styleId="BodyText2Char">
    <w:name w:val="Body Text 2 Char"/>
    <w:basedOn w:val="DefaultParagraphFont"/>
    <w:link w:val="BodyText2"/>
    <w:semiHidden/>
    <w:rsid w:val="00370905"/>
    <w:rPr>
      <w:rFonts w:ascii="Arial" w:hAnsi="Arial"/>
    </w:rPr>
  </w:style>
  <w:style w:type="paragraph" w:styleId="BodyTextFirstIndent">
    <w:name w:val="Body Text First Indent"/>
    <w:basedOn w:val="BodyText"/>
    <w:link w:val="BodyTextFirstIndentChar"/>
    <w:rsid w:val="00370905"/>
    <w:pPr>
      <w:tabs>
        <w:tab w:val="clear" w:pos="2268"/>
        <w:tab w:val="clear" w:pos="4536"/>
        <w:tab w:val="clear" w:pos="6804"/>
        <w:tab w:val="clear" w:pos="9638"/>
      </w:tabs>
      <w:spacing w:before="0" w:after="0"/>
      <w:ind w:firstLine="360"/>
    </w:pPr>
  </w:style>
  <w:style w:type="character" w:customStyle="1" w:styleId="BodyTextFirstIndentChar">
    <w:name w:val="Body Text First Indent Char"/>
    <w:basedOn w:val="BodyTextChar"/>
    <w:link w:val="BodyTextFirstIndent"/>
    <w:rsid w:val="00370905"/>
    <w:rPr>
      <w:rFonts w:ascii="Arial" w:hAnsi="Arial"/>
    </w:rPr>
  </w:style>
  <w:style w:type="paragraph" w:styleId="BodyTextIndent">
    <w:name w:val="Body Text Indent"/>
    <w:basedOn w:val="Normal"/>
    <w:link w:val="BodyTextIndentChar"/>
    <w:semiHidden/>
    <w:unhideWhenUsed/>
    <w:rsid w:val="00370905"/>
    <w:pPr>
      <w:spacing w:after="120"/>
      <w:ind w:left="283"/>
    </w:pPr>
  </w:style>
  <w:style w:type="character" w:customStyle="1" w:styleId="BodyTextIndentChar">
    <w:name w:val="Body Text Indent Char"/>
    <w:basedOn w:val="DefaultParagraphFont"/>
    <w:link w:val="BodyTextIndent"/>
    <w:semiHidden/>
    <w:rsid w:val="00370905"/>
    <w:rPr>
      <w:rFonts w:ascii="Arial" w:hAnsi="Arial"/>
    </w:rPr>
  </w:style>
  <w:style w:type="paragraph" w:styleId="BodyTextFirstIndent2">
    <w:name w:val="Body Text First Indent 2"/>
    <w:basedOn w:val="BodyTextIndent"/>
    <w:link w:val="BodyTextFirstIndent2Char"/>
    <w:semiHidden/>
    <w:unhideWhenUsed/>
    <w:rsid w:val="00370905"/>
    <w:pPr>
      <w:spacing w:after="0"/>
      <w:ind w:left="360" w:firstLine="360"/>
    </w:pPr>
  </w:style>
  <w:style w:type="character" w:customStyle="1" w:styleId="BodyTextFirstIndent2Char">
    <w:name w:val="Body Text First Indent 2 Char"/>
    <w:basedOn w:val="BodyTextIndentChar"/>
    <w:link w:val="BodyTextFirstIndent2"/>
    <w:semiHidden/>
    <w:rsid w:val="00370905"/>
    <w:rPr>
      <w:rFonts w:ascii="Arial" w:hAnsi="Arial"/>
    </w:rPr>
  </w:style>
  <w:style w:type="paragraph" w:styleId="BodyTextIndent2">
    <w:name w:val="Body Text Indent 2"/>
    <w:basedOn w:val="Normal"/>
    <w:link w:val="BodyTextIndent2Char"/>
    <w:semiHidden/>
    <w:unhideWhenUsed/>
    <w:rsid w:val="00370905"/>
    <w:pPr>
      <w:spacing w:after="120" w:line="480" w:lineRule="auto"/>
      <w:ind w:left="283"/>
    </w:pPr>
  </w:style>
  <w:style w:type="character" w:customStyle="1" w:styleId="BodyTextIndent2Char">
    <w:name w:val="Body Text Indent 2 Char"/>
    <w:basedOn w:val="DefaultParagraphFont"/>
    <w:link w:val="BodyTextIndent2"/>
    <w:semiHidden/>
    <w:rsid w:val="00370905"/>
    <w:rPr>
      <w:rFonts w:ascii="Arial" w:hAnsi="Arial"/>
    </w:rPr>
  </w:style>
  <w:style w:type="paragraph" w:styleId="BodyTextIndent3">
    <w:name w:val="Body Text Indent 3"/>
    <w:basedOn w:val="Normal"/>
    <w:link w:val="BodyTextIndent3Char"/>
    <w:semiHidden/>
    <w:unhideWhenUsed/>
    <w:rsid w:val="00370905"/>
    <w:pPr>
      <w:spacing w:after="120"/>
      <w:ind w:left="283"/>
    </w:pPr>
    <w:rPr>
      <w:sz w:val="16"/>
      <w:szCs w:val="16"/>
    </w:rPr>
  </w:style>
  <w:style w:type="character" w:customStyle="1" w:styleId="BodyTextIndent3Char">
    <w:name w:val="Body Text Indent 3 Char"/>
    <w:basedOn w:val="DefaultParagraphFont"/>
    <w:link w:val="BodyTextIndent3"/>
    <w:semiHidden/>
    <w:rsid w:val="00370905"/>
    <w:rPr>
      <w:rFonts w:ascii="Arial" w:hAnsi="Arial"/>
      <w:sz w:val="16"/>
      <w:szCs w:val="16"/>
    </w:rPr>
  </w:style>
  <w:style w:type="paragraph" w:styleId="Closing">
    <w:name w:val="Closing"/>
    <w:basedOn w:val="Normal"/>
    <w:link w:val="ClosingChar"/>
    <w:semiHidden/>
    <w:unhideWhenUsed/>
    <w:rsid w:val="00370905"/>
    <w:pPr>
      <w:spacing w:line="240" w:lineRule="auto"/>
      <w:ind w:left="4252"/>
    </w:pPr>
  </w:style>
  <w:style w:type="character" w:customStyle="1" w:styleId="ClosingChar">
    <w:name w:val="Closing Char"/>
    <w:basedOn w:val="DefaultParagraphFont"/>
    <w:link w:val="Closing"/>
    <w:semiHidden/>
    <w:rsid w:val="00370905"/>
    <w:rPr>
      <w:rFonts w:ascii="Arial" w:hAnsi="Arial"/>
    </w:rPr>
  </w:style>
  <w:style w:type="paragraph" w:styleId="E-mailSignature">
    <w:name w:val="E-mail Signature"/>
    <w:basedOn w:val="Normal"/>
    <w:link w:val="E-mailSignatureChar"/>
    <w:semiHidden/>
    <w:unhideWhenUsed/>
    <w:rsid w:val="00370905"/>
    <w:pPr>
      <w:spacing w:line="240" w:lineRule="auto"/>
    </w:pPr>
  </w:style>
  <w:style w:type="character" w:customStyle="1" w:styleId="E-mailSignatureChar">
    <w:name w:val="E-mail Signature Char"/>
    <w:basedOn w:val="DefaultParagraphFont"/>
    <w:link w:val="E-mailSignature"/>
    <w:semiHidden/>
    <w:rsid w:val="00370905"/>
    <w:rPr>
      <w:rFonts w:ascii="Arial" w:hAnsi="Arial"/>
    </w:rPr>
  </w:style>
  <w:style w:type="paragraph" w:styleId="EndnoteText">
    <w:name w:val="endnote text"/>
    <w:basedOn w:val="Normal"/>
    <w:link w:val="EndnoteTextChar"/>
    <w:semiHidden/>
    <w:unhideWhenUsed/>
    <w:rsid w:val="00370905"/>
    <w:pPr>
      <w:spacing w:line="240" w:lineRule="auto"/>
    </w:pPr>
    <w:rPr>
      <w:sz w:val="20"/>
      <w:szCs w:val="20"/>
    </w:rPr>
  </w:style>
  <w:style w:type="character" w:customStyle="1" w:styleId="EndnoteTextChar">
    <w:name w:val="Endnote Text Char"/>
    <w:basedOn w:val="DefaultParagraphFont"/>
    <w:link w:val="EndnoteText"/>
    <w:semiHidden/>
    <w:rsid w:val="00370905"/>
    <w:rPr>
      <w:rFonts w:ascii="Arial" w:hAnsi="Arial"/>
      <w:sz w:val="20"/>
      <w:szCs w:val="20"/>
    </w:rPr>
  </w:style>
  <w:style w:type="paragraph" w:styleId="EnvelopeAddress">
    <w:name w:val="envelope address"/>
    <w:basedOn w:val="Normal"/>
    <w:semiHidden/>
    <w:unhideWhenUsed/>
    <w:rsid w:val="0037090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70905"/>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370905"/>
    <w:pPr>
      <w:spacing w:line="240" w:lineRule="auto"/>
    </w:pPr>
    <w:rPr>
      <w:i/>
      <w:iCs/>
    </w:rPr>
  </w:style>
  <w:style w:type="character" w:customStyle="1" w:styleId="HTMLAddressChar">
    <w:name w:val="HTML Address Char"/>
    <w:basedOn w:val="DefaultParagraphFont"/>
    <w:link w:val="HTMLAddress"/>
    <w:semiHidden/>
    <w:rsid w:val="00370905"/>
    <w:rPr>
      <w:rFonts w:ascii="Arial" w:hAnsi="Arial"/>
      <w:i/>
      <w:iCs/>
    </w:rPr>
  </w:style>
  <w:style w:type="paragraph" w:styleId="HTMLPreformatted">
    <w:name w:val="HTML Preformatted"/>
    <w:basedOn w:val="Normal"/>
    <w:link w:val="HTMLPreformattedChar"/>
    <w:semiHidden/>
    <w:unhideWhenUsed/>
    <w:rsid w:val="00370905"/>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370905"/>
    <w:rPr>
      <w:rFonts w:ascii="Consolas" w:hAnsi="Consolas"/>
      <w:sz w:val="20"/>
      <w:szCs w:val="20"/>
    </w:rPr>
  </w:style>
  <w:style w:type="paragraph" w:styleId="Index1">
    <w:name w:val="index 1"/>
    <w:basedOn w:val="Normal"/>
    <w:next w:val="Normal"/>
    <w:autoRedefine/>
    <w:semiHidden/>
    <w:unhideWhenUsed/>
    <w:rsid w:val="00370905"/>
    <w:pPr>
      <w:spacing w:line="240" w:lineRule="auto"/>
      <w:ind w:left="220" w:hanging="220"/>
    </w:pPr>
  </w:style>
  <w:style w:type="paragraph" w:styleId="Index2">
    <w:name w:val="index 2"/>
    <w:basedOn w:val="Normal"/>
    <w:next w:val="Normal"/>
    <w:autoRedefine/>
    <w:semiHidden/>
    <w:unhideWhenUsed/>
    <w:rsid w:val="00370905"/>
    <w:pPr>
      <w:spacing w:line="240" w:lineRule="auto"/>
      <w:ind w:left="440" w:hanging="220"/>
    </w:pPr>
  </w:style>
  <w:style w:type="paragraph" w:styleId="Index3">
    <w:name w:val="index 3"/>
    <w:basedOn w:val="Normal"/>
    <w:next w:val="Normal"/>
    <w:autoRedefine/>
    <w:semiHidden/>
    <w:unhideWhenUsed/>
    <w:rsid w:val="00370905"/>
    <w:pPr>
      <w:spacing w:line="240" w:lineRule="auto"/>
      <w:ind w:left="660" w:hanging="220"/>
    </w:pPr>
  </w:style>
  <w:style w:type="paragraph" w:styleId="Index4">
    <w:name w:val="index 4"/>
    <w:basedOn w:val="Normal"/>
    <w:next w:val="Normal"/>
    <w:autoRedefine/>
    <w:semiHidden/>
    <w:unhideWhenUsed/>
    <w:rsid w:val="00370905"/>
    <w:pPr>
      <w:spacing w:line="240" w:lineRule="auto"/>
      <w:ind w:left="880" w:hanging="220"/>
    </w:pPr>
  </w:style>
  <w:style w:type="paragraph" w:styleId="Index5">
    <w:name w:val="index 5"/>
    <w:basedOn w:val="Normal"/>
    <w:next w:val="Normal"/>
    <w:autoRedefine/>
    <w:semiHidden/>
    <w:unhideWhenUsed/>
    <w:rsid w:val="00370905"/>
    <w:pPr>
      <w:spacing w:line="240" w:lineRule="auto"/>
      <w:ind w:left="1100" w:hanging="220"/>
    </w:pPr>
  </w:style>
  <w:style w:type="paragraph" w:styleId="Index6">
    <w:name w:val="index 6"/>
    <w:basedOn w:val="Normal"/>
    <w:next w:val="Normal"/>
    <w:autoRedefine/>
    <w:semiHidden/>
    <w:unhideWhenUsed/>
    <w:rsid w:val="00370905"/>
    <w:pPr>
      <w:spacing w:line="240" w:lineRule="auto"/>
      <w:ind w:left="1320" w:hanging="220"/>
    </w:pPr>
  </w:style>
  <w:style w:type="paragraph" w:styleId="Index7">
    <w:name w:val="index 7"/>
    <w:basedOn w:val="Normal"/>
    <w:next w:val="Normal"/>
    <w:autoRedefine/>
    <w:semiHidden/>
    <w:unhideWhenUsed/>
    <w:rsid w:val="00370905"/>
    <w:pPr>
      <w:spacing w:line="240" w:lineRule="auto"/>
      <w:ind w:left="1540" w:hanging="220"/>
    </w:pPr>
  </w:style>
  <w:style w:type="paragraph" w:styleId="Index8">
    <w:name w:val="index 8"/>
    <w:basedOn w:val="Normal"/>
    <w:next w:val="Normal"/>
    <w:autoRedefine/>
    <w:semiHidden/>
    <w:unhideWhenUsed/>
    <w:rsid w:val="00370905"/>
    <w:pPr>
      <w:spacing w:line="240" w:lineRule="auto"/>
      <w:ind w:left="1760" w:hanging="220"/>
    </w:pPr>
  </w:style>
  <w:style w:type="paragraph" w:styleId="Index9">
    <w:name w:val="index 9"/>
    <w:basedOn w:val="Normal"/>
    <w:next w:val="Normal"/>
    <w:autoRedefine/>
    <w:semiHidden/>
    <w:unhideWhenUsed/>
    <w:rsid w:val="00370905"/>
    <w:pPr>
      <w:spacing w:line="240" w:lineRule="auto"/>
      <w:ind w:left="1980" w:hanging="220"/>
    </w:pPr>
  </w:style>
  <w:style w:type="paragraph" w:styleId="IndexHeading">
    <w:name w:val="index heading"/>
    <w:basedOn w:val="Normal"/>
    <w:next w:val="Index1"/>
    <w:semiHidden/>
    <w:unhideWhenUsed/>
    <w:rsid w:val="00370905"/>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70905"/>
    <w:pPr>
      <w:pBdr>
        <w:top w:val="single" w:sz="4" w:space="10" w:color="214C90" w:themeColor="accent1"/>
        <w:bottom w:val="single" w:sz="4" w:space="10" w:color="214C90" w:themeColor="accent1"/>
      </w:pBdr>
      <w:spacing w:before="360" w:after="360"/>
      <w:ind w:left="864" w:right="864"/>
      <w:jc w:val="center"/>
    </w:pPr>
    <w:rPr>
      <w:i/>
      <w:iCs/>
      <w:color w:val="214C90" w:themeColor="accent1"/>
    </w:rPr>
  </w:style>
  <w:style w:type="character" w:customStyle="1" w:styleId="IntenseQuoteChar">
    <w:name w:val="Intense Quote Char"/>
    <w:basedOn w:val="DefaultParagraphFont"/>
    <w:link w:val="IntenseQuote"/>
    <w:uiPriority w:val="30"/>
    <w:rsid w:val="00370905"/>
    <w:rPr>
      <w:rFonts w:ascii="Arial" w:hAnsi="Arial"/>
      <w:i/>
      <w:iCs/>
      <w:color w:val="214C90" w:themeColor="accent1"/>
    </w:rPr>
  </w:style>
  <w:style w:type="paragraph" w:styleId="List2">
    <w:name w:val="List 2"/>
    <w:basedOn w:val="Normal"/>
    <w:semiHidden/>
    <w:unhideWhenUsed/>
    <w:rsid w:val="00370905"/>
    <w:pPr>
      <w:ind w:left="566" w:hanging="283"/>
      <w:contextualSpacing/>
    </w:pPr>
  </w:style>
  <w:style w:type="paragraph" w:styleId="List3">
    <w:name w:val="List 3"/>
    <w:basedOn w:val="Normal"/>
    <w:semiHidden/>
    <w:unhideWhenUsed/>
    <w:rsid w:val="00370905"/>
    <w:pPr>
      <w:ind w:left="849" w:hanging="283"/>
      <w:contextualSpacing/>
    </w:pPr>
  </w:style>
  <w:style w:type="paragraph" w:styleId="List4">
    <w:name w:val="List 4"/>
    <w:basedOn w:val="Normal"/>
    <w:rsid w:val="00370905"/>
    <w:pPr>
      <w:ind w:left="1132" w:hanging="283"/>
      <w:contextualSpacing/>
    </w:pPr>
  </w:style>
  <w:style w:type="paragraph" w:styleId="List5">
    <w:name w:val="List 5"/>
    <w:basedOn w:val="Normal"/>
    <w:rsid w:val="00370905"/>
    <w:pPr>
      <w:ind w:left="1415" w:hanging="283"/>
      <w:contextualSpacing/>
    </w:pPr>
  </w:style>
  <w:style w:type="paragraph" w:styleId="MacroText">
    <w:name w:val="macro"/>
    <w:link w:val="MacroTextChar"/>
    <w:semiHidden/>
    <w:unhideWhenUsed/>
    <w:rsid w:val="00370905"/>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370905"/>
    <w:rPr>
      <w:rFonts w:ascii="Consolas" w:hAnsi="Consolas"/>
      <w:sz w:val="20"/>
      <w:szCs w:val="20"/>
    </w:rPr>
  </w:style>
  <w:style w:type="paragraph" w:styleId="MessageHeader">
    <w:name w:val="Message Header"/>
    <w:basedOn w:val="Normal"/>
    <w:link w:val="MessageHeaderChar"/>
    <w:semiHidden/>
    <w:unhideWhenUsed/>
    <w:rsid w:val="0037090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370905"/>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370905"/>
    <w:pPr>
      <w:ind w:left="720"/>
    </w:pPr>
  </w:style>
  <w:style w:type="paragraph" w:styleId="Salutation">
    <w:name w:val="Salutation"/>
    <w:basedOn w:val="Normal"/>
    <w:next w:val="Normal"/>
    <w:link w:val="SalutationChar"/>
    <w:rsid w:val="00370905"/>
  </w:style>
  <w:style w:type="character" w:customStyle="1" w:styleId="SalutationChar">
    <w:name w:val="Salutation Char"/>
    <w:basedOn w:val="DefaultParagraphFont"/>
    <w:link w:val="Salutation"/>
    <w:rsid w:val="00370905"/>
    <w:rPr>
      <w:rFonts w:ascii="Arial" w:hAnsi="Arial"/>
    </w:rPr>
  </w:style>
  <w:style w:type="paragraph" w:styleId="Signature">
    <w:name w:val="Signature"/>
    <w:basedOn w:val="Normal"/>
    <w:link w:val="SignatureChar"/>
    <w:semiHidden/>
    <w:unhideWhenUsed/>
    <w:rsid w:val="00370905"/>
    <w:pPr>
      <w:spacing w:line="240" w:lineRule="auto"/>
      <w:ind w:left="4252"/>
    </w:pPr>
  </w:style>
  <w:style w:type="character" w:customStyle="1" w:styleId="SignatureChar">
    <w:name w:val="Signature Char"/>
    <w:basedOn w:val="DefaultParagraphFont"/>
    <w:link w:val="Signature"/>
    <w:semiHidden/>
    <w:rsid w:val="00370905"/>
    <w:rPr>
      <w:rFonts w:ascii="Arial" w:hAnsi="Arial"/>
    </w:rPr>
  </w:style>
  <w:style w:type="paragraph" w:styleId="TableofAuthorities">
    <w:name w:val="table of authorities"/>
    <w:basedOn w:val="Normal"/>
    <w:next w:val="Normal"/>
    <w:semiHidden/>
    <w:unhideWhenUsed/>
    <w:rsid w:val="00370905"/>
    <w:pPr>
      <w:ind w:left="220" w:hanging="220"/>
    </w:pPr>
  </w:style>
  <w:style w:type="paragraph" w:styleId="TOAHeading">
    <w:name w:val="toa heading"/>
    <w:basedOn w:val="Normal"/>
    <w:next w:val="Normal"/>
    <w:semiHidden/>
    <w:unhideWhenUsed/>
    <w:rsid w:val="00370905"/>
    <w:pPr>
      <w:spacing w:before="120"/>
    </w:pPr>
    <w:rPr>
      <w:rFonts w:asciiTheme="majorHAnsi" w:eastAsiaTheme="majorEastAsia" w:hAnsiTheme="majorHAnsi" w:cstheme="majorBidi"/>
      <w:b/>
      <w:bCs/>
      <w:sz w:val="24"/>
      <w:szCs w:val="24"/>
    </w:rPr>
  </w:style>
  <w:style w:type="paragraph" w:styleId="TOC6">
    <w:name w:val="toc 6"/>
    <w:basedOn w:val="Normal"/>
    <w:next w:val="Normal"/>
    <w:autoRedefine/>
    <w:uiPriority w:val="39"/>
    <w:semiHidden/>
    <w:unhideWhenUsed/>
    <w:rsid w:val="00370905"/>
    <w:pPr>
      <w:spacing w:after="100"/>
      <w:ind w:left="1100"/>
    </w:pPr>
  </w:style>
  <w:style w:type="paragraph" w:styleId="TOC7">
    <w:name w:val="toc 7"/>
    <w:basedOn w:val="Normal"/>
    <w:next w:val="Normal"/>
    <w:autoRedefine/>
    <w:uiPriority w:val="39"/>
    <w:semiHidden/>
    <w:unhideWhenUsed/>
    <w:rsid w:val="00370905"/>
    <w:pPr>
      <w:spacing w:after="100"/>
      <w:ind w:left="1320"/>
    </w:pPr>
  </w:style>
  <w:style w:type="paragraph" w:styleId="TOC8">
    <w:name w:val="toc 8"/>
    <w:basedOn w:val="Normal"/>
    <w:next w:val="Normal"/>
    <w:autoRedefine/>
    <w:uiPriority w:val="39"/>
    <w:semiHidden/>
    <w:unhideWhenUsed/>
    <w:rsid w:val="00370905"/>
    <w:pPr>
      <w:spacing w:after="100"/>
      <w:ind w:left="1540"/>
    </w:pPr>
  </w:style>
  <w:style w:type="paragraph" w:styleId="TOC9">
    <w:name w:val="toc 9"/>
    <w:basedOn w:val="Normal"/>
    <w:next w:val="Normal"/>
    <w:autoRedefine/>
    <w:uiPriority w:val="39"/>
    <w:semiHidden/>
    <w:unhideWhenUsed/>
    <w:rsid w:val="00370905"/>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3572">
      <w:bodyDiv w:val="1"/>
      <w:marLeft w:val="0"/>
      <w:marRight w:val="0"/>
      <w:marTop w:val="0"/>
      <w:marBottom w:val="0"/>
      <w:divBdr>
        <w:top w:val="none" w:sz="0" w:space="0" w:color="auto"/>
        <w:left w:val="none" w:sz="0" w:space="0" w:color="auto"/>
        <w:bottom w:val="none" w:sz="0" w:space="0" w:color="auto"/>
        <w:right w:val="none" w:sz="0" w:space="0" w:color="auto"/>
      </w:divBdr>
      <w:divsChild>
        <w:div w:id="1574465123">
          <w:marLeft w:val="0"/>
          <w:marRight w:val="0"/>
          <w:marTop w:val="0"/>
          <w:marBottom w:val="0"/>
          <w:divBdr>
            <w:top w:val="none" w:sz="0" w:space="0" w:color="auto"/>
            <w:left w:val="none" w:sz="0" w:space="0" w:color="auto"/>
            <w:bottom w:val="none" w:sz="0" w:space="0" w:color="auto"/>
            <w:right w:val="none" w:sz="0" w:space="0" w:color="auto"/>
          </w:divBdr>
          <w:divsChild>
            <w:div w:id="144627051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7606215">
      <w:bodyDiv w:val="1"/>
      <w:marLeft w:val="0"/>
      <w:marRight w:val="0"/>
      <w:marTop w:val="0"/>
      <w:marBottom w:val="0"/>
      <w:divBdr>
        <w:top w:val="none" w:sz="0" w:space="0" w:color="auto"/>
        <w:left w:val="none" w:sz="0" w:space="0" w:color="auto"/>
        <w:bottom w:val="none" w:sz="0" w:space="0" w:color="auto"/>
        <w:right w:val="none" w:sz="0" w:space="0" w:color="auto"/>
      </w:divBdr>
    </w:div>
    <w:div w:id="56514405">
      <w:bodyDiv w:val="1"/>
      <w:marLeft w:val="0"/>
      <w:marRight w:val="0"/>
      <w:marTop w:val="0"/>
      <w:marBottom w:val="0"/>
      <w:divBdr>
        <w:top w:val="none" w:sz="0" w:space="0" w:color="auto"/>
        <w:left w:val="none" w:sz="0" w:space="0" w:color="auto"/>
        <w:bottom w:val="none" w:sz="0" w:space="0" w:color="auto"/>
        <w:right w:val="none" w:sz="0" w:space="0" w:color="auto"/>
      </w:divBdr>
    </w:div>
    <w:div w:id="82846156">
      <w:bodyDiv w:val="1"/>
      <w:marLeft w:val="0"/>
      <w:marRight w:val="0"/>
      <w:marTop w:val="0"/>
      <w:marBottom w:val="0"/>
      <w:divBdr>
        <w:top w:val="none" w:sz="0" w:space="0" w:color="auto"/>
        <w:left w:val="none" w:sz="0" w:space="0" w:color="auto"/>
        <w:bottom w:val="none" w:sz="0" w:space="0" w:color="auto"/>
        <w:right w:val="none" w:sz="0" w:space="0" w:color="auto"/>
      </w:divBdr>
    </w:div>
    <w:div w:id="108211038">
      <w:bodyDiv w:val="1"/>
      <w:marLeft w:val="0"/>
      <w:marRight w:val="0"/>
      <w:marTop w:val="0"/>
      <w:marBottom w:val="0"/>
      <w:divBdr>
        <w:top w:val="none" w:sz="0" w:space="0" w:color="auto"/>
        <w:left w:val="none" w:sz="0" w:space="0" w:color="auto"/>
        <w:bottom w:val="none" w:sz="0" w:space="0" w:color="auto"/>
        <w:right w:val="none" w:sz="0" w:space="0" w:color="auto"/>
      </w:divBdr>
    </w:div>
    <w:div w:id="108933404">
      <w:bodyDiv w:val="1"/>
      <w:marLeft w:val="0"/>
      <w:marRight w:val="0"/>
      <w:marTop w:val="0"/>
      <w:marBottom w:val="0"/>
      <w:divBdr>
        <w:top w:val="none" w:sz="0" w:space="0" w:color="auto"/>
        <w:left w:val="none" w:sz="0" w:space="0" w:color="auto"/>
        <w:bottom w:val="none" w:sz="0" w:space="0" w:color="auto"/>
        <w:right w:val="none" w:sz="0" w:space="0" w:color="auto"/>
      </w:divBdr>
    </w:div>
    <w:div w:id="108938863">
      <w:bodyDiv w:val="1"/>
      <w:marLeft w:val="0"/>
      <w:marRight w:val="0"/>
      <w:marTop w:val="0"/>
      <w:marBottom w:val="0"/>
      <w:divBdr>
        <w:top w:val="none" w:sz="0" w:space="0" w:color="auto"/>
        <w:left w:val="none" w:sz="0" w:space="0" w:color="auto"/>
        <w:bottom w:val="none" w:sz="0" w:space="0" w:color="auto"/>
        <w:right w:val="none" w:sz="0" w:space="0" w:color="auto"/>
      </w:divBdr>
    </w:div>
    <w:div w:id="128862405">
      <w:bodyDiv w:val="1"/>
      <w:marLeft w:val="0"/>
      <w:marRight w:val="0"/>
      <w:marTop w:val="0"/>
      <w:marBottom w:val="0"/>
      <w:divBdr>
        <w:top w:val="none" w:sz="0" w:space="0" w:color="auto"/>
        <w:left w:val="none" w:sz="0" w:space="0" w:color="auto"/>
        <w:bottom w:val="none" w:sz="0" w:space="0" w:color="auto"/>
        <w:right w:val="none" w:sz="0" w:space="0" w:color="auto"/>
      </w:divBdr>
    </w:div>
    <w:div w:id="129593544">
      <w:bodyDiv w:val="1"/>
      <w:marLeft w:val="0"/>
      <w:marRight w:val="0"/>
      <w:marTop w:val="0"/>
      <w:marBottom w:val="0"/>
      <w:divBdr>
        <w:top w:val="none" w:sz="0" w:space="0" w:color="auto"/>
        <w:left w:val="none" w:sz="0" w:space="0" w:color="auto"/>
        <w:bottom w:val="none" w:sz="0" w:space="0" w:color="auto"/>
        <w:right w:val="none" w:sz="0" w:space="0" w:color="auto"/>
      </w:divBdr>
    </w:div>
    <w:div w:id="149255328">
      <w:bodyDiv w:val="1"/>
      <w:marLeft w:val="0"/>
      <w:marRight w:val="0"/>
      <w:marTop w:val="0"/>
      <w:marBottom w:val="0"/>
      <w:divBdr>
        <w:top w:val="none" w:sz="0" w:space="0" w:color="auto"/>
        <w:left w:val="none" w:sz="0" w:space="0" w:color="auto"/>
        <w:bottom w:val="none" w:sz="0" w:space="0" w:color="auto"/>
        <w:right w:val="none" w:sz="0" w:space="0" w:color="auto"/>
      </w:divBdr>
    </w:div>
    <w:div w:id="171145230">
      <w:bodyDiv w:val="1"/>
      <w:marLeft w:val="0"/>
      <w:marRight w:val="0"/>
      <w:marTop w:val="0"/>
      <w:marBottom w:val="0"/>
      <w:divBdr>
        <w:top w:val="none" w:sz="0" w:space="0" w:color="auto"/>
        <w:left w:val="none" w:sz="0" w:space="0" w:color="auto"/>
        <w:bottom w:val="none" w:sz="0" w:space="0" w:color="auto"/>
        <w:right w:val="none" w:sz="0" w:space="0" w:color="auto"/>
      </w:divBdr>
    </w:div>
    <w:div w:id="188567540">
      <w:bodyDiv w:val="1"/>
      <w:marLeft w:val="0"/>
      <w:marRight w:val="0"/>
      <w:marTop w:val="0"/>
      <w:marBottom w:val="0"/>
      <w:divBdr>
        <w:top w:val="none" w:sz="0" w:space="0" w:color="auto"/>
        <w:left w:val="none" w:sz="0" w:space="0" w:color="auto"/>
        <w:bottom w:val="none" w:sz="0" w:space="0" w:color="auto"/>
        <w:right w:val="none" w:sz="0" w:space="0" w:color="auto"/>
      </w:divBdr>
    </w:div>
    <w:div w:id="210114561">
      <w:bodyDiv w:val="1"/>
      <w:marLeft w:val="0"/>
      <w:marRight w:val="0"/>
      <w:marTop w:val="0"/>
      <w:marBottom w:val="0"/>
      <w:divBdr>
        <w:top w:val="none" w:sz="0" w:space="0" w:color="auto"/>
        <w:left w:val="none" w:sz="0" w:space="0" w:color="auto"/>
        <w:bottom w:val="none" w:sz="0" w:space="0" w:color="auto"/>
        <w:right w:val="none" w:sz="0" w:space="0" w:color="auto"/>
      </w:divBdr>
    </w:div>
    <w:div w:id="210581817">
      <w:bodyDiv w:val="1"/>
      <w:marLeft w:val="0"/>
      <w:marRight w:val="0"/>
      <w:marTop w:val="0"/>
      <w:marBottom w:val="0"/>
      <w:divBdr>
        <w:top w:val="none" w:sz="0" w:space="0" w:color="auto"/>
        <w:left w:val="none" w:sz="0" w:space="0" w:color="auto"/>
        <w:bottom w:val="none" w:sz="0" w:space="0" w:color="auto"/>
        <w:right w:val="none" w:sz="0" w:space="0" w:color="auto"/>
      </w:divBdr>
    </w:div>
    <w:div w:id="217205931">
      <w:bodyDiv w:val="1"/>
      <w:marLeft w:val="0"/>
      <w:marRight w:val="0"/>
      <w:marTop w:val="0"/>
      <w:marBottom w:val="0"/>
      <w:divBdr>
        <w:top w:val="none" w:sz="0" w:space="0" w:color="auto"/>
        <w:left w:val="none" w:sz="0" w:space="0" w:color="auto"/>
        <w:bottom w:val="none" w:sz="0" w:space="0" w:color="auto"/>
        <w:right w:val="none" w:sz="0" w:space="0" w:color="auto"/>
      </w:divBdr>
    </w:div>
    <w:div w:id="231932102">
      <w:bodyDiv w:val="1"/>
      <w:marLeft w:val="0"/>
      <w:marRight w:val="0"/>
      <w:marTop w:val="0"/>
      <w:marBottom w:val="0"/>
      <w:divBdr>
        <w:top w:val="none" w:sz="0" w:space="0" w:color="auto"/>
        <w:left w:val="none" w:sz="0" w:space="0" w:color="auto"/>
        <w:bottom w:val="none" w:sz="0" w:space="0" w:color="auto"/>
        <w:right w:val="none" w:sz="0" w:space="0" w:color="auto"/>
      </w:divBdr>
      <w:divsChild>
        <w:div w:id="1972055164">
          <w:marLeft w:val="274"/>
          <w:marRight w:val="0"/>
          <w:marTop w:val="259"/>
          <w:marBottom w:val="120"/>
          <w:divBdr>
            <w:top w:val="none" w:sz="0" w:space="0" w:color="auto"/>
            <w:left w:val="none" w:sz="0" w:space="0" w:color="auto"/>
            <w:bottom w:val="none" w:sz="0" w:space="0" w:color="auto"/>
            <w:right w:val="none" w:sz="0" w:space="0" w:color="auto"/>
          </w:divBdr>
        </w:div>
        <w:div w:id="240914356">
          <w:marLeft w:val="533"/>
          <w:marRight w:val="0"/>
          <w:marTop w:val="77"/>
          <w:marBottom w:val="120"/>
          <w:divBdr>
            <w:top w:val="none" w:sz="0" w:space="0" w:color="auto"/>
            <w:left w:val="none" w:sz="0" w:space="0" w:color="auto"/>
            <w:bottom w:val="none" w:sz="0" w:space="0" w:color="auto"/>
            <w:right w:val="none" w:sz="0" w:space="0" w:color="auto"/>
          </w:divBdr>
        </w:div>
        <w:div w:id="21827396">
          <w:marLeft w:val="533"/>
          <w:marRight w:val="0"/>
          <w:marTop w:val="77"/>
          <w:marBottom w:val="120"/>
          <w:divBdr>
            <w:top w:val="none" w:sz="0" w:space="0" w:color="auto"/>
            <w:left w:val="none" w:sz="0" w:space="0" w:color="auto"/>
            <w:bottom w:val="none" w:sz="0" w:space="0" w:color="auto"/>
            <w:right w:val="none" w:sz="0" w:space="0" w:color="auto"/>
          </w:divBdr>
        </w:div>
        <w:div w:id="1925257208">
          <w:marLeft w:val="274"/>
          <w:marRight w:val="0"/>
          <w:marTop w:val="259"/>
          <w:marBottom w:val="120"/>
          <w:divBdr>
            <w:top w:val="none" w:sz="0" w:space="0" w:color="auto"/>
            <w:left w:val="none" w:sz="0" w:space="0" w:color="auto"/>
            <w:bottom w:val="none" w:sz="0" w:space="0" w:color="auto"/>
            <w:right w:val="none" w:sz="0" w:space="0" w:color="auto"/>
          </w:divBdr>
        </w:div>
        <w:div w:id="1310279865">
          <w:marLeft w:val="533"/>
          <w:marRight w:val="0"/>
          <w:marTop w:val="77"/>
          <w:marBottom w:val="120"/>
          <w:divBdr>
            <w:top w:val="none" w:sz="0" w:space="0" w:color="auto"/>
            <w:left w:val="none" w:sz="0" w:space="0" w:color="auto"/>
            <w:bottom w:val="none" w:sz="0" w:space="0" w:color="auto"/>
            <w:right w:val="none" w:sz="0" w:space="0" w:color="auto"/>
          </w:divBdr>
        </w:div>
        <w:div w:id="1512185837">
          <w:marLeft w:val="533"/>
          <w:marRight w:val="0"/>
          <w:marTop w:val="77"/>
          <w:marBottom w:val="120"/>
          <w:divBdr>
            <w:top w:val="none" w:sz="0" w:space="0" w:color="auto"/>
            <w:left w:val="none" w:sz="0" w:space="0" w:color="auto"/>
            <w:bottom w:val="none" w:sz="0" w:space="0" w:color="auto"/>
            <w:right w:val="none" w:sz="0" w:space="0" w:color="auto"/>
          </w:divBdr>
        </w:div>
        <w:div w:id="791241595">
          <w:marLeft w:val="533"/>
          <w:marRight w:val="0"/>
          <w:marTop w:val="77"/>
          <w:marBottom w:val="120"/>
          <w:divBdr>
            <w:top w:val="none" w:sz="0" w:space="0" w:color="auto"/>
            <w:left w:val="none" w:sz="0" w:space="0" w:color="auto"/>
            <w:bottom w:val="none" w:sz="0" w:space="0" w:color="auto"/>
            <w:right w:val="none" w:sz="0" w:space="0" w:color="auto"/>
          </w:divBdr>
        </w:div>
        <w:div w:id="602151818">
          <w:marLeft w:val="274"/>
          <w:marRight w:val="0"/>
          <w:marTop w:val="259"/>
          <w:marBottom w:val="120"/>
          <w:divBdr>
            <w:top w:val="none" w:sz="0" w:space="0" w:color="auto"/>
            <w:left w:val="none" w:sz="0" w:space="0" w:color="auto"/>
            <w:bottom w:val="none" w:sz="0" w:space="0" w:color="auto"/>
            <w:right w:val="none" w:sz="0" w:space="0" w:color="auto"/>
          </w:divBdr>
        </w:div>
      </w:divsChild>
    </w:div>
    <w:div w:id="245505233">
      <w:bodyDiv w:val="1"/>
      <w:marLeft w:val="0"/>
      <w:marRight w:val="0"/>
      <w:marTop w:val="0"/>
      <w:marBottom w:val="0"/>
      <w:divBdr>
        <w:top w:val="none" w:sz="0" w:space="0" w:color="auto"/>
        <w:left w:val="none" w:sz="0" w:space="0" w:color="auto"/>
        <w:bottom w:val="none" w:sz="0" w:space="0" w:color="auto"/>
        <w:right w:val="none" w:sz="0" w:space="0" w:color="auto"/>
      </w:divBdr>
    </w:div>
    <w:div w:id="254674782">
      <w:bodyDiv w:val="1"/>
      <w:marLeft w:val="0"/>
      <w:marRight w:val="0"/>
      <w:marTop w:val="0"/>
      <w:marBottom w:val="0"/>
      <w:divBdr>
        <w:top w:val="none" w:sz="0" w:space="0" w:color="auto"/>
        <w:left w:val="none" w:sz="0" w:space="0" w:color="auto"/>
        <w:bottom w:val="none" w:sz="0" w:space="0" w:color="auto"/>
        <w:right w:val="none" w:sz="0" w:space="0" w:color="auto"/>
      </w:divBdr>
    </w:div>
    <w:div w:id="263197748">
      <w:bodyDiv w:val="1"/>
      <w:marLeft w:val="0"/>
      <w:marRight w:val="0"/>
      <w:marTop w:val="0"/>
      <w:marBottom w:val="0"/>
      <w:divBdr>
        <w:top w:val="none" w:sz="0" w:space="0" w:color="auto"/>
        <w:left w:val="none" w:sz="0" w:space="0" w:color="auto"/>
        <w:bottom w:val="none" w:sz="0" w:space="0" w:color="auto"/>
        <w:right w:val="none" w:sz="0" w:space="0" w:color="auto"/>
      </w:divBdr>
    </w:div>
    <w:div w:id="285694625">
      <w:bodyDiv w:val="1"/>
      <w:marLeft w:val="0"/>
      <w:marRight w:val="0"/>
      <w:marTop w:val="0"/>
      <w:marBottom w:val="0"/>
      <w:divBdr>
        <w:top w:val="none" w:sz="0" w:space="0" w:color="auto"/>
        <w:left w:val="none" w:sz="0" w:space="0" w:color="auto"/>
        <w:bottom w:val="none" w:sz="0" w:space="0" w:color="auto"/>
        <w:right w:val="none" w:sz="0" w:space="0" w:color="auto"/>
      </w:divBdr>
    </w:div>
    <w:div w:id="293407689">
      <w:bodyDiv w:val="1"/>
      <w:marLeft w:val="0"/>
      <w:marRight w:val="0"/>
      <w:marTop w:val="0"/>
      <w:marBottom w:val="0"/>
      <w:divBdr>
        <w:top w:val="none" w:sz="0" w:space="0" w:color="auto"/>
        <w:left w:val="none" w:sz="0" w:space="0" w:color="auto"/>
        <w:bottom w:val="none" w:sz="0" w:space="0" w:color="auto"/>
        <w:right w:val="none" w:sz="0" w:space="0" w:color="auto"/>
      </w:divBdr>
    </w:div>
    <w:div w:id="294725872">
      <w:bodyDiv w:val="1"/>
      <w:marLeft w:val="0"/>
      <w:marRight w:val="0"/>
      <w:marTop w:val="0"/>
      <w:marBottom w:val="0"/>
      <w:divBdr>
        <w:top w:val="none" w:sz="0" w:space="0" w:color="auto"/>
        <w:left w:val="none" w:sz="0" w:space="0" w:color="auto"/>
        <w:bottom w:val="none" w:sz="0" w:space="0" w:color="auto"/>
        <w:right w:val="none" w:sz="0" w:space="0" w:color="auto"/>
      </w:divBdr>
    </w:div>
    <w:div w:id="311563272">
      <w:bodyDiv w:val="1"/>
      <w:marLeft w:val="0"/>
      <w:marRight w:val="0"/>
      <w:marTop w:val="0"/>
      <w:marBottom w:val="0"/>
      <w:divBdr>
        <w:top w:val="none" w:sz="0" w:space="0" w:color="auto"/>
        <w:left w:val="none" w:sz="0" w:space="0" w:color="auto"/>
        <w:bottom w:val="none" w:sz="0" w:space="0" w:color="auto"/>
        <w:right w:val="none" w:sz="0" w:space="0" w:color="auto"/>
      </w:divBdr>
    </w:div>
    <w:div w:id="321351239">
      <w:bodyDiv w:val="1"/>
      <w:marLeft w:val="0"/>
      <w:marRight w:val="0"/>
      <w:marTop w:val="0"/>
      <w:marBottom w:val="0"/>
      <w:divBdr>
        <w:top w:val="none" w:sz="0" w:space="0" w:color="auto"/>
        <w:left w:val="none" w:sz="0" w:space="0" w:color="auto"/>
        <w:bottom w:val="none" w:sz="0" w:space="0" w:color="auto"/>
        <w:right w:val="none" w:sz="0" w:space="0" w:color="auto"/>
      </w:divBdr>
    </w:div>
    <w:div w:id="322588373">
      <w:bodyDiv w:val="1"/>
      <w:marLeft w:val="0"/>
      <w:marRight w:val="0"/>
      <w:marTop w:val="0"/>
      <w:marBottom w:val="0"/>
      <w:divBdr>
        <w:top w:val="none" w:sz="0" w:space="0" w:color="auto"/>
        <w:left w:val="none" w:sz="0" w:space="0" w:color="auto"/>
        <w:bottom w:val="none" w:sz="0" w:space="0" w:color="auto"/>
        <w:right w:val="none" w:sz="0" w:space="0" w:color="auto"/>
      </w:divBdr>
    </w:div>
    <w:div w:id="325940678">
      <w:bodyDiv w:val="1"/>
      <w:marLeft w:val="0"/>
      <w:marRight w:val="0"/>
      <w:marTop w:val="0"/>
      <w:marBottom w:val="0"/>
      <w:divBdr>
        <w:top w:val="none" w:sz="0" w:space="0" w:color="auto"/>
        <w:left w:val="none" w:sz="0" w:space="0" w:color="auto"/>
        <w:bottom w:val="none" w:sz="0" w:space="0" w:color="auto"/>
        <w:right w:val="none" w:sz="0" w:space="0" w:color="auto"/>
      </w:divBdr>
    </w:div>
    <w:div w:id="367223027">
      <w:bodyDiv w:val="1"/>
      <w:marLeft w:val="0"/>
      <w:marRight w:val="0"/>
      <w:marTop w:val="0"/>
      <w:marBottom w:val="0"/>
      <w:divBdr>
        <w:top w:val="none" w:sz="0" w:space="0" w:color="auto"/>
        <w:left w:val="none" w:sz="0" w:space="0" w:color="auto"/>
        <w:bottom w:val="none" w:sz="0" w:space="0" w:color="auto"/>
        <w:right w:val="none" w:sz="0" w:space="0" w:color="auto"/>
      </w:divBdr>
    </w:div>
    <w:div w:id="372115576">
      <w:bodyDiv w:val="1"/>
      <w:marLeft w:val="0"/>
      <w:marRight w:val="0"/>
      <w:marTop w:val="0"/>
      <w:marBottom w:val="0"/>
      <w:divBdr>
        <w:top w:val="none" w:sz="0" w:space="0" w:color="auto"/>
        <w:left w:val="none" w:sz="0" w:space="0" w:color="auto"/>
        <w:bottom w:val="none" w:sz="0" w:space="0" w:color="auto"/>
        <w:right w:val="none" w:sz="0" w:space="0" w:color="auto"/>
      </w:divBdr>
    </w:div>
    <w:div w:id="401374624">
      <w:bodyDiv w:val="1"/>
      <w:marLeft w:val="0"/>
      <w:marRight w:val="0"/>
      <w:marTop w:val="0"/>
      <w:marBottom w:val="0"/>
      <w:divBdr>
        <w:top w:val="none" w:sz="0" w:space="0" w:color="auto"/>
        <w:left w:val="none" w:sz="0" w:space="0" w:color="auto"/>
        <w:bottom w:val="none" w:sz="0" w:space="0" w:color="auto"/>
        <w:right w:val="none" w:sz="0" w:space="0" w:color="auto"/>
      </w:divBdr>
    </w:div>
    <w:div w:id="405498932">
      <w:bodyDiv w:val="1"/>
      <w:marLeft w:val="0"/>
      <w:marRight w:val="0"/>
      <w:marTop w:val="0"/>
      <w:marBottom w:val="0"/>
      <w:divBdr>
        <w:top w:val="none" w:sz="0" w:space="0" w:color="auto"/>
        <w:left w:val="none" w:sz="0" w:space="0" w:color="auto"/>
        <w:bottom w:val="none" w:sz="0" w:space="0" w:color="auto"/>
        <w:right w:val="none" w:sz="0" w:space="0" w:color="auto"/>
      </w:divBdr>
    </w:div>
    <w:div w:id="409888901">
      <w:bodyDiv w:val="1"/>
      <w:marLeft w:val="0"/>
      <w:marRight w:val="0"/>
      <w:marTop w:val="0"/>
      <w:marBottom w:val="0"/>
      <w:divBdr>
        <w:top w:val="none" w:sz="0" w:space="0" w:color="auto"/>
        <w:left w:val="none" w:sz="0" w:space="0" w:color="auto"/>
        <w:bottom w:val="none" w:sz="0" w:space="0" w:color="auto"/>
        <w:right w:val="none" w:sz="0" w:space="0" w:color="auto"/>
      </w:divBdr>
    </w:div>
    <w:div w:id="421492480">
      <w:bodyDiv w:val="1"/>
      <w:marLeft w:val="0"/>
      <w:marRight w:val="0"/>
      <w:marTop w:val="0"/>
      <w:marBottom w:val="0"/>
      <w:divBdr>
        <w:top w:val="none" w:sz="0" w:space="0" w:color="auto"/>
        <w:left w:val="none" w:sz="0" w:space="0" w:color="auto"/>
        <w:bottom w:val="none" w:sz="0" w:space="0" w:color="auto"/>
        <w:right w:val="none" w:sz="0" w:space="0" w:color="auto"/>
      </w:divBdr>
    </w:div>
    <w:div w:id="431633048">
      <w:bodyDiv w:val="1"/>
      <w:marLeft w:val="0"/>
      <w:marRight w:val="0"/>
      <w:marTop w:val="0"/>
      <w:marBottom w:val="0"/>
      <w:divBdr>
        <w:top w:val="none" w:sz="0" w:space="0" w:color="auto"/>
        <w:left w:val="none" w:sz="0" w:space="0" w:color="auto"/>
        <w:bottom w:val="none" w:sz="0" w:space="0" w:color="auto"/>
        <w:right w:val="none" w:sz="0" w:space="0" w:color="auto"/>
      </w:divBdr>
    </w:div>
    <w:div w:id="432239340">
      <w:bodyDiv w:val="1"/>
      <w:marLeft w:val="0"/>
      <w:marRight w:val="0"/>
      <w:marTop w:val="0"/>
      <w:marBottom w:val="0"/>
      <w:divBdr>
        <w:top w:val="none" w:sz="0" w:space="0" w:color="auto"/>
        <w:left w:val="none" w:sz="0" w:space="0" w:color="auto"/>
        <w:bottom w:val="none" w:sz="0" w:space="0" w:color="auto"/>
        <w:right w:val="none" w:sz="0" w:space="0" w:color="auto"/>
      </w:divBdr>
      <w:divsChild>
        <w:div w:id="1491100996">
          <w:marLeft w:val="0"/>
          <w:marRight w:val="0"/>
          <w:marTop w:val="180"/>
          <w:marBottom w:val="180"/>
          <w:divBdr>
            <w:top w:val="none" w:sz="0" w:space="0" w:color="auto"/>
            <w:left w:val="none" w:sz="0" w:space="0" w:color="auto"/>
            <w:bottom w:val="none" w:sz="0" w:space="0" w:color="auto"/>
            <w:right w:val="none" w:sz="0" w:space="0" w:color="auto"/>
          </w:divBdr>
          <w:divsChild>
            <w:div w:id="696081580">
              <w:marLeft w:val="-225"/>
              <w:marRight w:val="-225"/>
              <w:marTop w:val="0"/>
              <w:marBottom w:val="0"/>
              <w:divBdr>
                <w:top w:val="none" w:sz="0" w:space="0" w:color="auto"/>
                <w:left w:val="none" w:sz="0" w:space="0" w:color="auto"/>
                <w:bottom w:val="none" w:sz="0" w:space="0" w:color="auto"/>
                <w:right w:val="none" w:sz="0" w:space="0" w:color="auto"/>
              </w:divBdr>
              <w:divsChild>
                <w:div w:id="1273434157">
                  <w:marLeft w:val="0"/>
                  <w:marRight w:val="0"/>
                  <w:marTop w:val="0"/>
                  <w:marBottom w:val="0"/>
                  <w:divBdr>
                    <w:top w:val="none" w:sz="0" w:space="0" w:color="auto"/>
                    <w:left w:val="none" w:sz="0" w:space="0" w:color="auto"/>
                    <w:bottom w:val="none" w:sz="0" w:space="0" w:color="auto"/>
                    <w:right w:val="none" w:sz="0" w:space="0" w:color="auto"/>
                  </w:divBdr>
                  <w:divsChild>
                    <w:div w:id="1661808245">
                      <w:marLeft w:val="-225"/>
                      <w:marRight w:val="-225"/>
                      <w:marTop w:val="0"/>
                      <w:marBottom w:val="0"/>
                      <w:divBdr>
                        <w:top w:val="none" w:sz="0" w:space="0" w:color="auto"/>
                        <w:left w:val="none" w:sz="0" w:space="0" w:color="auto"/>
                        <w:bottom w:val="none" w:sz="0" w:space="0" w:color="auto"/>
                        <w:right w:val="none" w:sz="0" w:space="0" w:color="auto"/>
                      </w:divBdr>
                      <w:divsChild>
                        <w:div w:id="2135518722">
                          <w:marLeft w:val="0"/>
                          <w:marRight w:val="0"/>
                          <w:marTop w:val="0"/>
                          <w:marBottom w:val="0"/>
                          <w:divBdr>
                            <w:top w:val="none" w:sz="0" w:space="0" w:color="auto"/>
                            <w:left w:val="none" w:sz="0" w:space="0" w:color="auto"/>
                            <w:bottom w:val="none" w:sz="0" w:space="0" w:color="auto"/>
                            <w:right w:val="none" w:sz="0" w:space="0" w:color="auto"/>
                          </w:divBdr>
                          <w:divsChild>
                            <w:div w:id="437801079">
                              <w:marLeft w:val="0"/>
                              <w:marRight w:val="0"/>
                              <w:marTop w:val="0"/>
                              <w:marBottom w:val="0"/>
                              <w:divBdr>
                                <w:top w:val="none" w:sz="0" w:space="0" w:color="auto"/>
                                <w:left w:val="none" w:sz="0" w:space="0" w:color="auto"/>
                                <w:bottom w:val="none" w:sz="0" w:space="0" w:color="auto"/>
                                <w:right w:val="none" w:sz="0" w:space="0" w:color="auto"/>
                              </w:divBdr>
                              <w:divsChild>
                                <w:div w:id="1834174159">
                                  <w:marLeft w:val="0"/>
                                  <w:marRight w:val="0"/>
                                  <w:marTop w:val="0"/>
                                  <w:marBottom w:val="0"/>
                                  <w:divBdr>
                                    <w:top w:val="none" w:sz="0" w:space="0" w:color="auto"/>
                                    <w:left w:val="none" w:sz="0" w:space="0" w:color="auto"/>
                                    <w:bottom w:val="none" w:sz="0" w:space="0" w:color="auto"/>
                                    <w:right w:val="none" w:sz="0" w:space="0" w:color="auto"/>
                                  </w:divBdr>
                                  <w:divsChild>
                                    <w:div w:id="1711106365">
                                      <w:marLeft w:val="0"/>
                                      <w:marRight w:val="0"/>
                                      <w:marTop w:val="0"/>
                                      <w:marBottom w:val="0"/>
                                      <w:divBdr>
                                        <w:top w:val="none" w:sz="0" w:space="0" w:color="auto"/>
                                        <w:left w:val="none" w:sz="0" w:space="0" w:color="auto"/>
                                        <w:bottom w:val="none" w:sz="0" w:space="0" w:color="auto"/>
                                        <w:right w:val="none" w:sz="0" w:space="0" w:color="auto"/>
                                      </w:divBdr>
                                      <w:divsChild>
                                        <w:div w:id="10599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634065">
      <w:bodyDiv w:val="1"/>
      <w:marLeft w:val="0"/>
      <w:marRight w:val="0"/>
      <w:marTop w:val="0"/>
      <w:marBottom w:val="0"/>
      <w:divBdr>
        <w:top w:val="none" w:sz="0" w:space="0" w:color="auto"/>
        <w:left w:val="none" w:sz="0" w:space="0" w:color="auto"/>
        <w:bottom w:val="none" w:sz="0" w:space="0" w:color="auto"/>
        <w:right w:val="none" w:sz="0" w:space="0" w:color="auto"/>
      </w:divBdr>
    </w:div>
    <w:div w:id="447773433">
      <w:bodyDiv w:val="1"/>
      <w:marLeft w:val="0"/>
      <w:marRight w:val="0"/>
      <w:marTop w:val="0"/>
      <w:marBottom w:val="0"/>
      <w:divBdr>
        <w:top w:val="none" w:sz="0" w:space="0" w:color="auto"/>
        <w:left w:val="none" w:sz="0" w:space="0" w:color="auto"/>
        <w:bottom w:val="none" w:sz="0" w:space="0" w:color="auto"/>
        <w:right w:val="none" w:sz="0" w:space="0" w:color="auto"/>
      </w:divBdr>
    </w:div>
    <w:div w:id="472984100">
      <w:bodyDiv w:val="1"/>
      <w:marLeft w:val="0"/>
      <w:marRight w:val="0"/>
      <w:marTop w:val="0"/>
      <w:marBottom w:val="0"/>
      <w:divBdr>
        <w:top w:val="none" w:sz="0" w:space="0" w:color="auto"/>
        <w:left w:val="none" w:sz="0" w:space="0" w:color="auto"/>
        <w:bottom w:val="none" w:sz="0" w:space="0" w:color="auto"/>
        <w:right w:val="none" w:sz="0" w:space="0" w:color="auto"/>
      </w:divBdr>
    </w:div>
    <w:div w:id="496573682">
      <w:bodyDiv w:val="1"/>
      <w:marLeft w:val="0"/>
      <w:marRight w:val="0"/>
      <w:marTop w:val="0"/>
      <w:marBottom w:val="0"/>
      <w:divBdr>
        <w:top w:val="none" w:sz="0" w:space="0" w:color="auto"/>
        <w:left w:val="none" w:sz="0" w:space="0" w:color="auto"/>
        <w:bottom w:val="none" w:sz="0" w:space="0" w:color="auto"/>
        <w:right w:val="none" w:sz="0" w:space="0" w:color="auto"/>
      </w:divBdr>
    </w:div>
    <w:div w:id="504367595">
      <w:bodyDiv w:val="1"/>
      <w:marLeft w:val="0"/>
      <w:marRight w:val="0"/>
      <w:marTop w:val="0"/>
      <w:marBottom w:val="0"/>
      <w:divBdr>
        <w:top w:val="none" w:sz="0" w:space="0" w:color="auto"/>
        <w:left w:val="none" w:sz="0" w:space="0" w:color="auto"/>
        <w:bottom w:val="none" w:sz="0" w:space="0" w:color="auto"/>
        <w:right w:val="none" w:sz="0" w:space="0" w:color="auto"/>
      </w:divBdr>
    </w:div>
    <w:div w:id="510030507">
      <w:bodyDiv w:val="1"/>
      <w:marLeft w:val="0"/>
      <w:marRight w:val="0"/>
      <w:marTop w:val="0"/>
      <w:marBottom w:val="0"/>
      <w:divBdr>
        <w:top w:val="none" w:sz="0" w:space="0" w:color="auto"/>
        <w:left w:val="none" w:sz="0" w:space="0" w:color="auto"/>
        <w:bottom w:val="none" w:sz="0" w:space="0" w:color="auto"/>
        <w:right w:val="none" w:sz="0" w:space="0" w:color="auto"/>
      </w:divBdr>
    </w:div>
    <w:div w:id="523250720">
      <w:bodyDiv w:val="1"/>
      <w:marLeft w:val="0"/>
      <w:marRight w:val="0"/>
      <w:marTop w:val="0"/>
      <w:marBottom w:val="0"/>
      <w:divBdr>
        <w:top w:val="none" w:sz="0" w:space="0" w:color="auto"/>
        <w:left w:val="none" w:sz="0" w:space="0" w:color="auto"/>
        <w:bottom w:val="none" w:sz="0" w:space="0" w:color="auto"/>
        <w:right w:val="none" w:sz="0" w:space="0" w:color="auto"/>
      </w:divBdr>
    </w:div>
    <w:div w:id="529728296">
      <w:bodyDiv w:val="1"/>
      <w:marLeft w:val="0"/>
      <w:marRight w:val="0"/>
      <w:marTop w:val="0"/>
      <w:marBottom w:val="0"/>
      <w:divBdr>
        <w:top w:val="none" w:sz="0" w:space="0" w:color="auto"/>
        <w:left w:val="none" w:sz="0" w:space="0" w:color="auto"/>
        <w:bottom w:val="none" w:sz="0" w:space="0" w:color="auto"/>
        <w:right w:val="none" w:sz="0" w:space="0" w:color="auto"/>
      </w:divBdr>
    </w:div>
    <w:div w:id="539364512">
      <w:bodyDiv w:val="1"/>
      <w:marLeft w:val="0"/>
      <w:marRight w:val="0"/>
      <w:marTop w:val="0"/>
      <w:marBottom w:val="0"/>
      <w:divBdr>
        <w:top w:val="none" w:sz="0" w:space="0" w:color="auto"/>
        <w:left w:val="none" w:sz="0" w:space="0" w:color="auto"/>
        <w:bottom w:val="none" w:sz="0" w:space="0" w:color="auto"/>
        <w:right w:val="none" w:sz="0" w:space="0" w:color="auto"/>
      </w:divBdr>
      <w:divsChild>
        <w:div w:id="322315265">
          <w:marLeft w:val="547"/>
          <w:marRight w:val="0"/>
          <w:marTop w:val="180"/>
          <w:marBottom w:val="0"/>
          <w:divBdr>
            <w:top w:val="none" w:sz="0" w:space="0" w:color="auto"/>
            <w:left w:val="none" w:sz="0" w:space="0" w:color="auto"/>
            <w:bottom w:val="none" w:sz="0" w:space="0" w:color="auto"/>
            <w:right w:val="none" w:sz="0" w:space="0" w:color="auto"/>
          </w:divBdr>
        </w:div>
        <w:div w:id="1246694050">
          <w:marLeft w:val="547"/>
          <w:marRight w:val="0"/>
          <w:marTop w:val="180"/>
          <w:marBottom w:val="0"/>
          <w:divBdr>
            <w:top w:val="none" w:sz="0" w:space="0" w:color="auto"/>
            <w:left w:val="none" w:sz="0" w:space="0" w:color="auto"/>
            <w:bottom w:val="none" w:sz="0" w:space="0" w:color="auto"/>
            <w:right w:val="none" w:sz="0" w:space="0" w:color="auto"/>
          </w:divBdr>
        </w:div>
        <w:div w:id="1351029936">
          <w:marLeft w:val="547"/>
          <w:marRight w:val="0"/>
          <w:marTop w:val="180"/>
          <w:marBottom w:val="0"/>
          <w:divBdr>
            <w:top w:val="none" w:sz="0" w:space="0" w:color="auto"/>
            <w:left w:val="none" w:sz="0" w:space="0" w:color="auto"/>
            <w:bottom w:val="none" w:sz="0" w:space="0" w:color="auto"/>
            <w:right w:val="none" w:sz="0" w:space="0" w:color="auto"/>
          </w:divBdr>
        </w:div>
      </w:divsChild>
    </w:div>
    <w:div w:id="546189205">
      <w:bodyDiv w:val="1"/>
      <w:marLeft w:val="0"/>
      <w:marRight w:val="0"/>
      <w:marTop w:val="0"/>
      <w:marBottom w:val="0"/>
      <w:divBdr>
        <w:top w:val="none" w:sz="0" w:space="0" w:color="auto"/>
        <w:left w:val="none" w:sz="0" w:space="0" w:color="auto"/>
        <w:bottom w:val="none" w:sz="0" w:space="0" w:color="auto"/>
        <w:right w:val="none" w:sz="0" w:space="0" w:color="auto"/>
      </w:divBdr>
    </w:div>
    <w:div w:id="561791160">
      <w:bodyDiv w:val="1"/>
      <w:marLeft w:val="0"/>
      <w:marRight w:val="0"/>
      <w:marTop w:val="0"/>
      <w:marBottom w:val="0"/>
      <w:divBdr>
        <w:top w:val="none" w:sz="0" w:space="0" w:color="auto"/>
        <w:left w:val="none" w:sz="0" w:space="0" w:color="auto"/>
        <w:bottom w:val="none" w:sz="0" w:space="0" w:color="auto"/>
        <w:right w:val="none" w:sz="0" w:space="0" w:color="auto"/>
      </w:divBdr>
    </w:div>
    <w:div w:id="568734595">
      <w:bodyDiv w:val="1"/>
      <w:marLeft w:val="0"/>
      <w:marRight w:val="0"/>
      <w:marTop w:val="0"/>
      <w:marBottom w:val="0"/>
      <w:divBdr>
        <w:top w:val="none" w:sz="0" w:space="0" w:color="auto"/>
        <w:left w:val="none" w:sz="0" w:space="0" w:color="auto"/>
        <w:bottom w:val="none" w:sz="0" w:space="0" w:color="auto"/>
        <w:right w:val="none" w:sz="0" w:space="0" w:color="auto"/>
      </w:divBdr>
    </w:div>
    <w:div w:id="571768777">
      <w:bodyDiv w:val="1"/>
      <w:marLeft w:val="0"/>
      <w:marRight w:val="0"/>
      <w:marTop w:val="0"/>
      <w:marBottom w:val="0"/>
      <w:divBdr>
        <w:top w:val="none" w:sz="0" w:space="0" w:color="auto"/>
        <w:left w:val="none" w:sz="0" w:space="0" w:color="auto"/>
        <w:bottom w:val="none" w:sz="0" w:space="0" w:color="auto"/>
        <w:right w:val="none" w:sz="0" w:space="0" w:color="auto"/>
      </w:divBdr>
    </w:div>
    <w:div w:id="580526875">
      <w:bodyDiv w:val="1"/>
      <w:marLeft w:val="0"/>
      <w:marRight w:val="0"/>
      <w:marTop w:val="0"/>
      <w:marBottom w:val="0"/>
      <w:divBdr>
        <w:top w:val="none" w:sz="0" w:space="0" w:color="auto"/>
        <w:left w:val="none" w:sz="0" w:space="0" w:color="auto"/>
        <w:bottom w:val="none" w:sz="0" w:space="0" w:color="auto"/>
        <w:right w:val="none" w:sz="0" w:space="0" w:color="auto"/>
      </w:divBdr>
    </w:div>
    <w:div w:id="618150967">
      <w:bodyDiv w:val="1"/>
      <w:marLeft w:val="0"/>
      <w:marRight w:val="0"/>
      <w:marTop w:val="0"/>
      <w:marBottom w:val="0"/>
      <w:divBdr>
        <w:top w:val="none" w:sz="0" w:space="0" w:color="auto"/>
        <w:left w:val="none" w:sz="0" w:space="0" w:color="auto"/>
        <w:bottom w:val="none" w:sz="0" w:space="0" w:color="auto"/>
        <w:right w:val="none" w:sz="0" w:space="0" w:color="auto"/>
      </w:divBdr>
    </w:div>
    <w:div w:id="639698129">
      <w:bodyDiv w:val="1"/>
      <w:marLeft w:val="0"/>
      <w:marRight w:val="0"/>
      <w:marTop w:val="0"/>
      <w:marBottom w:val="0"/>
      <w:divBdr>
        <w:top w:val="none" w:sz="0" w:space="0" w:color="auto"/>
        <w:left w:val="none" w:sz="0" w:space="0" w:color="auto"/>
        <w:bottom w:val="none" w:sz="0" w:space="0" w:color="auto"/>
        <w:right w:val="none" w:sz="0" w:space="0" w:color="auto"/>
      </w:divBdr>
      <w:divsChild>
        <w:div w:id="536117246">
          <w:marLeft w:val="850"/>
          <w:marRight w:val="0"/>
          <w:marTop w:val="180"/>
          <w:marBottom w:val="0"/>
          <w:divBdr>
            <w:top w:val="none" w:sz="0" w:space="0" w:color="auto"/>
            <w:left w:val="none" w:sz="0" w:space="0" w:color="auto"/>
            <w:bottom w:val="none" w:sz="0" w:space="0" w:color="auto"/>
            <w:right w:val="none" w:sz="0" w:space="0" w:color="auto"/>
          </w:divBdr>
        </w:div>
        <w:div w:id="1407531565">
          <w:marLeft w:val="850"/>
          <w:marRight w:val="0"/>
          <w:marTop w:val="180"/>
          <w:marBottom w:val="0"/>
          <w:divBdr>
            <w:top w:val="none" w:sz="0" w:space="0" w:color="auto"/>
            <w:left w:val="none" w:sz="0" w:space="0" w:color="auto"/>
            <w:bottom w:val="none" w:sz="0" w:space="0" w:color="auto"/>
            <w:right w:val="none" w:sz="0" w:space="0" w:color="auto"/>
          </w:divBdr>
        </w:div>
        <w:div w:id="1531801222">
          <w:marLeft w:val="446"/>
          <w:marRight w:val="0"/>
          <w:marTop w:val="180"/>
          <w:marBottom w:val="0"/>
          <w:divBdr>
            <w:top w:val="none" w:sz="0" w:space="0" w:color="auto"/>
            <w:left w:val="none" w:sz="0" w:space="0" w:color="auto"/>
            <w:bottom w:val="none" w:sz="0" w:space="0" w:color="auto"/>
            <w:right w:val="none" w:sz="0" w:space="0" w:color="auto"/>
          </w:divBdr>
        </w:div>
        <w:div w:id="2083944437">
          <w:marLeft w:val="446"/>
          <w:marRight w:val="0"/>
          <w:marTop w:val="180"/>
          <w:marBottom w:val="0"/>
          <w:divBdr>
            <w:top w:val="none" w:sz="0" w:space="0" w:color="auto"/>
            <w:left w:val="none" w:sz="0" w:space="0" w:color="auto"/>
            <w:bottom w:val="none" w:sz="0" w:space="0" w:color="auto"/>
            <w:right w:val="none" w:sz="0" w:space="0" w:color="auto"/>
          </w:divBdr>
        </w:div>
      </w:divsChild>
    </w:div>
    <w:div w:id="640039007">
      <w:bodyDiv w:val="1"/>
      <w:marLeft w:val="0"/>
      <w:marRight w:val="0"/>
      <w:marTop w:val="0"/>
      <w:marBottom w:val="0"/>
      <w:divBdr>
        <w:top w:val="none" w:sz="0" w:space="0" w:color="auto"/>
        <w:left w:val="none" w:sz="0" w:space="0" w:color="auto"/>
        <w:bottom w:val="none" w:sz="0" w:space="0" w:color="auto"/>
        <w:right w:val="none" w:sz="0" w:space="0" w:color="auto"/>
      </w:divBdr>
      <w:divsChild>
        <w:div w:id="44180876">
          <w:marLeft w:val="446"/>
          <w:marRight w:val="0"/>
          <w:marTop w:val="120"/>
          <w:marBottom w:val="40"/>
          <w:divBdr>
            <w:top w:val="none" w:sz="0" w:space="0" w:color="auto"/>
            <w:left w:val="none" w:sz="0" w:space="0" w:color="auto"/>
            <w:bottom w:val="none" w:sz="0" w:space="0" w:color="auto"/>
            <w:right w:val="none" w:sz="0" w:space="0" w:color="auto"/>
          </w:divBdr>
        </w:div>
        <w:div w:id="327174997">
          <w:marLeft w:val="446"/>
          <w:marRight w:val="0"/>
          <w:marTop w:val="120"/>
          <w:marBottom w:val="40"/>
          <w:divBdr>
            <w:top w:val="none" w:sz="0" w:space="0" w:color="auto"/>
            <w:left w:val="none" w:sz="0" w:space="0" w:color="auto"/>
            <w:bottom w:val="none" w:sz="0" w:space="0" w:color="auto"/>
            <w:right w:val="none" w:sz="0" w:space="0" w:color="auto"/>
          </w:divBdr>
        </w:div>
        <w:div w:id="525757292">
          <w:marLeft w:val="446"/>
          <w:marRight w:val="0"/>
          <w:marTop w:val="120"/>
          <w:marBottom w:val="160"/>
          <w:divBdr>
            <w:top w:val="none" w:sz="0" w:space="0" w:color="auto"/>
            <w:left w:val="none" w:sz="0" w:space="0" w:color="auto"/>
            <w:bottom w:val="none" w:sz="0" w:space="0" w:color="auto"/>
            <w:right w:val="none" w:sz="0" w:space="0" w:color="auto"/>
          </w:divBdr>
        </w:div>
        <w:div w:id="595359874">
          <w:marLeft w:val="446"/>
          <w:marRight w:val="0"/>
          <w:marTop w:val="120"/>
          <w:marBottom w:val="40"/>
          <w:divBdr>
            <w:top w:val="none" w:sz="0" w:space="0" w:color="auto"/>
            <w:left w:val="none" w:sz="0" w:space="0" w:color="auto"/>
            <w:bottom w:val="none" w:sz="0" w:space="0" w:color="auto"/>
            <w:right w:val="none" w:sz="0" w:space="0" w:color="auto"/>
          </w:divBdr>
        </w:div>
        <w:div w:id="1364550895">
          <w:marLeft w:val="446"/>
          <w:marRight w:val="0"/>
          <w:marTop w:val="120"/>
          <w:marBottom w:val="40"/>
          <w:divBdr>
            <w:top w:val="none" w:sz="0" w:space="0" w:color="auto"/>
            <w:left w:val="none" w:sz="0" w:space="0" w:color="auto"/>
            <w:bottom w:val="none" w:sz="0" w:space="0" w:color="auto"/>
            <w:right w:val="none" w:sz="0" w:space="0" w:color="auto"/>
          </w:divBdr>
        </w:div>
      </w:divsChild>
    </w:div>
    <w:div w:id="641689197">
      <w:bodyDiv w:val="1"/>
      <w:marLeft w:val="0"/>
      <w:marRight w:val="0"/>
      <w:marTop w:val="0"/>
      <w:marBottom w:val="0"/>
      <w:divBdr>
        <w:top w:val="none" w:sz="0" w:space="0" w:color="auto"/>
        <w:left w:val="none" w:sz="0" w:space="0" w:color="auto"/>
        <w:bottom w:val="none" w:sz="0" w:space="0" w:color="auto"/>
        <w:right w:val="none" w:sz="0" w:space="0" w:color="auto"/>
      </w:divBdr>
    </w:div>
    <w:div w:id="646471961">
      <w:bodyDiv w:val="1"/>
      <w:marLeft w:val="0"/>
      <w:marRight w:val="0"/>
      <w:marTop w:val="0"/>
      <w:marBottom w:val="0"/>
      <w:divBdr>
        <w:top w:val="none" w:sz="0" w:space="0" w:color="auto"/>
        <w:left w:val="none" w:sz="0" w:space="0" w:color="auto"/>
        <w:bottom w:val="none" w:sz="0" w:space="0" w:color="auto"/>
        <w:right w:val="none" w:sz="0" w:space="0" w:color="auto"/>
      </w:divBdr>
    </w:div>
    <w:div w:id="678508385">
      <w:bodyDiv w:val="1"/>
      <w:marLeft w:val="0"/>
      <w:marRight w:val="0"/>
      <w:marTop w:val="0"/>
      <w:marBottom w:val="0"/>
      <w:divBdr>
        <w:top w:val="none" w:sz="0" w:space="0" w:color="auto"/>
        <w:left w:val="none" w:sz="0" w:space="0" w:color="auto"/>
        <w:bottom w:val="none" w:sz="0" w:space="0" w:color="auto"/>
        <w:right w:val="none" w:sz="0" w:space="0" w:color="auto"/>
      </w:divBdr>
      <w:divsChild>
        <w:div w:id="479880577">
          <w:marLeft w:val="446"/>
          <w:marRight w:val="0"/>
          <w:marTop w:val="180"/>
          <w:marBottom w:val="0"/>
          <w:divBdr>
            <w:top w:val="none" w:sz="0" w:space="0" w:color="auto"/>
            <w:left w:val="none" w:sz="0" w:space="0" w:color="auto"/>
            <w:bottom w:val="none" w:sz="0" w:space="0" w:color="auto"/>
            <w:right w:val="none" w:sz="0" w:space="0" w:color="auto"/>
          </w:divBdr>
        </w:div>
        <w:div w:id="1361009442">
          <w:marLeft w:val="446"/>
          <w:marRight w:val="0"/>
          <w:marTop w:val="180"/>
          <w:marBottom w:val="0"/>
          <w:divBdr>
            <w:top w:val="none" w:sz="0" w:space="0" w:color="auto"/>
            <w:left w:val="none" w:sz="0" w:space="0" w:color="auto"/>
            <w:bottom w:val="none" w:sz="0" w:space="0" w:color="auto"/>
            <w:right w:val="none" w:sz="0" w:space="0" w:color="auto"/>
          </w:divBdr>
        </w:div>
      </w:divsChild>
    </w:div>
    <w:div w:id="700135624">
      <w:bodyDiv w:val="1"/>
      <w:marLeft w:val="0"/>
      <w:marRight w:val="0"/>
      <w:marTop w:val="0"/>
      <w:marBottom w:val="0"/>
      <w:divBdr>
        <w:top w:val="none" w:sz="0" w:space="0" w:color="auto"/>
        <w:left w:val="none" w:sz="0" w:space="0" w:color="auto"/>
        <w:bottom w:val="none" w:sz="0" w:space="0" w:color="auto"/>
        <w:right w:val="none" w:sz="0" w:space="0" w:color="auto"/>
      </w:divBdr>
    </w:div>
    <w:div w:id="704871404">
      <w:bodyDiv w:val="1"/>
      <w:marLeft w:val="0"/>
      <w:marRight w:val="0"/>
      <w:marTop w:val="0"/>
      <w:marBottom w:val="0"/>
      <w:divBdr>
        <w:top w:val="none" w:sz="0" w:space="0" w:color="auto"/>
        <w:left w:val="none" w:sz="0" w:space="0" w:color="auto"/>
        <w:bottom w:val="none" w:sz="0" w:space="0" w:color="auto"/>
        <w:right w:val="none" w:sz="0" w:space="0" w:color="auto"/>
      </w:divBdr>
    </w:div>
    <w:div w:id="723602465">
      <w:bodyDiv w:val="1"/>
      <w:marLeft w:val="0"/>
      <w:marRight w:val="0"/>
      <w:marTop w:val="0"/>
      <w:marBottom w:val="0"/>
      <w:divBdr>
        <w:top w:val="none" w:sz="0" w:space="0" w:color="auto"/>
        <w:left w:val="none" w:sz="0" w:space="0" w:color="auto"/>
        <w:bottom w:val="none" w:sz="0" w:space="0" w:color="auto"/>
        <w:right w:val="none" w:sz="0" w:space="0" w:color="auto"/>
      </w:divBdr>
    </w:div>
    <w:div w:id="724062736">
      <w:bodyDiv w:val="1"/>
      <w:marLeft w:val="0"/>
      <w:marRight w:val="0"/>
      <w:marTop w:val="0"/>
      <w:marBottom w:val="0"/>
      <w:divBdr>
        <w:top w:val="none" w:sz="0" w:space="0" w:color="auto"/>
        <w:left w:val="none" w:sz="0" w:space="0" w:color="auto"/>
        <w:bottom w:val="none" w:sz="0" w:space="0" w:color="auto"/>
        <w:right w:val="none" w:sz="0" w:space="0" w:color="auto"/>
      </w:divBdr>
    </w:div>
    <w:div w:id="733888922">
      <w:bodyDiv w:val="1"/>
      <w:marLeft w:val="0"/>
      <w:marRight w:val="0"/>
      <w:marTop w:val="0"/>
      <w:marBottom w:val="0"/>
      <w:divBdr>
        <w:top w:val="none" w:sz="0" w:space="0" w:color="auto"/>
        <w:left w:val="none" w:sz="0" w:space="0" w:color="auto"/>
        <w:bottom w:val="none" w:sz="0" w:space="0" w:color="auto"/>
        <w:right w:val="none" w:sz="0" w:space="0" w:color="auto"/>
      </w:divBdr>
    </w:div>
    <w:div w:id="785273583">
      <w:bodyDiv w:val="1"/>
      <w:marLeft w:val="0"/>
      <w:marRight w:val="0"/>
      <w:marTop w:val="0"/>
      <w:marBottom w:val="0"/>
      <w:divBdr>
        <w:top w:val="none" w:sz="0" w:space="0" w:color="auto"/>
        <w:left w:val="none" w:sz="0" w:space="0" w:color="auto"/>
        <w:bottom w:val="none" w:sz="0" w:space="0" w:color="auto"/>
        <w:right w:val="none" w:sz="0" w:space="0" w:color="auto"/>
      </w:divBdr>
    </w:div>
    <w:div w:id="785544506">
      <w:bodyDiv w:val="1"/>
      <w:marLeft w:val="0"/>
      <w:marRight w:val="0"/>
      <w:marTop w:val="0"/>
      <w:marBottom w:val="0"/>
      <w:divBdr>
        <w:top w:val="none" w:sz="0" w:space="0" w:color="auto"/>
        <w:left w:val="none" w:sz="0" w:space="0" w:color="auto"/>
        <w:bottom w:val="none" w:sz="0" w:space="0" w:color="auto"/>
        <w:right w:val="none" w:sz="0" w:space="0" w:color="auto"/>
      </w:divBdr>
    </w:div>
    <w:div w:id="790172642">
      <w:bodyDiv w:val="1"/>
      <w:marLeft w:val="0"/>
      <w:marRight w:val="0"/>
      <w:marTop w:val="0"/>
      <w:marBottom w:val="0"/>
      <w:divBdr>
        <w:top w:val="none" w:sz="0" w:space="0" w:color="auto"/>
        <w:left w:val="none" w:sz="0" w:space="0" w:color="auto"/>
        <w:bottom w:val="none" w:sz="0" w:space="0" w:color="auto"/>
        <w:right w:val="none" w:sz="0" w:space="0" w:color="auto"/>
      </w:divBdr>
    </w:div>
    <w:div w:id="802575813">
      <w:bodyDiv w:val="1"/>
      <w:marLeft w:val="0"/>
      <w:marRight w:val="0"/>
      <w:marTop w:val="0"/>
      <w:marBottom w:val="0"/>
      <w:divBdr>
        <w:top w:val="none" w:sz="0" w:space="0" w:color="auto"/>
        <w:left w:val="none" w:sz="0" w:space="0" w:color="auto"/>
        <w:bottom w:val="none" w:sz="0" w:space="0" w:color="auto"/>
        <w:right w:val="none" w:sz="0" w:space="0" w:color="auto"/>
      </w:divBdr>
    </w:div>
    <w:div w:id="805270791">
      <w:bodyDiv w:val="1"/>
      <w:marLeft w:val="0"/>
      <w:marRight w:val="0"/>
      <w:marTop w:val="0"/>
      <w:marBottom w:val="0"/>
      <w:divBdr>
        <w:top w:val="none" w:sz="0" w:space="0" w:color="auto"/>
        <w:left w:val="none" w:sz="0" w:space="0" w:color="auto"/>
        <w:bottom w:val="none" w:sz="0" w:space="0" w:color="auto"/>
        <w:right w:val="none" w:sz="0" w:space="0" w:color="auto"/>
      </w:divBdr>
    </w:div>
    <w:div w:id="812210222">
      <w:bodyDiv w:val="1"/>
      <w:marLeft w:val="0"/>
      <w:marRight w:val="0"/>
      <w:marTop w:val="0"/>
      <w:marBottom w:val="0"/>
      <w:divBdr>
        <w:top w:val="none" w:sz="0" w:space="0" w:color="auto"/>
        <w:left w:val="none" w:sz="0" w:space="0" w:color="auto"/>
        <w:bottom w:val="none" w:sz="0" w:space="0" w:color="auto"/>
        <w:right w:val="none" w:sz="0" w:space="0" w:color="auto"/>
      </w:divBdr>
    </w:div>
    <w:div w:id="819229603">
      <w:bodyDiv w:val="1"/>
      <w:marLeft w:val="0"/>
      <w:marRight w:val="0"/>
      <w:marTop w:val="0"/>
      <w:marBottom w:val="0"/>
      <w:divBdr>
        <w:top w:val="none" w:sz="0" w:space="0" w:color="auto"/>
        <w:left w:val="none" w:sz="0" w:space="0" w:color="auto"/>
        <w:bottom w:val="none" w:sz="0" w:space="0" w:color="auto"/>
        <w:right w:val="none" w:sz="0" w:space="0" w:color="auto"/>
      </w:divBdr>
    </w:div>
    <w:div w:id="821039709">
      <w:bodyDiv w:val="1"/>
      <w:marLeft w:val="0"/>
      <w:marRight w:val="0"/>
      <w:marTop w:val="0"/>
      <w:marBottom w:val="0"/>
      <w:divBdr>
        <w:top w:val="none" w:sz="0" w:space="0" w:color="auto"/>
        <w:left w:val="none" w:sz="0" w:space="0" w:color="auto"/>
        <w:bottom w:val="none" w:sz="0" w:space="0" w:color="auto"/>
        <w:right w:val="none" w:sz="0" w:space="0" w:color="auto"/>
      </w:divBdr>
      <w:divsChild>
        <w:div w:id="1999651810">
          <w:marLeft w:val="547"/>
          <w:marRight w:val="0"/>
          <w:marTop w:val="180"/>
          <w:marBottom w:val="0"/>
          <w:divBdr>
            <w:top w:val="none" w:sz="0" w:space="0" w:color="auto"/>
            <w:left w:val="none" w:sz="0" w:space="0" w:color="auto"/>
            <w:bottom w:val="none" w:sz="0" w:space="0" w:color="auto"/>
            <w:right w:val="none" w:sz="0" w:space="0" w:color="auto"/>
          </w:divBdr>
        </w:div>
        <w:div w:id="2093428874">
          <w:marLeft w:val="547"/>
          <w:marRight w:val="0"/>
          <w:marTop w:val="180"/>
          <w:marBottom w:val="0"/>
          <w:divBdr>
            <w:top w:val="none" w:sz="0" w:space="0" w:color="auto"/>
            <w:left w:val="none" w:sz="0" w:space="0" w:color="auto"/>
            <w:bottom w:val="none" w:sz="0" w:space="0" w:color="auto"/>
            <w:right w:val="none" w:sz="0" w:space="0" w:color="auto"/>
          </w:divBdr>
        </w:div>
      </w:divsChild>
    </w:div>
    <w:div w:id="822040212">
      <w:bodyDiv w:val="1"/>
      <w:marLeft w:val="0"/>
      <w:marRight w:val="0"/>
      <w:marTop w:val="0"/>
      <w:marBottom w:val="0"/>
      <w:divBdr>
        <w:top w:val="none" w:sz="0" w:space="0" w:color="auto"/>
        <w:left w:val="none" w:sz="0" w:space="0" w:color="auto"/>
        <w:bottom w:val="none" w:sz="0" w:space="0" w:color="auto"/>
        <w:right w:val="none" w:sz="0" w:space="0" w:color="auto"/>
      </w:divBdr>
    </w:div>
    <w:div w:id="822700466">
      <w:bodyDiv w:val="1"/>
      <w:marLeft w:val="0"/>
      <w:marRight w:val="0"/>
      <w:marTop w:val="0"/>
      <w:marBottom w:val="0"/>
      <w:divBdr>
        <w:top w:val="none" w:sz="0" w:space="0" w:color="auto"/>
        <w:left w:val="none" w:sz="0" w:space="0" w:color="auto"/>
        <w:bottom w:val="none" w:sz="0" w:space="0" w:color="auto"/>
        <w:right w:val="none" w:sz="0" w:space="0" w:color="auto"/>
      </w:divBdr>
      <w:divsChild>
        <w:div w:id="341595036">
          <w:marLeft w:val="274"/>
          <w:marRight w:val="0"/>
          <w:marTop w:val="180"/>
          <w:marBottom w:val="0"/>
          <w:divBdr>
            <w:top w:val="none" w:sz="0" w:space="0" w:color="auto"/>
            <w:left w:val="none" w:sz="0" w:space="0" w:color="auto"/>
            <w:bottom w:val="none" w:sz="0" w:space="0" w:color="auto"/>
            <w:right w:val="none" w:sz="0" w:space="0" w:color="auto"/>
          </w:divBdr>
        </w:div>
        <w:div w:id="438179248">
          <w:marLeft w:val="274"/>
          <w:marRight w:val="0"/>
          <w:marTop w:val="180"/>
          <w:marBottom w:val="0"/>
          <w:divBdr>
            <w:top w:val="none" w:sz="0" w:space="0" w:color="auto"/>
            <w:left w:val="none" w:sz="0" w:space="0" w:color="auto"/>
            <w:bottom w:val="none" w:sz="0" w:space="0" w:color="auto"/>
            <w:right w:val="none" w:sz="0" w:space="0" w:color="auto"/>
          </w:divBdr>
        </w:div>
        <w:div w:id="958415966">
          <w:marLeft w:val="274"/>
          <w:marRight w:val="0"/>
          <w:marTop w:val="180"/>
          <w:marBottom w:val="0"/>
          <w:divBdr>
            <w:top w:val="none" w:sz="0" w:space="0" w:color="auto"/>
            <w:left w:val="none" w:sz="0" w:space="0" w:color="auto"/>
            <w:bottom w:val="none" w:sz="0" w:space="0" w:color="auto"/>
            <w:right w:val="none" w:sz="0" w:space="0" w:color="auto"/>
          </w:divBdr>
        </w:div>
        <w:div w:id="1297297328">
          <w:marLeft w:val="274"/>
          <w:marRight w:val="0"/>
          <w:marTop w:val="180"/>
          <w:marBottom w:val="0"/>
          <w:divBdr>
            <w:top w:val="none" w:sz="0" w:space="0" w:color="auto"/>
            <w:left w:val="none" w:sz="0" w:space="0" w:color="auto"/>
            <w:bottom w:val="none" w:sz="0" w:space="0" w:color="auto"/>
            <w:right w:val="none" w:sz="0" w:space="0" w:color="auto"/>
          </w:divBdr>
        </w:div>
      </w:divsChild>
    </w:div>
    <w:div w:id="835801747">
      <w:bodyDiv w:val="1"/>
      <w:marLeft w:val="0"/>
      <w:marRight w:val="0"/>
      <w:marTop w:val="0"/>
      <w:marBottom w:val="0"/>
      <w:divBdr>
        <w:top w:val="none" w:sz="0" w:space="0" w:color="auto"/>
        <w:left w:val="none" w:sz="0" w:space="0" w:color="auto"/>
        <w:bottom w:val="none" w:sz="0" w:space="0" w:color="auto"/>
        <w:right w:val="none" w:sz="0" w:space="0" w:color="auto"/>
      </w:divBdr>
    </w:div>
    <w:div w:id="864951816">
      <w:bodyDiv w:val="1"/>
      <w:marLeft w:val="0"/>
      <w:marRight w:val="0"/>
      <w:marTop w:val="0"/>
      <w:marBottom w:val="0"/>
      <w:divBdr>
        <w:top w:val="none" w:sz="0" w:space="0" w:color="auto"/>
        <w:left w:val="none" w:sz="0" w:space="0" w:color="auto"/>
        <w:bottom w:val="none" w:sz="0" w:space="0" w:color="auto"/>
        <w:right w:val="none" w:sz="0" w:space="0" w:color="auto"/>
      </w:divBdr>
    </w:div>
    <w:div w:id="875778632">
      <w:bodyDiv w:val="1"/>
      <w:marLeft w:val="0"/>
      <w:marRight w:val="0"/>
      <w:marTop w:val="0"/>
      <w:marBottom w:val="0"/>
      <w:divBdr>
        <w:top w:val="none" w:sz="0" w:space="0" w:color="auto"/>
        <w:left w:val="none" w:sz="0" w:space="0" w:color="auto"/>
        <w:bottom w:val="none" w:sz="0" w:space="0" w:color="auto"/>
        <w:right w:val="none" w:sz="0" w:space="0" w:color="auto"/>
      </w:divBdr>
    </w:div>
    <w:div w:id="892161712">
      <w:bodyDiv w:val="1"/>
      <w:marLeft w:val="0"/>
      <w:marRight w:val="0"/>
      <w:marTop w:val="0"/>
      <w:marBottom w:val="0"/>
      <w:divBdr>
        <w:top w:val="none" w:sz="0" w:space="0" w:color="auto"/>
        <w:left w:val="none" w:sz="0" w:space="0" w:color="auto"/>
        <w:bottom w:val="none" w:sz="0" w:space="0" w:color="auto"/>
        <w:right w:val="none" w:sz="0" w:space="0" w:color="auto"/>
      </w:divBdr>
    </w:div>
    <w:div w:id="904146266">
      <w:bodyDiv w:val="1"/>
      <w:marLeft w:val="0"/>
      <w:marRight w:val="0"/>
      <w:marTop w:val="0"/>
      <w:marBottom w:val="0"/>
      <w:divBdr>
        <w:top w:val="none" w:sz="0" w:space="0" w:color="auto"/>
        <w:left w:val="none" w:sz="0" w:space="0" w:color="auto"/>
        <w:bottom w:val="none" w:sz="0" w:space="0" w:color="auto"/>
        <w:right w:val="none" w:sz="0" w:space="0" w:color="auto"/>
      </w:divBdr>
      <w:divsChild>
        <w:div w:id="582568793">
          <w:marLeft w:val="547"/>
          <w:marRight w:val="0"/>
          <w:marTop w:val="180"/>
          <w:marBottom w:val="0"/>
          <w:divBdr>
            <w:top w:val="none" w:sz="0" w:space="0" w:color="auto"/>
            <w:left w:val="none" w:sz="0" w:space="0" w:color="auto"/>
            <w:bottom w:val="none" w:sz="0" w:space="0" w:color="auto"/>
            <w:right w:val="none" w:sz="0" w:space="0" w:color="auto"/>
          </w:divBdr>
        </w:div>
      </w:divsChild>
    </w:div>
    <w:div w:id="924653385">
      <w:bodyDiv w:val="1"/>
      <w:marLeft w:val="0"/>
      <w:marRight w:val="0"/>
      <w:marTop w:val="0"/>
      <w:marBottom w:val="0"/>
      <w:divBdr>
        <w:top w:val="none" w:sz="0" w:space="0" w:color="auto"/>
        <w:left w:val="none" w:sz="0" w:space="0" w:color="auto"/>
        <w:bottom w:val="none" w:sz="0" w:space="0" w:color="auto"/>
        <w:right w:val="none" w:sz="0" w:space="0" w:color="auto"/>
      </w:divBdr>
    </w:div>
    <w:div w:id="941567172">
      <w:bodyDiv w:val="1"/>
      <w:marLeft w:val="0"/>
      <w:marRight w:val="0"/>
      <w:marTop w:val="0"/>
      <w:marBottom w:val="0"/>
      <w:divBdr>
        <w:top w:val="none" w:sz="0" w:space="0" w:color="auto"/>
        <w:left w:val="none" w:sz="0" w:space="0" w:color="auto"/>
        <w:bottom w:val="none" w:sz="0" w:space="0" w:color="auto"/>
        <w:right w:val="none" w:sz="0" w:space="0" w:color="auto"/>
      </w:divBdr>
    </w:div>
    <w:div w:id="945694869">
      <w:bodyDiv w:val="1"/>
      <w:marLeft w:val="0"/>
      <w:marRight w:val="0"/>
      <w:marTop w:val="0"/>
      <w:marBottom w:val="0"/>
      <w:divBdr>
        <w:top w:val="none" w:sz="0" w:space="0" w:color="auto"/>
        <w:left w:val="none" w:sz="0" w:space="0" w:color="auto"/>
        <w:bottom w:val="none" w:sz="0" w:space="0" w:color="auto"/>
        <w:right w:val="none" w:sz="0" w:space="0" w:color="auto"/>
      </w:divBdr>
    </w:div>
    <w:div w:id="951400430">
      <w:bodyDiv w:val="1"/>
      <w:marLeft w:val="0"/>
      <w:marRight w:val="0"/>
      <w:marTop w:val="0"/>
      <w:marBottom w:val="0"/>
      <w:divBdr>
        <w:top w:val="none" w:sz="0" w:space="0" w:color="auto"/>
        <w:left w:val="none" w:sz="0" w:space="0" w:color="auto"/>
        <w:bottom w:val="none" w:sz="0" w:space="0" w:color="auto"/>
        <w:right w:val="none" w:sz="0" w:space="0" w:color="auto"/>
      </w:divBdr>
      <w:divsChild>
        <w:div w:id="869605576">
          <w:marLeft w:val="446"/>
          <w:marRight w:val="0"/>
          <w:marTop w:val="180"/>
          <w:marBottom w:val="0"/>
          <w:divBdr>
            <w:top w:val="none" w:sz="0" w:space="0" w:color="auto"/>
            <w:left w:val="none" w:sz="0" w:space="0" w:color="auto"/>
            <w:bottom w:val="none" w:sz="0" w:space="0" w:color="auto"/>
            <w:right w:val="none" w:sz="0" w:space="0" w:color="auto"/>
          </w:divBdr>
        </w:div>
        <w:div w:id="1962686439">
          <w:marLeft w:val="446"/>
          <w:marRight w:val="0"/>
          <w:marTop w:val="180"/>
          <w:marBottom w:val="0"/>
          <w:divBdr>
            <w:top w:val="none" w:sz="0" w:space="0" w:color="auto"/>
            <w:left w:val="none" w:sz="0" w:space="0" w:color="auto"/>
            <w:bottom w:val="none" w:sz="0" w:space="0" w:color="auto"/>
            <w:right w:val="none" w:sz="0" w:space="0" w:color="auto"/>
          </w:divBdr>
        </w:div>
      </w:divsChild>
    </w:div>
    <w:div w:id="959532131">
      <w:bodyDiv w:val="1"/>
      <w:marLeft w:val="0"/>
      <w:marRight w:val="0"/>
      <w:marTop w:val="0"/>
      <w:marBottom w:val="0"/>
      <w:divBdr>
        <w:top w:val="none" w:sz="0" w:space="0" w:color="auto"/>
        <w:left w:val="none" w:sz="0" w:space="0" w:color="auto"/>
        <w:bottom w:val="none" w:sz="0" w:space="0" w:color="auto"/>
        <w:right w:val="none" w:sz="0" w:space="0" w:color="auto"/>
      </w:divBdr>
    </w:div>
    <w:div w:id="1008017888">
      <w:bodyDiv w:val="1"/>
      <w:marLeft w:val="0"/>
      <w:marRight w:val="0"/>
      <w:marTop w:val="0"/>
      <w:marBottom w:val="0"/>
      <w:divBdr>
        <w:top w:val="none" w:sz="0" w:space="0" w:color="auto"/>
        <w:left w:val="none" w:sz="0" w:space="0" w:color="auto"/>
        <w:bottom w:val="none" w:sz="0" w:space="0" w:color="auto"/>
        <w:right w:val="none" w:sz="0" w:space="0" w:color="auto"/>
      </w:divBdr>
    </w:div>
    <w:div w:id="1024097335">
      <w:bodyDiv w:val="1"/>
      <w:marLeft w:val="0"/>
      <w:marRight w:val="0"/>
      <w:marTop w:val="0"/>
      <w:marBottom w:val="0"/>
      <w:divBdr>
        <w:top w:val="none" w:sz="0" w:space="0" w:color="auto"/>
        <w:left w:val="none" w:sz="0" w:space="0" w:color="auto"/>
        <w:bottom w:val="none" w:sz="0" w:space="0" w:color="auto"/>
        <w:right w:val="none" w:sz="0" w:space="0" w:color="auto"/>
      </w:divBdr>
    </w:div>
    <w:div w:id="1027176236">
      <w:bodyDiv w:val="1"/>
      <w:marLeft w:val="0"/>
      <w:marRight w:val="0"/>
      <w:marTop w:val="0"/>
      <w:marBottom w:val="0"/>
      <w:divBdr>
        <w:top w:val="none" w:sz="0" w:space="0" w:color="auto"/>
        <w:left w:val="none" w:sz="0" w:space="0" w:color="auto"/>
        <w:bottom w:val="none" w:sz="0" w:space="0" w:color="auto"/>
        <w:right w:val="none" w:sz="0" w:space="0" w:color="auto"/>
      </w:divBdr>
    </w:div>
    <w:div w:id="1063403780">
      <w:bodyDiv w:val="1"/>
      <w:marLeft w:val="0"/>
      <w:marRight w:val="0"/>
      <w:marTop w:val="0"/>
      <w:marBottom w:val="0"/>
      <w:divBdr>
        <w:top w:val="none" w:sz="0" w:space="0" w:color="auto"/>
        <w:left w:val="none" w:sz="0" w:space="0" w:color="auto"/>
        <w:bottom w:val="none" w:sz="0" w:space="0" w:color="auto"/>
        <w:right w:val="none" w:sz="0" w:space="0" w:color="auto"/>
      </w:divBdr>
    </w:div>
    <w:div w:id="1088117647">
      <w:bodyDiv w:val="1"/>
      <w:marLeft w:val="0"/>
      <w:marRight w:val="0"/>
      <w:marTop w:val="0"/>
      <w:marBottom w:val="0"/>
      <w:divBdr>
        <w:top w:val="none" w:sz="0" w:space="0" w:color="auto"/>
        <w:left w:val="none" w:sz="0" w:space="0" w:color="auto"/>
        <w:bottom w:val="none" w:sz="0" w:space="0" w:color="auto"/>
        <w:right w:val="none" w:sz="0" w:space="0" w:color="auto"/>
      </w:divBdr>
    </w:div>
    <w:div w:id="1115364692">
      <w:bodyDiv w:val="1"/>
      <w:marLeft w:val="0"/>
      <w:marRight w:val="0"/>
      <w:marTop w:val="0"/>
      <w:marBottom w:val="0"/>
      <w:divBdr>
        <w:top w:val="none" w:sz="0" w:space="0" w:color="auto"/>
        <w:left w:val="none" w:sz="0" w:space="0" w:color="auto"/>
        <w:bottom w:val="none" w:sz="0" w:space="0" w:color="auto"/>
        <w:right w:val="none" w:sz="0" w:space="0" w:color="auto"/>
      </w:divBdr>
    </w:div>
    <w:div w:id="1126512193">
      <w:bodyDiv w:val="1"/>
      <w:marLeft w:val="0"/>
      <w:marRight w:val="0"/>
      <w:marTop w:val="0"/>
      <w:marBottom w:val="0"/>
      <w:divBdr>
        <w:top w:val="none" w:sz="0" w:space="0" w:color="auto"/>
        <w:left w:val="none" w:sz="0" w:space="0" w:color="auto"/>
        <w:bottom w:val="none" w:sz="0" w:space="0" w:color="auto"/>
        <w:right w:val="none" w:sz="0" w:space="0" w:color="auto"/>
      </w:divBdr>
    </w:div>
    <w:div w:id="1145665573">
      <w:bodyDiv w:val="1"/>
      <w:marLeft w:val="0"/>
      <w:marRight w:val="0"/>
      <w:marTop w:val="0"/>
      <w:marBottom w:val="0"/>
      <w:divBdr>
        <w:top w:val="none" w:sz="0" w:space="0" w:color="auto"/>
        <w:left w:val="none" w:sz="0" w:space="0" w:color="auto"/>
        <w:bottom w:val="none" w:sz="0" w:space="0" w:color="auto"/>
        <w:right w:val="none" w:sz="0" w:space="0" w:color="auto"/>
      </w:divBdr>
    </w:div>
    <w:div w:id="1151143047">
      <w:bodyDiv w:val="1"/>
      <w:marLeft w:val="0"/>
      <w:marRight w:val="0"/>
      <w:marTop w:val="0"/>
      <w:marBottom w:val="0"/>
      <w:divBdr>
        <w:top w:val="none" w:sz="0" w:space="0" w:color="auto"/>
        <w:left w:val="none" w:sz="0" w:space="0" w:color="auto"/>
        <w:bottom w:val="none" w:sz="0" w:space="0" w:color="auto"/>
        <w:right w:val="none" w:sz="0" w:space="0" w:color="auto"/>
      </w:divBdr>
    </w:div>
    <w:div w:id="1178613862">
      <w:bodyDiv w:val="1"/>
      <w:marLeft w:val="0"/>
      <w:marRight w:val="0"/>
      <w:marTop w:val="0"/>
      <w:marBottom w:val="0"/>
      <w:divBdr>
        <w:top w:val="none" w:sz="0" w:space="0" w:color="auto"/>
        <w:left w:val="none" w:sz="0" w:space="0" w:color="auto"/>
        <w:bottom w:val="none" w:sz="0" w:space="0" w:color="auto"/>
        <w:right w:val="none" w:sz="0" w:space="0" w:color="auto"/>
      </w:divBdr>
    </w:div>
    <w:div w:id="1190559184">
      <w:bodyDiv w:val="1"/>
      <w:marLeft w:val="0"/>
      <w:marRight w:val="0"/>
      <w:marTop w:val="0"/>
      <w:marBottom w:val="0"/>
      <w:divBdr>
        <w:top w:val="none" w:sz="0" w:space="0" w:color="auto"/>
        <w:left w:val="none" w:sz="0" w:space="0" w:color="auto"/>
        <w:bottom w:val="none" w:sz="0" w:space="0" w:color="auto"/>
        <w:right w:val="none" w:sz="0" w:space="0" w:color="auto"/>
      </w:divBdr>
    </w:div>
    <w:div w:id="1200431344">
      <w:bodyDiv w:val="1"/>
      <w:marLeft w:val="0"/>
      <w:marRight w:val="0"/>
      <w:marTop w:val="0"/>
      <w:marBottom w:val="0"/>
      <w:divBdr>
        <w:top w:val="none" w:sz="0" w:space="0" w:color="auto"/>
        <w:left w:val="none" w:sz="0" w:space="0" w:color="auto"/>
        <w:bottom w:val="none" w:sz="0" w:space="0" w:color="auto"/>
        <w:right w:val="none" w:sz="0" w:space="0" w:color="auto"/>
      </w:divBdr>
    </w:div>
    <w:div w:id="1222014716">
      <w:bodyDiv w:val="1"/>
      <w:marLeft w:val="0"/>
      <w:marRight w:val="0"/>
      <w:marTop w:val="0"/>
      <w:marBottom w:val="0"/>
      <w:divBdr>
        <w:top w:val="none" w:sz="0" w:space="0" w:color="auto"/>
        <w:left w:val="none" w:sz="0" w:space="0" w:color="auto"/>
        <w:bottom w:val="none" w:sz="0" w:space="0" w:color="auto"/>
        <w:right w:val="none" w:sz="0" w:space="0" w:color="auto"/>
      </w:divBdr>
    </w:div>
    <w:div w:id="1226335016">
      <w:bodyDiv w:val="1"/>
      <w:marLeft w:val="0"/>
      <w:marRight w:val="0"/>
      <w:marTop w:val="0"/>
      <w:marBottom w:val="0"/>
      <w:divBdr>
        <w:top w:val="none" w:sz="0" w:space="0" w:color="auto"/>
        <w:left w:val="none" w:sz="0" w:space="0" w:color="auto"/>
        <w:bottom w:val="none" w:sz="0" w:space="0" w:color="auto"/>
        <w:right w:val="none" w:sz="0" w:space="0" w:color="auto"/>
      </w:divBdr>
    </w:div>
    <w:div w:id="1256405499">
      <w:bodyDiv w:val="1"/>
      <w:marLeft w:val="0"/>
      <w:marRight w:val="0"/>
      <w:marTop w:val="0"/>
      <w:marBottom w:val="0"/>
      <w:divBdr>
        <w:top w:val="none" w:sz="0" w:space="0" w:color="auto"/>
        <w:left w:val="none" w:sz="0" w:space="0" w:color="auto"/>
        <w:bottom w:val="none" w:sz="0" w:space="0" w:color="auto"/>
        <w:right w:val="none" w:sz="0" w:space="0" w:color="auto"/>
      </w:divBdr>
    </w:div>
    <w:div w:id="1258371471">
      <w:bodyDiv w:val="1"/>
      <w:marLeft w:val="0"/>
      <w:marRight w:val="0"/>
      <w:marTop w:val="0"/>
      <w:marBottom w:val="0"/>
      <w:divBdr>
        <w:top w:val="none" w:sz="0" w:space="0" w:color="auto"/>
        <w:left w:val="none" w:sz="0" w:space="0" w:color="auto"/>
        <w:bottom w:val="none" w:sz="0" w:space="0" w:color="auto"/>
        <w:right w:val="none" w:sz="0" w:space="0" w:color="auto"/>
      </w:divBdr>
    </w:div>
    <w:div w:id="1264335977">
      <w:bodyDiv w:val="1"/>
      <w:marLeft w:val="0"/>
      <w:marRight w:val="0"/>
      <w:marTop w:val="0"/>
      <w:marBottom w:val="0"/>
      <w:divBdr>
        <w:top w:val="none" w:sz="0" w:space="0" w:color="auto"/>
        <w:left w:val="none" w:sz="0" w:space="0" w:color="auto"/>
        <w:bottom w:val="none" w:sz="0" w:space="0" w:color="auto"/>
        <w:right w:val="none" w:sz="0" w:space="0" w:color="auto"/>
      </w:divBdr>
    </w:div>
    <w:div w:id="1284729993">
      <w:bodyDiv w:val="1"/>
      <w:marLeft w:val="0"/>
      <w:marRight w:val="0"/>
      <w:marTop w:val="0"/>
      <w:marBottom w:val="0"/>
      <w:divBdr>
        <w:top w:val="none" w:sz="0" w:space="0" w:color="auto"/>
        <w:left w:val="none" w:sz="0" w:space="0" w:color="auto"/>
        <w:bottom w:val="none" w:sz="0" w:space="0" w:color="auto"/>
        <w:right w:val="none" w:sz="0" w:space="0" w:color="auto"/>
      </w:divBdr>
    </w:div>
    <w:div w:id="1292829566">
      <w:bodyDiv w:val="1"/>
      <w:marLeft w:val="0"/>
      <w:marRight w:val="0"/>
      <w:marTop w:val="0"/>
      <w:marBottom w:val="0"/>
      <w:divBdr>
        <w:top w:val="none" w:sz="0" w:space="0" w:color="auto"/>
        <w:left w:val="none" w:sz="0" w:space="0" w:color="auto"/>
        <w:bottom w:val="none" w:sz="0" w:space="0" w:color="auto"/>
        <w:right w:val="none" w:sz="0" w:space="0" w:color="auto"/>
      </w:divBdr>
    </w:div>
    <w:div w:id="1308361619">
      <w:bodyDiv w:val="1"/>
      <w:marLeft w:val="0"/>
      <w:marRight w:val="0"/>
      <w:marTop w:val="0"/>
      <w:marBottom w:val="0"/>
      <w:divBdr>
        <w:top w:val="none" w:sz="0" w:space="0" w:color="auto"/>
        <w:left w:val="none" w:sz="0" w:space="0" w:color="auto"/>
        <w:bottom w:val="none" w:sz="0" w:space="0" w:color="auto"/>
        <w:right w:val="none" w:sz="0" w:space="0" w:color="auto"/>
      </w:divBdr>
    </w:div>
    <w:div w:id="1319185860">
      <w:bodyDiv w:val="1"/>
      <w:marLeft w:val="0"/>
      <w:marRight w:val="0"/>
      <w:marTop w:val="0"/>
      <w:marBottom w:val="0"/>
      <w:divBdr>
        <w:top w:val="none" w:sz="0" w:space="0" w:color="auto"/>
        <w:left w:val="none" w:sz="0" w:space="0" w:color="auto"/>
        <w:bottom w:val="none" w:sz="0" w:space="0" w:color="auto"/>
        <w:right w:val="none" w:sz="0" w:space="0" w:color="auto"/>
      </w:divBdr>
    </w:div>
    <w:div w:id="1329289588">
      <w:bodyDiv w:val="1"/>
      <w:marLeft w:val="0"/>
      <w:marRight w:val="0"/>
      <w:marTop w:val="0"/>
      <w:marBottom w:val="0"/>
      <w:divBdr>
        <w:top w:val="none" w:sz="0" w:space="0" w:color="auto"/>
        <w:left w:val="none" w:sz="0" w:space="0" w:color="auto"/>
        <w:bottom w:val="none" w:sz="0" w:space="0" w:color="auto"/>
        <w:right w:val="none" w:sz="0" w:space="0" w:color="auto"/>
      </w:divBdr>
    </w:div>
    <w:div w:id="1346397611">
      <w:bodyDiv w:val="1"/>
      <w:marLeft w:val="0"/>
      <w:marRight w:val="0"/>
      <w:marTop w:val="0"/>
      <w:marBottom w:val="0"/>
      <w:divBdr>
        <w:top w:val="none" w:sz="0" w:space="0" w:color="auto"/>
        <w:left w:val="none" w:sz="0" w:space="0" w:color="auto"/>
        <w:bottom w:val="none" w:sz="0" w:space="0" w:color="auto"/>
        <w:right w:val="none" w:sz="0" w:space="0" w:color="auto"/>
      </w:divBdr>
    </w:div>
    <w:div w:id="1359045671">
      <w:bodyDiv w:val="1"/>
      <w:marLeft w:val="0"/>
      <w:marRight w:val="0"/>
      <w:marTop w:val="0"/>
      <w:marBottom w:val="0"/>
      <w:divBdr>
        <w:top w:val="none" w:sz="0" w:space="0" w:color="auto"/>
        <w:left w:val="none" w:sz="0" w:space="0" w:color="auto"/>
        <w:bottom w:val="none" w:sz="0" w:space="0" w:color="auto"/>
        <w:right w:val="none" w:sz="0" w:space="0" w:color="auto"/>
      </w:divBdr>
    </w:div>
    <w:div w:id="1377318650">
      <w:bodyDiv w:val="1"/>
      <w:marLeft w:val="0"/>
      <w:marRight w:val="0"/>
      <w:marTop w:val="0"/>
      <w:marBottom w:val="0"/>
      <w:divBdr>
        <w:top w:val="none" w:sz="0" w:space="0" w:color="auto"/>
        <w:left w:val="none" w:sz="0" w:space="0" w:color="auto"/>
        <w:bottom w:val="none" w:sz="0" w:space="0" w:color="auto"/>
        <w:right w:val="none" w:sz="0" w:space="0" w:color="auto"/>
      </w:divBdr>
    </w:div>
    <w:div w:id="1394045243">
      <w:bodyDiv w:val="1"/>
      <w:marLeft w:val="0"/>
      <w:marRight w:val="0"/>
      <w:marTop w:val="0"/>
      <w:marBottom w:val="0"/>
      <w:divBdr>
        <w:top w:val="none" w:sz="0" w:space="0" w:color="auto"/>
        <w:left w:val="none" w:sz="0" w:space="0" w:color="auto"/>
        <w:bottom w:val="none" w:sz="0" w:space="0" w:color="auto"/>
        <w:right w:val="none" w:sz="0" w:space="0" w:color="auto"/>
      </w:divBdr>
    </w:div>
    <w:div w:id="1399748869">
      <w:bodyDiv w:val="1"/>
      <w:marLeft w:val="0"/>
      <w:marRight w:val="0"/>
      <w:marTop w:val="0"/>
      <w:marBottom w:val="0"/>
      <w:divBdr>
        <w:top w:val="none" w:sz="0" w:space="0" w:color="auto"/>
        <w:left w:val="none" w:sz="0" w:space="0" w:color="auto"/>
        <w:bottom w:val="none" w:sz="0" w:space="0" w:color="auto"/>
        <w:right w:val="none" w:sz="0" w:space="0" w:color="auto"/>
      </w:divBdr>
    </w:div>
    <w:div w:id="1408576459">
      <w:bodyDiv w:val="1"/>
      <w:marLeft w:val="0"/>
      <w:marRight w:val="0"/>
      <w:marTop w:val="0"/>
      <w:marBottom w:val="0"/>
      <w:divBdr>
        <w:top w:val="none" w:sz="0" w:space="0" w:color="auto"/>
        <w:left w:val="none" w:sz="0" w:space="0" w:color="auto"/>
        <w:bottom w:val="none" w:sz="0" w:space="0" w:color="auto"/>
        <w:right w:val="none" w:sz="0" w:space="0" w:color="auto"/>
      </w:divBdr>
    </w:div>
    <w:div w:id="1414208195">
      <w:bodyDiv w:val="1"/>
      <w:marLeft w:val="0"/>
      <w:marRight w:val="0"/>
      <w:marTop w:val="0"/>
      <w:marBottom w:val="0"/>
      <w:divBdr>
        <w:top w:val="none" w:sz="0" w:space="0" w:color="auto"/>
        <w:left w:val="none" w:sz="0" w:space="0" w:color="auto"/>
        <w:bottom w:val="none" w:sz="0" w:space="0" w:color="auto"/>
        <w:right w:val="none" w:sz="0" w:space="0" w:color="auto"/>
      </w:divBdr>
    </w:div>
    <w:div w:id="1431583484">
      <w:bodyDiv w:val="1"/>
      <w:marLeft w:val="0"/>
      <w:marRight w:val="0"/>
      <w:marTop w:val="0"/>
      <w:marBottom w:val="0"/>
      <w:divBdr>
        <w:top w:val="none" w:sz="0" w:space="0" w:color="auto"/>
        <w:left w:val="none" w:sz="0" w:space="0" w:color="auto"/>
        <w:bottom w:val="none" w:sz="0" w:space="0" w:color="auto"/>
        <w:right w:val="none" w:sz="0" w:space="0" w:color="auto"/>
      </w:divBdr>
    </w:div>
    <w:div w:id="1440293565">
      <w:bodyDiv w:val="1"/>
      <w:marLeft w:val="0"/>
      <w:marRight w:val="0"/>
      <w:marTop w:val="0"/>
      <w:marBottom w:val="0"/>
      <w:divBdr>
        <w:top w:val="none" w:sz="0" w:space="0" w:color="auto"/>
        <w:left w:val="none" w:sz="0" w:space="0" w:color="auto"/>
        <w:bottom w:val="none" w:sz="0" w:space="0" w:color="auto"/>
        <w:right w:val="none" w:sz="0" w:space="0" w:color="auto"/>
      </w:divBdr>
    </w:div>
    <w:div w:id="1455368814">
      <w:bodyDiv w:val="1"/>
      <w:marLeft w:val="0"/>
      <w:marRight w:val="0"/>
      <w:marTop w:val="0"/>
      <w:marBottom w:val="0"/>
      <w:divBdr>
        <w:top w:val="none" w:sz="0" w:space="0" w:color="auto"/>
        <w:left w:val="none" w:sz="0" w:space="0" w:color="auto"/>
        <w:bottom w:val="none" w:sz="0" w:space="0" w:color="auto"/>
        <w:right w:val="none" w:sz="0" w:space="0" w:color="auto"/>
      </w:divBdr>
    </w:div>
    <w:div w:id="1461724962">
      <w:bodyDiv w:val="1"/>
      <w:marLeft w:val="0"/>
      <w:marRight w:val="0"/>
      <w:marTop w:val="0"/>
      <w:marBottom w:val="0"/>
      <w:divBdr>
        <w:top w:val="none" w:sz="0" w:space="0" w:color="auto"/>
        <w:left w:val="none" w:sz="0" w:space="0" w:color="auto"/>
        <w:bottom w:val="none" w:sz="0" w:space="0" w:color="auto"/>
        <w:right w:val="none" w:sz="0" w:space="0" w:color="auto"/>
      </w:divBdr>
    </w:div>
    <w:div w:id="1489058549">
      <w:bodyDiv w:val="1"/>
      <w:marLeft w:val="0"/>
      <w:marRight w:val="0"/>
      <w:marTop w:val="0"/>
      <w:marBottom w:val="0"/>
      <w:divBdr>
        <w:top w:val="none" w:sz="0" w:space="0" w:color="auto"/>
        <w:left w:val="none" w:sz="0" w:space="0" w:color="auto"/>
        <w:bottom w:val="none" w:sz="0" w:space="0" w:color="auto"/>
        <w:right w:val="none" w:sz="0" w:space="0" w:color="auto"/>
      </w:divBdr>
    </w:div>
    <w:div w:id="1498381950">
      <w:bodyDiv w:val="1"/>
      <w:marLeft w:val="0"/>
      <w:marRight w:val="0"/>
      <w:marTop w:val="0"/>
      <w:marBottom w:val="0"/>
      <w:divBdr>
        <w:top w:val="none" w:sz="0" w:space="0" w:color="auto"/>
        <w:left w:val="none" w:sz="0" w:space="0" w:color="auto"/>
        <w:bottom w:val="none" w:sz="0" w:space="0" w:color="auto"/>
        <w:right w:val="none" w:sz="0" w:space="0" w:color="auto"/>
      </w:divBdr>
      <w:divsChild>
        <w:div w:id="46492877">
          <w:marLeft w:val="1469"/>
          <w:marRight w:val="0"/>
          <w:marTop w:val="240"/>
          <w:marBottom w:val="0"/>
          <w:divBdr>
            <w:top w:val="none" w:sz="0" w:space="0" w:color="auto"/>
            <w:left w:val="none" w:sz="0" w:space="0" w:color="auto"/>
            <w:bottom w:val="none" w:sz="0" w:space="0" w:color="auto"/>
            <w:right w:val="none" w:sz="0" w:space="0" w:color="auto"/>
          </w:divBdr>
        </w:div>
        <w:div w:id="289363511">
          <w:marLeft w:val="1224"/>
          <w:marRight w:val="0"/>
          <w:marTop w:val="240"/>
          <w:marBottom w:val="0"/>
          <w:divBdr>
            <w:top w:val="none" w:sz="0" w:space="0" w:color="auto"/>
            <w:left w:val="none" w:sz="0" w:space="0" w:color="auto"/>
            <w:bottom w:val="none" w:sz="0" w:space="0" w:color="auto"/>
            <w:right w:val="none" w:sz="0" w:space="0" w:color="auto"/>
          </w:divBdr>
        </w:div>
        <w:div w:id="674456366">
          <w:marLeft w:val="1555"/>
          <w:marRight w:val="0"/>
          <w:marTop w:val="240"/>
          <w:marBottom w:val="0"/>
          <w:divBdr>
            <w:top w:val="none" w:sz="0" w:space="0" w:color="auto"/>
            <w:left w:val="none" w:sz="0" w:space="0" w:color="auto"/>
            <w:bottom w:val="none" w:sz="0" w:space="0" w:color="auto"/>
            <w:right w:val="none" w:sz="0" w:space="0" w:color="auto"/>
          </w:divBdr>
        </w:div>
        <w:div w:id="1004818082">
          <w:marLeft w:val="1469"/>
          <w:marRight w:val="0"/>
          <w:marTop w:val="240"/>
          <w:marBottom w:val="0"/>
          <w:divBdr>
            <w:top w:val="none" w:sz="0" w:space="0" w:color="auto"/>
            <w:left w:val="none" w:sz="0" w:space="0" w:color="auto"/>
            <w:bottom w:val="none" w:sz="0" w:space="0" w:color="auto"/>
            <w:right w:val="none" w:sz="0" w:space="0" w:color="auto"/>
          </w:divBdr>
        </w:div>
        <w:div w:id="1021052987">
          <w:marLeft w:val="1224"/>
          <w:marRight w:val="0"/>
          <w:marTop w:val="240"/>
          <w:marBottom w:val="0"/>
          <w:divBdr>
            <w:top w:val="none" w:sz="0" w:space="0" w:color="auto"/>
            <w:left w:val="none" w:sz="0" w:space="0" w:color="auto"/>
            <w:bottom w:val="none" w:sz="0" w:space="0" w:color="auto"/>
            <w:right w:val="none" w:sz="0" w:space="0" w:color="auto"/>
          </w:divBdr>
        </w:div>
        <w:div w:id="1301569873">
          <w:marLeft w:val="547"/>
          <w:marRight w:val="0"/>
          <w:marTop w:val="180"/>
          <w:marBottom w:val="0"/>
          <w:divBdr>
            <w:top w:val="none" w:sz="0" w:space="0" w:color="auto"/>
            <w:left w:val="none" w:sz="0" w:space="0" w:color="auto"/>
            <w:bottom w:val="none" w:sz="0" w:space="0" w:color="auto"/>
            <w:right w:val="none" w:sz="0" w:space="0" w:color="auto"/>
          </w:divBdr>
        </w:div>
        <w:div w:id="1576545230">
          <w:marLeft w:val="547"/>
          <w:marRight w:val="0"/>
          <w:marTop w:val="180"/>
          <w:marBottom w:val="0"/>
          <w:divBdr>
            <w:top w:val="none" w:sz="0" w:space="0" w:color="auto"/>
            <w:left w:val="none" w:sz="0" w:space="0" w:color="auto"/>
            <w:bottom w:val="none" w:sz="0" w:space="0" w:color="auto"/>
            <w:right w:val="none" w:sz="0" w:space="0" w:color="auto"/>
          </w:divBdr>
        </w:div>
        <w:div w:id="1812012576">
          <w:marLeft w:val="1224"/>
          <w:marRight w:val="0"/>
          <w:marTop w:val="240"/>
          <w:marBottom w:val="0"/>
          <w:divBdr>
            <w:top w:val="none" w:sz="0" w:space="0" w:color="auto"/>
            <w:left w:val="none" w:sz="0" w:space="0" w:color="auto"/>
            <w:bottom w:val="none" w:sz="0" w:space="0" w:color="auto"/>
            <w:right w:val="none" w:sz="0" w:space="0" w:color="auto"/>
          </w:divBdr>
        </w:div>
        <w:div w:id="2095857987">
          <w:marLeft w:val="547"/>
          <w:marRight w:val="0"/>
          <w:marTop w:val="180"/>
          <w:marBottom w:val="0"/>
          <w:divBdr>
            <w:top w:val="none" w:sz="0" w:space="0" w:color="auto"/>
            <w:left w:val="none" w:sz="0" w:space="0" w:color="auto"/>
            <w:bottom w:val="none" w:sz="0" w:space="0" w:color="auto"/>
            <w:right w:val="none" w:sz="0" w:space="0" w:color="auto"/>
          </w:divBdr>
        </w:div>
      </w:divsChild>
    </w:div>
    <w:div w:id="1500776798">
      <w:bodyDiv w:val="1"/>
      <w:marLeft w:val="0"/>
      <w:marRight w:val="0"/>
      <w:marTop w:val="0"/>
      <w:marBottom w:val="0"/>
      <w:divBdr>
        <w:top w:val="none" w:sz="0" w:space="0" w:color="auto"/>
        <w:left w:val="none" w:sz="0" w:space="0" w:color="auto"/>
        <w:bottom w:val="none" w:sz="0" w:space="0" w:color="auto"/>
        <w:right w:val="none" w:sz="0" w:space="0" w:color="auto"/>
      </w:divBdr>
    </w:div>
    <w:div w:id="1500854117">
      <w:bodyDiv w:val="1"/>
      <w:marLeft w:val="0"/>
      <w:marRight w:val="0"/>
      <w:marTop w:val="0"/>
      <w:marBottom w:val="0"/>
      <w:divBdr>
        <w:top w:val="none" w:sz="0" w:space="0" w:color="auto"/>
        <w:left w:val="none" w:sz="0" w:space="0" w:color="auto"/>
        <w:bottom w:val="none" w:sz="0" w:space="0" w:color="auto"/>
        <w:right w:val="none" w:sz="0" w:space="0" w:color="auto"/>
      </w:divBdr>
    </w:div>
    <w:div w:id="1520392550">
      <w:bodyDiv w:val="1"/>
      <w:marLeft w:val="0"/>
      <w:marRight w:val="0"/>
      <w:marTop w:val="0"/>
      <w:marBottom w:val="0"/>
      <w:divBdr>
        <w:top w:val="none" w:sz="0" w:space="0" w:color="auto"/>
        <w:left w:val="none" w:sz="0" w:space="0" w:color="auto"/>
        <w:bottom w:val="none" w:sz="0" w:space="0" w:color="auto"/>
        <w:right w:val="none" w:sz="0" w:space="0" w:color="auto"/>
      </w:divBdr>
    </w:div>
    <w:div w:id="1559782349">
      <w:bodyDiv w:val="1"/>
      <w:marLeft w:val="0"/>
      <w:marRight w:val="0"/>
      <w:marTop w:val="0"/>
      <w:marBottom w:val="0"/>
      <w:divBdr>
        <w:top w:val="none" w:sz="0" w:space="0" w:color="auto"/>
        <w:left w:val="none" w:sz="0" w:space="0" w:color="auto"/>
        <w:bottom w:val="none" w:sz="0" w:space="0" w:color="auto"/>
        <w:right w:val="none" w:sz="0" w:space="0" w:color="auto"/>
      </w:divBdr>
    </w:div>
    <w:div w:id="1561479139">
      <w:bodyDiv w:val="1"/>
      <w:marLeft w:val="0"/>
      <w:marRight w:val="0"/>
      <w:marTop w:val="0"/>
      <w:marBottom w:val="0"/>
      <w:divBdr>
        <w:top w:val="none" w:sz="0" w:space="0" w:color="auto"/>
        <w:left w:val="none" w:sz="0" w:space="0" w:color="auto"/>
        <w:bottom w:val="none" w:sz="0" w:space="0" w:color="auto"/>
        <w:right w:val="none" w:sz="0" w:space="0" w:color="auto"/>
      </w:divBdr>
    </w:div>
    <w:div w:id="1583416454">
      <w:bodyDiv w:val="1"/>
      <w:marLeft w:val="0"/>
      <w:marRight w:val="0"/>
      <w:marTop w:val="0"/>
      <w:marBottom w:val="0"/>
      <w:divBdr>
        <w:top w:val="none" w:sz="0" w:space="0" w:color="auto"/>
        <w:left w:val="none" w:sz="0" w:space="0" w:color="auto"/>
        <w:bottom w:val="none" w:sz="0" w:space="0" w:color="auto"/>
        <w:right w:val="none" w:sz="0" w:space="0" w:color="auto"/>
      </w:divBdr>
      <w:divsChild>
        <w:div w:id="2008633162">
          <w:marLeft w:val="0"/>
          <w:marRight w:val="0"/>
          <w:marTop w:val="180"/>
          <w:marBottom w:val="180"/>
          <w:divBdr>
            <w:top w:val="none" w:sz="0" w:space="0" w:color="auto"/>
            <w:left w:val="none" w:sz="0" w:space="0" w:color="auto"/>
            <w:bottom w:val="none" w:sz="0" w:space="0" w:color="auto"/>
            <w:right w:val="none" w:sz="0" w:space="0" w:color="auto"/>
          </w:divBdr>
          <w:divsChild>
            <w:div w:id="1584802605">
              <w:marLeft w:val="-225"/>
              <w:marRight w:val="-225"/>
              <w:marTop w:val="0"/>
              <w:marBottom w:val="0"/>
              <w:divBdr>
                <w:top w:val="none" w:sz="0" w:space="0" w:color="auto"/>
                <w:left w:val="none" w:sz="0" w:space="0" w:color="auto"/>
                <w:bottom w:val="none" w:sz="0" w:space="0" w:color="auto"/>
                <w:right w:val="none" w:sz="0" w:space="0" w:color="auto"/>
              </w:divBdr>
              <w:divsChild>
                <w:div w:id="1984505778">
                  <w:marLeft w:val="0"/>
                  <w:marRight w:val="0"/>
                  <w:marTop w:val="0"/>
                  <w:marBottom w:val="0"/>
                  <w:divBdr>
                    <w:top w:val="none" w:sz="0" w:space="0" w:color="auto"/>
                    <w:left w:val="none" w:sz="0" w:space="0" w:color="auto"/>
                    <w:bottom w:val="none" w:sz="0" w:space="0" w:color="auto"/>
                    <w:right w:val="none" w:sz="0" w:space="0" w:color="auto"/>
                  </w:divBdr>
                  <w:divsChild>
                    <w:div w:id="110899673">
                      <w:marLeft w:val="-225"/>
                      <w:marRight w:val="-225"/>
                      <w:marTop w:val="0"/>
                      <w:marBottom w:val="0"/>
                      <w:divBdr>
                        <w:top w:val="none" w:sz="0" w:space="0" w:color="auto"/>
                        <w:left w:val="none" w:sz="0" w:space="0" w:color="auto"/>
                        <w:bottom w:val="none" w:sz="0" w:space="0" w:color="auto"/>
                        <w:right w:val="none" w:sz="0" w:space="0" w:color="auto"/>
                      </w:divBdr>
                      <w:divsChild>
                        <w:div w:id="2126344320">
                          <w:marLeft w:val="0"/>
                          <w:marRight w:val="0"/>
                          <w:marTop w:val="0"/>
                          <w:marBottom w:val="0"/>
                          <w:divBdr>
                            <w:top w:val="none" w:sz="0" w:space="0" w:color="auto"/>
                            <w:left w:val="none" w:sz="0" w:space="0" w:color="auto"/>
                            <w:bottom w:val="none" w:sz="0" w:space="0" w:color="auto"/>
                            <w:right w:val="none" w:sz="0" w:space="0" w:color="auto"/>
                          </w:divBdr>
                          <w:divsChild>
                            <w:div w:id="1420710697">
                              <w:marLeft w:val="0"/>
                              <w:marRight w:val="0"/>
                              <w:marTop w:val="0"/>
                              <w:marBottom w:val="0"/>
                              <w:divBdr>
                                <w:top w:val="none" w:sz="0" w:space="0" w:color="auto"/>
                                <w:left w:val="none" w:sz="0" w:space="0" w:color="auto"/>
                                <w:bottom w:val="none" w:sz="0" w:space="0" w:color="auto"/>
                                <w:right w:val="none" w:sz="0" w:space="0" w:color="auto"/>
                              </w:divBdr>
                              <w:divsChild>
                                <w:div w:id="1447431097">
                                  <w:marLeft w:val="0"/>
                                  <w:marRight w:val="0"/>
                                  <w:marTop w:val="0"/>
                                  <w:marBottom w:val="0"/>
                                  <w:divBdr>
                                    <w:top w:val="none" w:sz="0" w:space="0" w:color="auto"/>
                                    <w:left w:val="none" w:sz="0" w:space="0" w:color="auto"/>
                                    <w:bottom w:val="none" w:sz="0" w:space="0" w:color="auto"/>
                                    <w:right w:val="none" w:sz="0" w:space="0" w:color="auto"/>
                                  </w:divBdr>
                                  <w:divsChild>
                                    <w:div w:id="2086419072">
                                      <w:marLeft w:val="0"/>
                                      <w:marRight w:val="0"/>
                                      <w:marTop w:val="0"/>
                                      <w:marBottom w:val="0"/>
                                      <w:divBdr>
                                        <w:top w:val="none" w:sz="0" w:space="0" w:color="auto"/>
                                        <w:left w:val="none" w:sz="0" w:space="0" w:color="auto"/>
                                        <w:bottom w:val="none" w:sz="0" w:space="0" w:color="auto"/>
                                        <w:right w:val="none" w:sz="0" w:space="0" w:color="auto"/>
                                      </w:divBdr>
                                      <w:divsChild>
                                        <w:div w:id="2112242793">
                                          <w:marLeft w:val="0"/>
                                          <w:marRight w:val="0"/>
                                          <w:marTop w:val="0"/>
                                          <w:marBottom w:val="0"/>
                                          <w:divBdr>
                                            <w:top w:val="none" w:sz="0" w:space="0" w:color="auto"/>
                                            <w:left w:val="none" w:sz="0" w:space="0" w:color="auto"/>
                                            <w:bottom w:val="none" w:sz="0" w:space="0" w:color="auto"/>
                                            <w:right w:val="none" w:sz="0" w:space="0" w:color="auto"/>
                                          </w:divBdr>
                                          <w:divsChild>
                                            <w:div w:id="1828551158">
                                              <w:marLeft w:val="0"/>
                                              <w:marRight w:val="0"/>
                                              <w:marTop w:val="0"/>
                                              <w:marBottom w:val="0"/>
                                              <w:divBdr>
                                                <w:top w:val="none" w:sz="0" w:space="0" w:color="auto"/>
                                                <w:left w:val="none" w:sz="0" w:space="0" w:color="auto"/>
                                                <w:bottom w:val="none" w:sz="0" w:space="0" w:color="auto"/>
                                                <w:right w:val="none" w:sz="0" w:space="0" w:color="auto"/>
                                              </w:divBdr>
                                              <w:divsChild>
                                                <w:div w:id="613100396">
                                                  <w:marLeft w:val="0"/>
                                                  <w:marRight w:val="0"/>
                                                  <w:marTop w:val="0"/>
                                                  <w:marBottom w:val="0"/>
                                                  <w:divBdr>
                                                    <w:top w:val="none" w:sz="0" w:space="0" w:color="auto"/>
                                                    <w:left w:val="none" w:sz="0" w:space="0" w:color="auto"/>
                                                    <w:bottom w:val="none" w:sz="0" w:space="0" w:color="auto"/>
                                                    <w:right w:val="none" w:sz="0" w:space="0" w:color="auto"/>
                                                  </w:divBdr>
                                                  <w:divsChild>
                                                    <w:div w:id="90426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422897">
      <w:bodyDiv w:val="1"/>
      <w:marLeft w:val="0"/>
      <w:marRight w:val="0"/>
      <w:marTop w:val="0"/>
      <w:marBottom w:val="0"/>
      <w:divBdr>
        <w:top w:val="none" w:sz="0" w:space="0" w:color="auto"/>
        <w:left w:val="none" w:sz="0" w:space="0" w:color="auto"/>
        <w:bottom w:val="none" w:sz="0" w:space="0" w:color="auto"/>
        <w:right w:val="none" w:sz="0" w:space="0" w:color="auto"/>
      </w:divBdr>
    </w:div>
    <w:div w:id="1592616802">
      <w:bodyDiv w:val="1"/>
      <w:marLeft w:val="0"/>
      <w:marRight w:val="0"/>
      <w:marTop w:val="0"/>
      <w:marBottom w:val="0"/>
      <w:divBdr>
        <w:top w:val="none" w:sz="0" w:space="0" w:color="auto"/>
        <w:left w:val="none" w:sz="0" w:space="0" w:color="auto"/>
        <w:bottom w:val="none" w:sz="0" w:space="0" w:color="auto"/>
        <w:right w:val="none" w:sz="0" w:space="0" w:color="auto"/>
      </w:divBdr>
    </w:div>
    <w:div w:id="1640065814">
      <w:bodyDiv w:val="1"/>
      <w:marLeft w:val="0"/>
      <w:marRight w:val="0"/>
      <w:marTop w:val="0"/>
      <w:marBottom w:val="0"/>
      <w:divBdr>
        <w:top w:val="none" w:sz="0" w:space="0" w:color="auto"/>
        <w:left w:val="none" w:sz="0" w:space="0" w:color="auto"/>
        <w:bottom w:val="none" w:sz="0" w:space="0" w:color="auto"/>
        <w:right w:val="none" w:sz="0" w:space="0" w:color="auto"/>
      </w:divBdr>
    </w:div>
    <w:div w:id="1641881971">
      <w:bodyDiv w:val="1"/>
      <w:marLeft w:val="0"/>
      <w:marRight w:val="0"/>
      <w:marTop w:val="0"/>
      <w:marBottom w:val="0"/>
      <w:divBdr>
        <w:top w:val="none" w:sz="0" w:space="0" w:color="auto"/>
        <w:left w:val="none" w:sz="0" w:space="0" w:color="auto"/>
        <w:bottom w:val="none" w:sz="0" w:space="0" w:color="auto"/>
        <w:right w:val="none" w:sz="0" w:space="0" w:color="auto"/>
      </w:divBdr>
    </w:div>
    <w:div w:id="1659378450">
      <w:bodyDiv w:val="1"/>
      <w:marLeft w:val="0"/>
      <w:marRight w:val="0"/>
      <w:marTop w:val="0"/>
      <w:marBottom w:val="0"/>
      <w:divBdr>
        <w:top w:val="none" w:sz="0" w:space="0" w:color="auto"/>
        <w:left w:val="none" w:sz="0" w:space="0" w:color="auto"/>
        <w:bottom w:val="none" w:sz="0" w:space="0" w:color="auto"/>
        <w:right w:val="none" w:sz="0" w:space="0" w:color="auto"/>
      </w:divBdr>
    </w:div>
    <w:div w:id="1672021840">
      <w:bodyDiv w:val="1"/>
      <w:marLeft w:val="0"/>
      <w:marRight w:val="0"/>
      <w:marTop w:val="0"/>
      <w:marBottom w:val="0"/>
      <w:divBdr>
        <w:top w:val="none" w:sz="0" w:space="0" w:color="auto"/>
        <w:left w:val="none" w:sz="0" w:space="0" w:color="auto"/>
        <w:bottom w:val="none" w:sz="0" w:space="0" w:color="auto"/>
        <w:right w:val="none" w:sz="0" w:space="0" w:color="auto"/>
      </w:divBdr>
    </w:div>
    <w:div w:id="1677269500">
      <w:bodyDiv w:val="1"/>
      <w:marLeft w:val="0"/>
      <w:marRight w:val="0"/>
      <w:marTop w:val="0"/>
      <w:marBottom w:val="0"/>
      <w:divBdr>
        <w:top w:val="none" w:sz="0" w:space="0" w:color="auto"/>
        <w:left w:val="none" w:sz="0" w:space="0" w:color="auto"/>
        <w:bottom w:val="none" w:sz="0" w:space="0" w:color="auto"/>
        <w:right w:val="none" w:sz="0" w:space="0" w:color="auto"/>
      </w:divBdr>
      <w:divsChild>
        <w:div w:id="126049069">
          <w:marLeft w:val="446"/>
          <w:marRight w:val="0"/>
          <w:marTop w:val="180"/>
          <w:marBottom w:val="0"/>
          <w:divBdr>
            <w:top w:val="none" w:sz="0" w:space="0" w:color="auto"/>
            <w:left w:val="none" w:sz="0" w:space="0" w:color="auto"/>
            <w:bottom w:val="none" w:sz="0" w:space="0" w:color="auto"/>
            <w:right w:val="none" w:sz="0" w:space="0" w:color="auto"/>
          </w:divBdr>
        </w:div>
        <w:div w:id="468088579">
          <w:marLeft w:val="446"/>
          <w:marRight w:val="0"/>
          <w:marTop w:val="180"/>
          <w:marBottom w:val="0"/>
          <w:divBdr>
            <w:top w:val="none" w:sz="0" w:space="0" w:color="auto"/>
            <w:left w:val="none" w:sz="0" w:space="0" w:color="auto"/>
            <w:bottom w:val="none" w:sz="0" w:space="0" w:color="auto"/>
            <w:right w:val="none" w:sz="0" w:space="0" w:color="auto"/>
          </w:divBdr>
        </w:div>
        <w:div w:id="898319180">
          <w:marLeft w:val="346"/>
          <w:marRight w:val="0"/>
          <w:marTop w:val="180"/>
          <w:marBottom w:val="0"/>
          <w:divBdr>
            <w:top w:val="none" w:sz="0" w:space="0" w:color="auto"/>
            <w:left w:val="none" w:sz="0" w:space="0" w:color="auto"/>
            <w:bottom w:val="none" w:sz="0" w:space="0" w:color="auto"/>
            <w:right w:val="none" w:sz="0" w:space="0" w:color="auto"/>
          </w:divBdr>
        </w:div>
        <w:div w:id="1184171969">
          <w:marLeft w:val="446"/>
          <w:marRight w:val="0"/>
          <w:marTop w:val="180"/>
          <w:marBottom w:val="0"/>
          <w:divBdr>
            <w:top w:val="none" w:sz="0" w:space="0" w:color="auto"/>
            <w:left w:val="none" w:sz="0" w:space="0" w:color="auto"/>
            <w:bottom w:val="none" w:sz="0" w:space="0" w:color="auto"/>
            <w:right w:val="none" w:sz="0" w:space="0" w:color="auto"/>
          </w:divBdr>
        </w:div>
        <w:div w:id="1414668543">
          <w:marLeft w:val="346"/>
          <w:marRight w:val="0"/>
          <w:marTop w:val="180"/>
          <w:marBottom w:val="0"/>
          <w:divBdr>
            <w:top w:val="none" w:sz="0" w:space="0" w:color="auto"/>
            <w:left w:val="none" w:sz="0" w:space="0" w:color="auto"/>
            <w:bottom w:val="none" w:sz="0" w:space="0" w:color="auto"/>
            <w:right w:val="none" w:sz="0" w:space="0" w:color="auto"/>
          </w:divBdr>
        </w:div>
        <w:div w:id="1537966003">
          <w:marLeft w:val="446"/>
          <w:marRight w:val="0"/>
          <w:marTop w:val="180"/>
          <w:marBottom w:val="0"/>
          <w:divBdr>
            <w:top w:val="none" w:sz="0" w:space="0" w:color="auto"/>
            <w:left w:val="none" w:sz="0" w:space="0" w:color="auto"/>
            <w:bottom w:val="none" w:sz="0" w:space="0" w:color="auto"/>
            <w:right w:val="none" w:sz="0" w:space="0" w:color="auto"/>
          </w:divBdr>
        </w:div>
        <w:div w:id="1869684483">
          <w:marLeft w:val="446"/>
          <w:marRight w:val="0"/>
          <w:marTop w:val="180"/>
          <w:marBottom w:val="0"/>
          <w:divBdr>
            <w:top w:val="none" w:sz="0" w:space="0" w:color="auto"/>
            <w:left w:val="none" w:sz="0" w:space="0" w:color="auto"/>
            <w:bottom w:val="none" w:sz="0" w:space="0" w:color="auto"/>
            <w:right w:val="none" w:sz="0" w:space="0" w:color="auto"/>
          </w:divBdr>
        </w:div>
        <w:div w:id="1995335895">
          <w:marLeft w:val="446"/>
          <w:marRight w:val="0"/>
          <w:marTop w:val="180"/>
          <w:marBottom w:val="0"/>
          <w:divBdr>
            <w:top w:val="none" w:sz="0" w:space="0" w:color="auto"/>
            <w:left w:val="none" w:sz="0" w:space="0" w:color="auto"/>
            <w:bottom w:val="none" w:sz="0" w:space="0" w:color="auto"/>
            <w:right w:val="none" w:sz="0" w:space="0" w:color="auto"/>
          </w:divBdr>
        </w:div>
        <w:div w:id="2064672884">
          <w:marLeft w:val="446"/>
          <w:marRight w:val="0"/>
          <w:marTop w:val="180"/>
          <w:marBottom w:val="0"/>
          <w:divBdr>
            <w:top w:val="none" w:sz="0" w:space="0" w:color="auto"/>
            <w:left w:val="none" w:sz="0" w:space="0" w:color="auto"/>
            <w:bottom w:val="none" w:sz="0" w:space="0" w:color="auto"/>
            <w:right w:val="none" w:sz="0" w:space="0" w:color="auto"/>
          </w:divBdr>
        </w:div>
      </w:divsChild>
    </w:div>
    <w:div w:id="1689023852">
      <w:bodyDiv w:val="1"/>
      <w:marLeft w:val="0"/>
      <w:marRight w:val="0"/>
      <w:marTop w:val="0"/>
      <w:marBottom w:val="0"/>
      <w:divBdr>
        <w:top w:val="none" w:sz="0" w:space="0" w:color="auto"/>
        <w:left w:val="none" w:sz="0" w:space="0" w:color="auto"/>
        <w:bottom w:val="none" w:sz="0" w:space="0" w:color="auto"/>
        <w:right w:val="none" w:sz="0" w:space="0" w:color="auto"/>
      </w:divBdr>
    </w:div>
    <w:div w:id="1694839396">
      <w:bodyDiv w:val="1"/>
      <w:marLeft w:val="0"/>
      <w:marRight w:val="0"/>
      <w:marTop w:val="0"/>
      <w:marBottom w:val="0"/>
      <w:divBdr>
        <w:top w:val="none" w:sz="0" w:space="0" w:color="auto"/>
        <w:left w:val="none" w:sz="0" w:space="0" w:color="auto"/>
        <w:bottom w:val="none" w:sz="0" w:space="0" w:color="auto"/>
        <w:right w:val="none" w:sz="0" w:space="0" w:color="auto"/>
      </w:divBdr>
    </w:div>
    <w:div w:id="1701397832">
      <w:bodyDiv w:val="1"/>
      <w:marLeft w:val="0"/>
      <w:marRight w:val="0"/>
      <w:marTop w:val="0"/>
      <w:marBottom w:val="0"/>
      <w:divBdr>
        <w:top w:val="none" w:sz="0" w:space="0" w:color="auto"/>
        <w:left w:val="none" w:sz="0" w:space="0" w:color="auto"/>
        <w:bottom w:val="none" w:sz="0" w:space="0" w:color="auto"/>
        <w:right w:val="none" w:sz="0" w:space="0" w:color="auto"/>
      </w:divBdr>
    </w:div>
    <w:div w:id="1746418759">
      <w:bodyDiv w:val="1"/>
      <w:marLeft w:val="0"/>
      <w:marRight w:val="0"/>
      <w:marTop w:val="0"/>
      <w:marBottom w:val="0"/>
      <w:divBdr>
        <w:top w:val="none" w:sz="0" w:space="0" w:color="auto"/>
        <w:left w:val="none" w:sz="0" w:space="0" w:color="auto"/>
        <w:bottom w:val="none" w:sz="0" w:space="0" w:color="auto"/>
        <w:right w:val="none" w:sz="0" w:space="0" w:color="auto"/>
      </w:divBdr>
    </w:div>
    <w:div w:id="1750882841">
      <w:bodyDiv w:val="1"/>
      <w:marLeft w:val="0"/>
      <w:marRight w:val="0"/>
      <w:marTop w:val="0"/>
      <w:marBottom w:val="0"/>
      <w:divBdr>
        <w:top w:val="none" w:sz="0" w:space="0" w:color="auto"/>
        <w:left w:val="none" w:sz="0" w:space="0" w:color="auto"/>
        <w:bottom w:val="none" w:sz="0" w:space="0" w:color="auto"/>
        <w:right w:val="none" w:sz="0" w:space="0" w:color="auto"/>
      </w:divBdr>
    </w:div>
    <w:div w:id="1778866693">
      <w:bodyDiv w:val="1"/>
      <w:marLeft w:val="0"/>
      <w:marRight w:val="0"/>
      <w:marTop w:val="0"/>
      <w:marBottom w:val="0"/>
      <w:divBdr>
        <w:top w:val="none" w:sz="0" w:space="0" w:color="auto"/>
        <w:left w:val="none" w:sz="0" w:space="0" w:color="auto"/>
        <w:bottom w:val="none" w:sz="0" w:space="0" w:color="auto"/>
        <w:right w:val="none" w:sz="0" w:space="0" w:color="auto"/>
      </w:divBdr>
    </w:div>
    <w:div w:id="1790777974">
      <w:bodyDiv w:val="1"/>
      <w:marLeft w:val="0"/>
      <w:marRight w:val="0"/>
      <w:marTop w:val="0"/>
      <w:marBottom w:val="0"/>
      <w:divBdr>
        <w:top w:val="none" w:sz="0" w:space="0" w:color="auto"/>
        <w:left w:val="none" w:sz="0" w:space="0" w:color="auto"/>
        <w:bottom w:val="none" w:sz="0" w:space="0" w:color="auto"/>
        <w:right w:val="none" w:sz="0" w:space="0" w:color="auto"/>
      </w:divBdr>
      <w:divsChild>
        <w:div w:id="1706129636">
          <w:marLeft w:val="0"/>
          <w:marRight w:val="0"/>
          <w:marTop w:val="0"/>
          <w:marBottom w:val="0"/>
          <w:divBdr>
            <w:top w:val="none" w:sz="0" w:space="0" w:color="auto"/>
            <w:left w:val="none" w:sz="0" w:space="0" w:color="auto"/>
            <w:bottom w:val="none" w:sz="0" w:space="0" w:color="auto"/>
            <w:right w:val="none" w:sz="0" w:space="0" w:color="auto"/>
          </w:divBdr>
          <w:divsChild>
            <w:div w:id="1665040035">
              <w:marLeft w:val="-225"/>
              <w:marRight w:val="-225"/>
              <w:marTop w:val="0"/>
              <w:marBottom w:val="0"/>
              <w:divBdr>
                <w:top w:val="none" w:sz="0" w:space="0" w:color="auto"/>
                <w:left w:val="none" w:sz="0" w:space="0" w:color="auto"/>
                <w:bottom w:val="none" w:sz="0" w:space="0" w:color="auto"/>
                <w:right w:val="none" w:sz="0" w:space="0" w:color="auto"/>
              </w:divBdr>
              <w:divsChild>
                <w:div w:id="1936400846">
                  <w:marLeft w:val="0"/>
                  <w:marRight w:val="0"/>
                  <w:marTop w:val="0"/>
                  <w:marBottom w:val="0"/>
                  <w:divBdr>
                    <w:top w:val="none" w:sz="0" w:space="0" w:color="auto"/>
                    <w:left w:val="none" w:sz="0" w:space="0" w:color="auto"/>
                    <w:bottom w:val="none" w:sz="0" w:space="0" w:color="auto"/>
                    <w:right w:val="none" w:sz="0" w:space="0" w:color="auto"/>
                  </w:divBdr>
                  <w:divsChild>
                    <w:div w:id="290868162">
                      <w:marLeft w:val="0"/>
                      <w:marRight w:val="0"/>
                      <w:marTop w:val="0"/>
                      <w:marBottom w:val="225"/>
                      <w:divBdr>
                        <w:top w:val="none" w:sz="0" w:space="0" w:color="auto"/>
                        <w:left w:val="none" w:sz="0" w:space="0" w:color="auto"/>
                        <w:bottom w:val="none" w:sz="0" w:space="0" w:color="auto"/>
                        <w:right w:val="none" w:sz="0" w:space="0" w:color="auto"/>
                      </w:divBdr>
                      <w:divsChild>
                        <w:div w:id="1634603410">
                          <w:marLeft w:val="0"/>
                          <w:marRight w:val="0"/>
                          <w:marTop w:val="0"/>
                          <w:marBottom w:val="0"/>
                          <w:divBdr>
                            <w:top w:val="none" w:sz="0" w:space="0" w:color="auto"/>
                            <w:left w:val="none" w:sz="0" w:space="0" w:color="auto"/>
                            <w:bottom w:val="none" w:sz="0" w:space="0" w:color="auto"/>
                            <w:right w:val="none" w:sz="0" w:space="0" w:color="auto"/>
                          </w:divBdr>
                          <w:divsChild>
                            <w:div w:id="1980914003">
                              <w:marLeft w:val="0"/>
                              <w:marRight w:val="0"/>
                              <w:marTop w:val="0"/>
                              <w:marBottom w:val="0"/>
                              <w:divBdr>
                                <w:top w:val="none" w:sz="0" w:space="0" w:color="auto"/>
                                <w:left w:val="none" w:sz="0" w:space="0" w:color="auto"/>
                                <w:bottom w:val="none" w:sz="0" w:space="0" w:color="auto"/>
                                <w:right w:val="none" w:sz="0" w:space="0" w:color="auto"/>
                              </w:divBdr>
                              <w:divsChild>
                                <w:div w:id="442308713">
                                  <w:marLeft w:val="0"/>
                                  <w:marRight w:val="0"/>
                                  <w:marTop w:val="0"/>
                                  <w:marBottom w:val="0"/>
                                  <w:divBdr>
                                    <w:top w:val="none" w:sz="0" w:space="0" w:color="auto"/>
                                    <w:left w:val="none" w:sz="0" w:space="0" w:color="auto"/>
                                    <w:bottom w:val="none" w:sz="0" w:space="0" w:color="auto"/>
                                    <w:right w:val="none" w:sz="0" w:space="0" w:color="auto"/>
                                  </w:divBdr>
                                  <w:divsChild>
                                    <w:div w:id="499854453">
                                      <w:marLeft w:val="0"/>
                                      <w:marRight w:val="0"/>
                                      <w:marTop w:val="0"/>
                                      <w:marBottom w:val="0"/>
                                      <w:divBdr>
                                        <w:top w:val="none" w:sz="0" w:space="0" w:color="auto"/>
                                        <w:left w:val="none" w:sz="0" w:space="0" w:color="auto"/>
                                        <w:bottom w:val="none" w:sz="0" w:space="0" w:color="auto"/>
                                        <w:right w:val="none" w:sz="0" w:space="0" w:color="auto"/>
                                      </w:divBdr>
                                      <w:divsChild>
                                        <w:div w:id="948312627">
                                          <w:marLeft w:val="0"/>
                                          <w:marRight w:val="0"/>
                                          <w:marTop w:val="0"/>
                                          <w:marBottom w:val="0"/>
                                          <w:divBdr>
                                            <w:top w:val="none" w:sz="0" w:space="0" w:color="auto"/>
                                            <w:left w:val="none" w:sz="0" w:space="0" w:color="auto"/>
                                            <w:bottom w:val="none" w:sz="0" w:space="0" w:color="auto"/>
                                            <w:right w:val="none" w:sz="0" w:space="0" w:color="auto"/>
                                          </w:divBdr>
                                          <w:divsChild>
                                            <w:div w:id="607929881">
                                              <w:marLeft w:val="0"/>
                                              <w:marRight w:val="0"/>
                                              <w:marTop w:val="0"/>
                                              <w:marBottom w:val="0"/>
                                              <w:divBdr>
                                                <w:top w:val="none" w:sz="0" w:space="0" w:color="auto"/>
                                                <w:left w:val="none" w:sz="0" w:space="0" w:color="auto"/>
                                                <w:bottom w:val="none" w:sz="0" w:space="0" w:color="auto"/>
                                                <w:right w:val="none" w:sz="0" w:space="0" w:color="auto"/>
                                              </w:divBdr>
                                              <w:divsChild>
                                                <w:div w:id="1239553820">
                                                  <w:marLeft w:val="0"/>
                                                  <w:marRight w:val="0"/>
                                                  <w:marTop w:val="0"/>
                                                  <w:marBottom w:val="0"/>
                                                  <w:divBdr>
                                                    <w:top w:val="none" w:sz="0" w:space="0" w:color="auto"/>
                                                    <w:left w:val="none" w:sz="0" w:space="0" w:color="auto"/>
                                                    <w:bottom w:val="none" w:sz="0" w:space="0" w:color="auto"/>
                                                    <w:right w:val="none" w:sz="0" w:space="0" w:color="auto"/>
                                                  </w:divBdr>
                                                  <w:divsChild>
                                                    <w:div w:id="17377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3426335">
      <w:bodyDiv w:val="1"/>
      <w:marLeft w:val="0"/>
      <w:marRight w:val="0"/>
      <w:marTop w:val="0"/>
      <w:marBottom w:val="0"/>
      <w:divBdr>
        <w:top w:val="none" w:sz="0" w:space="0" w:color="auto"/>
        <w:left w:val="none" w:sz="0" w:space="0" w:color="auto"/>
        <w:bottom w:val="none" w:sz="0" w:space="0" w:color="auto"/>
        <w:right w:val="none" w:sz="0" w:space="0" w:color="auto"/>
      </w:divBdr>
    </w:div>
    <w:div w:id="1805075798">
      <w:bodyDiv w:val="1"/>
      <w:marLeft w:val="0"/>
      <w:marRight w:val="0"/>
      <w:marTop w:val="0"/>
      <w:marBottom w:val="0"/>
      <w:divBdr>
        <w:top w:val="none" w:sz="0" w:space="0" w:color="auto"/>
        <w:left w:val="none" w:sz="0" w:space="0" w:color="auto"/>
        <w:bottom w:val="none" w:sz="0" w:space="0" w:color="auto"/>
        <w:right w:val="none" w:sz="0" w:space="0" w:color="auto"/>
      </w:divBdr>
      <w:divsChild>
        <w:div w:id="99959514">
          <w:marLeft w:val="547"/>
          <w:marRight w:val="0"/>
          <w:marTop w:val="180"/>
          <w:marBottom w:val="0"/>
          <w:divBdr>
            <w:top w:val="none" w:sz="0" w:space="0" w:color="auto"/>
            <w:left w:val="none" w:sz="0" w:space="0" w:color="auto"/>
            <w:bottom w:val="none" w:sz="0" w:space="0" w:color="auto"/>
            <w:right w:val="none" w:sz="0" w:space="0" w:color="auto"/>
          </w:divBdr>
        </w:div>
        <w:div w:id="286206944">
          <w:marLeft w:val="547"/>
          <w:marRight w:val="0"/>
          <w:marTop w:val="180"/>
          <w:marBottom w:val="0"/>
          <w:divBdr>
            <w:top w:val="none" w:sz="0" w:space="0" w:color="auto"/>
            <w:left w:val="none" w:sz="0" w:space="0" w:color="auto"/>
            <w:bottom w:val="none" w:sz="0" w:space="0" w:color="auto"/>
            <w:right w:val="none" w:sz="0" w:space="0" w:color="auto"/>
          </w:divBdr>
        </w:div>
        <w:div w:id="1072704174">
          <w:marLeft w:val="547"/>
          <w:marRight w:val="0"/>
          <w:marTop w:val="180"/>
          <w:marBottom w:val="0"/>
          <w:divBdr>
            <w:top w:val="none" w:sz="0" w:space="0" w:color="auto"/>
            <w:left w:val="none" w:sz="0" w:space="0" w:color="auto"/>
            <w:bottom w:val="none" w:sz="0" w:space="0" w:color="auto"/>
            <w:right w:val="none" w:sz="0" w:space="0" w:color="auto"/>
          </w:divBdr>
        </w:div>
        <w:div w:id="1129783082">
          <w:marLeft w:val="547"/>
          <w:marRight w:val="0"/>
          <w:marTop w:val="180"/>
          <w:marBottom w:val="0"/>
          <w:divBdr>
            <w:top w:val="none" w:sz="0" w:space="0" w:color="auto"/>
            <w:left w:val="none" w:sz="0" w:space="0" w:color="auto"/>
            <w:bottom w:val="none" w:sz="0" w:space="0" w:color="auto"/>
            <w:right w:val="none" w:sz="0" w:space="0" w:color="auto"/>
          </w:divBdr>
        </w:div>
        <w:div w:id="1962835227">
          <w:marLeft w:val="547"/>
          <w:marRight w:val="0"/>
          <w:marTop w:val="180"/>
          <w:marBottom w:val="0"/>
          <w:divBdr>
            <w:top w:val="none" w:sz="0" w:space="0" w:color="auto"/>
            <w:left w:val="none" w:sz="0" w:space="0" w:color="auto"/>
            <w:bottom w:val="none" w:sz="0" w:space="0" w:color="auto"/>
            <w:right w:val="none" w:sz="0" w:space="0" w:color="auto"/>
          </w:divBdr>
        </w:div>
        <w:div w:id="2056074961">
          <w:marLeft w:val="547"/>
          <w:marRight w:val="0"/>
          <w:marTop w:val="180"/>
          <w:marBottom w:val="0"/>
          <w:divBdr>
            <w:top w:val="none" w:sz="0" w:space="0" w:color="auto"/>
            <w:left w:val="none" w:sz="0" w:space="0" w:color="auto"/>
            <w:bottom w:val="none" w:sz="0" w:space="0" w:color="auto"/>
            <w:right w:val="none" w:sz="0" w:space="0" w:color="auto"/>
          </w:divBdr>
        </w:div>
      </w:divsChild>
    </w:div>
    <w:div w:id="1817794441">
      <w:bodyDiv w:val="1"/>
      <w:marLeft w:val="0"/>
      <w:marRight w:val="0"/>
      <w:marTop w:val="0"/>
      <w:marBottom w:val="0"/>
      <w:divBdr>
        <w:top w:val="none" w:sz="0" w:space="0" w:color="auto"/>
        <w:left w:val="none" w:sz="0" w:space="0" w:color="auto"/>
        <w:bottom w:val="none" w:sz="0" w:space="0" w:color="auto"/>
        <w:right w:val="none" w:sz="0" w:space="0" w:color="auto"/>
      </w:divBdr>
    </w:div>
    <w:div w:id="1821075435">
      <w:bodyDiv w:val="1"/>
      <w:marLeft w:val="0"/>
      <w:marRight w:val="0"/>
      <w:marTop w:val="0"/>
      <w:marBottom w:val="0"/>
      <w:divBdr>
        <w:top w:val="none" w:sz="0" w:space="0" w:color="auto"/>
        <w:left w:val="none" w:sz="0" w:space="0" w:color="auto"/>
        <w:bottom w:val="none" w:sz="0" w:space="0" w:color="auto"/>
        <w:right w:val="none" w:sz="0" w:space="0" w:color="auto"/>
      </w:divBdr>
    </w:div>
    <w:div w:id="1831746330">
      <w:bodyDiv w:val="1"/>
      <w:marLeft w:val="0"/>
      <w:marRight w:val="0"/>
      <w:marTop w:val="0"/>
      <w:marBottom w:val="0"/>
      <w:divBdr>
        <w:top w:val="none" w:sz="0" w:space="0" w:color="auto"/>
        <w:left w:val="none" w:sz="0" w:space="0" w:color="auto"/>
        <w:bottom w:val="none" w:sz="0" w:space="0" w:color="auto"/>
        <w:right w:val="none" w:sz="0" w:space="0" w:color="auto"/>
      </w:divBdr>
    </w:div>
    <w:div w:id="1836804270">
      <w:bodyDiv w:val="1"/>
      <w:marLeft w:val="0"/>
      <w:marRight w:val="0"/>
      <w:marTop w:val="0"/>
      <w:marBottom w:val="0"/>
      <w:divBdr>
        <w:top w:val="none" w:sz="0" w:space="0" w:color="auto"/>
        <w:left w:val="none" w:sz="0" w:space="0" w:color="auto"/>
        <w:bottom w:val="none" w:sz="0" w:space="0" w:color="auto"/>
        <w:right w:val="none" w:sz="0" w:space="0" w:color="auto"/>
      </w:divBdr>
    </w:div>
    <w:div w:id="1847667106">
      <w:bodyDiv w:val="1"/>
      <w:marLeft w:val="0"/>
      <w:marRight w:val="0"/>
      <w:marTop w:val="0"/>
      <w:marBottom w:val="0"/>
      <w:divBdr>
        <w:top w:val="none" w:sz="0" w:space="0" w:color="auto"/>
        <w:left w:val="none" w:sz="0" w:space="0" w:color="auto"/>
        <w:bottom w:val="none" w:sz="0" w:space="0" w:color="auto"/>
        <w:right w:val="none" w:sz="0" w:space="0" w:color="auto"/>
      </w:divBdr>
    </w:div>
    <w:div w:id="1859152100">
      <w:bodyDiv w:val="1"/>
      <w:marLeft w:val="0"/>
      <w:marRight w:val="0"/>
      <w:marTop w:val="0"/>
      <w:marBottom w:val="0"/>
      <w:divBdr>
        <w:top w:val="none" w:sz="0" w:space="0" w:color="auto"/>
        <w:left w:val="none" w:sz="0" w:space="0" w:color="auto"/>
        <w:bottom w:val="none" w:sz="0" w:space="0" w:color="auto"/>
        <w:right w:val="none" w:sz="0" w:space="0" w:color="auto"/>
      </w:divBdr>
    </w:div>
    <w:div w:id="1859998212">
      <w:bodyDiv w:val="1"/>
      <w:marLeft w:val="0"/>
      <w:marRight w:val="0"/>
      <w:marTop w:val="0"/>
      <w:marBottom w:val="0"/>
      <w:divBdr>
        <w:top w:val="none" w:sz="0" w:space="0" w:color="auto"/>
        <w:left w:val="none" w:sz="0" w:space="0" w:color="auto"/>
        <w:bottom w:val="none" w:sz="0" w:space="0" w:color="auto"/>
        <w:right w:val="none" w:sz="0" w:space="0" w:color="auto"/>
      </w:divBdr>
      <w:divsChild>
        <w:div w:id="842399817">
          <w:marLeft w:val="547"/>
          <w:marRight w:val="0"/>
          <w:marTop w:val="180"/>
          <w:marBottom w:val="0"/>
          <w:divBdr>
            <w:top w:val="none" w:sz="0" w:space="0" w:color="auto"/>
            <w:left w:val="none" w:sz="0" w:space="0" w:color="auto"/>
            <w:bottom w:val="none" w:sz="0" w:space="0" w:color="auto"/>
            <w:right w:val="none" w:sz="0" w:space="0" w:color="auto"/>
          </w:divBdr>
        </w:div>
      </w:divsChild>
    </w:div>
    <w:div w:id="1916936080">
      <w:bodyDiv w:val="1"/>
      <w:marLeft w:val="0"/>
      <w:marRight w:val="0"/>
      <w:marTop w:val="0"/>
      <w:marBottom w:val="0"/>
      <w:divBdr>
        <w:top w:val="none" w:sz="0" w:space="0" w:color="auto"/>
        <w:left w:val="none" w:sz="0" w:space="0" w:color="auto"/>
        <w:bottom w:val="none" w:sz="0" w:space="0" w:color="auto"/>
        <w:right w:val="none" w:sz="0" w:space="0" w:color="auto"/>
      </w:divBdr>
    </w:div>
    <w:div w:id="1919443071">
      <w:bodyDiv w:val="1"/>
      <w:marLeft w:val="0"/>
      <w:marRight w:val="0"/>
      <w:marTop w:val="0"/>
      <w:marBottom w:val="0"/>
      <w:divBdr>
        <w:top w:val="none" w:sz="0" w:space="0" w:color="auto"/>
        <w:left w:val="none" w:sz="0" w:space="0" w:color="auto"/>
        <w:bottom w:val="none" w:sz="0" w:space="0" w:color="auto"/>
        <w:right w:val="none" w:sz="0" w:space="0" w:color="auto"/>
      </w:divBdr>
    </w:div>
    <w:div w:id="1928610811">
      <w:bodyDiv w:val="1"/>
      <w:marLeft w:val="0"/>
      <w:marRight w:val="0"/>
      <w:marTop w:val="0"/>
      <w:marBottom w:val="0"/>
      <w:divBdr>
        <w:top w:val="none" w:sz="0" w:space="0" w:color="auto"/>
        <w:left w:val="none" w:sz="0" w:space="0" w:color="auto"/>
        <w:bottom w:val="none" w:sz="0" w:space="0" w:color="auto"/>
        <w:right w:val="none" w:sz="0" w:space="0" w:color="auto"/>
      </w:divBdr>
    </w:div>
    <w:div w:id="1946114565">
      <w:bodyDiv w:val="1"/>
      <w:marLeft w:val="0"/>
      <w:marRight w:val="0"/>
      <w:marTop w:val="0"/>
      <w:marBottom w:val="0"/>
      <w:divBdr>
        <w:top w:val="none" w:sz="0" w:space="0" w:color="auto"/>
        <w:left w:val="none" w:sz="0" w:space="0" w:color="auto"/>
        <w:bottom w:val="none" w:sz="0" w:space="0" w:color="auto"/>
        <w:right w:val="none" w:sz="0" w:space="0" w:color="auto"/>
      </w:divBdr>
    </w:div>
    <w:div w:id="1961448950">
      <w:bodyDiv w:val="1"/>
      <w:marLeft w:val="0"/>
      <w:marRight w:val="0"/>
      <w:marTop w:val="0"/>
      <w:marBottom w:val="0"/>
      <w:divBdr>
        <w:top w:val="none" w:sz="0" w:space="0" w:color="auto"/>
        <w:left w:val="none" w:sz="0" w:space="0" w:color="auto"/>
        <w:bottom w:val="none" w:sz="0" w:space="0" w:color="auto"/>
        <w:right w:val="none" w:sz="0" w:space="0" w:color="auto"/>
      </w:divBdr>
    </w:div>
    <w:div w:id="1965454886">
      <w:bodyDiv w:val="1"/>
      <w:marLeft w:val="0"/>
      <w:marRight w:val="0"/>
      <w:marTop w:val="0"/>
      <w:marBottom w:val="0"/>
      <w:divBdr>
        <w:top w:val="none" w:sz="0" w:space="0" w:color="auto"/>
        <w:left w:val="none" w:sz="0" w:space="0" w:color="auto"/>
        <w:bottom w:val="none" w:sz="0" w:space="0" w:color="auto"/>
        <w:right w:val="none" w:sz="0" w:space="0" w:color="auto"/>
      </w:divBdr>
    </w:div>
    <w:div w:id="1967423271">
      <w:bodyDiv w:val="1"/>
      <w:marLeft w:val="0"/>
      <w:marRight w:val="0"/>
      <w:marTop w:val="0"/>
      <w:marBottom w:val="0"/>
      <w:divBdr>
        <w:top w:val="none" w:sz="0" w:space="0" w:color="auto"/>
        <w:left w:val="none" w:sz="0" w:space="0" w:color="auto"/>
        <w:bottom w:val="none" w:sz="0" w:space="0" w:color="auto"/>
        <w:right w:val="none" w:sz="0" w:space="0" w:color="auto"/>
      </w:divBdr>
    </w:div>
    <w:div w:id="1977759701">
      <w:bodyDiv w:val="1"/>
      <w:marLeft w:val="0"/>
      <w:marRight w:val="0"/>
      <w:marTop w:val="0"/>
      <w:marBottom w:val="0"/>
      <w:divBdr>
        <w:top w:val="none" w:sz="0" w:space="0" w:color="auto"/>
        <w:left w:val="none" w:sz="0" w:space="0" w:color="auto"/>
        <w:bottom w:val="none" w:sz="0" w:space="0" w:color="auto"/>
        <w:right w:val="none" w:sz="0" w:space="0" w:color="auto"/>
      </w:divBdr>
    </w:div>
    <w:div w:id="1982492546">
      <w:bodyDiv w:val="1"/>
      <w:marLeft w:val="0"/>
      <w:marRight w:val="0"/>
      <w:marTop w:val="0"/>
      <w:marBottom w:val="0"/>
      <w:divBdr>
        <w:top w:val="none" w:sz="0" w:space="0" w:color="auto"/>
        <w:left w:val="none" w:sz="0" w:space="0" w:color="auto"/>
        <w:bottom w:val="none" w:sz="0" w:space="0" w:color="auto"/>
        <w:right w:val="none" w:sz="0" w:space="0" w:color="auto"/>
      </w:divBdr>
    </w:div>
    <w:div w:id="1994024555">
      <w:bodyDiv w:val="1"/>
      <w:marLeft w:val="0"/>
      <w:marRight w:val="0"/>
      <w:marTop w:val="0"/>
      <w:marBottom w:val="0"/>
      <w:divBdr>
        <w:top w:val="none" w:sz="0" w:space="0" w:color="auto"/>
        <w:left w:val="none" w:sz="0" w:space="0" w:color="auto"/>
        <w:bottom w:val="none" w:sz="0" w:space="0" w:color="auto"/>
        <w:right w:val="none" w:sz="0" w:space="0" w:color="auto"/>
      </w:divBdr>
      <w:divsChild>
        <w:div w:id="132917691">
          <w:marLeft w:val="0"/>
          <w:marRight w:val="0"/>
          <w:marTop w:val="0"/>
          <w:marBottom w:val="0"/>
          <w:divBdr>
            <w:top w:val="none" w:sz="0" w:space="0" w:color="auto"/>
            <w:left w:val="none" w:sz="0" w:space="0" w:color="auto"/>
            <w:bottom w:val="none" w:sz="0" w:space="0" w:color="auto"/>
            <w:right w:val="none" w:sz="0" w:space="0" w:color="auto"/>
          </w:divBdr>
          <w:divsChild>
            <w:div w:id="589387979">
              <w:marLeft w:val="-225"/>
              <w:marRight w:val="-225"/>
              <w:marTop w:val="0"/>
              <w:marBottom w:val="0"/>
              <w:divBdr>
                <w:top w:val="none" w:sz="0" w:space="0" w:color="auto"/>
                <w:left w:val="none" w:sz="0" w:space="0" w:color="auto"/>
                <w:bottom w:val="none" w:sz="0" w:space="0" w:color="auto"/>
                <w:right w:val="none" w:sz="0" w:space="0" w:color="auto"/>
              </w:divBdr>
              <w:divsChild>
                <w:div w:id="1499687681">
                  <w:marLeft w:val="0"/>
                  <w:marRight w:val="0"/>
                  <w:marTop w:val="0"/>
                  <w:marBottom w:val="0"/>
                  <w:divBdr>
                    <w:top w:val="none" w:sz="0" w:space="0" w:color="auto"/>
                    <w:left w:val="none" w:sz="0" w:space="0" w:color="auto"/>
                    <w:bottom w:val="none" w:sz="0" w:space="0" w:color="auto"/>
                    <w:right w:val="none" w:sz="0" w:space="0" w:color="auto"/>
                  </w:divBdr>
                  <w:divsChild>
                    <w:div w:id="636836389">
                      <w:marLeft w:val="0"/>
                      <w:marRight w:val="0"/>
                      <w:marTop w:val="0"/>
                      <w:marBottom w:val="225"/>
                      <w:divBdr>
                        <w:top w:val="none" w:sz="0" w:space="0" w:color="auto"/>
                        <w:left w:val="none" w:sz="0" w:space="0" w:color="auto"/>
                        <w:bottom w:val="none" w:sz="0" w:space="0" w:color="auto"/>
                        <w:right w:val="none" w:sz="0" w:space="0" w:color="auto"/>
                      </w:divBdr>
                      <w:divsChild>
                        <w:div w:id="1090587379">
                          <w:marLeft w:val="0"/>
                          <w:marRight w:val="0"/>
                          <w:marTop w:val="0"/>
                          <w:marBottom w:val="0"/>
                          <w:divBdr>
                            <w:top w:val="none" w:sz="0" w:space="0" w:color="auto"/>
                            <w:left w:val="none" w:sz="0" w:space="0" w:color="auto"/>
                            <w:bottom w:val="none" w:sz="0" w:space="0" w:color="auto"/>
                            <w:right w:val="none" w:sz="0" w:space="0" w:color="auto"/>
                          </w:divBdr>
                          <w:divsChild>
                            <w:div w:id="981498480">
                              <w:marLeft w:val="0"/>
                              <w:marRight w:val="0"/>
                              <w:marTop w:val="0"/>
                              <w:marBottom w:val="0"/>
                              <w:divBdr>
                                <w:top w:val="none" w:sz="0" w:space="0" w:color="auto"/>
                                <w:left w:val="none" w:sz="0" w:space="0" w:color="auto"/>
                                <w:bottom w:val="none" w:sz="0" w:space="0" w:color="auto"/>
                                <w:right w:val="none" w:sz="0" w:space="0" w:color="auto"/>
                              </w:divBdr>
                              <w:divsChild>
                                <w:div w:id="1884975924">
                                  <w:marLeft w:val="0"/>
                                  <w:marRight w:val="0"/>
                                  <w:marTop w:val="0"/>
                                  <w:marBottom w:val="0"/>
                                  <w:divBdr>
                                    <w:top w:val="none" w:sz="0" w:space="0" w:color="auto"/>
                                    <w:left w:val="none" w:sz="0" w:space="0" w:color="auto"/>
                                    <w:bottom w:val="none" w:sz="0" w:space="0" w:color="auto"/>
                                    <w:right w:val="none" w:sz="0" w:space="0" w:color="auto"/>
                                  </w:divBdr>
                                  <w:divsChild>
                                    <w:div w:id="222644389">
                                      <w:marLeft w:val="0"/>
                                      <w:marRight w:val="0"/>
                                      <w:marTop w:val="0"/>
                                      <w:marBottom w:val="0"/>
                                      <w:divBdr>
                                        <w:top w:val="none" w:sz="0" w:space="0" w:color="auto"/>
                                        <w:left w:val="none" w:sz="0" w:space="0" w:color="auto"/>
                                        <w:bottom w:val="none" w:sz="0" w:space="0" w:color="auto"/>
                                        <w:right w:val="none" w:sz="0" w:space="0" w:color="auto"/>
                                      </w:divBdr>
                                      <w:divsChild>
                                        <w:div w:id="1559433704">
                                          <w:marLeft w:val="0"/>
                                          <w:marRight w:val="0"/>
                                          <w:marTop w:val="0"/>
                                          <w:marBottom w:val="0"/>
                                          <w:divBdr>
                                            <w:top w:val="none" w:sz="0" w:space="0" w:color="auto"/>
                                            <w:left w:val="none" w:sz="0" w:space="0" w:color="auto"/>
                                            <w:bottom w:val="none" w:sz="0" w:space="0" w:color="auto"/>
                                            <w:right w:val="none" w:sz="0" w:space="0" w:color="auto"/>
                                          </w:divBdr>
                                          <w:divsChild>
                                            <w:div w:id="920866480">
                                              <w:marLeft w:val="0"/>
                                              <w:marRight w:val="0"/>
                                              <w:marTop w:val="0"/>
                                              <w:marBottom w:val="0"/>
                                              <w:divBdr>
                                                <w:top w:val="none" w:sz="0" w:space="0" w:color="auto"/>
                                                <w:left w:val="none" w:sz="0" w:space="0" w:color="auto"/>
                                                <w:bottom w:val="none" w:sz="0" w:space="0" w:color="auto"/>
                                                <w:right w:val="none" w:sz="0" w:space="0" w:color="auto"/>
                                              </w:divBdr>
                                              <w:divsChild>
                                                <w:div w:id="834882593">
                                                  <w:marLeft w:val="0"/>
                                                  <w:marRight w:val="0"/>
                                                  <w:marTop w:val="0"/>
                                                  <w:marBottom w:val="0"/>
                                                  <w:divBdr>
                                                    <w:top w:val="none" w:sz="0" w:space="0" w:color="auto"/>
                                                    <w:left w:val="none" w:sz="0" w:space="0" w:color="auto"/>
                                                    <w:bottom w:val="none" w:sz="0" w:space="0" w:color="auto"/>
                                                    <w:right w:val="none" w:sz="0" w:space="0" w:color="auto"/>
                                                  </w:divBdr>
                                                  <w:divsChild>
                                                    <w:div w:id="1780367693">
                                                      <w:marLeft w:val="0"/>
                                                      <w:marRight w:val="0"/>
                                                      <w:marTop w:val="0"/>
                                                      <w:marBottom w:val="0"/>
                                                      <w:divBdr>
                                                        <w:top w:val="none" w:sz="0" w:space="0" w:color="auto"/>
                                                        <w:left w:val="none" w:sz="0" w:space="0" w:color="auto"/>
                                                        <w:bottom w:val="none" w:sz="0" w:space="0" w:color="auto"/>
                                                        <w:right w:val="none" w:sz="0" w:space="0" w:color="auto"/>
                                                      </w:divBdr>
                                                      <w:divsChild>
                                                        <w:div w:id="766274020">
                                                          <w:marLeft w:val="-225"/>
                                                          <w:marRight w:val="-225"/>
                                                          <w:marTop w:val="0"/>
                                                          <w:marBottom w:val="0"/>
                                                          <w:divBdr>
                                                            <w:top w:val="none" w:sz="0" w:space="0" w:color="auto"/>
                                                            <w:left w:val="none" w:sz="0" w:space="0" w:color="auto"/>
                                                            <w:bottom w:val="none" w:sz="0" w:space="0" w:color="auto"/>
                                                            <w:right w:val="none" w:sz="0" w:space="0" w:color="auto"/>
                                                          </w:divBdr>
                                                          <w:divsChild>
                                                            <w:div w:id="1017972127">
                                                              <w:marLeft w:val="0"/>
                                                              <w:marRight w:val="0"/>
                                                              <w:marTop w:val="0"/>
                                                              <w:marBottom w:val="0"/>
                                                              <w:divBdr>
                                                                <w:top w:val="none" w:sz="0" w:space="0" w:color="auto"/>
                                                                <w:left w:val="none" w:sz="0" w:space="0" w:color="auto"/>
                                                                <w:bottom w:val="none" w:sz="0" w:space="0" w:color="auto"/>
                                                                <w:right w:val="none" w:sz="0" w:space="0" w:color="auto"/>
                                                              </w:divBdr>
                                                            </w:div>
                                                          </w:divsChild>
                                                        </w:div>
                                                        <w:div w:id="984625264">
                                                          <w:marLeft w:val="-225"/>
                                                          <w:marRight w:val="-225"/>
                                                          <w:marTop w:val="0"/>
                                                          <w:marBottom w:val="0"/>
                                                          <w:divBdr>
                                                            <w:top w:val="none" w:sz="0" w:space="0" w:color="auto"/>
                                                            <w:left w:val="none" w:sz="0" w:space="0" w:color="auto"/>
                                                            <w:bottom w:val="none" w:sz="0" w:space="0" w:color="auto"/>
                                                            <w:right w:val="none" w:sz="0" w:space="0" w:color="auto"/>
                                                          </w:divBdr>
                                                          <w:divsChild>
                                                            <w:div w:id="1731657743">
                                                              <w:marLeft w:val="0"/>
                                                              <w:marRight w:val="0"/>
                                                              <w:marTop w:val="0"/>
                                                              <w:marBottom w:val="0"/>
                                                              <w:divBdr>
                                                                <w:top w:val="none" w:sz="0" w:space="0" w:color="auto"/>
                                                                <w:left w:val="none" w:sz="0" w:space="0" w:color="auto"/>
                                                                <w:bottom w:val="none" w:sz="0" w:space="0" w:color="auto"/>
                                                                <w:right w:val="none" w:sz="0" w:space="0" w:color="auto"/>
                                                              </w:divBdr>
                                                            </w:div>
                                                          </w:divsChild>
                                                        </w:div>
                                                        <w:div w:id="993415310">
                                                          <w:marLeft w:val="-225"/>
                                                          <w:marRight w:val="-225"/>
                                                          <w:marTop w:val="0"/>
                                                          <w:marBottom w:val="0"/>
                                                          <w:divBdr>
                                                            <w:top w:val="none" w:sz="0" w:space="0" w:color="auto"/>
                                                            <w:left w:val="none" w:sz="0" w:space="0" w:color="auto"/>
                                                            <w:bottom w:val="none" w:sz="0" w:space="0" w:color="auto"/>
                                                            <w:right w:val="none" w:sz="0" w:space="0" w:color="auto"/>
                                                          </w:divBdr>
                                                          <w:divsChild>
                                                            <w:div w:id="50806770">
                                                              <w:marLeft w:val="0"/>
                                                              <w:marRight w:val="0"/>
                                                              <w:marTop w:val="0"/>
                                                              <w:marBottom w:val="0"/>
                                                              <w:divBdr>
                                                                <w:top w:val="none" w:sz="0" w:space="0" w:color="auto"/>
                                                                <w:left w:val="none" w:sz="0" w:space="0" w:color="auto"/>
                                                                <w:bottom w:val="none" w:sz="0" w:space="0" w:color="auto"/>
                                                                <w:right w:val="none" w:sz="0" w:space="0" w:color="auto"/>
                                                              </w:divBdr>
                                                            </w:div>
                                                          </w:divsChild>
                                                        </w:div>
                                                        <w:div w:id="1784566654">
                                                          <w:marLeft w:val="-225"/>
                                                          <w:marRight w:val="-225"/>
                                                          <w:marTop w:val="0"/>
                                                          <w:marBottom w:val="0"/>
                                                          <w:divBdr>
                                                            <w:top w:val="none" w:sz="0" w:space="0" w:color="auto"/>
                                                            <w:left w:val="none" w:sz="0" w:space="0" w:color="auto"/>
                                                            <w:bottom w:val="none" w:sz="0" w:space="0" w:color="auto"/>
                                                            <w:right w:val="none" w:sz="0" w:space="0" w:color="auto"/>
                                                          </w:divBdr>
                                                          <w:divsChild>
                                                            <w:div w:id="178981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7681732">
      <w:bodyDiv w:val="1"/>
      <w:marLeft w:val="0"/>
      <w:marRight w:val="0"/>
      <w:marTop w:val="0"/>
      <w:marBottom w:val="0"/>
      <w:divBdr>
        <w:top w:val="none" w:sz="0" w:space="0" w:color="auto"/>
        <w:left w:val="none" w:sz="0" w:space="0" w:color="auto"/>
        <w:bottom w:val="none" w:sz="0" w:space="0" w:color="auto"/>
        <w:right w:val="none" w:sz="0" w:space="0" w:color="auto"/>
      </w:divBdr>
    </w:div>
    <w:div w:id="2001276489">
      <w:bodyDiv w:val="1"/>
      <w:marLeft w:val="0"/>
      <w:marRight w:val="0"/>
      <w:marTop w:val="0"/>
      <w:marBottom w:val="0"/>
      <w:divBdr>
        <w:top w:val="none" w:sz="0" w:space="0" w:color="auto"/>
        <w:left w:val="none" w:sz="0" w:space="0" w:color="auto"/>
        <w:bottom w:val="none" w:sz="0" w:space="0" w:color="auto"/>
        <w:right w:val="none" w:sz="0" w:space="0" w:color="auto"/>
      </w:divBdr>
    </w:div>
    <w:div w:id="2008440708">
      <w:bodyDiv w:val="1"/>
      <w:marLeft w:val="0"/>
      <w:marRight w:val="0"/>
      <w:marTop w:val="0"/>
      <w:marBottom w:val="0"/>
      <w:divBdr>
        <w:top w:val="none" w:sz="0" w:space="0" w:color="auto"/>
        <w:left w:val="none" w:sz="0" w:space="0" w:color="auto"/>
        <w:bottom w:val="none" w:sz="0" w:space="0" w:color="auto"/>
        <w:right w:val="none" w:sz="0" w:space="0" w:color="auto"/>
      </w:divBdr>
    </w:div>
    <w:div w:id="2011517251">
      <w:bodyDiv w:val="1"/>
      <w:marLeft w:val="0"/>
      <w:marRight w:val="0"/>
      <w:marTop w:val="0"/>
      <w:marBottom w:val="0"/>
      <w:divBdr>
        <w:top w:val="none" w:sz="0" w:space="0" w:color="auto"/>
        <w:left w:val="none" w:sz="0" w:space="0" w:color="auto"/>
        <w:bottom w:val="none" w:sz="0" w:space="0" w:color="auto"/>
        <w:right w:val="none" w:sz="0" w:space="0" w:color="auto"/>
      </w:divBdr>
    </w:div>
    <w:div w:id="2014646020">
      <w:bodyDiv w:val="1"/>
      <w:marLeft w:val="0"/>
      <w:marRight w:val="0"/>
      <w:marTop w:val="0"/>
      <w:marBottom w:val="0"/>
      <w:divBdr>
        <w:top w:val="none" w:sz="0" w:space="0" w:color="auto"/>
        <w:left w:val="none" w:sz="0" w:space="0" w:color="auto"/>
        <w:bottom w:val="none" w:sz="0" w:space="0" w:color="auto"/>
        <w:right w:val="none" w:sz="0" w:space="0" w:color="auto"/>
      </w:divBdr>
    </w:div>
    <w:div w:id="2018578827">
      <w:bodyDiv w:val="1"/>
      <w:marLeft w:val="0"/>
      <w:marRight w:val="0"/>
      <w:marTop w:val="0"/>
      <w:marBottom w:val="0"/>
      <w:divBdr>
        <w:top w:val="none" w:sz="0" w:space="0" w:color="auto"/>
        <w:left w:val="none" w:sz="0" w:space="0" w:color="auto"/>
        <w:bottom w:val="none" w:sz="0" w:space="0" w:color="auto"/>
        <w:right w:val="none" w:sz="0" w:space="0" w:color="auto"/>
      </w:divBdr>
    </w:div>
    <w:div w:id="2021159990">
      <w:bodyDiv w:val="1"/>
      <w:marLeft w:val="0"/>
      <w:marRight w:val="0"/>
      <w:marTop w:val="0"/>
      <w:marBottom w:val="0"/>
      <w:divBdr>
        <w:top w:val="none" w:sz="0" w:space="0" w:color="auto"/>
        <w:left w:val="none" w:sz="0" w:space="0" w:color="auto"/>
        <w:bottom w:val="none" w:sz="0" w:space="0" w:color="auto"/>
        <w:right w:val="none" w:sz="0" w:space="0" w:color="auto"/>
      </w:divBdr>
    </w:div>
    <w:div w:id="2034264183">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47216696">
      <w:bodyDiv w:val="1"/>
      <w:marLeft w:val="0"/>
      <w:marRight w:val="0"/>
      <w:marTop w:val="0"/>
      <w:marBottom w:val="0"/>
      <w:divBdr>
        <w:top w:val="none" w:sz="0" w:space="0" w:color="auto"/>
        <w:left w:val="none" w:sz="0" w:space="0" w:color="auto"/>
        <w:bottom w:val="none" w:sz="0" w:space="0" w:color="auto"/>
        <w:right w:val="none" w:sz="0" w:space="0" w:color="auto"/>
      </w:divBdr>
    </w:div>
    <w:div w:id="2048408043">
      <w:bodyDiv w:val="1"/>
      <w:marLeft w:val="0"/>
      <w:marRight w:val="0"/>
      <w:marTop w:val="0"/>
      <w:marBottom w:val="0"/>
      <w:divBdr>
        <w:top w:val="none" w:sz="0" w:space="0" w:color="auto"/>
        <w:left w:val="none" w:sz="0" w:space="0" w:color="auto"/>
        <w:bottom w:val="none" w:sz="0" w:space="0" w:color="auto"/>
        <w:right w:val="none" w:sz="0" w:space="0" w:color="auto"/>
      </w:divBdr>
    </w:div>
    <w:div w:id="2057118715">
      <w:bodyDiv w:val="1"/>
      <w:marLeft w:val="0"/>
      <w:marRight w:val="0"/>
      <w:marTop w:val="0"/>
      <w:marBottom w:val="0"/>
      <w:divBdr>
        <w:top w:val="none" w:sz="0" w:space="0" w:color="auto"/>
        <w:left w:val="none" w:sz="0" w:space="0" w:color="auto"/>
        <w:bottom w:val="none" w:sz="0" w:space="0" w:color="auto"/>
        <w:right w:val="none" w:sz="0" w:space="0" w:color="auto"/>
      </w:divBdr>
    </w:div>
    <w:div w:id="2109541702">
      <w:bodyDiv w:val="1"/>
      <w:marLeft w:val="0"/>
      <w:marRight w:val="0"/>
      <w:marTop w:val="0"/>
      <w:marBottom w:val="0"/>
      <w:divBdr>
        <w:top w:val="none" w:sz="0" w:space="0" w:color="auto"/>
        <w:left w:val="none" w:sz="0" w:space="0" w:color="auto"/>
        <w:bottom w:val="none" w:sz="0" w:space="0" w:color="auto"/>
        <w:right w:val="none" w:sz="0" w:space="0" w:color="auto"/>
      </w:divBdr>
    </w:div>
    <w:div w:id="211277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image" Target="media/image3.png"/><Relationship Id="rId34" Type="http://schemas.openxmlformats.org/officeDocument/2006/relationships/footer" Target="footer11.xml"/><Relationship Id="rId42" Type="http://schemas.openxmlformats.org/officeDocument/2006/relationships/header" Target="header16.xml"/><Relationship Id="rId47" Type="http://schemas.openxmlformats.org/officeDocument/2006/relationships/footer" Target="footer17.xml"/><Relationship Id="rId50" Type="http://schemas.openxmlformats.org/officeDocument/2006/relationships/header" Target="header20.xml"/><Relationship Id="rId55" Type="http://schemas.openxmlformats.org/officeDocument/2006/relationships/footer" Target="footer21.xml"/><Relationship Id="rId63" Type="http://schemas.openxmlformats.org/officeDocument/2006/relationships/footer" Target="footer25.xml"/><Relationship Id="rId68" Type="http://schemas.openxmlformats.org/officeDocument/2006/relationships/header" Target="header29.xml"/><Relationship Id="rId76" Type="http://schemas.openxmlformats.org/officeDocument/2006/relationships/footer" Target="footer31.xml"/><Relationship Id="rId84" Type="http://schemas.openxmlformats.org/officeDocument/2006/relationships/header" Target="header36.xml"/><Relationship Id="rId89" Type="http://schemas.openxmlformats.org/officeDocument/2006/relationships/image" Target="media/image9.emf"/><Relationship Id="rId7" Type="http://schemas.openxmlformats.org/officeDocument/2006/relationships/endnotes" Target="endnotes.xml"/><Relationship Id="rId71" Type="http://schemas.openxmlformats.org/officeDocument/2006/relationships/footer" Target="footer29.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footer" Target="footer8.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footer" Target="footer10.xml"/><Relationship Id="rId37" Type="http://schemas.openxmlformats.org/officeDocument/2006/relationships/image" Target="media/image6.png"/><Relationship Id="rId40" Type="http://schemas.openxmlformats.org/officeDocument/2006/relationships/header" Target="header15.xml"/><Relationship Id="rId45" Type="http://schemas.openxmlformats.org/officeDocument/2006/relationships/footer" Target="footer16.xml"/><Relationship Id="rId53" Type="http://schemas.openxmlformats.org/officeDocument/2006/relationships/footer" Target="footer20.xml"/><Relationship Id="rId58" Type="http://schemas.openxmlformats.org/officeDocument/2006/relationships/header" Target="header24.xml"/><Relationship Id="rId66" Type="http://schemas.openxmlformats.org/officeDocument/2006/relationships/footer" Target="footer26.xml"/><Relationship Id="rId74" Type="http://schemas.openxmlformats.org/officeDocument/2006/relationships/header" Target="header32.xml"/><Relationship Id="rId79" Type="http://schemas.openxmlformats.org/officeDocument/2006/relationships/footer" Target="footer33.xml"/><Relationship Id="rId87" Type="http://schemas.openxmlformats.org/officeDocument/2006/relationships/footer" Target="footer36.xml"/><Relationship Id="rId5" Type="http://schemas.openxmlformats.org/officeDocument/2006/relationships/webSettings" Target="webSettings.xml"/><Relationship Id="rId61" Type="http://schemas.openxmlformats.org/officeDocument/2006/relationships/footer" Target="footer24.xml"/><Relationship Id="rId82" Type="http://schemas.openxmlformats.org/officeDocument/2006/relationships/image" Target="media/image7.png"/><Relationship Id="rId90" Type="http://schemas.openxmlformats.org/officeDocument/2006/relationships/image" Target="media/image10.emf"/><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footer" Target="footer9.xml"/><Relationship Id="rId35" Type="http://schemas.openxmlformats.org/officeDocument/2006/relationships/header" Target="header13.xml"/><Relationship Id="rId43" Type="http://schemas.openxmlformats.org/officeDocument/2006/relationships/footer" Target="footer15.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footer" Target="footer28.xml"/><Relationship Id="rId77" Type="http://schemas.openxmlformats.org/officeDocument/2006/relationships/footer" Target="footer32.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header" Target="header31.xml"/><Relationship Id="rId80" Type="http://schemas.openxmlformats.org/officeDocument/2006/relationships/header" Target="header35.xml"/><Relationship Id="rId85" Type="http://schemas.openxmlformats.org/officeDocument/2006/relationships/footer" Target="footer3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footer" Target="footer23.xml"/><Relationship Id="rId67" Type="http://schemas.openxmlformats.org/officeDocument/2006/relationships/footer" Target="footer27.xml"/><Relationship Id="rId20" Type="http://schemas.openxmlformats.org/officeDocument/2006/relationships/footer" Target="footer5.xml"/><Relationship Id="rId41" Type="http://schemas.openxmlformats.org/officeDocument/2006/relationships/footer" Target="footer14.xml"/><Relationship Id="rId54" Type="http://schemas.openxmlformats.org/officeDocument/2006/relationships/header" Target="header22.xml"/><Relationship Id="rId62" Type="http://schemas.openxmlformats.org/officeDocument/2006/relationships/header" Target="header26.xml"/><Relationship Id="rId70" Type="http://schemas.openxmlformats.org/officeDocument/2006/relationships/header" Target="header30.xml"/><Relationship Id="rId75" Type="http://schemas.openxmlformats.org/officeDocument/2006/relationships/header" Target="header33.xml"/><Relationship Id="rId83" Type="http://schemas.openxmlformats.org/officeDocument/2006/relationships/image" Target="media/image8.png"/><Relationship Id="rId88" Type="http://schemas.openxmlformats.org/officeDocument/2006/relationships/hyperlink" Target="https://www.aer.gov.au/system/files/AER%20information%20session%20two%20-%20Overview%20of%20WACC%20-%206%20December%202017.pdf"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footer" Target="footer12.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header" Target="header17.xml"/><Relationship Id="rId52" Type="http://schemas.openxmlformats.org/officeDocument/2006/relationships/footer" Target="footer19.xml"/><Relationship Id="rId60" Type="http://schemas.openxmlformats.org/officeDocument/2006/relationships/header" Target="header25.xml"/><Relationship Id="rId65" Type="http://schemas.openxmlformats.org/officeDocument/2006/relationships/header" Target="header28.xml"/><Relationship Id="rId73" Type="http://schemas.openxmlformats.org/officeDocument/2006/relationships/footer" Target="footer30.xml"/><Relationship Id="rId78" Type="http://schemas.openxmlformats.org/officeDocument/2006/relationships/header" Target="header34.xml"/><Relationship Id="rId81" Type="http://schemas.openxmlformats.org/officeDocument/2006/relationships/footer" Target="footer34.xml"/><Relationship Id="rId86"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rbm.obpr.gov.au/help.aspx?path=4.Using+the+Compliance+Cost+Calculator.txt" TargetMode="External"/><Relationship Id="rId2" Type="http://schemas.openxmlformats.org/officeDocument/2006/relationships/hyperlink" Target="http://www.coagenergycouncil.gov.au/sites/prod.energycouncil/files/publications/documents/COAG-Energy-Council-Australian-Gas-Market-Vision-Dec-2014-FINAL.pdf" TargetMode="External"/><Relationship Id="rId1" Type="http://schemas.openxmlformats.org/officeDocument/2006/relationships/hyperlink" Target="http://www.coagenergycouncil.gov.au/publications/council-releases-gas-pipeline-regulation-impact-statement-consultation" TargetMode="External"/><Relationship Id="rId5" Type="http://schemas.openxmlformats.org/officeDocument/2006/relationships/hyperlink" Target="http://www.erawa.com.au/gas/gas-" TargetMode="External"/><Relationship Id="rId4" Type="http://schemas.openxmlformats.org/officeDocument/2006/relationships/hyperlink" Target="http://www.erawa.com.au/gas/g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FS">
  <a:themeElements>
    <a:clrScheme name="Axiom With Burgundy">
      <a:dk1>
        <a:sysClr val="windowText" lastClr="000000"/>
      </a:dk1>
      <a:lt1>
        <a:srgbClr val="FFFFFF"/>
      </a:lt1>
      <a:dk2>
        <a:srgbClr val="214C90"/>
      </a:dk2>
      <a:lt2>
        <a:srgbClr val="E1E2E7"/>
      </a:lt2>
      <a:accent1>
        <a:srgbClr val="214C90"/>
      </a:accent1>
      <a:accent2>
        <a:srgbClr val="46A6A9"/>
      </a:accent2>
      <a:accent3>
        <a:srgbClr val="5D89B4"/>
      </a:accent3>
      <a:accent4>
        <a:srgbClr val="A9A8A9"/>
      </a:accent4>
      <a:accent5>
        <a:srgbClr val="990033"/>
      </a:accent5>
      <a:accent6>
        <a:srgbClr val="800080"/>
      </a:accent6>
      <a:hlink>
        <a:srgbClr val="214C90"/>
      </a:hlink>
      <a:folHlink>
        <a:srgbClr val="46A6A9"/>
      </a:folHlink>
    </a:clrScheme>
    <a:fontScheme name="Axiom Arial and Book Antiqua">
      <a:majorFont>
        <a:latin typeface="Arial"/>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1CD64-93B2-42E1-A462-6734EA1CB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229</Pages>
  <Words>100193</Words>
  <Characters>571105</Characters>
  <Application>Microsoft Office Word</Application>
  <DocSecurity>0</DocSecurity>
  <Lines>4759</Lines>
  <Paragraphs>1339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2021-07-21T08:24:00Z</dcterms:created>
  <dcterms:modified xsi:type="dcterms:W3CDTF">2021-07-21T08:25:00Z</dcterms:modified>
</cp:coreProperties>
</file>